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0D1571A5" w:rsidR="00B60939" w:rsidRPr="00873941" w:rsidRDefault="00F83E43" w:rsidP="004A6040">
      <w:pPr>
        <w:pStyle w:val="1-MainHeading"/>
      </w:pPr>
      <w:bookmarkStart w:id="0" w:name="_Toc188444259"/>
      <w:r w:rsidRPr="00873941">
        <w:t>7</w:t>
      </w:r>
      <w:r w:rsidR="00602B63" w:rsidRPr="00873941">
        <w:t>.</w:t>
      </w:r>
      <w:r w:rsidRPr="00873941">
        <w:t>07</w:t>
      </w:r>
      <w:r w:rsidR="00163F66" w:rsidRPr="00873941">
        <w:tab/>
      </w:r>
      <w:r w:rsidR="00A13BE4" w:rsidRPr="00873941">
        <w:t>PERTUZUMAB</w:t>
      </w:r>
      <w:r w:rsidR="00163F66" w:rsidRPr="00873941">
        <w:t>,</w:t>
      </w:r>
      <w:r w:rsidR="00163F66" w:rsidRPr="00873941">
        <w:br/>
      </w:r>
      <w:r w:rsidR="00A13BE4" w:rsidRPr="00873941">
        <w:t>Solution for I.V. infusion</w:t>
      </w:r>
      <w:r w:rsidR="009118B7" w:rsidRPr="00873941">
        <w:t xml:space="preserve"> </w:t>
      </w:r>
      <w:r w:rsidR="00A13BE4" w:rsidRPr="00873941">
        <w:t>420 mg in 14 mL</w:t>
      </w:r>
      <w:r w:rsidR="00163F66" w:rsidRPr="00873941">
        <w:t>,</w:t>
      </w:r>
      <w:r w:rsidR="00163F66" w:rsidRPr="00873941">
        <w:br/>
      </w:r>
      <w:r w:rsidR="00A13BE4" w:rsidRPr="00873941">
        <w:t>Perjeta</w:t>
      </w:r>
      <w:r w:rsidR="00B60939" w:rsidRPr="00873941">
        <w:rPr>
          <w:vertAlign w:val="superscript"/>
        </w:rPr>
        <w:t>®</w:t>
      </w:r>
      <w:r w:rsidR="004A6040" w:rsidRPr="00873941">
        <w:t>,</w:t>
      </w:r>
      <w:r w:rsidR="004A6040" w:rsidRPr="00873941">
        <w:br/>
      </w:r>
      <w:r w:rsidR="00A13BE4" w:rsidRPr="00873941">
        <w:t>Roche Products Pty Ltd</w:t>
      </w:r>
      <w:r w:rsidR="00B60939" w:rsidRPr="00873941">
        <w:t>.</w:t>
      </w:r>
      <w:bookmarkEnd w:id="0"/>
      <w:r w:rsidR="00F73E08" w:rsidRPr="00873941">
        <w:t xml:space="preserve"> </w:t>
      </w:r>
    </w:p>
    <w:p w14:paraId="2981A5B8" w14:textId="77777777" w:rsidR="004A29D1" w:rsidRPr="00873941" w:rsidRDefault="004A29D1" w:rsidP="004A29D1">
      <w:pPr>
        <w:pStyle w:val="2-SectionHeading"/>
      </w:pPr>
      <w:bookmarkStart w:id="1" w:name="_Toc188444261"/>
      <w:r w:rsidRPr="00873941">
        <w:t>Purpose of submission</w:t>
      </w:r>
      <w:bookmarkEnd w:id="1"/>
    </w:p>
    <w:p w14:paraId="19414AA1" w14:textId="086C4E7B" w:rsidR="002C2775" w:rsidRPr="00873941" w:rsidRDefault="007170DA" w:rsidP="007F01F9">
      <w:pPr>
        <w:pStyle w:val="3-BodyText"/>
      </w:pPr>
      <w:r w:rsidRPr="00873941">
        <w:t>The</w:t>
      </w:r>
      <w:r w:rsidR="00813A19" w:rsidRPr="00873941">
        <w:t xml:space="preserve"> </w:t>
      </w:r>
      <w:r w:rsidR="00065551" w:rsidRPr="00873941">
        <w:t>Standard Re-entry</w:t>
      </w:r>
      <w:r w:rsidRPr="00873941">
        <w:t xml:space="preserve"> submission requested </w:t>
      </w:r>
      <w:r w:rsidR="00A13BE4" w:rsidRPr="00873941">
        <w:t xml:space="preserve">a </w:t>
      </w:r>
      <w:r w:rsidR="008B1757" w:rsidRPr="00873941">
        <w:t>Section 100</w:t>
      </w:r>
      <w:r w:rsidR="006E643A" w:rsidRPr="00873941">
        <w:t xml:space="preserve"> – Efficient Funding of Chemotherapy (EFC)</w:t>
      </w:r>
      <w:r w:rsidR="008B1757" w:rsidRPr="00873941">
        <w:t>, Authority Required</w:t>
      </w:r>
      <w:r w:rsidR="006E643A" w:rsidRPr="00873941">
        <w:t xml:space="preserve"> (Telephone/Electronic) </w:t>
      </w:r>
      <w:r w:rsidR="008B1757" w:rsidRPr="00873941">
        <w:t xml:space="preserve">listing for </w:t>
      </w:r>
      <w:r w:rsidR="00A13BE4" w:rsidRPr="00873941">
        <w:t xml:space="preserve">pertuzumab </w:t>
      </w:r>
      <w:r w:rsidR="00707F6A" w:rsidRPr="00873941">
        <w:t>in combination with trastuzumab and chemotherapy (</w:t>
      </w:r>
      <w:proofErr w:type="spellStart"/>
      <w:r w:rsidR="00707F6A" w:rsidRPr="00873941">
        <w:t>P+T+Chemo</w:t>
      </w:r>
      <w:proofErr w:type="spellEnd"/>
      <w:r w:rsidR="00707F6A" w:rsidRPr="00873941">
        <w:t xml:space="preserve">) </w:t>
      </w:r>
      <w:r w:rsidR="00A13BE4" w:rsidRPr="00873941">
        <w:t>as neoadjuvant</w:t>
      </w:r>
      <w:r w:rsidR="0050174E" w:rsidRPr="00873941">
        <w:t xml:space="preserve"> </w:t>
      </w:r>
      <w:r w:rsidR="008B1757" w:rsidRPr="00873941">
        <w:t xml:space="preserve">treatment of </w:t>
      </w:r>
      <w:r w:rsidR="006E643A" w:rsidRPr="00873941">
        <w:t xml:space="preserve">patients with </w:t>
      </w:r>
      <w:r w:rsidR="00235251" w:rsidRPr="00873941">
        <w:t>human epidermal growth factor receptor 2 (</w:t>
      </w:r>
      <w:r w:rsidR="006E643A" w:rsidRPr="00873941">
        <w:t>HER2</w:t>
      </w:r>
      <w:r w:rsidR="00235251" w:rsidRPr="00873941">
        <w:t>)</w:t>
      </w:r>
      <w:r w:rsidR="006E643A" w:rsidRPr="00873941">
        <w:t xml:space="preserve"> positive, locally advanced, inflammatory or early stage (&gt;2 cm in diameter or node positive) early breast cancer (</w:t>
      </w:r>
      <w:proofErr w:type="spellStart"/>
      <w:r w:rsidR="006E643A" w:rsidRPr="00873941">
        <w:t>eBC</w:t>
      </w:r>
      <w:proofErr w:type="spellEnd"/>
      <w:r w:rsidR="006E643A" w:rsidRPr="00873941">
        <w:t xml:space="preserve">). The resubmission referred to the target population as high risk </w:t>
      </w:r>
      <w:proofErr w:type="spellStart"/>
      <w:r w:rsidR="006E643A" w:rsidRPr="00873941">
        <w:t>eBC</w:t>
      </w:r>
      <w:proofErr w:type="spellEnd"/>
      <w:r w:rsidR="006E643A" w:rsidRPr="00873941">
        <w:t>.</w:t>
      </w:r>
    </w:p>
    <w:p w14:paraId="4E9FBCB5" w14:textId="63226B89" w:rsidR="00C2778B" w:rsidRPr="00873941" w:rsidRDefault="005750C5" w:rsidP="007F01F9">
      <w:pPr>
        <w:pStyle w:val="3-BodyText"/>
      </w:pPr>
      <w:r w:rsidRPr="00873941">
        <w:t>Listing was requested on the basis of a</w:t>
      </w:r>
      <w:r w:rsidR="00707F6A" w:rsidRPr="00873941">
        <w:t xml:space="preserve"> </w:t>
      </w:r>
      <w:r w:rsidRPr="00873941">
        <w:t xml:space="preserve">cost-effectiveness analysis versus </w:t>
      </w:r>
      <w:r w:rsidR="00707F6A" w:rsidRPr="00873941">
        <w:t>trastuzumab in combination with chemotherapy (</w:t>
      </w:r>
      <w:proofErr w:type="spellStart"/>
      <w:r w:rsidR="00707F6A" w:rsidRPr="00873941">
        <w:t>T+Chemo</w:t>
      </w:r>
      <w:proofErr w:type="spellEnd"/>
      <w:r w:rsidR="00707F6A" w:rsidRPr="00873941">
        <w:t>)</w:t>
      </w:r>
      <w:r w:rsidRPr="00873941">
        <w:t>.</w:t>
      </w:r>
      <w:r w:rsidR="00707F6A" w:rsidRPr="00873941">
        <w:t xml:space="preserve"> </w:t>
      </w:r>
      <w:r w:rsidR="00707F6A" w:rsidRPr="00873941">
        <w:fldChar w:fldCharType="begin"/>
      </w:r>
      <w:r w:rsidR="00707F6A" w:rsidRPr="00873941">
        <w:instrText xml:space="preserve"> REF _Ref184744164 \h </w:instrText>
      </w:r>
      <w:r w:rsidR="007F01F9" w:rsidRPr="00873941">
        <w:instrText xml:space="preserve"> \* MERGEFORMAT </w:instrText>
      </w:r>
      <w:r w:rsidR="00707F6A" w:rsidRPr="00873941">
        <w:fldChar w:fldCharType="separate"/>
      </w:r>
      <w:r w:rsidR="000B094B" w:rsidRPr="00873941">
        <w:t xml:space="preserve">Table </w:t>
      </w:r>
      <w:r w:rsidR="000B094B">
        <w:t>1</w:t>
      </w:r>
      <w:r w:rsidR="00707F6A" w:rsidRPr="00873941">
        <w:fldChar w:fldCharType="end"/>
      </w:r>
      <w:r w:rsidR="00707F6A" w:rsidRPr="00873941">
        <w:t xml:space="preserve"> summarises the components of the overall clinical claim addressed by the resubmission. </w:t>
      </w:r>
    </w:p>
    <w:p w14:paraId="5C2925D4" w14:textId="49854E4E" w:rsidR="00707F6A" w:rsidRPr="00873941" w:rsidRDefault="00707F6A" w:rsidP="00AD30EE">
      <w:pPr>
        <w:pStyle w:val="Caption"/>
      </w:pPr>
      <w:bookmarkStart w:id="2" w:name="_Ref184744164"/>
      <w:r w:rsidRPr="00873941">
        <w:lastRenderedPageBreak/>
        <w:t xml:space="preserve">Table </w:t>
      </w:r>
      <w:r w:rsidR="00435D6D">
        <w:fldChar w:fldCharType="begin"/>
      </w:r>
      <w:r w:rsidR="00435D6D">
        <w:instrText xml:space="preserve"> SEQ Table \* ARABIC </w:instrText>
      </w:r>
      <w:r w:rsidR="00435D6D">
        <w:fldChar w:fldCharType="separate"/>
      </w:r>
      <w:r w:rsidR="000B094B">
        <w:rPr>
          <w:noProof/>
        </w:rPr>
        <w:t>1</w:t>
      </w:r>
      <w:r w:rsidR="00435D6D">
        <w:fldChar w:fldCharType="end"/>
      </w:r>
      <w:bookmarkEnd w:id="2"/>
      <w:r w:rsidRPr="00873941">
        <w:t>: Key components of the clinical issue addressed by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w:tblPr>
      <w:tblGrid>
        <w:gridCol w:w="1643"/>
        <w:gridCol w:w="7374"/>
      </w:tblGrid>
      <w:tr w:rsidR="00707F6A" w:rsidRPr="00873941" w14:paraId="61F29A06" w14:textId="77777777" w:rsidTr="00357E0A">
        <w:tc>
          <w:tcPr>
            <w:tcW w:w="911" w:type="pct"/>
            <w:vAlign w:val="center"/>
          </w:tcPr>
          <w:p w14:paraId="5BCB28A2" w14:textId="77777777" w:rsidR="00707F6A" w:rsidRPr="00873941" w:rsidRDefault="00707F6A" w:rsidP="00AD30EE">
            <w:pPr>
              <w:pStyle w:val="In-tableHeading"/>
              <w:rPr>
                <w:lang w:val="en-AU"/>
              </w:rPr>
            </w:pPr>
            <w:r w:rsidRPr="00873941">
              <w:rPr>
                <w:lang w:val="en-AU"/>
              </w:rPr>
              <w:t>Component</w:t>
            </w:r>
          </w:p>
        </w:tc>
        <w:tc>
          <w:tcPr>
            <w:tcW w:w="4089" w:type="pct"/>
            <w:vAlign w:val="center"/>
          </w:tcPr>
          <w:p w14:paraId="1BE2AC24" w14:textId="77777777" w:rsidR="00707F6A" w:rsidRPr="00873941" w:rsidRDefault="00707F6A" w:rsidP="00AD30EE">
            <w:pPr>
              <w:pStyle w:val="In-tableHeading"/>
              <w:rPr>
                <w:lang w:val="en-AU"/>
              </w:rPr>
            </w:pPr>
            <w:r w:rsidRPr="00873941">
              <w:rPr>
                <w:lang w:val="en-AU"/>
              </w:rPr>
              <w:t>Description</w:t>
            </w:r>
          </w:p>
        </w:tc>
      </w:tr>
      <w:tr w:rsidR="00707F6A" w:rsidRPr="00873941" w14:paraId="4DC5F12D" w14:textId="77777777" w:rsidTr="00357E0A">
        <w:tc>
          <w:tcPr>
            <w:tcW w:w="911" w:type="pct"/>
            <w:vAlign w:val="center"/>
          </w:tcPr>
          <w:p w14:paraId="330BB3D1" w14:textId="77777777" w:rsidR="00707F6A" w:rsidRPr="00873941" w:rsidRDefault="00707F6A" w:rsidP="00AD30EE">
            <w:pPr>
              <w:pStyle w:val="TableText0"/>
            </w:pPr>
            <w:r w:rsidRPr="00873941">
              <w:t>Population</w:t>
            </w:r>
          </w:p>
        </w:tc>
        <w:tc>
          <w:tcPr>
            <w:tcW w:w="4089" w:type="pct"/>
            <w:vAlign w:val="center"/>
          </w:tcPr>
          <w:p w14:paraId="62FE3862" w14:textId="77777777" w:rsidR="00707F6A" w:rsidRPr="00873941" w:rsidRDefault="00707F6A" w:rsidP="00AD30EE">
            <w:pPr>
              <w:pStyle w:val="TableText0"/>
            </w:pPr>
            <w:r w:rsidRPr="00873941">
              <w:t xml:space="preserve">Patients with HER2-positive, locally advanced, inflammatory or early stage (&gt;2 cm in diameter or node positive) early breast cancer (referred to as high risk </w:t>
            </w:r>
            <w:proofErr w:type="spellStart"/>
            <w:r w:rsidRPr="00873941">
              <w:t>eBC</w:t>
            </w:r>
            <w:proofErr w:type="spellEnd"/>
            <w:r w:rsidRPr="00873941">
              <w:t>).</w:t>
            </w:r>
          </w:p>
        </w:tc>
      </w:tr>
      <w:tr w:rsidR="00707F6A" w:rsidRPr="00873941" w14:paraId="43E7B563" w14:textId="77777777" w:rsidTr="00357E0A">
        <w:tc>
          <w:tcPr>
            <w:tcW w:w="911" w:type="pct"/>
            <w:vAlign w:val="center"/>
          </w:tcPr>
          <w:p w14:paraId="3DC22291" w14:textId="77777777" w:rsidR="00707F6A" w:rsidRPr="00873941" w:rsidRDefault="00707F6A" w:rsidP="00AD30EE">
            <w:pPr>
              <w:pStyle w:val="TableText0"/>
            </w:pPr>
            <w:r w:rsidRPr="00873941">
              <w:t>Intervention</w:t>
            </w:r>
          </w:p>
        </w:tc>
        <w:tc>
          <w:tcPr>
            <w:tcW w:w="4089" w:type="pct"/>
            <w:vAlign w:val="center"/>
          </w:tcPr>
          <w:p w14:paraId="5BB4D8A2" w14:textId="25FE76C8" w:rsidR="00707F6A" w:rsidRPr="00873941" w:rsidRDefault="00707F6A" w:rsidP="00AD30EE">
            <w:pPr>
              <w:pStyle w:val="TableText0"/>
              <w:rPr>
                <w:i/>
                <w:iCs/>
              </w:rPr>
            </w:pPr>
            <w:r w:rsidRPr="00873941">
              <w:t>Pertuzumab</w:t>
            </w:r>
            <w:r w:rsidR="003651D7" w:rsidRPr="00873941">
              <w:t xml:space="preserve"> (840 mg initially followed by 420 mg every 3 weeks)</w:t>
            </w:r>
            <w:r w:rsidRPr="00873941">
              <w:t xml:space="preserve"> in combination with trastuzumab and chemotherapy (</w:t>
            </w:r>
            <w:proofErr w:type="spellStart"/>
            <w:r w:rsidRPr="00873941">
              <w:t>P+T+Chemo</w:t>
            </w:r>
            <w:proofErr w:type="spellEnd"/>
            <w:r w:rsidRPr="00873941">
              <w:t xml:space="preserve">) for the neoadjuvant treatment of high risk </w:t>
            </w:r>
            <w:proofErr w:type="spellStart"/>
            <w:r w:rsidRPr="00873941">
              <w:t>eBC</w:t>
            </w:r>
            <w:proofErr w:type="spellEnd"/>
            <w:r w:rsidRPr="00873941">
              <w:t xml:space="preserve"> for up to 6 cycles.</w:t>
            </w:r>
          </w:p>
        </w:tc>
      </w:tr>
      <w:tr w:rsidR="00707F6A" w:rsidRPr="00873941" w14:paraId="2E0C7CB8" w14:textId="77777777" w:rsidTr="00357E0A">
        <w:tc>
          <w:tcPr>
            <w:tcW w:w="911" w:type="pct"/>
            <w:vAlign w:val="center"/>
          </w:tcPr>
          <w:p w14:paraId="2B267E71" w14:textId="77777777" w:rsidR="00707F6A" w:rsidRPr="00873941" w:rsidRDefault="00707F6A" w:rsidP="00AD30EE">
            <w:pPr>
              <w:pStyle w:val="TableText0"/>
            </w:pPr>
            <w:r w:rsidRPr="00873941">
              <w:t>Comparator</w:t>
            </w:r>
          </w:p>
        </w:tc>
        <w:tc>
          <w:tcPr>
            <w:tcW w:w="4089" w:type="pct"/>
            <w:vAlign w:val="center"/>
          </w:tcPr>
          <w:p w14:paraId="7ECD88F8" w14:textId="77777777" w:rsidR="00707F6A" w:rsidRPr="00873941" w:rsidRDefault="00707F6A" w:rsidP="00AD30EE">
            <w:pPr>
              <w:pStyle w:val="TableText0"/>
            </w:pPr>
            <w:r w:rsidRPr="00873941">
              <w:t>Trastuzumab in combination with chemotherapy (</w:t>
            </w:r>
            <w:proofErr w:type="spellStart"/>
            <w:r w:rsidRPr="00873941">
              <w:t>T+Chemo</w:t>
            </w:r>
            <w:proofErr w:type="spellEnd"/>
            <w:r w:rsidRPr="00873941">
              <w:t>).</w:t>
            </w:r>
          </w:p>
        </w:tc>
      </w:tr>
      <w:tr w:rsidR="00707F6A" w:rsidRPr="00873941" w14:paraId="725C0D5E" w14:textId="77777777" w:rsidTr="00357E0A">
        <w:tc>
          <w:tcPr>
            <w:tcW w:w="911" w:type="pct"/>
            <w:vAlign w:val="center"/>
          </w:tcPr>
          <w:p w14:paraId="3019649A" w14:textId="77777777" w:rsidR="00707F6A" w:rsidRPr="00873941" w:rsidRDefault="00707F6A" w:rsidP="00AD30EE">
            <w:pPr>
              <w:pStyle w:val="TableText0"/>
            </w:pPr>
            <w:proofErr w:type="spellStart"/>
            <w:r w:rsidRPr="00873941">
              <w:t>Outcomes</w:t>
            </w:r>
            <w:r w:rsidRPr="00873941">
              <w:rPr>
                <w:vertAlign w:val="superscript"/>
              </w:rPr>
              <w:t>a</w:t>
            </w:r>
            <w:proofErr w:type="spellEnd"/>
          </w:p>
        </w:tc>
        <w:tc>
          <w:tcPr>
            <w:tcW w:w="4089" w:type="pct"/>
            <w:vAlign w:val="center"/>
          </w:tcPr>
          <w:p w14:paraId="593545E7" w14:textId="77777777" w:rsidR="00707F6A" w:rsidRPr="00873941" w:rsidRDefault="00707F6A" w:rsidP="00AD30EE">
            <w:pPr>
              <w:pStyle w:val="TableText0"/>
            </w:pPr>
            <w:r w:rsidRPr="00873941">
              <w:t>Primary endpoint</w:t>
            </w:r>
          </w:p>
          <w:p w14:paraId="6BC7A693" w14:textId="77777777" w:rsidR="00707F6A" w:rsidRPr="00873941" w:rsidRDefault="00707F6A" w:rsidP="00C37360">
            <w:pPr>
              <w:pStyle w:val="TableText0"/>
              <w:numPr>
                <w:ilvl w:val="0"/>
                <w:numId w:val="6"/>
              </w:numPr>
              <w:ind w:left="782" w:hanging="425"/>
            </w:pPr>
            <w:r w:rsidRPr="00873941">
              <w:t xml:space="preserve">pCR </w:t>
            </w:r>
            <w:r w:rsidRPr="00873941">
              <w:rPr>
                <w:u w:val="single"/>
              </w:rPr>
              <w:t>(total, breast)</w:t>
            </w:r>
          </w:p>
          <w:p w14:paraId="654E58AD" w14:textId="77777777" w:rsidR="00707F6A" w:rsidRPr="00873941" w:rsidRDefault="00707F6A" w:rsidP="00AD30EE">
            <w:pPr>
              <w:pStyle w:val="TableText0"/>
            </w:pPr>
            <w:r w:rsidRPr="00873941">
              <w:t>Secondary endpoints</w:t>
            </w:r>
          </w:p>
          <w:p w14:paraId="09ACC7AF" w14:textId="77777777" w:rsidR="00707F6A" w:rsidRPr="00873941" w:rsidRDefault="00707F6A" w:rsidP="00C37360">
            <w:pPr>
              <w:pStyle w:val="TableText0"/>
              <w:numPr>
                <w:ilvl w:val="0"/>
                <w:numId w:val="6"/>
              </w:numPr>
              <w:ind w:left="782" w:hanging="425"/>
              <w:rPr>
                <w:u w:val="single"/>
              </w:rPr>
            </w:pPr>
            <w:r w:rsidRPr="00873941">
              <w:rPr>
                <w:u w:val="single"/>
              </w:rPr>
              <w:t xml:space="preserve">Complete response </w:t>
            </w:r>
          </w:p>
          <w:p w14:paraId="44752817" w14:textId="77777777" w:rsidR="00707F6A" w:rsidRPr="00873941" w:rsidRDefault="00707F6A" w:rsidP="00C37360">
            <w:pPr>
              <w:pStyle w:val="TableText0"/>
              <w:numPr>
                <w:ilvl w:val="0"/>
                <w:numId w:val="6"/>
              </w:numPr>
              <w:ind w:left="782" w:hanging="425"/>
            </w:pPr>
            <w:r w:rsidRPr="00873941">
              <w:t>Survival (OS, PFS, DFS)</w:t>
            </w:r>
          </w:p>
          <w:p w14:paraId="5D8FD7F0" w14:textId="77777777" w:rsidR="00707F6A" w:rsidRPr="00873941" w:rsidRDefault="00707F6A" w:rsidP="00C37360">
            <w:pPr>
              <w:pStyle w:val="TableText0"/>
              <w:numPr>
                <w:ilvl w:val="0"/>
                <w:numId w:val="6"/>
              </w:numPr>
              <w:ind w:left="782" w:hanging="425"/>
            </w:pPr>
            <w:r w:rsidRPr="00873941">
              <w:t>AEs</w:t>
            </w:r>
          </w:p>
        </w:tc>
      </w:tr>
      <w:tr w:rsidR="00707F6A" w:rsidRPr="00873941" w14:paraId="7BCD99D6" w14:textId="77777777" w:rsidTr="00357E0A">
        <w:tc>
          <w:tcPr>
            <w:tcW w:w="911" w:type="pct"/>
            <w:vAlign w:val="center"/>
          </w:tcPr>
          <w:p w14:paraId="5079C0AA" w14:textId="77777777" w:rsidR="00707F6A" w:rsidRPr="00873941" w:rsidRDefault="00707F6A" w:rsidP="00AD30EE">
            <w:pPr>
              <w:pStyle w:val="TableText0"/>
            </w:pPr>
            <w:r w:rsidRPr="00873941">
              <w:t>Clinical claim</w:t>
            </w:r>
          </w:p>
        </w:tc>
        <w:tc>
          <w:tcPr>
            <w:tcW w:w="4089" w:type="pct"/>
            <w:vAlign w:val="center"/>
          </w:tcPr>
          <w:p w14:paraId="69E11ACA" w14:textId="77777777" w:rsidR="00707F6A" w:rsidRPr="00873941" w:rsidRDefault="00707F6A" w:rsidP="00AD30EE">
            <w:pPr>
              <w:pStyle w:val="TableText0"/>
            </w:pPr>
            <w:r w:rsidRPr="00873941">
              <w:t xml:space="preserve">Pertuzumab significantly improves the rates of pCR among patients with high risk </w:t>
            </w:r>
            <w:proofErr w:type="spellStart"/>
            <w:r w:rsidRPr="00873941">
              <w:t>eBC</w:t>
            </w:r>
            <w:proofErr w:type="spellEnd"/>
            <w:r w:rsidRPr="00873941">
              <w:t xml:space="preserve"> when added to trastuzumab and chemotherapy in the neoadjuvant setting </w:t>
            </w:r>
            <w:r w:rsidRPr="00873941">
              <w:rPr>
                <w:u w:val="single"/>
              </w:rPr>
              <w:t xml:space="preserve">and has an inferior, yet manageable, safety </w:t>
            </w:r>
            <w:proofErr w:type="spellStart"/>
            <w:r w:rsidRPr="00873941">
              <w:rPr>
                <w:u w:val="single"/>
              </w:rPr>
              <w:t>profile.</w:t>
            </w:r>
            <w:r w:rsidRPr="00873941">
              <w:rPr>
                <w:u w:val="single"/>
                <w:vertAlign w:val="superscript"/>
              </w:rPr>
              <w:t>b</w:t>
            </w:r>
            <w:proofErr w:type="spellEnd"/>
          </w:p>
        </w:tc>
      </w:tr>
    </w:tbl>
    <w:p w14:paraId="19939A82" w14:textId="423D3FFF" w:rsidR="00707F6A" w:rsidRPr="00873941" w:rsidRDefault="00707F6A" w:rsidP="00AD30EE">
      <w:pPr>
        <w:pStyle w:val="FooterTableFigure"/>
        <w:keepNext/>
        <w:keepLines/>
      </w:pPr>
      <w:r w:rsidRPr="00873941">
        <w:t>Source: Table 1-1, p3 of the resubmission</w:t>
      </w:r>
      <w:r w:rsidR="00F96D11" w:rsidRPr="00873941">
        <w:t>, pp27-28 of the resubmission</w:t>
      </w:r>
      <w:r w:rsidRPr="00873941">
        <w:t>.</w:t>
      </w:r>
      <w:r w:rsidR="00FF568B" w:rsidRPr="00873941">
        <w:rPr>
          <w:u w:val="single"/>
        </w:rPr>
        <w:t xml:space="preserve"> Underline</w:t>
      </w:r>
      <w:r w:rsidR="00FF568B" w:rsidRPr="00873941">
        <w:t xml:space="preserve"> indicates changes compared to the March 2020 submission.</w:t>
      </w:r>
    </w:p>
    <w:p w14:paraId="4E9B3921" w14:textId="77777777" w:rsidR="00707F6A" w:rsidRPr="00873941" w:rsidRDefault="00707F6A" w:rsidP="00AD30EE">
      <w:pPr>
        <w:pStyle w:val="FooterTableFigure"/>
        <w:keepNext/>
        <w:keepLines/>
      </w:pPr>
      <w:r w:rsidRPr="00873941">
        <w:t xml:space="preserve">AE=Adverse event; DFS=Disease-free survival; </w:t>
      </w:r>
      <w:proofErr w:type="spellStart"/>
      <w:r w:rsidRPr="00873941">
        <w:t>eBC</w:t>
      </w:r>
      <w:proofErr w:type="spellEnd"/>
      <w:r w:rsidRPr="00873941">
        <w:t>=early breast cancer; H=trastuzumab; HER2=Human epidermal growth factor receptor 2; pCR=pathological complete response; OS=Overall survival; P=Pertuzumab; PFS=Progression-free survival; T=trastuzumab.</w:t>
      </w:r>
    </w:p>
    <w:p w14:paraId="33EB80E7" w14:textId="77777777" w:rsidR="00707F6A" w:rsidRPr="00873941" w:rsidRDefault="00707F6A" w:rsidP="00AD30EE">
      <w:pPr>
        <w:pStyle w:val="FooterTableFigure"/>
        <w:keepNext/>
        <w:keepLines/>
      </w:pPr>
      <w:r w:rsidRPr="00873941">
        <w:rPr>
          <w:vertAlign w:val="superscript"/>
        </w:rPr>
        <w:t>a</w:t>
      </w:r>
      <w:r w:rsidRPr="00873941">
        <w:t xml:space="preserve"> Outcomes in the March 2020 submission were defined as Primary endpoint: pCR; Secondary Endpoints: OS, PFS, DFS, AEs”.</w:t>
      </w:r>
    </w:p>
    <w:p w14:paraId="6CBCF68E" w14:textId="77777777" w:rsidR="00707F6A" w:rsidRPr="00873941" w:rsidRDefault="00707F6A" w:rsidP="00AD30EE">
      <w:pPr>
        <w:pStyle w:val="FooterTableFigure"/>
        <w:keepNext/>
        <w:keepLines/>
      </w:pPr>
      <w:r w:rsidRPr="00873941">
        <w:rPr>
          <w:vertAlign w:val="superscript"/>
        </w:rPr>
        <w:t xml:space="preserve">b </w:t>
      </w:r>
      <w:r w:rsidRPr="00873941">
        <w:t>Table 1.1 of the March 2020 submission did not include a clinical claim for safety. The clinical claim presented in Section 2.8.2 of the March 2020 submission was “</w:t>
      </w:r>
      <w:proofErr w:type="spellStart"/>
      <w:r w:rsidRPr="00873941">
        <w:t>P+H+Chemo</w:t>
      </w:r>
      <w:proofErr w:type="spellEnd"/>
      <w:r w:rsidRPr="00873941">
        <w:t xml:space="preserve"> for the neoadjuvant treatment of high risk </w:t>
      </w:r>
      <w:proofErr w:type="spellStart"/>
      <w:r w:rsidRPr="00873941">
        <w:t>eBC</w:t>
      </w:r>
      <w:proofErr w:type="spellEnd"/>
      <w:r w:rsidRPr="00873941">
        <w:t xml:space="preserve"> is associated with superior comparative efficacy and non-inferior comparative safety to </w:t>
      </w:r>
      <w:proofErr w:type="spellStart"/>
      <w:r w:rsidRPr="00873941">
        <w:t>H+Chemo</w:t>
      </w:r>
      <w:proofErr w:type="spellEnd"/>
      <w:r w:rsidRPr="00873941">
        <w:t>”.</w:t>
      </w:r>
    </w:p>
    <w:p w14:paraId="6B4AB6C2" w14:textId="7F01D731" w:rsidR="005C25FF" w:rsidRPr="00873941" w:rsidRDefault="005C25FF" w:rsidP="004A6040">
      <w:pPr>
        <w:pStyle w:val="2-SectionHeading"/>
      </w:pPr>
      <w:bookmarkStart w:id="3" w:name="_Toc188444262"/>
      <w:r w:rsidRPr="00873941">
        <w:t>Background</w:t>
      </w:r>
      <w:bookmarkEnd w:id="3"/>
    </w:p>
    <w:p w14:paraId="58EF9125" w14:textId="77777777" w:rsidR="004A29D1" w:rsidRPr="00873941" w:rsidRDefault="004A29D1" w:rsidP="004A29D1">
      <w:pPr>
        <w:pStyle w:val="4-SubsectionHeading"/>
        <w:rPr>
          <w:lang w:eastAsia="en-AU"/>
        </w:rPr>
      </w:pPr>
      <w:bookmarkStart w:id="4" w:name="_Toc22897638"/>
      <w:bookmarkStart w:id="5" w:name="_Toc188444263"/>
      <w:r w:rsidRPr="00873941">
        <w:rPr>
          <w:lang w:eastAsia="en-AU"/>
        </w:rPr>
        <w:t>Registration status</w:t>
      </w:r>
      <w:bookmarkEnd w:id="4"/>
      <w:bookmarkEnd w:id="5"/>
    </w:p>
    <w:p w14:paraId="0FA8E17D" w14:textId="77777777" w:rsidR="006676B1" w:rsidRPr="00873941" w:rsidRDefault="006676B1" w:rsidP="006676B1">
      <w:pPr>
        <w:pStyle w:val="3-BodyText"/>
      </w:pPr>
      <w:bookmarkStart w:id="6" w:name="_Toc22897639"/>
      <w:bookmarkStart w:id="7" w:name="_Hlk112059474"/>
      <w:r w:rsidRPr="00873941">
        <w:t>Pertuzumab was approved by the TGA on 20 May 2016 for the following indication:</w:t>
      </w:r>
    </w:p>
    <w:p w14:paraId="5CDF24D7" w14:textId="77777777" w:rsidR="006676B1" w:rsidRPr="00873941" w:rsidRDefault="006676B1" w:rsidP="006676B1">
      <w:pPr>
        <w:pStyle w:val="ListParagraph"/>
      </w:pPr>
      <w:r w:rsidRPr="00873941">
        <w:t>In combination with trastuzumab and chemotherapy for the neoadjuvant treatment of patients with HER2-positive inflammatory or locally advanced, or early stage (either &gt;2 cm in diameter or node positive) breast cancer as part of a complete treatment regimen for early breast cancer.</w:t>
      </w:r>
      <w:r w:rsidRPr="00873941">
        <w:rPr>
          <w:rStyle w:val="FootnoteReference"/>
        </w:rPr>
        <w:t xml:space="preserve"> </w:t>
      </w:r>
      <w:r w:rsidRPr="00873941">
        <w:rPr>
          <w:rStyle w:val="FootnoteReference"/>
        </w:rPr>
        <w:footnoteReference w:id="2"/>
      </w:r>
    </w:p>
    <w:p w14:paraId="7795414A" w14:textId="6CBF9904" w:rsidR="006676B1" w:rsidRPr="00873941" w:rsidRDefault="006676B1" w:rsidP="006676B1">
      <w:pPr>
        <w:pStyle w:val="3-BodyText"/>
      </w:pPr>
      <w:r w:rsidRPr="00873941">
        <w:t xml:space="preserve">Pertuzumab </w:t>
      </w:r>
      <w:r w:rsidR="00731B0B" w:rsidRPr="00873941">
        <w:t>i</w:t>
      </w:r>
      <w:r w:rsidRPr="00873941">
        <w:t>s also registered for the following additional indications that were not part of this PBAC resubmission:</w:t>
      </w:r>
    </w:p>
    <w:p w14:paraId="33F6B762" w14:textId="77777777" w:rsidR="006676B1" w:rsidRPr="00873941" w:rsidRDefault="006676B1" w:rsidP="006676B1">
      <w:pPr>
        <w:pStyle w:val="ListParagraph"/>
      </w:pPr>
      <w:r w:rsidRPr="00873941">
        <w:t>In combination with trastuzumab and chemotherapy for the adjuvant treatment of patients with HER2-positive early breast cancer at high risk of recurrence (4 August 2018).</w:t>
      </w:r>
      <w:r w:rsidRPr="00873941">
        <w:rPr>
          <w:rStyle w:val="FootnoteReference"/>
        </w:rPr>
        <w:t xml:space="preserve"> </w:t>
      </w:r>
      <w:r w:rsidRPr="00873941">
        <w:rPr>
          <w:rStyle w:val="FootnoteReference"/>
        </w:rPr>
        <w:footnoteReference w:id="3"/>
      </w:r>
    </w:p>
    <w:p w14:paraId="1AE5FC0D" w14:textId="77777777" w:rsidR="006676B1" w:rsidRPr="00873941" w:rsidRDefault="006676B1" w:rsidP="006676B1">
      <w:pPr>
        <w:pStyle w:val="ListParagraph"/>
      </w:pPr>
      <w:r w:rsidRPr="00873941">
        <w:lastRenderedPageBreak/>
        <w:t>In combination with trastuzumab and docetaxel for patients with metastatic HER2-positive breast cancer who have not received prior anti-HER2 therapy or chemotherapy for their metastatic disease (6 May 2013).</w:t>
      </w:r>
      <w:r w:rsidRPr="00873941">
        <w:rPr>
          <w:rStyle w:val="FootnoteReference"/>
        </w:rPr>
        <w:t xml:space="preserve"> </w:t>
      </w:r>
      <w:r w:rsidRPr="00873941">
        <w:rPr>
          <w:rStyle w:val="FootnoteReference"/>
        </w:rPr>
        <w:footnoteReference w:id="4"/>
      </w:r>
    </w:p>
    <w:p w14:paraId="0B6C1E47" w14:textId="77777777" w:rsidR="00785588" w:rsidRPr="00873941" w:rsidRDefault="00785588" w:rsidP="00785588">
      <w:pPr>
        <w:pStyle w:val="4-SubsectionHeading"/>
        <w:rPr>
          <w:lang w:eastAsia="en-AU"/>
        </w:rPr>
      </w:pPr>
      <w:bookmarkStart w:id="8" w:name="_Toc188444264"/>
      <w:r w:rsidRPr="00873941">
        <w:rPr>
          <w:lang w:eastAsia="en-AU"/>
        </w:rPr>
        <w:t>Previous PBAC consideration</w:t>
      </w:r>
      <w:bookmarkEnd w:id="6"/>
      <w:bookmarkEnd w:id="8"/>
    </w:p>
    <w:bookmarkEnd w:id="7"/>
    <w:p w14:paraId="2506D808" w14:textId="59EF44CE" w:rsidR="00771DF6" w:rsidRDefault="00771DF6" w:rsidP="006139B4">
      <w:pPr>
        <w:pStyle w:val="3-BodyText"/>
      </w:pPr>
      <w:r w:rsidRPr="00873941">
        <w:t xml:space="preserve">Pertuzumab was previously considered by the PBAC for </w:t>
      </w:r>
      <w:r w:rsidR="00B56FAF">
        <w:t xml:space="preserve">neoadjuvant treatment </w:t>
      </w:r>
      <w:r w:rsidR="00E138B1">
        <w:t xml:space="preserve">of </w:t>
      </w:r>
      <w:r w:rsidR="00AC3EEF" w:rsidRPr="00873941">
        <w:t xml:space="preserve">high risk </w:t>
      </w:r>
      <w:proofErr w:type="spellStart"/>
      <w:r w:rsidR="00AC3EEF" w:rsidRPr="00873941">
        <w:t>eBC</w:t>
      </w:r>
      <w:proofErr w:type="spellEnd"/>
      <w:r w:rsidRPr="00873941">
        <w:t xml:space="preserve"> at the March 2020 PBAC meeting. </w:t>
      </w:r>
      <w:r w:rsidRPr="00873941">
        <w:fldChar w:fldCharType="begin"/>
      </w:r>
      <w:r w:rsidRPr="00873941">
        <w:instrText xml:space="preserve"> REF _Ref184744869 \h </w:instrText>
      </w:r>
      <w:r w:rsidRPr="00873941">
        <w:fldChar w:fldCharType="separate"/>
      </w:r>
      <w:r w:rsidR="000B094B" w:rsidRPr="00873941">
        <w:t xml:space="preserve">Table </w:t>
      </w:r>
      <w:r w:rsidR="000B094B">
        <w:rPr>
          <w:noProof/>
        </w:rPr>
        <w:t>2</w:t>
      </w:r>
      <w:r w:rsidRPr="00873941">
        <w:fldChar w:fldCharType="end"/>
      </w:r>
      <w:r w:rsidRPr="00873941">
        <w:t xml:space="preserve"> summarises the key matters of concern at the March 2020 PBAC meeting and how the resubmission addressed them.</w:t>
      </w:r>
    </w:p>
    <w:p w14:paraId="03B9C5B6" w14:textId="77777777" w:rsidR="0069022F" w:rsidRPr="00D30567" w:rsidRDefault="0069022F" w:rsidP="0069022F">
      <w:pPr>
        <w:pStyle w:val="3-BodyText"/>
        <w:spacing w:before="0" w:after="120"/>
        <w:rPr>
          <w:lang w:val="en-US"/>
        </w:rPr>
      </w:pPr>
      <w:r w:rsidRPr="00FE0A27">
        <w:rPr>
          <w:lang w:val="en-US"/>
        </w:rPr>
        <w:t xml:space="preserve">Submissions for pertuzumab in the adjuvant setting were considered at the July 2018 and March 2019 PBAC meetings. Pertuzumab was not recommended </w:t>
      </w:r>
      <w:r>
        <w:t>due to limited clinical benefit, an uncertain ICER and unclear clinical place. The PBAC</w:t>
      </w:r>
      <w:r w:rsidRPr="00FE0A27">
        <w:t xml:space="preserve"> considered that the clinical place for pertuzumab in the adjuvant setting </w:t>
      </w:r>
      <w:r>
        <w:t>wa</w:t>
      </w:r>
      <w:r w:rsidRPr="00FE0A27">
        <w:t xml:space="preserve">s unclear, </w:t>
      </w:r>
      <w:r>
        <w:t>“</w:t>
      </w:r>
      <w:r w:rsidRPr="00FE0A27">
        <w:t>given the shift toward treating high-risk patients in the neoadjuvant setting and the lack of data for adjuvant pertuzumab following neoadjuvant treatment</w:t>
      </w:r>
      <w:r>
        <w:t xml:space="preserve">” (paragraph 7.1, pertuzumab Public Summary Document (PSD), March 2019 PBAC meeting). </w:t>
      </w:r>
    </w:p>
    <w:p w14:paraId="2A23A49F" w14:textId="24C9D3C1" w:rsidR="005C25FF" w:rsidRPr="00873941" w:rsidRDefault="004A29D1" w:rsidP="002E4F02">
      <w:pPr>
        <w:pStyle w:val="TableFigureHeading"/>
        <w:rPr>
          <w:rStyle w:val="CommentReference"/>
          <w:b/>
          <w:szCs w:val="24"/>
        </w:rPr>
      </w:pPr>
      <w:bookmarkStart w:id="9" w:name="_Ref184744869"/>
      <w:r w:rsidRPr="00873941">
        <w:lastRenderedPageBreak/>
        <w:t xml:space="preserve">Table </w:t>
      </w:r>
      <w:r w:rsidR="00435D6D">
        <w:fldChar w:fldCharType="begin"/>
      </w:r>
      <w:r w:rsidR="00435D6D">
        <w:instrText xml:space="preserve"> SEQ Table \* ARABIC </w:instrText>
      </w:r>
      <w:r w:rsidR="00435D6D">
        <w:fldChar w:fldCharType="separate"/>
      </w:r>
      <w:r w:rsidR="000B094B">
        <w:rPr>
          <w:noProof/>
        </w:rPr>
        <w:t>2</w:t>
      </w:r>
      <w:r w:rsidR="00435D6D">
        <w:fldChar w:fldCharType="end"/>
      </w:r>
      <w:bookmarkEnd w:id="9"/>
      <w:r w:rsidRPr="00873941">
        <w:t>:</w:t>
      </w:r>
      <w:r w:rsidRPr="00873941">
        <w:rPr>
          <w:rStyle w:val="CommentReference"/>
          <w:b/>
          <w:szCs w:val="24"/>
        </w:rPr>
        <w:t xml:space="preserve"> </w:t>
      </w:r>
      <w:r w:rsidR="005C25FF" w:rsidRPr="00873941">
        <w:rPr>
          <w:rStyle w:val="CommentReference"/>
          <w:b/>
          <w:szCs w:val="24"/>
        </w:rPr>
        <w:t>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1554"/>
        <w:gridCol w:w="3533"/>
        <w:gridCol w:w="3930"/>
      </w:tblGrid>
      <w:tr w:rsidR="005C25FF" w:rsidRPr="00873941" w14:paraId="6747F8E1" w14:textId="77777777" w:rsidTr="00357E0A">
        <w:trPr>
          <w:cantSplit/>
          <w:tblHeader/>
        </w:trPr>
        <w:tc>
          <w:tcPr>
            <w:tcW w:w="862" w:type="pct"/>
            <w:vAlign w:val="center"/>
          </w:tcPr>
          <w:p w14:paraId="346F438D" w14:textId="77777777" w:rsidR="005C25FF" w:rsidRPr="00873941" w:rsidRDefault="005C25FF" w:rsidP="00357E0A">
            <w:pPr>
              <w:pStyle w:val="In-tableHeading"/>
              <w:rPr>
                <w:lang w:val="en-AU"/>
              </w:rPr>
            </w:pPr>
            <w:r w:rsidRPr="00873941">
              <w:rPr>
                <w:lang w:val="en-AU"/>
              </w:rPr>
              <w:t>Component</w:t>
            </w:r>
          </w:p>
        </w:tc>
        <w:tc>
          <w:tcPr>
            <w:tcW w:w="1959" w:type="pct"/>
            <w:vAlign w:val="center"/>
          </w:tcPr>
          <w:p w14:paraId="2B7F3F42" w14:textId="77777777" w:rsidR="005C25FF" w:rsidRPr="00873941" w:rsidRDefault="005C25FF" w:rsidP="00357E0A">
            <w:pPr>
              <w:pStyle w:val="In-tableHeading"/>
              <w:rPr>
                <w:lang w:val="en-AU"/>
              </w:rPr>
            </w:pPr>
            <w:r w:rsidRPr="00873941">
              <w:rPr>
                <w:lang w:val="en-AU"/>
              </w:rPr>
              <w:t>Matter of concern</w:t>
            </w:r>
          </w:p>
        </w:tc>
        <w:tc>
          <w:tcPr>
            <w:tcW w:w="2179" w:type="pct"/>
            <w:vAlign w:val="center"/>
          </w:tcPr>
          <w:p w14:paraId="4BAA81F2" w14:textId="77777777" w:rsidR="005C25FF" w:rsidRPr="00873941" w:rsidRDefault="005C25FF" w:rsidP="00357E0A">
            <w:pPr>
              <w:pStyle w:val="In-tableHeading"/>
              <w:rPr>
                <w:lang w:val="en-AU"/>
              </w:rPr>
            </w:pPr>
            <w:r w:rsidRPr="00873941">
              <w:rPr>
                <w:lang w:val="en-AU"/>
              </w:rPr>
              <w:t>How the resubmission addresses it</w:t>
            </w:r>
          </w:p>
        </w:tc>
      </w:tr>
      <w:tr w:rsidR="001F24CB" w:rsidRPr="00873941" w14:paraId="73B8C267" w14:textId="77777777" w:rsidTr="00357E0A">
        <w:trPr>
          <w:cantSplit/>
        </w:trPr>
        <w:tc>
          <w:tcPr>
            <w:tcW w:w="862" w:type="pct"/>
          </w:tcPr>
          <w:p w14:paraId="02ABBB3C" w14:textId="254B94B8" w:rsidR="001F24CB" w:rsidRPr="00873941" w:rsidRDefault="00813A19" w:rsidP="00357E0A">
            <w:pPr>
              <w:pStyle w:val="TableText0"/>
            </w:pPr>
            <w:r w:rsidRPr="00873941">
              <w:t>Clinical management algorithm</w:t>
            </w:r>
          </w:p>
        </w:tc>
        <w:tc>
          <w:tcPr>
            <w:tcW w:w="1959" w:type="pct"/>
          </w:tcPr>
          <w:p w14:paraId="113AAA2B" w14:textId="2463905E" w:rsidR="001F24CB" w:rsidRPr="00873941" w:rsidRDefault="00813A19" w:rsidP="00357E0A">
            <w:pPr>
              <w:pStyle w:val="TableText0"/>
              <w:rPr>
                <w:rFonts w:eastAsia="Times New Roman" w:cs="Arial"/>
                <w:bCs w:val="0"/>
                <w:snapToGrid w:val="0"/>
                <w:color w:val="0066FF"/>
                <w:szCs w:val="20"/>
              </w:rPr>
            </w:pPr>
            <w:r w:rsidRPr="00873941">
              <w:t>The clinical management algorithm should consider anthracyclines as neoadjuvant treatment and T-DM1 as adjuvant treatment (paras. 4.4, 5.2, 7.2. 7.</w:t>
            </w:r>
            <w:r w:rsidR="007229EE" w:rsidRPr="00873941">
              <w:t>6, March 2020 PSD)</w:t>
            </w:r>
          </w:p>
        </w:tc>
        <w:tc>
          <w:tcPr>
            <w:tcW w:w="2179" w:type="pct"/>
          </w:tcPr>
          <w:p w14:paraId="129EDE09" w14:textId="03BC295D" w:rsidR="001F24CB" w:rsidRPr="00873941" w:rsidRDefault="00893157" w:rsidP="00357E0A">
            <w:pPr>
              <w:pStyle w:val="TableText0"/>
              <w:rPr>
                <w:rFonts w:eastAsia="Times New Roman" w:cs="Arial"/>
                <w:bCs w:val="0"/>
                <w:snapToGrid w:val="0"/>
                <w:szCs w:val="20"/>
              </w:rPr>
            </w:pPr>
            <w:r w:rsidRPr="00873941">
              <w:rPr>
                <w:rFonts w:eastAsia="Times New Roman" w:cs="Arial"/>
                <w:bCs w:val="0"/>
                <w:snapToGrid w:val="0"/>
                <w:szCs w:val="20"/>
              </w:rPr>
              <w:t xml:space="preserve">Addressed. Clinical management algorithm considered neoadjuvant anthracyclines and adjuvant T-DM1. </w:t>
            </w:r>
          </w:p>
        </w:tc>
      </w:tr>
      <w:tr w:rsidR="001F24CB" w:rsidRPr="00873941" w14:paraId="4DFFB457" w14:textId="77777777" w:rsidTr="00357E0A">
        <w:trPr>
          <w:cantSplit/>
        </w:trPr>
        <w:tc>
          <w:tcPr>
            <w:tcW w:w="862" w:type="pct"/>
          </w:tcPr>
          <w:p w14:paraId="5153BB88" w14:textId="582BEC24" w:rsidR="001F24CB" w:rsidRPr="00873941" w:rsidRDefault="007229EE" w:rsidP="00357E0A">
            <w:pPr>
              <w:pStyle w:val="TableText0"/>
            </w:pPr>
            <w:r w:rsidRPr="00873941">
              <w:t xml:space="preserve">Effectiveness of </w:t>
            </w:r>
            <w:proofErr w:type="spellStart"/>
            <w:r w:rsidRPr="00873941">
              <w:t>P+T+Chemo</w:t>
            </w:r>
            <w:proofErr w:type="spellEnd"/>
            <w:r w:rsidRPr="00873941">
              <w:t xml:space="preserve"> including anthracyclines</w:t>
            </w:r>
          </w:p>
        </w:tc>
        <w:tc>
          <w:tcPr>
            <w:tcW w:w="1959" w:type="pct"/>
          </w:tcPr>
          <w:p w14:paraId="144E2F0B" w14:textId="4ADF996B" w:rsidR="001F24CB" w:rsidRPr="00873941" w:rsidRDefault="007229EE" w:rsidP="00357E0A">
            <w:pPr>
              <w:pStyle w:val="TableText0"/>
              <w:rPr>
                <w:rFonts w:eastAsia="Times New Roman" w:cs="Arial"/>
                <w:bCs w:val="0"/>
                <w:snapToGrid w:val="0"/>
                <w:color w:val="0066FF"/>
                <w:szCs w:val="20"/>
              </w:rPr>
            </w:pPr>
            <w:r w:rsidRPr="00873941">
              <w:t>No evidence of the effectiveness of neoadjuvant pertuzumab when used with anthracyclines was presented (paras. 6.12, 6.13, 7.6, 7.8, 7.12, March 2020 PSD)</w:t>
            </w:r>
          </w:p>
        </w:tc>
        <w:tc>
          <w:tcPr>
            <w:tcW w:w="2179" w:type="pct"/>
          </w:tcPr>
          <w:p w14:paraId="166F7C49" w14:textId="43392B0C" w:rsidR="001F24CB" w:rsidRPr="00873941" w:rsidRDefault="004A4D67" w:rsidP="00357E0A">
            <w:pPr>
              <w:pStyle w:val="TableText0"/>
              <w:rPr>
                <w:rFonts w:eastAsia="Times New Roman" w:cs="Arial"/>
                <w:bCs w:val="0"/>
                <w:snapToGrid w:val="0"/>
                <w:szCs w:val="20"/>
              </w:rPr>
            </w:pPr>
            <w:r w:rsidRPr="00873941">
              <w:rPr>
                <w:rFonts w:eastAsia="Times New Roman" w:cs="Arial"/>
                <w:bCs w:val="0"/>
                <w:snapToGrid w:val="0"/>
                <w:szCs w:val="20"/>
              </w:rPr>
              <w:t xml:space="preserve">Addressed. Second literature search </w:t>
            </w:r>
            <w:r w:rsidR="00FB7557" w:rsidRPr="00873941">
              <w:rPr>
                <w:rFonts w:eastAsia="Times New Roman" w:cs="Arial"/>
                <w:bCs w:val="0"/>
                <w:snapToGrid w:val="0"/>
                <w:szCs w:val="20"/>
              </w:rPr>
              <w:t>identified 14</w:t>
            </w:r>
            <w:r w:rsidRPr="00873941">
              <w:rPr>
                <w:rFonts w:eastAsia="Times New Roman" w:cs="Arial"/>
                <w:bCs w:val="0"/>
                <w:snapToGrid w:val="0"/>
                <w:szCs w:val="20"/>
              </w:rPr>
              <w:t xml:space="preserve"> studies where </w:t>
            </w:r>
            <w:proofErr w:type="spellStart"/>
            <w:r w:rsidRPr="00873941">
              <w:rPr>
                <w:rFonts w:eastAsia="Times New Roman" w:cs="Arial"/>
                <w:bCs w:val="0"/>
                <w:snapToGrid w:val="0"/>
                <w:szCs w:val="20"/>
              </w:rPr>
              <w:t>P+T+Chemo</w:t>
            </w:r>
            <w:proofErr w:type="spellEnd"/>
            <w:r w:rsidRPr="00873941">
              <w:rPr>
                <w:rFonts w:eastAsia="Times New Roman" w:cs="Arial"/>
                <w:bCs w:val="0"/>
                <w:snapToGrid w:val="0"/>
                <w:szCs w:val="20"/>
              </w:rPr>
              <w:t xml:space="preserve"> include</w:t>
            </w:r>
            <w:r w:rsidR="000A2172" w:rsidRPr="00873941">
              <w:rPr>
                <w:rFonts w:eastAsia="Times New Roman" w:cs="Arial"/>
                <w:bCs w:val="0"/>
                <w:snapToGrid w:val="0"/>
                <w:szCs w:val="20"/>
              </w:rPr>
              <w:t>d</w:t>
            </w:r>
            <w:r w:rsidRPr="00873941">
              <w:rPr>
                <w:rFonts w:eastAsia="Times New Roman" w:cs="Arial"/>
                <w:bCs w:val="0"/>
                <w:snapToGrid w:val="0"/>
                <w:szCs w:val="20"/>
              </w:rPr>
              <w:t xml:space="preserve"> anthracyclines as part of the chemotherapy regimen. </w:t>
            </w:r>
          </w:p>
        </w:tc>
      </w:tr>
      <w:tr w:rsidR="001F24CB" w:rsidRPr="00873941" w14:paraId="4C8C81D5" w14:textId="77777777" w:rsidTr="00357E0A">
        <w:trPr>
          <w:cantSplit/>
        </w:trPr>
        <w:tc>
          <w:tcPr>
            <w:tcW w:w="862" w:type="pct"/>
          </w:tcPr>
          <w:p w14:paraId="492F277A" w14:textId="0038E38A" w:rsidR="001F24CB" w:rsidRPr="00873941" w:rsidRDefault="007229EE" w:rsidP="00357E0A">
            <w:pPr>
              <w:pStyle w:val="TableText0"/>
            </w:pPr>
            <w:r w:rsidRPr="00873941">
              <w:t xml:space="preserve">Effectiveness of sequential treatment with neoadjuvant </w:t>
            </w:r>
            <w:proofErr w:type="spellStart"/>
            <w:r w:rsidRPr="00873941">
              <w:t>P+T+Chemo</w:t>
            </w:r>
            <w:proofErr w:type="spellEnd"/>
            <w:r w:rsidRPr="00873941">
              <w:t xml:space="preserve"> and adjuvant T-DM1</w:t>
            </w:r>
          </w:p>
        </w:tc>
        <w:tc>
          <w:tcPr>
            <w:tcW w:w="1959" w:type="pct"/>
          </w:tcPr>
          <w:p w14:paraId="310A4CA3" w14:textId="4AA003C1" w:rsidR="001F24CB" w:rsidRPr="00873941" w:rsidRDefault="007229EE" w:rsidP="00357E0A">
            <w:pPr>
              <w:pStyle w:val="TableText0"/>
              <w:rPr>
                <w:rFonts w:eastAsia="Times New Roman" w:cs="Arial"/>
                <w:bCs w:val="0"/>
                <w:snapToGrid w:val="0"/>
                <w:color w:val="0066FF"/>
                <w:szCs w:val="20"/>
              </w:rPr>
            </w:pPr>
            <w:r w:rsidRPr="00873941">
              <w:t>No evidence of the effectiveness of neoadjuvant pertuzumab followed by adjuvant T-DM1 was presented (paras. 6.28, 7.1, 7.7, 7.8, 7.12, March 2020 PSD)</w:t>
            </w:r>
          </w:p>
        </w:tc>
        <w:tc>
          <w:tcPr>
            <w:tcW w:w="2179" w:type="pct"/>
          </w:tcPr>
          <w:p w14:paraId="732AD078" w14:textId="67E6012E" w:rsidR="001F24CB" w:rsidRPr="00873941" w:rsidRDefault="004A4D67" w:rsidP="00357E0A">
            <w:pPr>
              <w:pStyle w:val="TableText0"/>
              <w:rPr>
                <w:rFonts w:eastAsia="Times New Roman" w:cs="Arial"/>
                <w:bCs w:val="0"/>
                <w:snapToGrid w:val="0"/>
                <w:szCs w:val="20"/>
              </w:rPr>
            </w:pPr>
            <w:r w:rsidRPr="00873941">
              <w:rPr>
                <w:rFonts w:eastAsia="Times New Roman" w:cs="Arial"/>
                <w:bCs w:val="0"/>
                <w:snapToGrid w:val="0"/>
                <w:szCs w:val="20"/>
              </w:rPr>
              <w:t xml:space="preserve">Partially addressed. </w:t>
            </w:r>
            <w:r w:rsidR="00FB7557" w:rsidRPr="00873941">
              <w:rPr>
                <w:rFonts w:eastAsia="Times New Roman" w:cs="Arial"/>
                <w:bCs w:val="0"/>
                <w:snapToGrid w:val="0"/>
                <w:szCs w:val="20"/>
              </w:rPr>
              <w:t>A s</w:t>
            </w:r>
            <w:r w:rsidRPr="00873941">
              <w:rPr>
                <w:rFonts w:eastAsia="Times New Roman" w:cs="Arial"/>
                <w:bCs w:val="0"/>
                <w:snapToGrid w:val="0"/>
                <w:szCs w:val="20"/>
              </w:rPr>
              <w:t xml:space="preserve">tudy by Swain (2022) identified that translated pCR into a HR for EFS, which was compared to the </w:t>
            </w:r>
            <w:proofErr w:type="spellStart"/>
            <w:r w:rsidRPr="00873941">
              <w:rPr>
                <w:rFonts w:eastAsia="Times New Roman" w:cs="Arial"/>
                <w:bCs w:val="0"/>
                <w:snapToGrid w:val="0"/>
                <w:szCs w:val="20"/>
              </w:rPr>
              <w:t>iDFS</w:t>
            </w:r>
            <w:proofErr w:type="spellEnd"/>
            <w:r w:rsidRPr="00873941">
              <w:rPr>
                <w:rFonts w:eastAsia="Times New Roman" w:cs="Arial"/>
                <w:bCs w:val="0"/>
                <w:snapToGrid w:val="0"/>
                <w:szCs w:val="20"/>
              </w:rPr>
              <w:t xml:space="preserve"> </w:t>
            </w:r>
            <w:r w:rsidR="000A2172" w:rsidRPr="00873941">
              <w:rPr>
                <w:rFonts w:eastAsia="Times New Roman" w:cs="Arial"/>
                <w:bCs w:val="0"/>
                <w:snapToGrid w:val="0"/>
                <w:szCs w:val="20"/>
              </w:rPr>
              <w:t>HR</w:t>
            </w:r>
            <w:r w:rsidRPr="00873941">
              <w:rPr>
                <w:rFonts w:eastAsia="Times New Roman" w:cs="Arial"/>
                <w:bCs w:val="0"/>
                <w:snapToGrid w:val="0"/>
                <w:szCs w:val="20"/>
              </w:rPr>
              <w:t xml:space="preserve"> for T-DM1 in the KATHERINE trial. There </w:t>
            </w:r>
            <w:proofErr w:type="gramStart"/>
            <w:r w:rsidRPr="00873941">
              <w:rPr>
                <w:rFonts w:eastAsia="Times New Roman" w:cs="Arial"/>
                <w:bCs w:val="0"/>
                <w:snapToGrid w:val="0"/>
                <w:szCs w:val="20"/>
              </w:rPr>
              <w:t>were</w:t>
            </w:r>
            <w:proofErr w:type="gramEnd"/>
            <w:r w:rsidRPr="00873941">
              <w:rPr>
                <w:rFonts w:eastAsia="Times New Roman" w:cs="Arial"/>
                <w:bCs w:val="0"/>
                <w:snapToGrid w:val="0"/>
                <w:szCs w:val="20"/>
              </w:rPr>
              <w:t xml:space="preserve"> transitivity issues between the trials included in the comparison.</w:t>
            </w:r>
            <w:r w:rsidR="00E61ED2" w:rsidRPr="00873941">
              <w:rPr>
                <w:rFonts w:eastAsia="Times New Roman" w:cs="Arial"/>
                <w:bCs w:val="0"/>
                <w:snapToGrid w:val="0"/>
                <w:szCs w:val="20"/>
              </w:rPr>
              <w:t xml:space="preserve"> </w:t>
            </w:r>
            <w:r w:rsidR="00E61ED2" w:rsidRPr="002C4084">
              <w:rPr>
                <w:rFonts w:eastAsia="Times New Roman" w:cs="Arial"/>
                <w:bCs w:val="0"/>
                <w:snapToGrid w:val="0"/>
                <w:szCs w:val="20"/>
              </w:rPr>
              <w:t xml:space="preserve">The ESC </w:t>
            </w:r>
            <w:r w:rsidR="00D924BE" w:rsidRPr="002C4084">
              <w:rPr>
                <w:rFonts w:eastAsia="Times New Roman" w:cs="Arial"/>
                <w:bCs w:val="0"/>
                <w:snapToGrid w:val="0"/>
                <w:szCs w:val="20"/>
              </w:rPr>
              <w:t xml:space="preserve">agreed this was partially addressed but </w:t>
            </w:r>
            <w:r w:rsidR="00E61ED2" w:rsidRPr="002C4084">
              <w:rPr>
                <w:rFonts w:eastAsia="Times New Roman" w:cs="Arial"/>
                <w:bCs w:val="0"/>
                <w:snapToGrid w:val="0"/>
                <w:szCs w:val="20"/>
              </w:rPr>
              <w:t xml:space="preserve">noted that </w:t>
            </w:r>
            <w:r w:rsidR="00DD1BEC" w:rsidRPr="002C4084">
              <w:rPr>
                <w:rFonts w:eastAsia="Times New Roman" w:cs="Arial"/>
                <w:bCs w:val="0"/>
                <w:snapToGrid w:val="0"/>
                <w:szCs w:val="20"/>
              </w:rPr>
              <w:t xml:space="preserve">there were no studies that directly assessed the effectiveness of neoadjuvant </w:t>
            </w:r>
            <w:r w:rsidR="000B2615" w:rsidRPr="002C4084">
              <w:rPr>
                <w:rFonts w:eastAsia="Times New Roman" w:cs="Arial"/>
                <w:bCs w:val="0"/>
                <w:snapToGrid w:val="0"/>
                <w:szCs w:val="20"/>
              </w:rPr>
              <w:t>pertuzumab followed by adjuvant T</w:t>
            </w:r>
            <w:r w:rsidR="00FC2037" w:rsidRPr="002C4084">
              <w:rPr>
                <w:rFonts w:eastAsia="Times New Roman" w:cs="Arial"/>
                <w:bCs w:val="0"/>
                <w:snapToGrid w:val="0"/>
                <w:szCs w:val="20"/>
              </w:rPr>
              <w:noBreakHyphen/>
            </w:r>
            <w:r w:rsidR="000B2615" w:rsidRPr="002C4084">
              <w:rPr>
                <w:rFonts w:eastAsia="Times New Roman" w:cs="Arial"/>
                <w:bCs w:val="0"/>
                <w:snapToGrid w:val="0"/>
                <w:szCs w:val="20"/>
              </w:rPr>
              <w:t>DM1.</w:t>
            </w:r>
          </w:p>
        </w:tc>
      </w:tr>
      <w:tr w:rsidR="001F24CB" w:rsidRPr="00873941" w14:paraId="553B7B6E" w14:textId="77777777" w:rsidTr="00357E0A">
        <w:trPr>
          <w:cantSplit/>
        </w:trPr>
        <w:tc>
          <w:tcPr>
            <w:tcW w:w="862" w:type="pct"/>
          </w:tcPr>
          <w:p w14:paraId="49F9312B" w14:textId="145E8032" w:rsidR="001F24CB" w:rsidRPr="00873941" w:rsidRDefault="007229EE" w:rsidP="00357E0A">
            <w:pPr>
              <w:pStyle w:val="TableText0"/>
            </w:pPr>
            <w:r w:rsidRPr="00873941">
              <w:t>Clinical effectiveness – PFS</w:t>
            </w:r>
          </w:p>
        </w:tc>
        <w:tc>
          <w:tcPr>
            <w:tcW w:w="1959" w:type="pct"/>
          </w:tcPr>
          <w:p w14:paraId="77E01E00" w14:textId="4AAF7E7E" w:rsidR="001F24CB" w:rsidRPr="00873941" w:rsidRDefault="007F4513" w:rsidP="00357E0A">
            <w:pPr>
              <w:pStyle w:val="TableText0"/>
              <w:rPr>
                <w:rFonts w:eastAsia="Times New Roman" w:cs="Arial"/>
                <w:bCs w:val="0"/>
                <w:snapToGrid w:val="0"/>
                <w:color w:val="0066FF"/>
                <w:szCs w:val="20"/>
              </w:rPr>
            </w:pPr>
            <w:r w:rsidRPr="00873941">
              <w:t xml:space="preserve">There was no improvement in PFS or DFS demonstrated in the NEOSPHERE </w:t>
            </w:r>
            <w:r w:rsidR="000D3EDD" w:rsidRPr="00873941">
              <w:t>trial,</w:t>
            </w:r>
            <w:r w:rsidRPr="00873941">
              <w:t xml:space="preserve"> and the trial was not powered to assess these outcomes (paras. 6.28, 7.7, March 2020 PSD)</w:t>
            </w:r>
          </w:p>
        </w:tc>
        <w:tc>
          <w:tcPr>
            <w:tcW w:w="2179" w:type="pct"/>
          </w:tcPr>
          <w:p w14:paraId="6BEBEEF7" w14:textId="35531D61" w:rsidR="001F24CB" w:rsidRPr="00873941" w:rsidRDefault="004A4D67" w:rsidP="00357E0A">
            <w:pPr>
              <w:pStyle w:val="TableText0"/>
              <w:rPr>
                <w:rFonts w:eastAsia="Times New Roman" w:cs="Arial"/>
                <w:bCs w:val="0"/>
                <w:snapToGrid w:val="0"/>
                <w:szCs w:val="20"/>
              </w:rPr>
            </w:pPr>
            <w:r w:rsidRPr="00873941">
              <w:rPr>
                <w:rFonts w:eastAsia="Times New Roman" w:cs="Arial"/>
                <w:bCs w:val="0"/>
                <w:snapToGrid w:val="0"/>
                <w:szCs w:val="20"/>
              </w:rPr>
              <w:t>Not addressed. Survival outcomes remain</w:t>
            </w:r>
            <w:r w:rsidR="000A2172" w:rsidRPr="00873941">
              <w:rPr>
                <w:rFonts w:eastAsia="Times New Roman" w:cs="Arial"/>
                <w:bCs w:val="0"/>
                <w:snapToGrid w:val="0"/>
                <w:szCs w:val="20"/>
              </w:rPr>
              <w:t>ed</w:t>
            </w:r>
            <w:r w:rsidRPr="00873941">
              <w:rPr>
                <w:rFonts w:eastAsia="Times New Roman" w:cs="Arial"/>
                <w:bCs w:val="0"/>
                <w:snapToGrid w:val="0"/>
                <w:szCs w:val="20"/>
              </w:rPr>
              <w:t xml:space="preserve"> non-significant in the included trials and </w:t>
            </w:r>
            <w:r w:rsidR="000A2172" w:rsidRPr="00873941">
              <w:rPr>
                <w:rFonts w:eastAsia="Times New Roman" w:cs="Arial"/>
                <w:bCs w:val="0"/>
                <w:snapToGrid w:val="0"/>
                <w:szCs w:val="20"/>
              </w:rPr>
              <w:t xml:space="preserve">were </w:t>
            </w:r>
            <w:r w:rsidRPr="00873941">
              <w:rPr>
                <w:rFonts w:eastAsia="Times New Roman" w:cs="Arial"/>
                <w:bCs w:val="0"/>
                <w:snapToGrid w:val="0"/>
                <w:szCs w:val="20"/>
              </w:rPr>
              <w:t xml:space="preserve">not primary outcomes. </w:t>
            </w:r>
          </w:p>
        </w:tc>
      </w:tr>
      <w:tr w:rsidR="007229EE" w:rsidRPr="00873941" w14:paraId="2BA16A11" w14:textId="77777777" w:rsidTr="00357E0A">
        <w:trPr>
          <w:cantSplit/>
        </w:trPr>
        <w:tc>
          <w:tcPr>
            <w:tcW w:w="862" w:type="pct"/>
          </w:tcPr>
          <w:p w14:paraId="0B6B8120" w14:textId="56026481" w:rsidR="007229EE" w:rsidRPr="00873941" w:rsidRDefault="007229EE" w:rsidP="00357E0A">
            <w:pPr>
              <w:pStyle w:val="TableText0"/>
            </w:pPr>
            <w:r w:rsidRPr="00873941">
              <w:t>Clinical effectiveness - pCR</w:t>
            </w:r>
          </w:p>
        </w:tc>
        <w:tc>
          <w:tcPr>
            <w:tcW w:w="1959" w:type="pct"/>
          </w:tcPr>
          <w:p w14:paraId="36455775" w14:textId="5EA91047" w:rsidR="007229EE" w:rsidRPr="00873941" w:rsidRDefault="007F4513" w:rsidP="00357E0A">
            <w:pPr>
              <w:pStyle w:val="TableText0"/>
            </w:pPr>
            <w:r w:rsidRPr="00873941">
              <w:t xml:space="preserve">The ESC noted that the PBAC framework for assessing a proposed surrogate measure was not addressed. The PBAC noted that </w:t>
            </w:r>
            <w:proofErr w:type="spellStart"/>
            <w:r w:rsidRPr="00873941">
              <w:t>t</w:t>
            </w:r>
            <w:r w:rsidR="00893157" w:rsidRPr="00873941">
              <w:t>p</w:t>
            </w:r>
            <w:r w:rsidRPr="00873941">
              <w:t>CR</w:t>
            </w:r>
            <w:proofErr w:type="spellEnd"/>
            <w:r w:rsidRPr="00873941">
              <w:t xml:space="preserve"> has not been </w:t>
            </w:r>
            <w:r w:rsidR="00893157" w:rsidRPr="00873941">
              <w:t>demonstrated</w:t>
            </w:r>
            <w:r w:rsidRPr="00873941">
              <w:t xml:space="preserve"> to be a surrogate endpoint for DFS or OS (paras. </w:t>
            </w:r>
            <w:r w:rsidR="00893157" w:rsidRPr="00873941">
              <w:t>6.20, 7.4, March 2020 PSD)</w:t>
            </w:r>
          </w:p>
        </w:tc>
        <w:tc>
          <w:tcPr>
            <w:tcW w:w="2179" w:type="pct"/>
          </w:tcPr>
          <w:p w14:paraId="1D38EB23" w14:textId="40F7640E" w:rsidR="007229EE" w:rsidRPr="00596F65" w:rsidRDefault="0074037C" w:rsidP="00357E0A">
            <w:pPr>
              <w:pStyle w:val="TableText0"/>
              <w:rPr>
                <w:rFonts w:eastAsia="Times New Roman" w:cs="Arial"/>
                <w:bCs w:val="0"/>
                <w:snapToGrid w:val="0"/>
                <w:szCs w:val="20"/>
              </w:rPr>
            </w:pPr>
            <w:r w:rsidRPr="00596F65">
              <w:rPr>
                <w:rFonts w:eastAsia="Times New Roman" w:cs="Arial"/>
                <w:bCs w:val="0"/>
                <w:snapToGrid w:val="0"/>
                <w:szCs w:val="20"/>
              </w:rPr>
              <w:t>A</w:t>
            </w:r>
            <w:r w:rsidR="004A4D67" w:rsidRPr="00596F65">
              <w:rPr>
                <w:rFonts w:eastAsia="Times New Roman" w:cs="Arial"/>
                <w:bCs w:val="0"/>
                <w:snapToGrid w:val="0"/>
                <w:szCs w:val="20"/>
              </w:rPr>
              <w:t xml:space="preserve">ddressed. Additional evidence was presented </w:t>
            </w:r>
            <w:r w:rsidR="008518C5" w:rsidRPr="00596F65">
              <w:rPr>
                <w:rFonts w:eastAsia="Times New Roman" w:cs="Arial"/>
                <w:bCs w:val="0"/>
                <w:snapToGrid w:val="0"/>
                <w:szCs w:val="20"/>
              </w:rPr>
              <w:t>in the submission and PSCR.</w:t>
            </w:r>
          </w:p>
        </w:tc>
      </w:tr>
      <w:tr w:rsidR="001F24CB" w:rsidRPr="00873941" w14:paraId="79F80BF2" w14:textId="77777777" w:rsidTr="00357E0A">
        <w:trPr>
          <w:cantSplit/>
        </w:trPr>
        <w:tc>
          <w:tcPr>
            <w:tcW w:w="862" w:type="pct"/>
          </w:tcPr>
          <w:p w14:paraId="60453F21" w14:textId="0CBCDEC5" w:rsidR="001F24CB" w:rsidRPr="00873941" w:rsidRDefault="00893157" w:rsidP="00357E0A">
            <w:pPr>
              <w:pStyle w:val="TableText0"/>
            </w:pPr>
            <w:r w:rsidRPr="00873941">
              <w:t>Safety – cardiac events, diarrhoea, and infusion-related reactions</w:t>
            </w:r>
          </w:p>
        </w:tc>
        <w:tc>
          <w:tcPr>
            <w:tcW w:w="1959" w:type="pct"/>
          </w:tcPr>
          <w:p w14:paraId="5B93C455" w14:textId="2587797F" w:rsidR="001F24CB" w:rsidRPr="00873941" w:rsidRDefault="00893157" w:rsidP="00357E0A">
            <w:pPr>
              <w:pStyle w:val="TableText0"/>
              <w:rPr>
                <w:rFonts w:eastAsia="Times New Roman" w:cs="Arial"/>
                <w:bCs w:val="0"/>
                <w:snapToGrid w:val="0"/>
                <w:szCs w:val="20"/>
              </w:rPr>
            </w:pPr>
            <w:r w:rsidRPr="00873941">
              <w:rPr>
                <w:rFonts w:eastAsia="Times New Roman" w:cs="Arial"/>
                <w:bCs w:val="0"/>
                <w:snapToGrid w:val="0"/>
                <w:szCs w:val="20"/>
              </w:rPr>
              <w:t>The PBAC considered the claim of non-inferior safety was not adequately supported given the increase in left ventricular systolic function, diarrhoea, and infusion-related reactions (para. 7.9, March 2020 PSD)</w:t>
            </w:r>
          </w:p>
        </w:tc>
        <w:tc>
          <w:tcPr>
            <w:tcW w:w="2179" w:type="pct"/>
          </w:tcPr>
          <w:p w14:paraId="4EDFC792" w14:textId="099DF60D" w:rsidR="001F24CB" w:rsidRPr="00873941" w:rsidRDefault="004A4D67" w:rsidP="00357E0A">
            <w:pPr>
              <w:pStyle w:val="TableText0"/>
              <w:rPr>
                <w:rFonts w:eastAsia="Times New Roman" w:cs="Arial"/>
                <w:bCs w:val="0"/>
                <w:snapToGrid w:val="0"/>
                <w:szCs w:val="20"/>
              </w:rPr>
            </w:pPr>
            <w:r w:rsidRPr="00873941">
              <w:rPr>
                <w:rFonts w:eastAsia="Times New Roman" w:cs="Arial"/>
                <w:bCs w:val="0"/>
                <w:snapToGrid w:val="0"/>
                <w:szCs w:val="20"/>
              </w:rPr>
              <w:t>Addressed. The clinical claim for safety was revised to ‘inferior safety’. Additional safety data were provided with the resubmission.</w:t>
            </w:r>
          </w:p>
        </w:tc>
      </w:tr>
      <w:tr w:rsidR="001F24CB" w:rsidRPr="00873941" w14:paraId="4569E1E7" w14:textId="77777777" w:rsidTr="00357E0A">
        <w:trPr>
          <w:cantSplit/>
        </w:trPr>
        <w:tc>
          <w:tcPr>
            <w:tcW w:w="862" w:type="pct"/>
          </w:tcPr>
          <w:p w14:paraId="5E01786D" w14:textId="3F4A6FE7" w:rsidR="001F24CB" w:rsidRPr="00873941" w:rsidRDefault="00893157" w:rsidP="00357E0A">
            <w:pPr>
              <w:pStyle w:val="TableText0"/>
            </w:pPr>
            <w:r w:rsidRPr="00873941">
              <w:t>Economic model structure</w:t>
            </w:r>
          </w:p>
        </w:tc>
        <w:tc>
          <w:tcPr>
            <w:tcW w:w="1959" w:type="pct"/>
          </w:tcPr>
          <w:p w14:paraId="7975CE54" w14:textId="27282B99" w:rsidR="001F24CB" w:rsidRPr="00873941" w:rsidRDefault="00893157" w:rsidP="00357E0A">
            <w:pPr>
              <w:pStyle w:val="TableText0"/>
              <w:rPr>
                <w:rFonts w:eastAsia="Times New Roman" w:cs="Arial"/>
                <w:bCs w:val="0"/>
                <w:snapToGrid w:val="0"/>
                <w:szCs w:val="20"/>
              </w:rPr>
            </w:pPr>
            <w:r w:rsidRPr="00873941">
              <w:t>The economic model structure did not reflect the breast cancer treatment algorithm because it did not consider adjuvant treatment with T-DM1 (paras. 6.32, 6.33, March 2020 PSD)</w:t>
            </w:r>
          </w:p>
        </w:tc>
        <w:tc>
          <w:tcPr>
            <w:tcW w:w="2179" w:type="pct"/>
          </w:tcPr>
          <w:p w14:paraId="37795976" w14:textId="58B3473F" w:rsidR="001F24CB" w:rsidRPr="00873941" w:rsidRDefault="004A4D67" w:rsidP="00357E0A">
            <w:pPr>
              <w:pStyle w:val="TableText0"/>
              <w:rPr>
                <w:rFonts w:eastAsia="Times New Roman" w:cs="Arial"/>
                <w:bCs w:val="0"/>
                <w:snapToGrid w:val="0"/>
                <w:szCs w:val="20"/>
              </w:rPr>
            </w:pPr>
            <w:r w:rsidRPr="00873941">
              <w:rPr>
                <w:rFonts w:eastAsia="Times New Roman" w:cs="Arial"/>
                <w:bCs w:val="0"/>
                <w:snapToGrid w:val="0"/>
                <w:szCs w:val="20"/>
              </w:rPr>
              <w:t>Addressed. The economic model structure in the resubmission was based on the economic model for T-DM1 considered by the PBAC in November 2019. A neoadjuvant decision tree was added to the T-DM1 Markov structure and an additional Markov trace was added to reflect survival following pCR (HR from Swain 2022)</w:t>
            </w:r>
            <w:r w:rsidR="008240D4" w:rsidRPr="00873941">
              <w:rPr>
                <w:rFonts w:eastAsia="Times New Roman" w:cs="Arial"/>
                <w:bCs w:val="0"/>
                <w:snapToGrid w:val="0"/>
                <w:szCs w:val="20"/>
              </w:rPr>
              <w:t>.</w:t>
            </w:r>
          </w:p>
        </w:tc>
      </w:tr>
      <w:tr w:rsidR="001F24CB" w:rsidRPr="00873941" w14:paraId="36932207" w14:textId="77777777" w:rsidTr="00357E0A">
        <w:trPr>
          <w:cantSplit/>
        </w:trPr>
        <w:tc>
          <w:tcPr>
            <w:tcW w:w="862" w:type="pct"/>
          </w:tcPr>
          <w:p w14:paraId="35D4C393" w14:textId="3B5280B2" w:rsidR="001F24CB" w:rsidRPr="00873941" w:rsidRDefault="00893157" w:rsidP="00357E0A">
            <w:pPr>
              <w:pStyle w:val="TableText0"/>
            </w:pPr>
            <w:r w:rsidRPr="00873941">
              <w:t>Economic model relied on immature PFS data</w:t>
            </w:r>
          </w:p>
        </w:tc>
        <w:tc>
          <w:tcPr>
            <w:tcW w:w="1959" w:type="pct"/>
          </w:tcPr>
          <w:p w14:paraId="3E5FA1FD" w14:textId="0D0271BF" w:rsidR="001F24CB" w:rsidRPr="00873941" w:rsidRDefault="00893157" w:rsidP="00357E0A">
            <w:pPr>
              <w:pStyle w:val="TableText0"/>
              <w:rPr>
                <w:rFonts w:eastAsia="Times New Roman" w:cs="Arial"/>
                <w:bCs w:val="0"/>
                <w:snapToGrid w:val="0"/>
                <w:szCs w:val="20"/>
              </w:rPr>
            </w:pPr>
            <w:r w:rsidRPr="00873941">
              <w:t>The economic model was based on PFS data f</w:t>
            </w:r>
            <w:r w:rsidR="004A4D67" w:rsidRPr="00873941">
              <w:t>ro</w:t>
            </w:r>
            <w:r w:rsidRPr="00873941">
              <w:t>m NEOSPHERE which were immature and highly uncertain (paras. 6.40 and 7.10, March 2020 PSD)</w:t>
            </w:r>
          </w:p>
        </w:tc>
        <w:tc>
          <w:tcPr>
            <w:tcW w:w="2179" w:type="pct"/>
          </w:tcPr>
          <w:p w14:paraId="75D63A9A" w14:textId="2579B0E9" w:rsidR="001F24CB" w:rsidRPr="00873941" w:rsidRDefault="004A4D67" w:rsidP="00357E0A">
            <w:pPr>
              <w:pStyle w:val="TableText0"/>
              <w:rPr>
                <w:rFonts w:eastAsia="Times New Roman" w:cs="Arial"/>
                <w:bCs w:val="0"/>
                <w:snapToGrid w:val="0"/>
                <w:szCs w:val="20"/>
              </w:rPr>
            </w:pPr>
            <w:r w:rsidRPr="00873941">
              <w:rPr>
                <w:rFonts w:eastAsia="Times New Roman" w:cs="Arial"/>
                <w:bCs w:val="0"/>
                <w:snapToGrid w:val="0"/>
                <w:szCs w:val="20"/>
              </w:rPr>
              <w:t>Addressed. The economic model in the resubmission use</w:t>
            </w:r>
            <w:r w:rsidR="000A2172" w:rsidRPr="00873941">
              <w:rPr>
                <w:rFonts w:eastAsia="Times New Roman" w:cs="Arial"/>
                <w:bCs w:val="0"/>
                <w:snapToGrid w:val="0"/>
                <w:szCs w:val="20"/>
              </w:rPr>
              <w:t>d</w:t>
            </w:r>
            <w:r w:rsidRPr="00873941">
              <w:rPr>
                <w:rFonts w:eastAsia="Times New Roman" w:cs="Arial"/>
                <w:bCs w:val="0"/>
                <w:snapToGrid w:val="0"/>
                <w:szCs w:val="20"/>
              </w:rPr>
              <w:t xml:space="preserve"> pCR from studies of </w:t>
            </w:r>
            <w:proofErr w:type="spellStart"/>
            <w:r w:rsidRPr="00873941">
              <w:rPr>
                <w:rFonts w:eastAsia="Times New Roman" w:cs="Arial"/>
                <w:bCs w:val="0"/>
                <w:snapToGrid w:val="0"/>
                <w:szCs w:val="20"/>
              </w:rPr>
              <w:t>P+T+Chemo</w:t>
            </w:r>
            <w:proofErr w:type="spellEnd"/>
            <w:r w:rsidRPr="00873941">
              <w:rPr>
                <w:rFonts w:eastAsia="Times New Roman" w:cs="Arial"/>
                <w:bCs w:val="0"/>
                <w:snapToGrid w:val="0"/>
                <w:szCs w:val="20"/>
              </w:rPr>
              <w:t xml:space="preserve"> (including anthracyclines) and </w:t>
            </w:r>
            <w:proofErr w:type="spellStart"/>
            <w:r w:rsidRPr="00873941">
              <w:rPr>
                <w:rFonts w:eastAsia="Times New Roman" w:cs="Arial"/>
                <w:bCs w:val="0"/>
                <w:snapToGrid w:val="0"/>
                <w:szCs w:val="20"/>
              </w:rPr>
              <w:t>iDFS</w:t>
            </w:r>
            <w:proofErr w:type="spellEnd"/>
            <w:r w:rsidRPr="00873941">
              <w:rPr>
                <w:rFonts w:eastAsia="Times New Roman" w:cs="Arial"/>
                <w:bCs w:val="0"/>
                <w:snapToGrid w:val="0"/>
                <w:szCs w:val="20"/>
              </w:rPr>
              <w:t xml:space="preserve"> data from theT-DM1 KATHERINE trial and Swain 2022. However, the new model relie</w:t>
            </w:r>
            <w:r w:rsidR="000A2172" w:rsidRPr="00873941">
              <w:rPr>
                <w:rFonts w:eastAsia="Times New Roman" w:cs="Arial"/>
                <w:bCs w:val="0"/>
                <w:snapToGrid w:val="0"/>
                <w:szCs w:val="20"/>
              </w:rPr>
              <w:t>d</w:t>
            </w:r>
            <w:r w:rsidRPr="00873941">
              <w:rPr>
                <w:rFonts w:eastAsia="Times New Roman" w:cs="Arial"/>
                <w:bCs w:val="0"/>
                <w:snapToGrid w:val="0"/>
                <w:szCs w:val="20"/>
              </w:rPr>
              <w:t xml:space="preserve"> on the surrogate relationship between pCR and EFS.</w:t>
            </w:r>
          </w:p>
        </w:tc>
      </w:tr>
      <w:tr w:rsidR="00DB2DEA" w:rsidRPr="00873941" w14:paraId="748291B2" w14:textId="77777777" w:rsidTr="00357E0A">
        <w:trPr>
          <w:cantSplit/>
        </w:trPr>
        <w:tc>
          <w:tcPr>
            <w:tcW w:w="862" w:type="pct"/>
          </w:tcPr>
          <w:p w14:paraId="323A7417" w14:textId="7BB579F0" w:rsidR="00DB2DEA" w:rsidRPr="00873941" w:rsidRDefault="00893157" w:rsidP="00357E0A">
            <w:pPr>
              <w:pStyle w:val="TableText0"/>
            </w:pPr>
            <w:r w:rsidRPr="00873941">
              <w:t>Downstream costs in the financial estimates</w:t>
            </w:r>
          </w:p>
        </w:tc>
        <w:tc>
          <w:tcPr>
            <w:tcW w:w="1959" w:type="pct"/>
          </w:tcPr>
          <w:p w14:paraId="07845932" w14:textId="1C713C7B" w:rsidR="00DB2DEA" w:rsidRPr="00873941" w:rsidRDefault="00893157" w:rsidP="00357E0A">
            <w:pPr>
              <w:pStyle w:val="TableText0"/>
              <w:rPr>
                <w:rFonts w:eastAsia="Times New Roman" w:cs="Arial"/>
                <w:bCs w:val="0"/>
                <w:snapToGrid w:val="0"/>
                <w:szCs w:val="20"/>
              </w:rPr>
            </w:pPr>
            <w:r w:rsidRPr="00873941">
              <w:t>The financial estimates did not include downstream cost offsets from changes to adjuvant and metastatic treatments (para. 6.57, March 2020 PSD)</w:t>
            </w:r>
          </w:p>
        </w:tc>
        <w:tc>
          <w:tcPr>
            <w:tcW w:w="2179" w:type="pct"/>
          </w:tcPr>
          <w:p w14:paraId="7B5E8789" w14:textId="44D2B3F5" w:rsidR="00DB2DEA" w:rsidRPr="00873941" w:rsidRDefault="004A4D67" w:rsidP="00357E0A">
            <w:pPr>
              <w:pStyle w:val="TableText0"/>
              <w:rPr>
                <w:rFonts w:eastAsia="Times New Roman" w:cs="Arial"/>
                <w:bCs w:val="0"/>
                <w:snapToGrid w:val="0"/>
                <w:szCs w:val="20"/>
              </w:rPr>
            </w:pPr>
            <w:r w:rsidRPr="00873941">
              <w:rPr>
                <w:rFonts w:eastAsia="Times New Roman" w:cs="Arial"/>
                <w:bCs w:val="0"/>
                <w:snapToGrid w:val="0"/>
                <w:szCs w:val="20"/>
              </w:rPr>
              <w:t>Addressed. The financial estimates include</w:t>
            </w:r>
            <w:r w:rsidR="000A2172" w:rsidRPr="00873941">
              <w:rPr>
                <w:rFonts w:eastAsia="Times New Roman" w:cs="Arial"/>
                <w:bCs w:val="0"/>
                <w:snapToGrid w:val="0"/>
                <w:szCs w:val="20"/>
              </w:rPr>
              <w:t>d</w:t>
            </w:r>
            <w:r w:rsidRPr="00873941">
              <w:rPr>
                <w:rFonts w:eastAsia="Times New Roman" w:cs="Arial"/>
                <w:bCs w:val="0"/>
                <w:snapToGrid w:val="0"/>
                <w:szCs w:val="20"/>
              </w:rPr>
              <w:t xml:space="preserve"> downstream cost offsets for adjuvant and subsequent treatments.</w:t>
            </w:r>
          </w:p>
        </w:tc>
      </w:tr>
    </w:tbl>
    <w:p w14:paraId="451D7156" w14:textId="38D487E5" w:rsidR="005C25FF" w:rsidRPr="00873941" w:rsidRDefault="005C25FF" w:rsidP="004E18E9">
      <w:pPr>
        <w:pStyle w:val="FooterTableFigure"/>
      </w:pPr>
      <w:r w:rsidRPr="00873941">
        <w:t>Source: Table</w:t>
      </w:r>
      <w:r w:rsidR="001F24CB" w:rsidRPr="00873941">
        <w:t xml:space="preserve"> 1-4</w:t>
      </w:r>
      <w:r w:rsidRPr="00873941">
        <w:t>, pp</w:t>
      </w:r>
      <w:r w:rsidR="001F24CB" w:rsidRPr="00873941">
        <w:t>9-17</w:t>
      </w:r>
      <w:r w:rsidRPr="00873941">
        <w:t xml:space="preserve"> of the </w:t>
      </w:r>
      <w:r w:rsidR="001F24CB" w:rsidRPr="00873941">
        <w:t>re</w:t>
      </w:r>
      <w:r w:rsidRPr="00873941">
        <w:t>submission</w:t>
      </w:r>
      <w:r w:rsidR="00B06533" w:rsidRPr="00873941">
        <w:t>; pertuzumab, PSD, March 2020 PBAC meeting</w:t>
      </w:r>
      <w:r w:rsidRPr="00873941">
        <w:t>.</w:t>
      </w:r>
    </w:p>
    <w:p w14:paraId="0250C2DC" w14:textId="2DC53ED7" w:rsidR="00FB7557" w:rsidRDefault="000A2172" w:rsidP="004E18E9">
      <w:pPr>
        <w:pStyle w:val="FooterTableFigure"/>
      </w:pPr>
      <w:r w:rsidRPr="00873941">
        <w:lastRenderedPageBreak/>
        <w:t xml:space="preserve">DFS = disease free survival; </w:t>
      </w:r>
      <w:r w:rsidR="00FB7557" w:rsidRPr="00873941">
        <w:t xml:space="preserve">EFS=event free survival; </w:t>
      </w:r>
      <w:proofErr w:type="spellStart"/>
      <w:r w:rsidR="00FB7557" w:rsidRPr="00873941">
        <w:t>iDFS</w:t>
      </w:r>
      <w:proofErr w:type="spellEnd"/>
      <w:r w:rsidR="00FB7557" w:rsidRPr="00873941">
        <w:t>=invasive disease</w:t>
      </w:r>
      <w:r w:rsidR="00B06533" w:rsidRPr="00873941">
        <w:t xml:space="preserve"> </w:t>
      </w:r>
      <w:r w:rsidR="00FB7557" w:rsidRPr="00873941">
        <w:t xml:space="preserve">free survival; HR=hazard ratio; </w:t>
      </w:r>
      <w:r w:rsidRPr="00873941">
        <w:t xml:space="preserve">OS = overall survival; </w:t>
      </w:r>
      <w:r w:rsidR="00FB7557" w:rsidRPr="00873941">
        <w:t xml:space="preserve">PBAC=Pharmaceutical Benefits Advisory Committee; pCR=pathological complete response; PSD=public summary document; </w:t>
      </w:r>
      <w:proofErr w:type="spellStart"/>
      <w:r w:rsidR="00FB7557" w:rsidRPr="00873941">
        <w:t>P+T+Chemo</w:t>
      </w:r>
      <w:proofErr w:type="spellEnd"/>
      <w:r w:rsidR="00FB7557" w:rsidRPr="00873941">
        <w:t>=pertuzumab + trastuzumab + chemotherapy; T-DM1=trastuzumab emtansine</w:t>
      </w:r>
      <w:r w:rsidR="00960809" w:rsidRPr="00873941">
        <w:t>.</w:t>
      </w:r>
    </w:p>
    <w:p w14:paraId="19342680" w14:textId="77777777" w:rsidR="000E1F86" w:rsidRDefault="000E1F86" w:rsidP="004E18E9">
      <w:pPr>
        <w:pStyle w:val="FooterTableFigure"/>
      </w:pPr>
    </w:p>
    <w:p w14:paraId="3A36A88A" w14:textId="77777777" w:rsidR="000E1F86" w:rsidRPr="00C33D30" w:rsidRDefault="000E1F86" w:rsidP="000E1F86">
      <w:pPr>
        <w:ind w:firstLine="709"/>
        <w:rPr>
          <w:rFonts w:asciiTheme="minorHAnsi" w:hAnsiTheme="minorHAnsi"/>
          <w:i/>
        </w:rPr>
      </w:pPr>
      <w:bookmarkStart w:id="10" w:name="_Hlk76375324"/>
      <w:r w:rsidRPr="00C33D30">
        <w:rPr>
          <w:rFonts w:asciiTheme="minorHAnsi" w:hAnsiTheme="minorHAnsi"/>
          <w:i/>
        </w:rPr>
        <w:t>For more detail on PBAC’s view, see section 7 PBAC outcome.</w:t>
      </w:r>
    </w:p>
    <w:bookmarkEnd w:id="10"/>
    <w:p w14:paraId="5909AF01" w14:textId="77777777" w:rsidR="000E1F86" w:rsidRPr="00873941" w:rsidRDefault="000E1F86" w:rsidP="004E18E9">
      <w:pPr>
        <w:pStyle w:val="FooterTableFigure"/>
      </w:pPr>
    </w:p>
    <w:p w14:paraId="76E4EF3C" w14:textId="13040F70" w:rsidR="00B60939" w:rsidRPr="00873941" w:rsidRDefault="00B50DB8" w:rsidP="004E18E9">
      <w:pPr>
        <w:pStyle w:val="2-SectionHeading"/>
      </w:pPr>
      <w:bookmarkStart w:id="11" w:name="_Toc107902078"/>
      <w:bookmarkStart w:id="12" w:name="_Toc188444265"/>
      <w:bookmarkEnd w:id="11"/>
      <w:r w:rsidRPr="00873941">
        <w:t>Requested listing</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3094"/>
        <w:gridCol w:w="2289"/>
        <w:gridCol w:w="1818"/>
        <w:gridCol w:w="1816"/>
      </w:tblGrid>
      <w:tr w:rsidR="006E643A" w:rsidRPr="00873941" w14:paraId="7FB47D1E" w14:textId="77777777" w:rsidTr="00357E0A">
        <w:trPr>
          <w:cantSplit/>
          <w:trHeight w:val="20"/>
        </w:trPr>
        <w:tc>
          <w:tcPr>
            <w:tcW w:w="1716" w:type="pct"/>
            <w:vAlign w:val="center"/>
          </w:tcPr>
          <w:p w14:paraId="4485906B" w14:textId="77777777" w:rsidR="006E643A" w:rsidRPr="00873941" w:rsidRDefault="006E643A" w:rsidP="000027A2">
            <w:pPr>
              <w:pStyle w:val="In-tableHeading"/>
              <w:widowControl w:val="0"/>
              <w:rPr>
                <w:lang w:val="en-AU"/>
              </w:rPr>
            </w:pPr>
            <w:bookmarkStart w:id="13" w:name="_Hlk104809082"/>
            <w:r w:rsidRPr="00873941">
              <w:rPr>
                <w:lang w:val="en-AU"/>
              </w:rPr>
              <w:t>MEDICINAL PRODUCT</w:t>
            </w:r>
          </w:p>
          <w:p w14:paraId="53022B5E" w14:textId="77777777" w:rsidR="006E643A" w:rsidRPr="00873941" w:rsidRDefault="006E643A" w:rsidP="000027A2">
            <w:pPr>
              <w:pStyle w:val="In-tableHeading"/>
              <w:widowControl w:val="0"/>
              <w:rPr>
                <w:lang w:val="en-AU"/>
              </w:rPr>
            </w:pPr>
            <w:r w:rsidRPr="00873941">
              <w:rPr>
                <w:lang w:val="en-AU"/>
              </w:rPr>
              <w:t>Form</w:t>
            </w:r>
          </w:p>
        </w:tc>
        <w:tc>
          <w:tcPr>
            <w:tcW w:w="1269" w:type="pct"/>
            <w:vAlign w:val="center"/>
          </w:tcPr>
          <w:p w14:paraId="15468E77" w14:textId="77777777" w:rsidR="006E643A" w:rsidRPr="00873941" w:rsidRDefault="006E643A" w:rsidP="000027A2">
            <w:pPr>
              <w:pStyle w:val="In-tableHeading"/>
              <w:widowControl w:val="0"/>
              <w:rPr>
                <w:lang w:val="en-AU"/>
              </w:rPr>
            </w:pPr>
            <w:r w:rsidRPr="00873941">
              <w:rPr>
                <w:lang w:val="en-AU"/>
              </w:rPr>
              <w:t>Dispensed Price Max Amt</w:t>
            </w:r>
          </w:p>
        </w:tc>
        <w:tc>
          <w:tcPr>
            <w:tcW w:w="1008" w:type="pct"/>
            <w:vAlign w:val="center"/>
          </w:tcPr>
          <w:p w14:paraId="4ED4327D" w14:textId="77777777" w:rsidR="006E643A" w:rsidRPr="00873941" w:rsidRDefault="006E643A" w:rsidP="000027A2">
            <w:pPr>
              <w:pStyle w:val="In-tableHeading"/>
              <w:widowControl w:val="0"/>
              <w:rPr>
                <w:lang w:val="en-AU"/>
              </w:rPr>
            </w:pPr>
            <w:r w:rsidRPr="00873941">
              <w:rPr>
                <w:lang w:val="en-AU"/>
              </w:rPr>
              <w:t>Max. Amount (vials)</w:t>
            </w:r>
          </w:p>
        </w:tc>
        <w:tc>
          <w:tcPr>
            <w:tcW w:w="1007" w:type="pct"/>
            <w:vAlign w:val="center"/>
          </w:tcPr>
          <w:p w14:paraId="3DA1B549" w14:textId="63FA76ED" w:rsidR="006E643A" w:rsidRPr="00873941" w:rsidRDefault="006E643A" w:rsidP="000027A2">
            <w:pPr>
              <w:pStyle w:val="In-tableHeading"/>
              <w:widowControl w:val="0"/>
              <w:rPr>
                <w:lang w:val="en-AU"/>
              </w:rPr>
            </w:pPr>
            <w:r w:rsidRPr="00873941">
              <w:rPr>
                <w:lang w:val="en-AU"/>
              </w:rPr>
              <w:t>№.</w:t>
            </w:r>
            <w:r w:rsidR="00960809" w:rsidRPr="00873941">
              <w:rPr>
                <w:lang w:val="en-AU"/>
              </w:rPr>
              <w:t xml:space="preserve"> </w:t>
            </w:r>
            <w:r w:rsidRPr="00873941">
              <w:rPr>
                <w:lang w:val="en-AU"/>
              </w:rPr>
              <w:t xml:space="preserve">of </w:t>
            </w:r>
            <w:proofErr w:type="spellStart"/>
            <w:r w:rsidRPr="00873941">
              <w:rPr>
                <w:lang w:val="en-AU"/>
              </w:rPr>
              <w:t>Rpts</w:t>
            </w:r>
            <w:proofErr w:type="spellEnd"/>
          </w:p>
        </w:tc>
      </w:tr>
      <w:tr w:rsidR="006E643A" w:rsidRPr="00873941" w14:paraId="52DA4CE2" w14:textId="77777777" w:rsidTr="00357E0A">
        <w:trPr>
          <w:cantSplit/>
          <w:trHeight w:val="20"/>
        </w:trPr>
        <w:tc>
          <w:tcPr>
            <w:tcW w:w="5000" w:type="pct"/>
            <w:gridSpan w:val="4"/>
            <w:vAlign w:val="center"/>
          </w:tcPr>
          <w:p w14:paraId="4A30F2AA" w14:textId="77777777" w:rsidR="006E643A" w:rsidRPr="00873941" w:rsidRDefault="006E643A" w:rsidP="000027A2">
            <w:pPr>
              <w:pStyle w:val="In-tableHeading"/>
              <w:widowControl w:val="0"/>
              <w:rPr>
                <w:lang w:val="en-AU"/>
              </w:rPr>
            </w:pPr>
            <w:r w:rsidRPr="00873941">
              <w:rPr>
                <w:lang w:val="en-AU"/>
              </w:rPr>
              <w:t>Chemotherapy items for public hospital use</w:t>
            </w:r>
          </w:p>
        </w:tc>
      </w:tr>
      <w:tr w:rsidR="006E643A" w:rsidRPr="00873941" w14:paraId="16357BB3" w14:textId="77777777" w:rsidTr="00357E0A">
        <w:trPr>
          <w:cantSplit/>
          <w:trHeight w:val="20"/>
        </w:trPr>
        <w:tc>
          <w:tcPr>
            <w:tcW w:w="1716" w:type="pct"/>
            <w:vAlign w:val="center"/>
          </w:tcPr>
          <w:p w14:paraId="1BC44DE0" w14:textId="77777777" w:rsidR="006E643A" w:rsidRPr="00873941" w:rsidRDefault="006E643A" w:rsidP="000027A2">
            <w:pPr>
              <w:pStyle w:val="TableText0"/>
              <w:widowControl w:val="0"/>
            </w:pPr>
            <w:r w:rsidRPr="00873941">
              <w:t xml:space="preserve">PERTUZUMAB – initial </w:t>
            </w:r>
            <w:r w:rsidRPr="00873941">
              <w:br/>
              <w:t xml:space="preserve">Solution for IV infusion </w:t>
            </w:r>
          </w:p>
        </w:tc>
        <w:tc>
          <w:tcPr>
            <w:tcW w:w="1269" w:type="pct"/>
            <w:vAlign w:val="center"/>
          </w:tcPr>
          <w:p w14:paraId="54EC40B2" w14:textId="77777777" w:rsidR="006E643A" w:rsidRPr="00873941" w:rsidRDefault="006E643A" w:rsidP="000027A2">
            <w:pPr>
              <w:pStyle w:val="TableText0"/>
              <w:widowControl w:val="0"/>
              <w:jc w:val="center"/>
            </w:pPr>
            <w:r w:rsidRPr="00873941">
              <w:t>$5,927.63 published price</w:t>
            </w:r>
          </w:p>
          <w:p w14:paraId="067AE0F5" w14:textId="58CF91DE" w:rsidR="006E643A" w:rsidRPr="00873941" w:rsidRDefault="006E643A" w:rsidP="000027A2">
            <w:pPr>
              <w:pStyle w:val="TableText0"/>
              <w:widowControl w:val="0"/>
              <w:jc w:val="center"/>
            </w:pPr>
            <w:r w:rsidRPr="00873941">
              <w:t>$</w:t>
            </w:r>
            <w:r w:rsidR="00471EB9">
              <w:rPr>
                <w:color w:val="000000"/>
                <w:spacing w:val="52"/>
                <w:shd w:val="solid" w:color="000000" w:fill="000000"/>
                <w:fitText w:val="330" w:id="-694408448"/>
                <w14:textFill>
                  <w14:solidFill>
                    <w14:srgbClr w14:val="000000">
                      <w14:alpha w14:val="100000"/>
                    </w14:srgbClr>
                  </w14:solidFill>
                </w14:textFill>
              </w:rPr>
              <w:t>|||</w:t>
            </w:r>
            <w:r w:rsidR="00471EB9">
              <w:rPr>
                <w:color w:val="000000"/>
                <w:spacing w:val="2"/>
                <w:shd w:val="solid" w:color="000000" w:fill="000000"/>
                <w:fitText w:val="330" w:id="-694408448"/>
                <w14:textFill>
                  <w14:solidFill>
                    <w14:srgbClr w14:val="000000">
                      <w14:alpha w14:val="100000"/>
                    </w14:srgbClr>
                  </w14:solidFill>
                </w14:textFill>
              </w:rPr>
              <w:t>|</w:t>
            </w:r>
            <w:r w:rsidRPr="00873941">
              <w:t xml:space="preserve"> effective price</w:t>
            </w:r>
          </w:p>
        </w:tc>
        <w:tc>
          <w:tcPr>
            <w:tcW w:w="1008" w:type="pct"/>
            <w:vAlign w:val="center"/>
          </w:tcPr>
          <w:p w14:paraId="3314C6E2" w14:textId="77777777" w:rsidR="006E643A" w:rsidRPr="00873941" w:rsidRDefault="006E643A" w:rsidP="000027A2">
            <w:pPr>
              <w:pStyle w:val="TableText0"/>
              <w:widowControl w:val="0"/>
              <w:jc w:val="center"/>
            </w:pPr>
            <w:r w:rsidRPr="00873941">
              <w:t>2</w:t>
            </w:r>
          </w:p>
        </w:tc>
        <w:tc>
          <w:tcPr>
            <w:tcW w:w="1007" w:type="pct"/>
            <w:vAlign w:val="center"/>
          </w:tcPr>
          <w:p w14:paraId="3F1EA890" w14:textId="77777777" w:rsidR="006E643A" w:rsidRPr="00873941" w:rsidRDefault="006E643A" w:rsidP="000027A2">
            <w:pPr>
              <w:pStyle w:val="TableText0"/>
              <w:widowControl w:val="0"/>
              <w:jc w:val="center"/>
            </w:pPr>
            <w:r w:rsidRPr="00873941">
              <w:t>0</w:t>
            </w:r>
          </w:p>
        </w:tc>
      </w:tr>
      <w:tr w:rsidR="006E643A" w:rsidRPr="00873941" w14:paraId="514DCD7C" w14:textId="77777777" w:rsidTr="00357E0A">
        <w:trPr>
          <w:cantSplit/>
          <w:trHeight w:val="20"/>
        </w:trPr>
        <w:tc>
          <w:tcPr>
            <w:tcW w:w="1716" w:type="pct"/>
            <w:vAlign w:val="center"/>
          </w:tcPr>
          <w:p w14:paraId="1CD73E46" w14:textId="77777777" w:rsidR="006E643A" w:rsidRPr="00873941" w:rsidRDefault="006E643A" w:rsidP="000027A2">
            <w:pPr>
              <w:pStyle w:val="TableText0"/>
              <w:widowControl w:val="0"/>
            </w:pPr>
            <w:r w:rsidRPr="00873941">
              <w:t xml:space="preserve">PERTUZUMAB – continuing </w:t>
            </w:r>
            <w:r w:rsidRPr="00873941">
              <w:br/>
              <w:t>Solution for IV infusion</w:t>
            </w:r>
          </w:p>
        </w:tc>
        <w:tc>
          <w:tcPr>
            <w:tcW w:w="1269" w:type="pct"/>
            <w:vAlign w:val="center"/>
          </w:tcPr>
          <w:p w14:paraId="087CB868" w14:textId="77777777" w:rsidR="006E643A" w:rsidRPr="00873941" w:rsidRDefault="006E643A" w:rsidP="000027A2">
            <w:pPr>
              <w:pStyle w:val="TableText0"/>
              <w:widowControl w:val="0"/>
              <w:jc w:val="center"/>
            </w:pPr>
            <w:r w:rsidRPr="00873941">
              <w:t>$3,008.88 published price</w:t>
            </w:r>
          </w:p>
          <w:p w14:paraId="33BB315E" w14:textId="5D97021B" w:rsidR="006E643A" w:rsidRPr="00873941" w:rsidRDefault="006E643A" w:rsidP="000027A2">
            <w:pPr>
              <w:pStyle w:val="In-tableHeading"/>
              <w:widowControl w:val="0"/>
              <w:jc w:val="center"/>
              <w:rPr>
                <w:lang w:val="en-AU"/>
              </w:rPr>
            </w:pPr>
            <w:r w:rsidRPr="00873941">
              <w:rPr>
                <w:b w:val="0"/>
                <w:bCs/>
                <w:lang w:val="en-AU"/>
              </w:rPr>
              <w:t>$</w:t>
            </w:r>
            <w:r w:rsidR="00471EB9">
              <w:rPr>
                <w:b w:val="0"/>
                <w:bCs/>
                <w:color w:val="000000"/>
                <w:spacing w:val="52"/>
                <w:shd w:val="solid" w:color="000000" w:fill="000000"/>
                <w:fitText w:val="330" w:id="-694408447"/>
                <w:lang w:val="en-AU"/>
                <w14:textFill>
                  <w14:solidFill>
                    <w14:srgbClr w14:val="000000">
                      <w14:alpha w14:val="100000"/>
                    </w14:srgbClr>
                  </w14:solidFill>
                </w14:textFill>
              </w:rPr>
              <w:t>|||</w:t>
            </w:r>
            <w:r w:rsidR="00471EB9">
              <w:rPr>
                <w:b w:val="0"/>
                <w:bCs/>
                <w:color w:val="000000"/>
                <w:spacing w:val="2"/>
                <w:shd w:val="solid" w:color="000000" w:fill="000000"/>
                <w:fitText w:val="330" w:id="-694408447"/>
                <w:lang w:val="en-AU"/>
                <w14:textFill>
                  <w14:solidFill>
                    <w14:srgbClr w14:val="000000">
                      <w14:alpha w14:val="100000"/>
                    </w14:srgbClr>
                  </w14:solidFill>
                </w14:textFill>
              </w:rPr>
              <w:t>|</w:t>
            </w:r>
            <w:r w:rsidRPr="00873941">
              <w:rPr>
                <w:b w:val="0"/>
                <w:bCs/>
                <w:lang w:val="en-AU"/>
              </w:rPr>
              <w:t xml:space="preserve"> effective price</w:t>
            </w:r>
          </w:p>
        </w:tc>
        <w:tc>
          <w:tcPr>
            <w:tcW w:w="1008" w:type="pct"/>
            <w:vAlign w:val="center"/>
          </w:tcPr>
          <w:p w14:paraId="2F61B6D8" w14:textId="77777777" w:rsidR="006E643A" w:rsidRPr="00873941" w:rsidRDefault="006E643A" w:rsidP="000027A2">
            <w:pPr>
              <w:pStyle w:val="In-tableHeading"/>
              <w:widowControl w:val="0"/>
              <w:jc w:val="center"/>
              <w:rPr>
                <w:b w:val="0"/>
                <w:bCs/>
                <w:lang w:val="en-AU"/>
              </w:rPr>
            </w:pPr>
            <w:r w:rsidRPr="00873941">
              <w:rPr>
                <w:b w:val="0"/>
                <w:bCs/>
                <w:lang w:val="en-AU"/>
              </w:rPr>
              <w:t>1</w:t>
            </w:r>
          </w:p>
        </w:tc>
        <w:tc>
          <w:tcPr>
            <w:tcW w:w="1007" w:type="pct"/>
            <w:vAlign w:val="center"/>
          </w:tcPr>
          <w:p w14:paraId="52B05230" w14:textId="77777777" w:rsidR="006E643A" w:rsidRPr="00873941" w:rsidRDefault="006E643A" w:rsidP="000027A2">
            <w:pPr>
              <w:pStyle w:val="In-tableHeading"/>
              <w:widowControl w:val="0"/>
              <w:jc w:val="center"/>
              <w:rPr>
                <w:b w:val="0"/>
                <w:bCs/>
                <w:lang w:val="en-AU"/>
              </w:rPr>
            </w:pPr>
            <w:r w:rsidRPr="00873941">
              <w:rPr>
                <w:b w:val="0"/>
                <w:bCs/>
                <w:lang w:val="en-AU"/>
              </w:rPr>
              <w:t>4</w:t>
            </w:r>
          </w:p>
        </w:tc>
      </w:tr>
      <w:tr w:rsidR="006E643A" w:rsidRPr="00873941" w14:paraId="58C467FD" w14:textId="77777777" w:rsidTr="00357E0A">
        <w:trPr>
          <w:cantSplit/>
          <w:trHeight w:val="20"/>
        </w:trPr>
        <w:tc>
          <w:tcPr>
            <w:tcW w:w="5000" w:type="pct"/>
            <w:gridSpan w:val="4"/>
            <w:vAlign w:val="center"/>
          </w:tcPr>
          <w:p w14:paraId="30D0E3EA" w14:textId="77777777" w:rsidR="006E643A" w:rsidRPr="00873941" w:rsidRDefault="006E643A" w:rsidP="000027A2">
            <w:pPr>
              <w:pStyle w:val="In-tableHeading"/>
              <w:widowControl w:val="0"/>
              <w:rPr>
                <w:lang w:val="en-AU"/>
              </w:rPr>
            </w:pPr>
            <w:r w:rsidRPr="00873941">
              <w:rPr>
                <w:lang w:val="en-AU"/>
              </w:rPr>
              <w:t>Chemotherapy items for private hospital use</w:t>
            </w:r>
          </w:p>
        </w:tc>
      </w:tr>
      <w:tr w:rsidR="006E643A" w:rsidRPr="00873941" w14:paraId="53546F89" w14:textId="77777777" w:rsidTr="00357E0A">
        <w:trPr>
          <w:cantSplit/>
          <w:trHeight w:val="20"/>
        </w:trPr>
        <w:tc>
          <w:tcPr>
            <w:tcW w:w="1716" w:type="pct"/>
            <w:vAlign w:val="center"/>
          </w:tcPr>
          <w:p w14:paraId="01D648E7" w14:textId="77777777" w:rsidR="006E643A" w:rsidRPr="00873941" w:rsidRDefault="006E643A" w:rsidP="000027A2">
            <w:pPr>
              <w:pStyle w:val="TableText0"/>
              <w:widowControl w:val="0"/>
            </w:pPr>
            <w:r w:rsidRPr="00873941">
              <w:t xml:space="preserve">PERTUZUMAB – initial </w:t>
            </w:r>
            <w:r w:rsidRPr="00873941">
              <w:br/>
              <w:t xml:space="preserve">Solution for IV infusion </w:t>
            </w:r>
          </w:p>
        </w:tc>
        <w:tc>
          <w:tcPr>
            <w:tcW w:w="1269" w:type="pct"/>
            <w:vAlign w:val="center"/>
          </w:tcPr>
          <w:p w14:paraId="14B7804A" w14:textId="77777777" w:rsidR="006E643A" w:rsidRPr="00873941" w:rsidRDefault="006E643A" w:rsidP="000027A2">
            <w:pPr>
              <w:pStyle w:val="TableText0"/>
              <w:widowControl w:val="0"/>
              <w:jc w:val="center"/>
            </w:pPr>
            <w:r w:rsidRPr="00873941">
              <w:t>$6,054.02 published price</w:t>
            </w:r>
          </w:p>
          <w:p w14:paraId="5EC15D77" w14:textId="6AC66646" w:rsidR="006E643A" w:rsidRPr="00873941" w:rsidRDefault="006E643A" w:rsidP="000027A2">
            <w:pPr>
              <w:pStyle w:val="In-tableHeading"/>
              <w:widowControl w:val="0"/>
              <w:jc w:val="center"/>
              <w:rPr>
                <w:lang w:val="en-AU"/>
              </w:rPr>
            </w:pPr>
            <w:r w:rsidRPr="00873941">
              <w:rPr>
                <w:b w:val="0"/>
                <w:bCs/>
                <w:lang w:val="en-AU"/>
              </w:rPr>
              <w:t>$</w:t>
            </w:r>
            <w:r w:rsidR="00471EB9" w:rsidRPr="00471EB9">
              <w:rPr>
                <w:b w:val="0"/>
                <w:bCs/>
                <w:color w:val="000000"/>
                <w:spacing w:val="53"/>
                <w:shd w:val="solid" w:color="000000" w:fill="000000"/>
                <w:fitText w:val="330" w:id="-694408446"/>
                <w:lang w:val="en-AU"/>
                <w14:textFill>
                  <w14:solidFill>
                    <w14:srgbClr w14:val="000000">
                      <w14:alpha w14:val="100000"/>
                    </w14:srgbClr>
                  </w14:solidFill>
                </w14:textFill>
              </w:rPr>
              <w:t>|||</w:t>
            </w:r>
            <w:r w:rsidR="00471EB9" w:rsidRPr="00471EB9">
              <w:rPr>
                <w:b w:val="0"/>
                <w:bCs/>
                <w:color w:val="000000"/>
                <w:spacing w:val="1"/>
                <w:shd w:val="solid" w:color="000000" w:fill="000000"/>
                <w:fitText w:val="330" w:id="-694408446"/>
                <w:lang w:val="en-AU"/>
                <w14:textFill>
                  <w14:solidFill>
                    <w14:srgbClr w14:val="000000">
                      <w14:alpha w14:val="100000"/>
                    </w14:srgbClr>
                  </w14:solidFill>
                </w14:textFill>
              </w:rPr>
              <w:t>|</w:t>
            </w:r>
            <w:r w:rsidRPr="00873941">
              <w:rPr>
                <w:b w:val="0"/>
                <w:bCs/>
                <w:lang w:val="en-AU"/>
              </w:rPr>
              <w:t xml:space="preserve"> effective price</w:t>
            </w:r>
          </w:p>
        </w:tc>
        <w:tc>
          <w:tcPr>
            <w:tcW w:w="1008" w:type="pct"/>
            <w:vAlign w:val="center"/>
          </w:tcPr>
          <w:p w14:paraId="3B2B931F" w14:textId="77777777" w:rsidR="006E643A" w:rsidRPr="00873941" w:rsidRDefault="006E643A" w:rsidP="000027A2">
            <w:pPr>
              <w:pStyle w:val="In-tableHeading"/>
              <w:widowControl w:val="0"/>
              <w:jc w:val="center"/>
              <w:rPr>
                <w:b w:val="0"/>
                <w:bCs/>
                <w:lang w:val="en-AU"/>
              </w:rPr>
            </w:pPr>
            <w:r w:rsidRPr="00873941">
              <w:rPr>
                <w:b w:val="0"/>
                <w:bCs/>
                <w:lang w:val="en-AU"/>
              </w:rPr>
              <w:t>2</w:t>
            </w:r>
          </w:p>
        </w:tc>
        <w:tc>
          <w:tcPr>
            <w:tcW w:w="1007" w:type="pct"/>
            <w:vAlign w:val="center"/>
          </w:tcPr>
          <w:p w14:paraId="11B7CD87" w14:textId="77777777" w:rsidR="006E643A" w:rsidRPr="00873941" w:rsidRDefault="006E643A" w:rsidP="000027A2">
            <w:pPr>
              <w:pStyle w:val="In-tableHeading"/>
              <w:widowControl w:val="0"/>
              <w:jc w:val="center"/>
              <w:rPr>
                <w:b w:val="0"/>
                <w:bCs/>
                <w:lang w:val="en-AU"/>
              </w:rPr>
            </w:pPr>
            <w:r w:rsidRPr="00873941">
              <w:rPr>
                <w:b w:val="0"/>
                <w:bCs/>
                <w:lang w:val="en-AU"/>
              </w:rPr>
              <w:t>0</w:t>
            </w:r>
          </w:p>
        </w:tc>
      </w:tr>
      <w:tr w:rsidR="006E643A" w:rsidRPr="00873941" w14:paraId="1B1A6BEF" w14:textId="77777777" w:rsidTr="00357E0A">
        <w:trPr>
          <w:cantSplit/>
          <w:trHeight w:val="20"/>
        </w:trPr>
        <w:tc>
          <w:tcPr>
            <w:tcW w:w="1716" w:type="pct"/>
            <w:vAlign w:val="center"/>
          </w:tcPr>
          <w:p w14:paraId="6947BD26" w14:textId="77777777" w:rsidR="006E643A" w:rsidRPr="00873941" w:rsidRDefault="006E643A" w:rsidP="000027A2">
            <w:pPr>
              <w:pStyle w:val="TableText0"/>
              <w:widowControl w:val="0"/>
            </w:pPr>
            <w:r w:rsidRPr="00873941">
              <w:t xml:space="preserve">PERTUZUMAB – continuing </w:t>
            </w:r>
            <w:r w:rsidRPr="00873941">
              <w:br/>
              <w:t>Solution for IV infusion</w:t>
            </w:r>
          </w:p>
        </w:tc>
        <w:tc>
          <w:tcPr>
            <w:tcW w:w="1269" w:type="pct"/>
            <w:vAlign w:val="center"/>
          </w:tcPr>
          <w:p w14:paraId="0030479B" w14:textId="77777777" w:rsidR="006E643A" w:rsidRPr="00873941" w:rsidRDefault="006E643A" w:rsidP="000027A2">
            <w:pPr>
              <w:pStyle w:val="TableText0"/>
              <w:widowControl w:val="0"/>
              <w:jc w:val="center"/>
            </w:pPr>
            <w:r w:rsidRPr="00873941">
              <w:t>$3,094.41 published price</w:t>
            </w:r>
          </w:p>
          <w:p w14:paraId="5737AEE5" w14:textId="5EC7B510" w:rsidR="006E643A" w:rsidRPr="00873941" w:rsidRDefault="006E643A" w:rsidP="000027A2">
            <w:pPr>
              <w:pStyle w:val="TableText0"/>
              <w:widowControl w:val="0"/>
              <w:jc w:val="center"/>
            </w:pPr>
            <w:r w:rsidRPr="00873941">
              <w:t>$</w:t>
            </w:r>
            <w:r w:rsidR="00471EB9" w:rsidRPr="00471EB9">
              <w:rPr>
                <w:color w:val="000000"/>
                <w:spacing w:val="53"/>
                <w:shd w:val="solid" w:color="000000" w:fill="000000"/>
                <w:fitText w:val="330" w:id="-694408445"/>
                <w14:textFill>
                  <w14:solidFill>
                    <w14:srgbClr w14:val="000000">
                      <w14:alpha w14:val="100000"/>
                    </w14:srgbClr>
                  </w14:solidFill>
                </w14:textFill>
              </w:rPr>
              <w:t>|||</w:t>
            </w:r>
            <w:r w:rsidR="00471EB9" w:rsidRPr="00471EB9">
              <w:rPr>
                <w:color w:val="000000"/>
                <w:spacing w:val="1"/>
                <w:shd w:val="solid" w:color="000000" w:fill="000000"/>
                <w:fitText w:val="330" w:id="-694408445"/>
                <w14:textFill>
                  <w14:solidFill>
                    <w14:srgbClr w14:val="000000">
                      <w14:alpha w14:val="100000"/>
                    </w14:srgbClr>
                  </w14:solidFill>
                </w14:textFill>
              </w:rPr>
              <w:t>|</w:t>
            </w:r>
            <w:r w:rsidRPr="00873941">
              <w:t xml:space="preserve"> effective price</w:t>
            </w:r>
          </w:p>
        </w:tc>
        <w:tc>
          <w:tcPr>
            <w:tcW w:w="1008" w:type="pct"/>
            <w:vAlign w:val="center"/>
          </w:tcPr>
          <w:p w14:paraId="0E3D59C4" w14:textId="77777777" w:rsidR="006E643A" w:rsidRPr="00873941" w:rsidRDefault="006E643A" w:rsidP="000027A2">
            <w:pPr>
              <w:pStyle w:val="TableText0"/>
              <w:widowControl w:val="0"/>
              <w:jc w:val="center"/>
            </w:pPr>
            <w:r w:rsidRPr="00873941">
              <w:t>1</w:t>
            </w:r>
          </w:p>
        </w:tc>
        <w:tc>
          <w:tcPr>
            <w:tcW w:w="1007" w:type="pct"/>
            <w:vAlign w:val="center"/>
          </w:tcPr>
          <w:p w14:paraId="62A97C82" w14:textId="77777777" w:rsidR="006E643A" w:rsidRPr="00873941" w:rsidRDefault="006E643A" w:rsidP="000027A2">
            <w:pPr>
              <w:pStyle w:val="TableText0"/>
              <w:widowControl w:val="0"/>
              <w:jc w:val="center"/>
            </w:pPr>
            <w:r w:rsidRPr="00873941">
              <w:t>4</w:t>
            </w:r>
          </w:p>
        </w:tc>
      </w:tr>
      <w:tr w:rsidR="006E643A" w:rsidRPr="00873941" w14:paraId="4DC54A5E" w14:textId="77777777" w:rsidTr="00357E0A">
        <w:trPr>
          <w:cantSplit/>
          <w:trHeight w:val="20"/>
        </w:trPr>
        <w:tc>
          <w:tcPr>
            <w:tcW w:w="5000" w:type="pct"/>
            <w:gridSpan w:val="4"/>
            <w:vAlign w:val="center"/>
          </w:tcPr>
          <w:p w14:paraId="5FAB6818" w14:textId="77777777" w:rsidR="006E643A" w:rsidRPr="00873941" w:rsidRDefault="006E643A" w:rsidP="000027A2">
            <w:pPr>
              <w:keepNext/>
              <w:keepLines/>
              <w:widowControl w:val="0"/>
              <w:rPr>
                <w:b/>
              </w:rPr>
            </w:pPr>
            <w:r w:rsidRPr="00873941">
              <w:rPr>
                <w:rFonts w:ascii="Arial Narrow" w:eastAsiaTheme="majorEastAsia" w:hAnsi="Arial Narrow" w:cs="Times New Roman"/>
                <w:b/>
                <w:sz w:val="20"/>
              </w:rPr>
              <w:t>Available brands</w:t>
            </w:r>
            <w:r w:rsidRPr="00873941">
              <w:rPr>
                <w:b/>
              </w:rPr>
              <w:t xml:space="preserve"> </w:t>
            </w:r>
          </w:p>
        </w:tc>
      </w:tr>
      <w:tr w:rsidR="006E643A" w:rsidRPr="00873941" w14:paraId="208A332E" w14:textId="77777777" w:rsidTr="00357E0A">
        <w:trPr>
          <w:cantSplit/>
          <w:trHeight w:val="20"/>
        </w:trPr>
        <w:tc>
          <w:tcPr>
            <w:tcW w:w="5000" w:type="pct"/>
            <w:gridSpan w:val="4"/>
            <w:vAlign w:val="center"/>
          </w:tcPr>
          <w:p w14:paraId="24C2D656" w14:textId="77777777" w:rsidR="006E643A" w:rsidRPr="00873941" w:rsidRDefault="006E643A" w:rsidP="000027A2">
            <w:pPr>
              <w:pStyle w:val="TableText0"/>
              <w:widowControl w:val="0"/>
            </w:pPr>
            <w:r w:rsidRPr="00873941">
              <w:t>Perjeta</w:t>
            </w:r>
          </w:p>
          <w:p w14:paraId="61A56114" w14:textId="77777777" w:rsidR="006E643A" w:rsidRPr="00873941" w:rsidRDefault="006E643A" w:rsidP="000027A2">
            <w:pPr>
              <w:pStyle w:val="TableText0"/>
              <w:widowControl w:val="0"/>
            </w:pPr>
            <w:r w:rsidRPr="00873941">
              <w:t>(pertuzumab 420 mg/14 mL solution for IV infusion, 1 vial)</w:t>
            </w:r>
          </w:p>
        </w:tc>
      </w:tr>
      <w:bookmarkEnd w:id="13"/>
      <w:tr w:rsidR="006E643A" w:rsidRPr="00873941" w14:paraId="33670090"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tcPr>
          <w:p w14:paraId="5AD1884E" w14:textId="77777777" w:rsidR="006E643A" w:rsidRPr="00873941" w:rsidRDefault="006E643A" w:rsidP="000027A2">
            <w:pPr>
              <w:pStyle w:val="TableText0"/>
              <w:keepNext w:val="0"/>
              <w:keepLines w:val="0"/>
            </w:pPr>
            <w:r w:rsidRPr="00873941">
              <w:rPr>
                <w:b/>
              </w:rPr>
              <w:t xml:space="preserve">Category / Program: </w:t>
            </w:r>
            <w:r w:rsidRPr="00873941">
              <w:t>Section 100 – Efficient Funding of Chemotherapy</w:t>
            </w:r>
          </w:p>
        </w:tc>
      </w:tr>
      <w:tr w:rsidR="006E643A" w:rsidRPr="00873941" w14:paraId="77D65636"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tcPr>
          <w:p w14:paraId="118D6131" w14:textId="77777777" w:rsidR="006E643A" w:rsidRPr="00873941" w:rsidRDefault="006E643A" w:rsidP="000027A2">
            <w:pPr>
              <w:pStyle w:val="TableText0"/>
              <w:keepNext w:val="0"/>
              <w:keepLines w:val="0"/>
              <w:rPr>
                <w:b/>
              </w:rPr>
            </w:pPr>
            <w:r w:rsidRPr="00873941">
              <w:rPr>
                <w:b/>
              </w:rPr>
              <w:t xml:space="preserve">Prescriber type: </w:t>
            </w:r>
            <w:r w:rsidRPr="00873941">
              <w:fldChar w:fldCharType="begin">
                <w:ffData>
                  <w:name w:val="Check1"/>
                  <w:enabled/>
                  <w:calcOnExit w:val="0"/>
                  <w:checkBox>
                    <w:sizeAuto/>
                    <w:default w:val="0"/>
                  </w:checkBox>
                </w:ffData>
              </w:fldChar>
            </w:r>
            <w:r w:rsidRPr="00873941">
              <w:instrText xml:space="preserve"> FORMCHECKBOX </w:instrText>
            </w:r>
            <w:r w:rsidRPr="00873941">
              <w:fldChar w:fldCharType="separate"/>
            </w:r>
            <w:r w:rsidRPr="00873941">
              <w:fldChar w:fldCharType="end"/>
            </w:r>
            <w:r w:rsidRPr="00873941">
              <w:t xml:space="preserve">Dental </w:t>
            </w:r>
            <w:r w:rsidRPr="00873941">
              <w:fldChar w:fldCharType="begin">
                <w:ffData>
                  <w:name w:val=""/>
                  <w:enabled/>
                  <w:calcOnExit w:val="0"/>
                  <w:checkBox>
                    <w:sizeAuto/>
                    <w:default w:val="1"/>
                  </w:checkBox>
                </w:ffData>
              </w:fldChar>
            </w:r>
            <w:r w:rsidRPr="00873941">
              <w:instrText xml:space="preserve"> FORMCHECKBOX </w:instrText>
            </w:r>
            <w:r w:rsidRPr="00873941">
              <w:fldChar w:fldCharType="separate"/>
            </w:r>
            <w:r w:rsidRPr="00873941">
              <w:fldChar w:fldCharType="end"/>
            </w:r>
            <w:r w:rsidRPr="00873941">
              <w:t xml:space="preserve">Medical Practitioners </w:t>
            </w:r>
            <w:r w:rsidRPr="00873941">
              <w:fldChar w:fldCharType="begin">
                <w:ffData>
                  <w:name w:val="Check3"/>
                  <w:enabled/>
                  <w:calcOnExit w:val="0"/>
                  <w:checkBox>
                    <w:sizeAuto/>
                    <w:default w:val="0"/>
                  </w:checkBox>
                </w:ffData>
              </w:fldChar>
            </w:r>
            <w:r w:rsidRPr="00873941">
              <w:instrText xml:space="preserve"> FORMCHECKBOX </w:instrText>
            </w:r>
            <w:r w:rsidRPr="00873941">
              <w:fldChar w:fldCharType="separate"/>
            </w:r>
            <w:r w:rsidRPr="00873941">
              <w:fldChar w:fldCharType="end"/>
            </w:r>
            <w:r w:rsidRPr="00873941">
              <w:t xml:space="preserve">Nurse practitioners </w:t>
            </w:r>
            <w:r w:rsidRPr="00873941">
              <w:fldChar w:fldCharType="begin">
                <w:ffData>
                  <w:name w:val=""/>
                  <w:enabled/>
                  <w:calcOnExit w:val="0"/>
                  <w:checkBox>
                    <w:sizeAuto/>
                    <w:default w:val="0"/>
                  </w:checkBox>
                </w:ffData>
              </w:fldChar>
            </w:r>
            <w:r w:rsidRPr="00873941">
              <w:instrText xml:space="preserve"> FORMCHECKBOX </w:instrText>
            </w:r>
            <w:r w:rsidRPr="00873941">
              <w:fldChar w:fldCharType="separate"/>
            </w:r>
            <w:r w:rsidRPr="00873941">
              <w:fldChar w:fldCharType="end"/>
            </w:r>
            <w:r w:rsidRPr="00873941">
              <w:t xml:space="preserve">Optometrists </w:t>
            </w:r>
            <w:r w:rsidRPr="00873941">
              <w:fldChar w:fldCharType="begin">
                <w:ffData>
                  <w:name w:val="Check5"/>
                  <w:enabled/>
                  <w:calcOnExit w:val="0"/>
                  <w:checkBox>
                    <w:sizeAuto/>
                    <w:default w:val="0"/>
                  </w:checkBox>
                </w:ffData>
              </w:fldChar>
            </w:r>
            <w:r w:rsidRPr="00873941">
              <w:instrText xml:space="preserve"> FORMCHECKBOX </w:instrText>
            </w:r>
            <w:r w:rsidRPr="00873941">
              <w:fldChar w:fldCharType="separate"/>
            </w:r>
            <w:r w:rsidRPr="00873941">
              <w:fldChar w:fldCharType="end"/>
            </w:r>
          </w:p>
        </w:tc>
      </w:tr>
      <w:tr w:rsidR="006E643A" w:rsidRPr="00873941" w14:paraId="0F91A749"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tcPr>
          <w:p w14:paraId="74B64568" w14:textId="77777777" w:rsidR="006E643A" w:rsidRPr="00873941" w:rsidRDefault="006E643A" w:rsidP="000027A2">
            <w:pPr>
              <w:pStyle w:val="TableText0"/>
              <w:keepNext w:val="0"/>
              <w:keepLines w:val="0"/>
              <w:rPr>
                <w:rFonts w:eastAsia="Times New Roman"/>
              </w:rPr>
            </w:pPr>
            <w:r w:rsidRPr="00873941">
              <w:rPr>
                <w:b/>
              </w:rPr>
              <w:t xml:space="preserve">Restriction type: </w:t>
            </w:r>
            <w:r w:rsidRPr="00873941">
              <w:rPr>
                <w:rFonts w:eastAsia="Times New Roman"/>
              </w:rPr>
              <w:fldChar w:fldCharType="begin">
                <w:ffData>
                  <w:name w:val="Check3"/>
                  <w:enabled/>
                  <w:calcOnExit w:val="0"/>
                  <w:checkBox>
                    <w:sizeAuto/>
                    <w:default w:val="1"/>
                  </w:checkBox>
                </w:ffData>
              </w:fldChar>
            </w:r>
            <w:bookmarkStart w:id="14" w:name="Check3"/>
            <w:r w:rsidRPr="00873941">
              <w:rPr>
                <w:rFonts w:eastAsia="Times New Roman"/>
              </w:rPr>
              <w:instrText xml:space="preserve"> FORMCHECKBOX </w:instrText>
            </w:r>
            <w:r w:rsidRPr="00873941">
              <w:rPr>
                <w:rFonts w:eastAsia="Times New Roman"/>
              </w:rPr>
            </w:r>
            <w:r w:rsidRPr="00873941">
              <w:rPr>
                <w:rFonts w:eastAsia="Times New Roman"/>
              </w:rPr>
              <w:fldChar w:fldCharType="separate"/>
            </w:r>
            <w:r w:rsidRPr="00873941">
              <w:rPr>
                <w:rFonts w:eastAsia="Times New Roman"/>
              </w:rPr>
              <w:fldChar w:fldCharType="end"/>
            </w:r>
            <w:bookmarkEnd w:id="14"/>
            <w:r w:rsidRPr="00873941">
              <w:rPr>
                <w:rFonts w:eastAsia="Times New Roman"/>
              </w:rPr>
              <w:t xml:space="preserve">Authority Required (telephone/online PBS Authorities system) </w:t>
            </w:r>
          </w:p>
        </w:tc>
      </w:tr>
      <w:tr w:rsidR="006E643A" w:rsidRPr="00873941" w14:paraId="52993C2A"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61CB62C6" w14:textId="77777777" w:rsidR="006E643A" w:rsidRPr="00873941" w:rsidRDefault="006E643A" w:rsidP="000027A2">
            <w:pPr>
              <w:pStyle w:val="TableText0"/>
              <w:keepNext w:val="0"/>
              <w:keepLines w:val="0"/>
            </w:pPr>
            <w:r w:rsidRPr="00873941">
              <w:rPr>
                <w:b/>
              </w:rPr>
              <w:t>Indication:</w:t>
            </w:r>
            <w:r w:rsidRPr="00873941">
              <w:t xml:space="preserve"> HER2 positive early breast cancer</w:t>
            </w:r>
          </w:p>
        </w:tc>
      </w:tr>
      <w:tr w:rsidR="006E643A" w:rsidRPr="00873941" w14:paraId="0BBCB41D"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5BA60939" w14:textId="1F09F439" w:rsidR="006E643A" w:rsidRPr="00873941" w:rsidRDefault="006E643A" w:rsidP="000027A2">
            <w:pPr>
              <w:pStyle w:val="TableText0"/>
              <w:keepNext w:val="0"/>
              <w:keepLines w:val="0"/>
            </w:pPr>
            <w:r w:rsidRPr="00873941">
              <w:rPr>
                <w:b/>
              </w:rPr>
              <w:t>Treatment Phase:</w:t>
            </w:r>
            <w:r w:rsidRPr="00873941">
              <w:t xml:space="preserve"> </w:t>
            </w:r>
            <w:r w:rsidR="00922706" w:rsidRPr="00873941">
              <w:t>I</w:t>
            </w:r>
            <w:r w:rsidRPr="00873941">
              <w:t>nitial treatment – neoadjuvant treatment</w:t>
            </w:r>
          </w:p>
        </w:tc>
      </w:tr>
      <w:tr w:rsidR="006E643A" w:rsidRPr="00873941" w14:paraId="4E5E5A61"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61567F4B" w14:textId="77777777" w:rsidR="006E643A" w:rsidRPr="00873941" w:rsidRDefault="006E643A" w:rsidP="000027A2">
            <w:pPr>
              <w:pStyle w:val="TableText0"/>
              <w:keepNext w:val="0"/>
              <w:keepLines w:val="0"/>
            </w:pPr>
            <w:r w:rsidRPr="00873941">
              <w:rPr>
                <w:b/>
              </w:rPr>
              <w:t>Clinical criteria:</w:t>
            </w:r>
          </w:p>
        </w:tc>
      </w:tr>
      <w:tr w:rsidR="006E643A" w:rsidRPr="00873941" w14:paraId="5BA8AD06"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14BE17ED" w14:textId="77777777" w:rsidR="006E643A" w:rsidRPr="00873941" w:rsidRDefault="006E643A" w:rsidP="000027A2">
            <w:pPr>
              <w:pStyle w:val="TableText0"/>
              <w:keepNext w:val="0"/>
              <w:keepLines w:val="0"/>
            </w:pPr>
            <w:r w:rsidRPr="00873941">
              <w:t>Patient must have evidence of human epidermal growth factor receptor 2 (HER2) gene amplification as demonstrated by in situ hybridisation (ISH)</w:t>
            </w:r>
          </w:p>
        </w:tc>
      </w:tr>
      <w:tr w:rsidR="006E643A" w:rsidRPr="00873941" w14:paraId="0B2B2CB3"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7102956B" w14:textId="77777777" w:rsidR="006E643A" w:rsidRPr="00873941" w:rsidRDefault="006E643A" w:rsidP="000027A2">
            <w:pPr>
              <w:pStyle w:val="TableText0"/>
              <w:keepNext w:val="0"/>
              <w:keepLines w:val="0"/>
            </w:pPr>
            <w:r w:rsidRPr="00873941">
              <w:rPr>
                <w:b/>
              </w:rPr>
              <w:t>AND</w:t>
            </w:r>
          </w:p>
        </w:tc>
      </w:tr>
      <w:tr w:rsidR="006E643A" w:rsidRPr="00873941" w14:paraId="4F9BD6B5"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125E8833" w14:textId="77777777" w:rsidR="006E643A" w:rsidRPr="00873941" w:rsidRDefault="006E643A" w:rsidP="000027A2">
            <w:pPr>
              <w:pStyle w:val="TableText0"/>
              <w:keepNext w:val="0"/>
              <w:keepLines w:val="0"/>
            </w:pPr>
            <w:r w:rsidRPr="00873941">
              <w:rPr>
                <w:b/>
              </w:rPr>
              <w:t>Clinical criteria:</w:t>
            </w:r>
          </w:p>
        </w:tc>
      </w:tr>
      <w:tr w:rsidR="006E643A" w:rsidRPr="00873941" w14:paraId="1EF55F88"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2888B0DA" w14:textId="77777777" w:rsidR="006E643A" w:rsidRPr="00873941" w:rsidRDefault="006E643A" w:rsidP="000027A2">
            <w:pPr>
              <w:pStyle w:val="TableText0"/>
              <w:keepNext w:val="0"/>
              <w:keepLines w:val="0"/>
            </w:pPr>
            <w:r w:rsidRPr="00873941">
              <w:t>Patient must have locally advanced, inflammatory or early stage (tumour &gt;2 cm in diameter or lymph node positive) breast cancer,</w:t>
            </w:r>
          </w:p>
        </w:tc>
      </w:tr>
      <w:tr w:rsidR="006E643A" w:rsidRPr="00873941" w14:paraId="39BB5F52"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65EB10F" w14:textId="77777777" w:rsidR="006E643A" w:rsidRPr="00873941" w:rsidRDefault="006E643A" w:rsidP="000027A2">
            <w:pPr>
              <w:pStyle w:val="TableText0"/>
              <w:keepNext w:val="0"/>
              <w:keepLines w:val="0"/>
            </w:pPr>
            <w:r w:rsidRPr="00873941">
              <w:rPr>
                <w:b/>
              </w:rPr>
              <w:t>AND</w:t>
            </w:r>
          </w:p>
        </w:tc>
      </w:tr>
      <w:tr w:rsidR="006E643A" w:rsidRPr="00873941" w14:paraId="381E0725"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444A294" w14:textId="55A6A902" w:rsidR="006E643A" w:rsidRPr="00873941" w:rsidRDefault="006E643A" w:rsidP="000027A2">
            <w:pPr>
              <w:pStyle w:val="TableText0"/>
              <w:keepNext w:val="0"/>
              <w:keepLines w:val="0"/>
            </w:pPr>
            <w:r w:rsidRPr="00873941">
              <w:rPr>
                <w:b/>
              </w:rPr>
              <w:t>Clinical criteria:</w:t>
            </w:r>
          </w:p>
        </w:tc>
      </w:tr>
      <w:tr w:rsidR="006E643A" w:rsidRPr="00873941" w14:paraId="1E4C59CC"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304E82F" w14:textId="77777777" w:rsidR="006E643A" w:rsidRPr="00873941" w:rsidRDefault="006E643A" w:rsidP="000027A2">
            <w:pPr>
              <w:pStyle w:val="TableText0"/>
              <w:keepNext w:val="0"/>
              <w:keepLines w:val="0"/>
            </w:pPr>
            <w:r w:rsidRPr="00873941">
              <w:t>Patient must not have undergone surgery for this condition,</w:t>
            </w:r>
          </w:p>
        </w:tc>
      </w:tr>
      <w:tr w:rsidR="006E643A" w:rsidRPr="00873941" w14:paraId="782A16D9"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21DB15C" w14:textId="77777777" w:rsidR="006E643A" w:rsidRPr="00873941" w:rsidRDefault="006E643A" w:rsidP="000027A2">
            <w:pPr>
              <w:pStyle w:val="TableText0"/>
              <w:keepNext w:val="0"/>
              <w:keepLines w:val="0"/>
              <w:rPr>
                <w:color w:val="0066FF"/>
              </w:rPr>
            </w:pPr>
            <w:r w:rsidRPr="00873941">
              <w:rPr>
                <w:b/>
              </w:rPr>
              <w:t>AND</w:t>
            </w:r>
          </w:p>
        </w:tc>
      </w:tr>
      <w:tr w:rsidR="006E643A" w:rsidRPr="00873941" w14:paraId="0DCD6DFE"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1BB6990" w14:textId="40FA56CF" w:rsidR="006E643A" w:rsidRPr="00873941" w:rsidRDefault="006E643A" w:rsidP="000027A2">
            <w:pPr>
              <w:pStyle w:val="TableText0"/>
              <w:keepNext w:val="0"/>
              <w:keepLines w:val="0"/>
            </w:pPr>
            <w:r w:rsidRPr="00873941">
              <w:rPr>
                <w:b/>
              </w:rPr>
              <w:t>Clinical criteria:</w:t>
            </w:r>
          </w:p>
        </w:tc>
      </w:tr>
      <w:tr w:rsidR="006E643A" w:rsidRPr="00873941" w14:paraId="568CCEBA"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D0150FE" w14:textId="77777777" w:rsidR="006E643A" w:rsidRPr="00873941" w:rsidRDefault="006E643A" w:rsidP="000027A2">
            <w:pPr>
              <w:pStyle w:val="TableText0"/>
              <w:keepNext w:val="0"/>
              <w:keepLines w:val="0"/>
            </w:pPr>
            <w:r w:rsidRPr="00873941">
              <w:t>The treatment must be in combination with trastuzumab,</w:t>
            </w:r>
          </w:p>
        </w:tc>
      </w:tr>
      <w:tr w:rsidR="006E643A" w:rsidRPr="00873941" w14:paraId="228DD7F4"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2E3A715" w14:textId="77777777" w:rsidR="006E643A" w:rsidRPr="00873941" w:rsidRDefault="006E643A" w:rsidP="000027A2">
            <w:pPr>
              <w:pStyle w:val="TableText0"/>
              <w:keepNext w:val="0"/>
              <w:keepLines w:val="0"/>
            </w:pPr>
            <w:r w:rsidRPr="00873941">
              <w:rPr>
                <w:b/>
              </w:rPr>
              <w:t>AND</w:t>
            </w:r>
          </w:p>
        </w:tc>
      </w:tr>
      <w:tr w:rsidR="006E643A" w:rsidRPr="00873941" w14:paraId="0E6CD078"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6A260EA" w14:textId="65B654D5" w:rsidR="006E643A" w:rsidRPr="00873941" w:rsidRDefault="006E643A" w:rsidP="000027A2">
            <w:pPr>
              <w:pStyle w:val="TableText0"/>
              <w:keepNext w:val="0"/>
              <w:keepLines w:val="0"/>
            </w:pPr>
            <w:r w:rsidRPr="00873941">
              <w:rPr>
                <w:b/>
              </w:rPr>
              <w:t>Clinical criteria:</w:t>
            </w:r>
          </w:p>
        </w:tc>
      </w:tr>
      <w:tr w:rsidR="006E643A" w:rsidRPr="00873941" w14:paraId="5E8A0C0D"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F864ECD" w14:textId="77777777" w:rsidR="006E643A" w:rsidRPr="00873941" w:rsidRDefault="006E643A" w:rsidP="000027A2">
            <w:pPr>
              <w:pStyle w:val="TableText0"/>
              <w:keepNext w:val="0"/>
              <w:keepLines w:val="0"/>
            </w:pPr>
            <w:r w:rsidRPr="00873941">
              <w:t>The treatment must be in combination with chemotherapy,</w:t>
            </w:r>
          </w:p>
        </w:tc>
      </w:tr>
      <w:tr w:rsidR="006E643A" w:rsidRPr="00873941" w14:paraId="3D825188"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0FD390B" w14:textId="77777777" w:rsidR="006E643A" w:rsidRPr="00873941" w:rsidRDefault="006E643A" w:rsidP="000027A2">
            <w:pPr>
              <w:pStyle w:val="TableText0"/>
              <w:keepNext w:val="0"/>
              <w:keepLines w:val="0"/>
              <w:rPr>
                <w:color w:val="0066FF"/>
              </w:rPr>
            </w:pPr>
            <w:r w:rsidRPr="00873941">
              <w:rPr>
                <w:b/>
              </w:rPr>
              <w:t>AND</w:t>
            </w:r>
          </w:p>
        </w:tc>
      </w:tr>
      <w:tr w:rsidR="006E643A" w:rsidRPr="00873941" w14:paraId="571A32C3"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B7EB608" w14:textId="1CAE15A2" w:rsidR="006E643A" w:rsidRPr="00873941" w:rsidRDefault="006E643A" w:rsidP="000027A2">
            <w:pPr>
              <w:pStyle w:val="TableText0"/>
              <w:keepNext w:val="0"/>
              <w:keepLines w:val="0"/>
            </w:pPr>
            <w:r w:rsidRPr="00873941">
              <w:rPr>
                <w:b/>
              </w:rPr>
              <w:t>Clinical criteria:</w:t>
            </w:r>
          </w:p>
        </w:tc>
      </w:tr>
      <w:tr w:rsidR="006E643A" w:rsidRPr="00873941" w14:paraId="41DE6224"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31A4539" w14:textId="77777777" w:rsidR="006E643A" w:rsidRPr="00873941" w:rsidRDefault="006E643A" w:rsidP="000027A2">
            <w:pPr>
              <w:pStyle w:val="TableText0"/>
              <w:keepNext w:val="0"/>
              <w:keepLines w:val="0"/>
            </w:pPr>
            <w:r w:rsidRPr="00873941">
              <w:t>The treatment must not be used in a patient with a left ventricular ejection fraction (LVEF) of less than 45% and/or with symptomatic heart failure,</w:t>
            </w:r>
          </w:p>
        </w:tc>
      </w:tr>
      <w:tr w:rsidR="006E643A" w:rsidRPr="00873941" w14:paraId="287E121E"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B67CF08" w14:textId="3BA1CFAF" w:rsidR="006E643A" w:rsidRPr="00873941" w:rsidRDefault="006E643A" w:rsidP="000027A2">
            <w:pPr>
              <w:pStyle w:val="TableText0"/>
              <w:keepNext w:val="0"/>
              <w:keepLines w:val="0"/>
              <w:rPr>
                <w:color w:val="0066FF"/>
              </w:rPr>
            </w:pPr>
            <w:r w:rsidRPr="00873941">
              <w:rPr>
                <w:b/>
              </w:rPr>
              <w:t>AND</w:t>
            </w:r>
          </w:p>
        </w:tc>
      </w:tr>
      <w:tr w:rsidR="00AA6F58" w:rsidRPr="00873941" w14:paraId="13BE5FC0" w14:textId="77777777" w:rsidTr="006139B4">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7B0C690" w14:textId="77777777" w:rsidR="00AA6F58" w:rsidRPr="00873941" w:rsidRDefault="00AA6F58" w:rsidP="000027A2">
            <w:pPr>
              <w:pStyle w:val="TableText0"/>
            </w:pPr>
            <w:r w:rsidRPr="00873941">
              <w:rPr>
                <w:b/>
              </w:rPr>
              <w:lastRenderedPageBreak/>
              <w:t>Clinical criteria:</w:t>
            </w:r>
          </w:p>
        </w:tc>
      </w:tr>
      <w:tr w:rsidR="00AA6F58" w:rsidRPr="00873941" w14:paraId="11A08D40" w14:textId="77777777" w:rsidTr="006139B4">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96C0FA3" w14:textId="77777777" w:rsidR="00AA6F58" w:rsidRPr="00873941" w:rsidRDefault="00AA6F58" w:rsidP="000027A2">
            <w:pPr>
              <w:pStyle w:val="TableText0"/>
            </w:pPr>
            <w:r w:rsidRPr="00873941">
              <w:t>Patient must not receive more than 1 treatment cycle under this restriction.</w:t>
            </w:r>
          </w:p>
        </w:tc>
      </w:tr>
      <w:tr w:rsidR="006E643A" w:rsidRPr="00873941" w14:paraId="1E96D7A6" w14:textId="77777777" w:rsidTr="00357E0A">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289A12CF" w14:textId="77777777" w:rsidR="006E643A" w:rsidRPr="00873941" w:rsidRDefault="006E643A" w:rsidP="000027A2">
            <w:pPr>
              <w:pStyle w:val="TableText0"/>
              <w:keepNext w:val="0"/>
              <w:keepLines w:val="0"/>
              <w:rPr>
                <w:b/>
              </w:rPr>
            </w:pPr>
            <w:r w:rsidRPr="00873941">
              <w:rPr>
                <w:b/>
              </w:rPr>
              <w:t xml:space="preserve">Prescribing Instructions: </w:t>
            </w:r>
          </w:p>
          <w:p w14:paraId="39D053E9" w14:textId="77777777" w:rsidR="006E643A" w:rsidRPr="00873941" w:rsidRDefault="006E643A" w:rsidP="000027A2">
            <w:pPr>
              <w:pStyle w:val="TableText0"/>
              <w:keepNext w:val="0"/>
              <w:keepLines w:val="0"/>
              <w:rPr>
                <w:bCs w:val="0"/>
              </w:rPr>
            </w:pPr>
            <w:r w:rsidRPr="00873941">
              <w:rPr>
                <w:bCs w:val="0"/>
              </w:rPr>
              <w:t>Details (date, unique identifying number/code, or provider number) of the pathology report from an Approved Pathology Authority confirming evidence of HER2 gene amplification by in situ hybridisation (ISH) must be provided at the time of application. The pathology report must be documented in the patient's medical records.</w:t>
            </w:r>
          </w:p>
          <w:p w14:paraId="2EE8C28F" w14:textId="77777777" w:rsidR="006E643A" w:rsidRPr="00873941" w:rsidRDefault="006E643A" w:rsidP="000027A2">
            <w:pPr>
              <w:pStyle w:val="TableText0"/>
              <w:keepNext w:val="0"/>
              <w:keepLines w:val="0"/>
              <w:rPr>
                <w:bCs w:val="0"/>
              </w:rPr>
            </w:pPr>
            <w:r w:rsidRPr="00873941">
              <w:rPr>
                <w:bCs w:val="0"/>
              </w:rPr>
              <w:t xml:space="preserve">Cardiac function must be tested by echocardiography (ECHO) or </w:t>
            </w:r>
            <w:proofErr w:type="spellStart"/>
            <w:r w:rsidRPr="00873941">
              <w:rPr>
                <w:bCs w:val="0"/>
              </w:rPr>
              <w:t>multigated</w:t>
            </w:r>
            <w:proofErr w:type="spellEnd"/>
            <w:r w:rsidRPr="00873941">
              <w:rPr>
                <w:bCs w:val="0"/>
              </w:rPr>
              <w:t xml:space="preserve"> acquisition (MUGA), prior to seeking the initial authority approval.</w:t>
            </w:r>
          </w:p>
          <w:p w14:paraId="327CBF9E" w14:textId="77777777" w:rsidR="006E643A" w:rsidRPr="00873941" w:rsidRDefault="006E643A" w:rsidP="000027A2">
            <w:pPr>
              <w:pStyle w:val="TableText0"/>
              <w:keepNext w:val="0"/>
              <w:keepLines w:val="0"/>
              <w:rPr>
                <w:bCs w:val="0"/>
              </w:rPr>
            </w:pPr>
          </w:p>
          <w:p w14:paraId="76CFD7CD" w14:textId="77777777" w:rsidR="006E643A" w:rsidRPr="00873941" w:rsidRDefault="006E643A" w:rsidP="000027A2">
            <w:pPr>
              <w:pStyle w:val="TableText0"/>
              <w:keepNext w:val="0"/>
              <w:keepLines w:val="0"/>
              <w:rPr>
                <w:b/>
                <w:color w:val="0066FF"/>
              </w:rPr>
            </w:pPr>
            <w:r w:rsidRPr="00873941">
              <w:rPr>
                <w:bCs w:val="0"/>
              </w:rPr>
              <w:t>Treatment with this drug for this condition must not exceed 6 treatment cycles (18 weeks) of combined initial and continuing treatment</w:t>
            </w:r>
          </w:p>
        </w:tc>
      </w:tr>
    </w:tbl>
    <w:p w14:paraId="582E64E9" w14:textId="77777777" w:rsidR="006E643A" w:rsidRPr="00873941" w:rsidRDefault="006E643A" w:rsidP="006E64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Requested listing"/>
      </w:tblPr>
      <w:tblGrid>
        <w:gridCol w:w="9017"/>
      </w:tblGrid>
      <w:tr w:rsidR="006E643A" w:rsidRPr="00873941" w14:paraId="3C32D235" w14:textId="77777777" w:rsidTr="00357E0A">
        <w:trPr>
          <w:cantSplit/>
          <w:trHeight w:val="20"/>
        </w:trPr>
        <w:tc>
          <w:tcPr>
            <w:tcW w:w="5000" w:type="pct"/>
          </w:tcPr>
          <w:p w14:paraId="2C0E507F" w14:textId="77777777" w:rsidR="006E643A" w:rsidRPr="00873941" w:rsidRDefault="006E643A" w:rsidP="006139B4">
            <w:pPr>
              <w:pStyle w:val="TableText0"/>
            </w:pPr>
            <w:r w:rsidRPr="00873941">
              <w:rPr>
                <w:b/>
              </w:rPr>
              <w:t xml:space="preserve">Category / Program: </w:t>
            </w:r>
            <w:r w:rsidRPr="00873941">
              <w:t>Section 100 – Efficient Funding of Chemotherapy</w:t>
            </w:r>
          </w:p>
        </w:tc>
      </w:tr>
      <w:tr w:rsidR="006E643A" w:rsidRPr="00873941" w14:paraId="7D60BA85" w14:textId="77777777" w:rsidTr="00357E0A">
        <w:trPr>
          <w:cantSplit/>
          <w:trHeight w:val="20"/>
        </w:trPr>
        <w:tc>
          <w:tcPr>
            <w:tcW w:w="5000" w:type="pct"/>
          </w:tcPr>
          <w:p w14:paraId="04B70C55" w14:textId="77777777" w:rsidR="006E643A" w:rsidRPr="00873941" w:rsidRDefault="006E643A" w:rsidP="006139B4">
            <w:pPr>
              <w:pStyle w:val="TableText0"/>
              <w:rPr>
                <w:b/>
              </w:rPr>
            </w:pPr>
            <w:r w:rsidRPr="00873941">
              <w:rPr>
                <w:b/>
              </w:rPr>
              <w:t xml:space="preserve">Prescriber type: </w:t>
            </w:r>
            <w:r w:rsidRPr="00873941">
              <w:fldChar w:fldCharType="begin">
                <w:ffData>
                  <w:name w:val="Check1"/>
                  <w:enabled/>
                  <w:calcOnExit w:val="0"/>
                  <w:checkBox>
                    <w:sizeAuto/>
                    <w:default w:val="0"/>
                  </w:checkBox>
                </w:ffData>
              </w:fldChar>
            </w:r>
            <w:r w:rsidRPr="00873941">
              <w:instrText xml:space="preserve"> FORMCHECKBOX </w:instrText>
            </w:r>
            <w:r w:rsidRPr="00873941">
              <w:fldChar w:fldCharType="separate"/>
            </w:r>
            <w:r w:rsidRPr="00873941">
              <w:fldChar w:fldCharType="end"/>
            </w:r>
            <w:r w:rsidRPr="00873941">
              <w:t xml:space="preserve">Dental </w:t>
            </w:r>
            <w:r w:rsidRPr="00873941">
              <w:fldChar w:fldCharType="begin">
                <w:ffData>
                  <w:name w:val=""/>
                  <w:enabled/>
                  <w:calcOnExit w:val="0"/>
                  <w:checkBox>
                    <w:sizeAuto/>
                    <w:default w:val="1"/>
                  </w:checkBox>
                </w:ffData>
              </w:fldChar>
            </w:r>
            <w:r w:rsidRPr="00873941">
              <w:instrText xml:space="preserve"> FORMCHECKBOX </w:instrText>
            </w:r>
            <w:r w:rsidRPr="00873941">
              <w:fldChar w:fldCharType="separate"/>
            </w:r>
            <w:r w:rsidRPr="00873941">
              <w:fldChar w:fldCharType="end"/>
            </w:r>
            <w:r w:rsidRPr="00873941">
              <w:t xml:space="preserve">Medical Practitioners </w:t>
            </w:r>
            <w:r w:rsidRPr="00873941">
              <w:fldChar w:fldCharType="begin">
                <w:ffData>
                  <w:name w:val="Check3"/>
                  <w:enabled/>
                  <w:calcOnExit w:val="0"/>
                  <w:checkBox>
                    <w:sizeAuto/>
                    <w:default w:val="0"/>
                  </w:checkBox>
                </w:ffData>
              </w:fldChar>
            </w:r>
            <w:r w:rsidRPr="00873941">
              <w:instrText xml:space="preserve"> FORMCHECKBOX </w:instrText>
            </w:r>
            <w:r w:rsidRPr="00873941">
              <w:fldChar w:fldCharType="separate"/>
            </w:r>
            <w:r w:rsidRPr="00873941">
              <w:fldChar w:fldCharType="end"/>
            </w:r>
            <w:r w:rsidRPr="00873941">
              <w:t xml:space="preserve">Nurse practitioners </w:t>
            </w:r>
            <w:r w:rsidRPr="00873941">
              <w:fldChar w:fldCharType="begin">
                <w:ffData>
                  <w:name w:val=""/>
                  <w:enabled/>
                  <w:calcOnExit w:val="0"/>
                  <w:checkBox>
                    <w:sizeAuto/>
                    <w:default w:val="0"/>
                  </w:checkBox>
                </w:ffData>
              </w:fldChar>
            </w:r>
            <w:r w:rsidRPr="00873941">
              <w:instrText xml:space="preserve"> FORMCHECKBOX </w:instrText>
            </w:r>
            <w:r w:rsidRPr="00873941">
              <w:fldChar w:fldCharType="separate"/>
            </w:r>
            <w:r w:rsidRPr="00873941">
              <w:fldChar w:fldCharType="end"/>
            </w:r>
            <w:r w:rsidRPr="00873941">
              <w:t xml:space="preserve">Optometrists </w:t>
            </w:r>
            <w:r w:rsidRPr="00873941">
              <w:fldChar w:fldCharType="begin">
                <w:ffData>
                  <w:name w:val="Check5"/>
                  <w:enabled/>
                  <w:calcOnExit w:val="0"/>
                  <w:checkBox>
                    <w:sizeAuto/>
                    <w:default w:val="0"/>
                  </w:checkBox>
                </w:ffData>
              </w:fldChar>
            </w:r>
            <w:r w:rsidRPr="00873941">
              <w:instrText xml:space="preserve"> FORMCHECKBOX </w:instrText>
            </w:r>
            <w:r w:rsidRPr="00873941">
              <w:fldChar w:fldCharType="separate"/>
            </w:r>
            <w:r w:rsidRPr="00873941">
              <w:fldChar w:fldCharType="end"/>
            </w:r>
          </w:p>
        </w:tc>
      </w:tr>
      <w:tr w:rsidR="006E643A" w:rsidRPr="00873941" w14:paraId="7722BD58" w14:textId="77777777" w:rsidTr="00357E0A">
        <w:trPr>
          <w:cantSplit/>
          <w:trHeight w:val="20"/>
        </w:trPr>
        <w:tc>
          <w:tcPr>
            <w:tcW w:w="5000" w:type="pct"/>
          </w:tcPr>
          <w:p w14:paraId="02E06F84" w14:textId="77777777" w:rsidR="006E643A" w:rsidRPr="00873941" w:rsidRDefault="006E643A" w:rsidP="006139B4">
            <w:pPr>
              <w:pStyle w:val="TableText0"/>
              <w:rPr>
                <w:rFonts w:eastAsia="Times New Roman"/>
              </w:rPr>
            </w:pPr>
            <w:r w:rsidRPr="00873941">
              <w:rPr>
                <w:b/>
              </w:rPr>
              <w:t xml:space="preserve">Restriction type: </w:t>
            </w:r>
            <w:r w:rsidRPr="00873941">
              <w:rPr>
                <w:rFonts w:eastAsia="Times New Roman"/>
              </w:rPr>
              <w:fldChar w:fldCharType="begin">
                <w:ffData>
                  <w:name w:val=""/>
                  <w:enabled/>
                  <w:calcOnExit w:val="0"/>
                  <w:checkBox>
                    <w:sizeAuto/>
                    <w:default w:val="1"/>
                  </w:checkBox>
                </w:ffData>
              </w:fldChar>
            </w:r>
            <w:r w:rsidRPr="00873941">
              <w:rPr>
                <w:rFonts w:eastAsia="Times New Roman"/>
              </w:rPr>
              <w:instrText xml:space="preserve"> FORMCHECKBOX </w:instrText>
            </w:r>
            <w:r w:rsidRPr="00873941">
              <w:rPr>
                <w:rFonts w:eastAsia="Times New Roman"/>
              </w:rPr>
            </w:r>
            <w:r w:rsidRPr="00873941">
              <w:rPr>
                <w:rFonts w:eastAsia="Times New Roman"/>
              </w:rPr>
              <w:fldChar w:fldCharType="separate"/>
            </w:r>
            <w:r w:rsidRPr="00873941">
              <w:rPr>
                <w:rFonts w:eastAsia="Times New Roman"/>
              </w:rPr>
              <w:fldChar w:fldCharType="end"/>
            </w:r>
            <w:r w:rsidRPr="00873941">
              <w:rPr>
                <w:rFonts w:eastAsia="Times New Roman"/>
              </w:rPr>
              <w:t xml:space="preserve">Authority Required (telephone/online PBS Authorities system) </w:t>
            </w:r>
          </w:p>
        </w:tc>
      </w:tr>
      <w:tr w:rsidR="006E643A" w:rsidRPr="00873941" w14:paraId="05EB9F40" w14:textId="77777777" w:rsidTr="00357E0A">
        <w:trPr>
          <w:cantSplit/>
          <w:trHeight w:val="20"/>
        </w:trPr>
        <w:tc>
          <w:tcPr>
            <w:tcW w:w="5000" w:type="pct"/>
            <w:vAlign w:val="center"/>
            <w:hideMark/>
          </w:tcPr>
          <w:p w14:paraId="0AC6C120" w14:textId="77777777" w:rsidR="006E643A" w:rsidRPr="00873941" w:rsidRDefault="006E643A" w:rsidP="006139B4">
            <w:pPr>
              <w:pStyle w:val="TableText0"/>
            </w:pPr>
            <w:r w:rsidRPr="00873941">
              <w:rPr>
                <w:b/>
              </w:rPr>
              <w:t>Indication:</w:t>
            </w:r>
            <w:r w:rsidRPr="00873941">
              <w:t xml:space="preserve"> HER2-positive early breast cancer</w:t>
            </w:r>
          </w:p>
        </w:tc>
      </w:tr>
      <w:tr w:rsidR="006E643A" w:rsidRPr="00873941" w14:paraId="7F04AEB1" w14:textId="77777777" w:rsidTr="00357E0A">
        <w:trPr>
          <w:cantSplit/>
          <w:trHeight w:val="20"/>
        </w:trPr>
        <w:tc>
          <w:tcPr>
            <w:tcW w:w="5000" w:type="pct"/>
            <w:vAlign w:val="center"/>
            <w:hideMark/>
          </w:tcPr>
          <w:p w14:paraId="3B491DB0" w14:textId="77777777" w:rsidR="006E643A" w:rsidRPr="00873941" w:rsidRDefault="006E643A" w:rsidP="006139B4">
            <w:pPr>
              <w:pStyle w:val="TableText0"/>
            </w:pPr>
            <w:r w:rsidRPr="00873941">
              <w:rPr>
                <w:b/>
              </w:rPr>
              <w:t>Treatment Phase:</w:t>
            </w:r>
            <w:r w:rsidRPr="00873941">
              <w:t xml:space="preserve"> </w:t>
            </w:r>
            <w:r w:rsidRPr="00873941">
              <w:rPr>
                <w:bCs w:val="0"/>
              </w:rPr>
              <w:t>Continuing treatment – neoadjuvant treatment</w:t>
            </w:r>
          </w:p>
        </w:tc>
      </w:tr>
      <w:tr w:rsidR="006E643A" w:rsidRPr="00873941" w14:paraId="58208B92" w14:textId="77777777" w:rsidTr="00357E0A">
        <w:trPr>
          <w:cantSplit/>
          <w:trHeight w:val="20"/>
        </w:trPr>
        <w:tc>
          <w:tcPr>
            <w:tcW w:w="5000" w:type="pct"/>
            <w:vAlign w:val="center"/>
            <w:hideMark/>
          </w:tcPr>
          <w:p w14:paraId="71AEC09F" w14:textId="77777777" w:rsidR="006E643A" w:rsidRPr="00873941" w:rsidRDefault="006E643A" w:rsidP="006139B4">
            <w:pPr>
              <w:pStyle w:val="TableText0"/>
            </w:pPr>
            <w:r w:rsidRPr="00873941">
              <w:rPr>
                <w:b/>
              </w:rPr>
              <w:t>Clinical criteria:</w:t>
            </w:r>
          </w:p>
        </w:tc>
      </w:tr>
      <w:tr w:rsidR="006E643A" w:rsidRPr="00873941" w14:paraId="0E23A0ED" w14:textId="77777777" w:rsidTr="00357E0A">
        <w:trPr>
          <w:cantSplit/>
          <w:trHeight w:val="20"/>
        </w:trPr>
        <w:tc>
          <w:tcPr>
            <w:tcW w:w="5000" w:type="pct"/>
            <w:vAlign w:val="center"/>
            <w:hideMark/>
          </w:tcPr>
          <w:p w14:paraId="73974AF5" w14:textId="77777777" w:rsidR="006E643A" w:rsidRPr="00873941" w:rsidRDefault="006E643A" w:rsidP="006139B4">
            <w:pPr>
              <w:pStyle w:val="TableText0"/>
            </w:pPr>
            <w:r w:rsidRPr="00873941">
              <w:t>Patient must have previously received PBS-subsidised treatment with this drug for this condition,</w:t>
            </w:r>
          </w:p>
        </w:tc>
      </w:tr>
      <w:tr w:rsidR="006E643A" w:rsidRPr="00873941" w14:paraId="6DC952F7" w14:textId="77777777" w:rsidTr="00357E0A">
        <w:trPr>
          <w:cantSplit/>
          <w:trHeight w:val="20"/>
        </w:trPr>
        <w:tc>
          <w:tcPr>
            <w:tcW w:w="5000" w:type="pct"/>
            <w:vAlign w:val="center"/>
            <w:hideMark/>
          </w:tcPr>
          <w:p w14:paraId="07E16AC2" w14:textId="77777777" w:rsidR="006E643A" w:rsidRPr="00873941" w:rsidRDefault="006E643A" w:rsidP="006139B4">
            <w:pPr>
              <w:pStyle w:val="TableText0"/>
            </w:pPr>
            <w:r w:rsidRPr="00873941">
              <w:rPr>
                <w:b/>
              </w:rPr>
              <w:t>AND</w:t>
            </w:r>
          </w:p>
        </w:tc>
      </w:tr>
      <w:tr w:rsidR="006E643A" w:rsidRPr="00873941" w14:paraId="6877FD74" w14:textId="77777777" w:rsidTr="00357E0A">
        <w:trPr>
          <w:cantSplit/>
          <w:trHeight w:val="20"/>
        </w:trPr>
        <w:tc>
          <w:tcPr>
            <w:tcW w:w="5000" w:type="pct"/>
            <w:vAlign w:val="center"/>
            <w:hideMark/>
          </w:tcPr>
          <w:p w14:paraId="5F80BA4D" w14:textId="67BC923C" w:rsidR="006E643A" w:rsidRPr="00873941" w:rsidRDefault="006E643A" w:rsidP="006139B4">
            <w:pPr>
              <w:pStyle w:val="TableText0"/>
            </w:pPr>
            <w:r w:rsidRPr="00873941">
              <w:rPr>
                <w:b/>
              </w:rPr>
              <w:t>Clinical criteria:</w:t>
            </w:r>
          </w:p>
        </w:tc>
      </w:tr>
      <w:tr w:rsidR="006E643A" w:rsidRPr="00873941" w14:paraId="52BD4E08" w14:textId="77777777" w:rsidTr="00357E0A">
        <w:trPr>
          <w:cantSplit/>
          <w:trHeight w:val="20"/>
        </w:trPr>
        <w:tc>
          <w:tcPr>
            <w:tcW w:w="5000" w:type="pct"/>
            <w:vAlign w:val="center"/>
            <w:hideMark/>
          </w:tcPr>
          <w:p w14:paraId="5E43310B" w14:textId="77777777" w:rsidR="006E643A" w:rsidRPr="00873941" w:rsidRDefault="006E643A" w:rsidP="006139B4">
            <w:pPr>
              <w:pStyle w:val="TableText0"/>
            </w:pPr>
            <w:r w:rsidRPr="00873941">
              <w:t>The treatment must be in combination with trastuzumab,</w:t>
            </w:r>
          </w:p>
        </w:tc>
      </w:tr>
      <w:tr w:rsidR="006E643A" w:rsidRPr="00873941" w14:paraId="74407D25" w14:textId="68210589" w:rsidTr="00357E0A">
        <w:trPr>
          <w:cantSplit/>
          <w:trHeight w:val="20"/>
        </w:trPr>
        <w:tc>
          <w:tcPr>
            <w:tcW w:w="5000" w:type="pct"/>
            <w:vAlign w:val="center"/>
          </w:tcPr>
          <w:p w14:paraId="43677D58" w14:textId="25813027" w:rsidR="006E643A" w:rsidRPr="00873941" w:rsidRDefault="006E643A" w:rsidP="006139B4">
            <w:pPr>
              <w:pStyle w:val="TableText0"/>
            </w:pPr>
            <w:r w:rsidRPr="00873941">
              <w:rPr>
                <w:b/>
              </w:rPr>
              <w:t>Clinical criteria:</w:t>
            </w:r>
          </w:p>
        </w:tc>
      </w:tr>
      <w:tr w:rsidR="006E643A" w:rsidRPr="00873941" w14:paraId="56979950" w14:textId="77777777" w:rsidTr="00357E0A">
        <w:trPr>
          <w:cantSplit/>
          <w:trHeight w:val="20"/>
        </w:trPr>
        <w:tc>
          <w:tcPr>
            <w:tcW w:w="5000" w:type="pct"/>
            <w:vAlign w:val="center"/>
          </w:tcPr>
          <w:p w14:paraId="690DEF06" w14:textId="77777777" w:rsidR="006E643A" w:rsidRPr="00873941" w:rsidRDefault="006E643A" w:rsidP="006139B4">
            <w:pPr>
              <w:pStyle w:val="TableText0"/>
            </w:pPr>
            <w:r w:rsidRPr="00873941">
              <w:t>The treatment must be in combination with chemotherapy,</w:t>
            </w:r>
          </w:p>
        </w:tc>
      </w:tr>
      <w:tr w:rsidR="006E643A" w:rsidRPr="00873941" w14:paraId="33376B9E" w14:textId="77777777" w:rsidTr="00357E0A">
        <w:trPr>
          <w:cantSplit/>
          <w:trHeight w:val="20"/>
        </w:trPr>
        <w:tc>
          <w:tcPr>
            <w:tcW w:w="5000" w:type="pct"/>
            <w:vAlign w:val="center"/>
          </w:tcPr>
          <w:p w14:paraId="10E16DA1" w14:textId="77777777" w:rsidR="006E643A" w:rsidRPr="00873941" w:rsidRDefault="006E643A" w:rsidP="006139B4">
            <w:pPr>
              <w:pStyle w:val="TableText0"/>
              <w:rPr>
                <w:color w:val="0066FF"/>
              </w:rPr>
            </w:pPr>
            <w:r w:rsidRPr="00873941">
              <w:rPr>
                <w:b/>
              </w:rPr>
              <w:t>AND</w:t>
            </w:r>
          </w:p>
        </w:tc>
      </w:tr>
      <w:tr w:rsidR="006E643A" w:rsidRPr="00873941" w14:paraId="562103C6" w14:textId="77777777" w:rsidTr="00357E0A">
        <w:trPr>
          <w:cantSplit/>
          <w:trHeight w:val="20"/>
        </w:trPr>
        <w:tc>
          <w:tcPr>
            <w:tcW w:w="5000" w:type="pct"/>
            <w:vAlign w:val="center"/>
          </w:tcPr>
          <w:p w14:paraId="702853BA" w14:textId="1D4E087C" w:rsidR="006E643A" w:rsidRPr="00873941" w:rsidRDefault="006E643A" w:rsidP="006139B4">
            <w:pPr>
              <w:pStyle w:val="TableText0"/>
              <w:rPr>
                <w:color w:val="0066FF"/>
              </w:rPr>
            </w:pPr>
            <w:r w:rsidRPr="00873941">
              <w:rPr>
                <w:b/>
              </w:rPr>
              <w:t>Clinical criteria:</w:t>
            </w:r>
          </w:p>
        </w:tc>
      </w:tr>
      <w:tr w:rsidR="006E643A" w:rsidRPr="00873941" w14:paraId="087F6095" w14:textId="77777777" w:rsidTr="00357E0A">
        <w:trPr>
          <w:cantSplit/>
          <w:trHeight w:val="20"/>
        </w:trPr>
        <w:tc>
          <w:tcPr>
            <w:tcW w:w="5000" w:type="pct"/>
            <w:vAlign w:val="center"/>
          </w:tcPr>
          <w:p w14:paraId="4B9AB0D9" w14:textId="77777777" w:rsidR="006E643A" w:rsidRPr="00873941" w:rsidRDefault="006E643A" w:rsidP="006139B4">
            <w:pPr>
              <w:pStyle w:val="TableText0"/>
            </w:pPr>
            <w:r w:rsidRPr="00873941">
              <w:t>The treatment must not be used in a patient with a left ventricular ejection fraction (LVEF) of less than 45% and/or with symptomatic heart failure,</w:t>
            </w:r>
          </w:p>
        </w:tc>
      </w:tr>
      <w:tr w:rsidR="00AA6F58" w:rsidRPr="00873941" w14:paraId="06F7F17D" w14:textId="77777777" w:rsidTr="006139B4">
        <w:trPr>
          <w:cantSplit/>
          <w:trHeight w:val="20"/>
        </w:trPr>
        <w:tc>
          <w:tcPr>
            <w:tcW w:w="5000" w:type="pct"/>
            <w:vAlign w:val="center"/>
          </w:tcPr>
          <w:p w14:paraId="75C44E2C" w14:textId="77777777" w:rsidR="00AA6F58" w:rsidRPr="00873941" w:rsidRDefault="00AA6F58" w:rsidP="006139B4">
            <w:pPr>
              <w:pStyle w:val="TableText0"/>
            </w:pPr>
            <w:r w:rsidRPr="00873941">
              <w:rPr>
                <w:b/>
              </w:rPr>
              <w:t>AND</w:t>
            </w:r>
          </w:p>
        </w:tc>
      </w:tr>
      <w:tr w:rsidR="00AA6F58" w:rsidRPr="00873941" w14:paraId="7345139E" w14:textId="77777777" w:rsidTr="006139B4">
        <w:trPr>
          <w:cantSplit/>
          <w:trHeight w:val="20"/>
        </w:trPr>
        <w:tc>
          <w:tcPr>
            <w:tcW w:w="5000" w:type="pct"/>
            <w:vAlign w:val="center"/>
          </w:tcPr>
          <w:p w14:paraId="70F7F37E" w14:textId="77777777" w:rsidR="00AA6F58" w:rsidRPr="00873941" w:rsidRDefault="00AA6F58" w:rsidP="006139B4">
            <w:pPr>
              <w:pStyle w:val="TableText0"/>
            </w:pPr>
            <w:r w:rsidRPr="00873941">
              <w:rPr>
                <w:b/>
              </w:rPr>
              <w:t>Clinical criteria:</w:t>
            </w:r>
          </w:p>
        </w:tc>
      </w:tr>
      <w:tr w:rsidR="00AA6F58" w:rsidRPr="00873941" w14:paraId="168A2825" w14:textId="77777777" w:rsidTr="006139B4">
        <w:trPr>
          <w:cantSplit/>
          <w:trHeight w:val="20"/>
        </w:trPr>
        <w:tc>
          <w:tcPr>
            <w:tcW w:w="5000" w:type="pct"/>
            <w:vAlign w:val="center"/>
          </w:tcPr>
          <w:p w14:paraId="3C0E9580" w14:textId="77777777" w:rsidR="00AA6F58" w:rsidRPr="00873941" w:rsidRDefault="00AA6F58" w:rsidP="006139B4">
            <w:pPr>
              <w:pStyle w:val="TableText0"/>
            </w:pPr>
            <w:r w:rsidRPr="00873941">
              <w:t>Patient must not receive more than 5 treatment cycles under this restriction.</w:t>
            </w:r>
          </w:p>
        </w:tc>
      </w:tr>
      <w:tr w:rsidR="006E643A" w:rsidRPr="00873941" w14:paraId="18F0E73F" w14:textId="77777777" w:rsidTr="00357E0A">
        <w:trPr>
          <w:cantSplit/>
          <w:trHeight w:val="20"/>
        </w:trPr>
        <w:tc>
          <w:tcPr>
            <w:tcW w:w="5000" w:type="pct"/>
            <w:vAlign w:val="center"/>
            <w:hideMark/>
          </w:tcPr>
          <w:p w14:paraId="21A6D973" w14:textId="77777777" w:rsidR="006E643A" w:rsidRPr="00873941" w:rsidRDefault="006E643A" w:rsidP="006139B4">
            <w:pPr>
              <w:pStyle w:val="TableText0"/>
            </w:pPr>
            <w:r w:rsidRPr="00873941">
              <w:rPr>
                <w:b/>
              </w:rPr>
              <w:t xml:space="preserve">Prescribing Instructions: </w:t>
            </w:r>
            <w:r w:rsidRPr="00873941">
              <w:rPr>
                <w:bCs w:val="0"/>
              </w:rPr>
              <w:t>Treatment with this drug for this condition must not exceed 6 treatment cycles (18 weeks) of combined initial and continuing treatment.</w:t>
            </w:r>
          </w:p>
        </w:tc>
      </w:tr>
    </w:tbl>
    <w:p w14:paraId="542009CE" w14:textId="77777777" w:rsidR="004A023D" w:rsidRDefault="004A023D" w:rsidP="00D30127">
      <w:pPr>
        <w:pStyle w:val="3-BodyText"/>
        <w:numPr>
          <w:ilvl w:val="0"/>
          <w:numId w:val="0"/>
        </w:numPr>
        <w:ind w:left="720"/>
      </w:pPr>
    </w:p>
    <w:p w14:paraId="2662A815" w14:textId="21F0FFD5" w:rsidR="006E643A" w:rsidRPr="00873941" w:rsidRDefault="00922706" w:rsidP="00F9393E">
      <w:pPr>
        <w:pStyle w:val="3-BodyText"/>
      </w:pPr>
      <w:r w:rsidRPr="00873941">
        <w:t>The requested effective price (AEMP = $</w:t>
      </w:r>
      <w:r w:rsidR="00471EB9" w:rsidRPr="00471EB9">
        <w:rPr>
          <w:color w:val="000000"/>
          <w:w w:val="62"/>
          <w:shd w:val="solid" w:color="000000" w:fill="000000"/>
          <w:fitText w:val="480" w:id="-694408444"/>
          <w14:textFill>
            <w14:solidFill>
              <w14:srgbClr w14:val="000000">
                <w14:alpha w14:val="100000"/>
              </w14:srgbClr>
            </w14:solidFill>
          </w14:textFill>
        </w:rPr>
        <w:t>|||  ||</w:t>
      </w:r>
      <w:r w:rsidR="00471EB9" w:rsidRPr="00471EB9">
        <w:rPr>
          <w:color w:val="000000"/>
          <w:spacing w:val="2"/>
          <w:w w:val="62"/>
          <w:shd w:val="solid" w:color="000000" w:fill="000000"/>
          <w:fitText w:val="480" w:id="-694408444"/>
          <w14:textFill>
            <w14:solidFill>
              <w14:srgbClr w14:val="000000">
                <w14:alpha w14:val="100000"/>
              </w14:srgbClr>
            </w14:solidFill>
          </w14:textFill>
        </w:rPr>
        <w:t>|</w:t>
      </w:r>
      <w:r w:rsidRPr="00873941">
        <w:t>) was lower than the requested price in the March 2020 submission (AEMP = $</w:t>
      </w:r>
      <w:r w:rsidR="00471EB9" w:rsidRPr="00471EB9">
        <w:rPr>
          <w:color w:val="000000"/>
          <w:w w:val="62"/>
          <w:shd w:val="solid" w:color="000000" w:fill="000000"/>
          <w:fitText w:val="480" w:id="-694408443"/>
          <w14:textFill>
            <w14:solidFill>
              <w14:srgbClr w14:val="000000">
                <w14:alpha w14:val="100000"/>
              </w14:srgbClr>
            </w14:solidFill>
          </w14:textFill>
        </w:rPr>
        <w:t>|||  ||</w:t>
      </w:r>
      <w:r w:rsidR="00471EB9" w:rsidRPr="00471EB9">
        <w:rPr>
          <w:color w:val="000000"/>
          <w:spacing w:val="2"/>
          <w:w w:val="62"/>
          <w:shd w:val="solid" w:color="000000" w:fill="000000"/>
          <w:fitText w:val="480" w:id="-694408443"/>
          <w14:textFill>
            <w14:solidFill>
              <w14:srgbClr w14:val="000000">
                <w14:alpha w14:val="100000"/>
              </w14:srgbClr>
            </w14:solidFill>
          </w14:textFill>
        </w:rPr>
        <w:t>|</w:t>
      </w:r>
      <w:r w:rsidRPr="00873941">
        <w:t xml:space="preserve">). The resubmission stated that this represented a </w:t>
      </w:r>
      <w:r w:rsidR="00471EB9" w:rsidRPr="00471EB9">
        <w:rPr>
          <w:color w:val="000000"/>
          <w:w w:val="60"/>
          <w:shd w:val="solid" w:color="000000" w:fill="000000"/>
          <w:fitText w:val="470" w:id="-694408442"/>
          <w14:textFill>
            <w14:solidFill>
              <w14:srgbClr w14:val="000000">
                <w14:alpha w14:val="100000"/>
              </w14:srgbClr>
            </w14:solidFill>
          </w14:textFill>
        </w:rPr>
        <w:t>|||  ||</w:t>
      </w:r>
      <w:r w:rsidR="00471EB9" w:rsidRPr="00471EB9">
        <w:rPr>
          <w:color w:val="000000"/>
          <w:spacing w:val="6"/>
          <w:w w:val="60"/>
          <w:shd w:val="solid" w:color="000000" w:fill="000000"/>
          <w:fitText w:val="470" w:id="-694408442"/>
          <w14:textFill>
            <w14:solidFill>
              <w14:srgbClr w14:val="000000">
                <w14:alpha w14:val="100000"/>
              </w14:srgbClr>
            </w14:solidFill>
          </w14:textFill>
        </w:rPr>
        <w:t>|</w:t>
      </w:r>
      <w:r w:rsidRPr="00873941">
        <w:t>% reduction in the price per vial compared to the previous submission.</w:t>
      </w:r>
    </w:p>
    <w:p w14:paraId="54B982D6" w14:textId="50FB4B76" w:rsidR="00922706" w:rsidRPr="00873941" w:rsidRDefault="00922706" w:rsidP="00F9393E">
      <w:pPr>
        <w:pStyle w:val="3-BodyText"/>
      </w:pPr>
      <w:r w:rsidRPr="00873941">
        <w:t>The requested effective price was lower than the price of pertuzumab as treatment (in combination with trastuzumab and docetaxel) for metastatic breast cancer (</w:t>
      </w:r>
      <w:proofErr w:type="spellStart"/>
      <w:r w:rsidRPr="00873941">
        <w:t>mBC</w:t>
      </w:r>
      <w:proofErr w:type="spellEnd"/>
      <w:r w:rsidRPr="00873941">
        <w:t>) (AEMP = $</w:t>
      </w:r>
      <w:r w:rsidR="00471EB9" w:rsidRPr="005F7B87">
        <w:rPr>
          <w:color w:val="000000"/>
          <w:w w:val="60"/>
          <w:shd w:val="solid" w:color="000000" w:fill="000000"/>
          <w:fitText w:val="470" w:id="-694408441"/>
          <w14:textFill>
            <w14:solidFill>
              <w14:srgbClr w14:val="000000">
                <w14:alpha w14:val="100000"/>
              </w14:srgbClr>
            </w14:solidFill>
          </w14:textFill>
        </w:rPr>
        <w:t>|||  ||</w:t>
      </w:r>
      <w:r w:rsidR="00471EB9" w:rsidRPr="005F7B87">
        <w:rPr>
          <w:color w:val="000000"/>
          <w:spacing w:val="6"/>
          <w:w w:val="60"/>
          <w:shd w:val="solid" w:color="000000" w:fill="000000"/>
          <w:fitText w:val="470" w:id="-694408441"/>
          <w14:textFill>
            <w14:solidFill>
              <w14:srgbClr w14:val="000000">
                <w14:alpha w14:val="100000"/>
              </w14:srgbClr>
            </w14:solidFill>
          </w14:textFill>
        </w:rPr>
        <w:t>|</w:t>
      </w:r>
      <w:r w:rsidRPr="00873941">
        <w:t>).</w:t>
      </w:r>
      <w:r w:rsidR="002A2B70" w:rsidRPr="00873941">
        <w:rPr>
          <w:rStyle w:val="FootnoteReference"/>
        </w:rPr>
        <w:footnoteReference w:id="5"/>
      </w:r>
    </w:p>
    <w:p w14:paraId="6C85D8EA" w14:textId="59A62F2B" w:rsidR="00E768C6" w:rsidRPr="00873941" w:rsidRDefault="00E768C6" w:rsidP="00E768C6">
      <w:pPr>
        <w:pStyle w:val="3-BodyText"/>
      </w:pPr>
      <w:r w:rsidRPr="00873941">
        <w:lastRenderedPageBreak/>
        <w:t>The resubmission noted the following discrepancies between the proposed PBS restrictions and the TGA PI and/or clinical trial evidence:</w:t>
      </w:r>
    </w:p>
    <w:p w14:paraId="65DF7C18" w14:textId="0179809D" w:rsidR="00E768C6" w:rsidRPr="00873941" w:rsidRDefault="00E768C6" w:rsidP="002A163F">
      <w:pPr>
        <w:pStyle w:val="ListParagraph"/>
        <w:jc w:val="both"/>
      </w:pPr>
      <w:r w:rsidRPr="00873941">
        <w:t xml:space="preserve">The proposed threshold for left ventricular ejection fraction (LVEF) of ≥45% </w:t>
      </w:r>
      <w:r w:rsidR="00AC3EEF" w:rsidRPr="00873941">
        <w:t>wa</w:t>
      </w:r>
      <w:r w:rsidRPr="00873941">
        <w:t>s misaligned with the pivotal clinical evidence and the TGA Product Information (PI) of ≥55%. The ESC previously accepted that it would be appropriate to align the LVEF criteria with the current trastuzumab listing (i.e., ≥45%) to allow patients to be eligible for both drugs if they are to be used concurrently (</w:t>
      </w:r>
      <w:r w:rsidR="00DF68C0" w:rsidRPr="00873941">
        <w:t>para. 3.4, pertuzumab, PSD, March 2020 PBAC meeting).</w:t>
      </w:r>
    </w:p>
    <w:p w14:paraId="49A8A4EC" w14:textId="78B5E56C" w:rsidR="00E768C6" w:rsidRPr="00873941" w:rsidRDefault="00E768C6" w:rsidP="002A163F">
      <w:pPr>
        <w:pStyle w:val="ListParagraph"/>
        <w:jc w:val="both"/>
      </w:pPr>
      <w:r w:rsidRPr="00873941">
        <w:t xml:space="preserve">In the pivotal clinical trials, </w:t>
      </w:r>
      <w:r w:rsidR="00B258B1" w:rsidRPr="00873941">
        <w:t xml:space="preserve">participants </w:t>
      </w:r>
      <w:r w:rsidRPr="00873941">
        <w:t xml:space="preserve">were treated with neoadjuvant pertuzumab for either 4 (NEOSPHERE, PEONY, I-SPY2) or 6 (TRYPHAENA) cycles. The </w:t>
      </w:r>
      <w:r w:rsidR="002A163F" w:rsidRPr="00873941">
        <w:t xml:space="preserve">proposed </w:t>
      </w:r>
      <w:r w:rsidRPr="00873941">
        <w:t xml:space="preserve">restriction </w:t>
      </w:r>
      <w:r w:rsidR="002A163F" w:rsidRPr="00873941">
        <w:t xml:space="preserve">included </w:t>
      </w:r>
      <w:r w:rsidRPr="00873941">
        <w:t xml:space="preserve">up to 6 cycles of treatment, consistent with the TGA PI and treatment guidelines. </w:t>
      </w:r>
    </w:p>
    <w:p w14:paraId="65CBC367" w14:textId="0699CD74" w:rsidR="00E768C6" w:rsidRPr="00873941" w:rsidRDefault="00E768C6" w:rsidP="002A163F">
      <w:pPr>
        <w:pStyle w:val="ListParagraph"/>
        <w:jc w:val="both"/>
      </w:pPr>
      <w:r w:rsidRPr="00873941">
        <w:t>The chemotherapy agents used in combination with pertuzumab in the pivotal clinical trials included docetaxel (NEOSPHERE, PEONY) and either an anthracycline regimen or carboplatin (TRYPHAENA). As per the original submission, the resubmission proposed that the restriction does not specify the chemotherapy agent or regimen to be used in combination with pertuzumab and trastuzumab. The ESC and DUSC previously considered it reasonable to not specify the chemotherapy regimen in the restriction (para. 3.4, pertuzumab, PSD, March 2020 PBAC meeting).</w:t>
      </w:r>
    </w:p>
    <w:p w14:paraId="5514462B" w14:textId="795B6098" w:rsidR="00E768C6" w:rsidRPr="00873941" w:rsidRDefault="009D2453" w:rsidP="00E768C6">
      <w:pPr>
        <w:pStyle w:val="3-BodyText"/>
      </w:pPr>
      <w:r>
        <w:t>T</w:t>
      </w:r>
      <w:r w:rsidR="00E768C6" w:rsidRPr="00873941">
        <w:t xml:space="preserve">he requested listing </w:t>
      </w:r>
      <w:r w:rsidR="00EB331F" w:rsidRPr="00873941">
        <w:t xml:space="preserve">included </w:t>
      </w:r>
      <w:r w:rsidR="00E768C6" w:rsidRPr="00873941">
        <w:t>patients with inflammatory breast cancer</w:t>
      </w:r>
      <w:r w:rsidR="00EB331F" w:rsidRPr="00873941">
        <w:t>, however there were only a small number of these participants included in the trials (</w:t>
      </w:r>
      <w:r w:rsidR="00E768C6" w:rsidRPr="00873941">
        <w:t>17 in the NEOSPHERE trial</w:t>
      </w:r>
      <w:r w:rsidR="00EB331F" w:rsidRPr="00873941">
        <w:t>,</w:t>
      </w:r>
      <w:r w:rsidR="00E768C6" w:rsidRPr="00873941">
        <w:t xml:space="preserve"> 9 in the TRYPHAENA trial</w:t>
      </w:r>
      <w:r w:rsidR="00EB331F" w:rsidRPr="00873941">
        <w:t>, 0 in the PEONY trial, and the number was not reported for the I-SPY2 trial)</w:t>
      </w:r>
      <w:r w:rsidR="00E768C6" w:rsidRPr="00873941">
        <w:t xml:space="preserve">. </w:t>
      </w:r>
      <w:r w:rsidR="009D5DDF">
        <w:t>The PBAC considered it was reasonable for the restrictions not to exclude these patients.</w:t>
      </w:r>
    </w:p>
    <w:p w14:paraId="7D3E03D3" w14:textId="13811D65" w:rsidR="00356CAD" w:rsidRPr="00A3343C" w:rsidRDefault="00436B12" w:rsidP="00E768C6">
      <w:pPr>
        <w:pStyle w:val="3-BodyText"/>
      </w:pPr>
      <w:bookmarkStart w:id="15" w:name="_Ref193210871"/>
      <w:r w:rsidRPr="00A3343C">
        <w:t xml:space="preserve">The </w:t>
      </w:r>
      <w:r w:rsidR="009D5DDF">
        <w:t xml:space="preserve">PBAC agreed with the </w:t>
      </w:r>
      <w:r w:rsidRPr="00A3343C">
        <w:t xml:space="preserve">ESC it may be helpful to include “high risk” in the </w:t>
      </w:r>
      <w:r w:rsidR="004303F8" w:rsidRPr="00A3343C">
        <w:t>clinical criteria</w:t>
      </w:r>
      <w:r w:rsidR="002D25BC" w:rsidRPr="00A3343C">
        <w:t>, for clarity:</w:t>
      </w:r>
      <w:r w:rsidR="001114D9" w:rsidRPr="00A3343C">
        <w:t xml:space="preserve"> “</w:t>
      </w:r>
      <w:r w:rsidR="002D25BC" w:rsidRPr="00A3343C">
        <w:t xml:space="preserve">Patient must have </w:t>
      </w:r>
      <w:r w:rsidR="001114D9" w:rsidRPr="00A3343C">
        <w:t xml:space="preserve">locally advanced, inflammatory or early stage </w:t>
      </w:r>
      <w:r w:rsidR="002D25BC" w:rsidRPr="00A3343C">
        <w:rPr>
          <w:u w:val="single"/>
        </w:rPr>
        <w:t>high risk</w:t>
      </w:r>
      <w:r w:rsidR="002D25BC" w:rsidRPr="00A3343C">
        <w:t xml:space="preserve"> </w:t>
      </w:r>
      <w:r w:rsidR="001114D9" w:rsidRPr="00A3343C">
        <w:t>(tumour &gt;2 cm in diameter or lymph node positive) breast cancer”.</w:t>
      </w:r>
      <w:bookmarkEnd w:id="15"/>
      <w:r w:rsidR="001114D9" w:rsidRPr="00A3343C">
        <w:t xml:space="preserve"> </w:t>
      </w:r>
    </w:p>
    <w:p w14:paraId="4F00713E" w14:textId="3820E593" w:rsidR="008A4C7A" w:rsidRDefault="00E923E1" w:rsidP="008A4C7A">
      <w:pPr>
        <w:pStyle w:val="3-BodyText"/>
      </w:pPr>
      <w:r>
        <w:t xml:space="preserve">The PBAC </w:t>
      </w:r>
      <w:r w:rsidR="009715C8">
        <w:t xml:space="preserve">noted that the </w:t>
      </w:r>
      <w:r w:rsidR="00CC5FAD">
        <w:t xml:space="preserve">clinical place and cost effectiveness </w:t>
      </w:r>
      <w:r w:rsidR="006D67FC">
        <w:t xml:space="preserve">for pertuzumab </w:t>
      </w:r>
      <w:r w:rsidR="00CC5FAD">
        <w:t xml:space="preserve">were most </w:t>
      </w:r>
      <w:r w:rsidR="006D67FC">
        <w:t>established</w:t>
      </w:r>
      <w:r w:rsidR="00CC5FAD">
        <w:t xml:space="preserve"> in the neoadjuvant setting, but </w:t>
      </w:r>
      <w:r>
        <w:t xml:space="preserve">considered that </w:t>
      </w:r>
      <w:r w:rsidR="009C62D0">
        <w:t xml:space="preserve">it would be preferable for the restrictions to allow treatment in the </w:t>
      </w:r>
      <w:r w:rsidR="00696A6E">
        <w:t>adjuvant setting</w:t>
      </w:r>
      <w:r w:rsidR="00D1676D">
        <w:t xml:space="preserve"> (with or without prior neoadjuvant pertuzumab)</w:t>
      </w:r>
      <w:r w:rsidR="00E43B33">
        <w:t xml:space="preserve">, </w:t>
      </w:r>
      <w:r w:rsidR="00D3464E">
        <w:t xml:space="preserve">to address equity issues, and </w:t>
      </w:r>
      <w:r w:rsidR="00E43B33">
        <w:t>consistent with the Australian PI and international guidelines.</w:t>
      </w:r>
    </w:p>
    <w:p w14:paraId="49C9239A" w14:textId="77777777" w:rsidR="008A4C7A" w:rsidRDefault="008A4C7A" w:rsidP="008A4C7A">
      <w:pPr>
        <w:ind w:firstLine="709"/>
        <w:rPr>
          <w:rFonts w:asciiTheme="minorHAnsi" w:hAnsiTheme="minorHAnsi"/>
          <w:i/>
        </w:rPr>
      </w:pPr>
    </w:p>
    <w:p w14:paraId="6440E612" w14:textId="795194DF" w:rsidR="008A4C7A" w:rsidRPr="008A4C7A" w:rsidRDefault="008A4C7A" w:rsidP="008A4C7A">
      <w:pPr>
        <w:ind w:firstLine="709"/>
        <w:rPr>
          <w:rFonts w:asciiTheme="minorHAnsi" w:hAnsiTheme="minorHAnsi"/>
          <w:i/>
        </w:rPr>
      </w:pPr>
      <w:bookmarkStart w:id="16" w:name="_Hlk193197688"/>
      <w:r w:rsidRPr="008A4C7A">
        <w:rPr>
          <w:rFonts w:asciiTheme="minorHAnsi" w:hAnsiTheme="minorHAnsi"/>
          <w:i/>
        </w:rPr>
        <w:t>For more detail on PBAC’s view, see section 7 PBAC outcome.</w:t>
      </w:r>
    </w:p>
    <w:bookmarkEnd w:id="16"/>
    <w:p w14:paraId="4E7AEB54" w14:textId="77777777" w:rsidR="008A4C7A" w:rsidRPr="00A3343C" w:rsidRDefault="008A4C7A" w:rsidP="008A4C7A">
      <w:pPr>
        <w:pStyle w:val="3-BodyText"/>
        <w:numPr>
          <w:ilvl w:val="0"/>
          <w:numId w:val="0"/>
        </w:numPr>
      </w:pPr>
    </w:p>
    <w:p w14:paraId="7075B85C" w14:textId="62A47B7B" w:rsidR="00B50DB8" w:rsidRPr="00873941" w:rsidDel="00195452" w:rsidRDefault="00203181" w:rsidP="004E18E9">
      <w:pPr>
        <w:pStyle w:val="2-SectionHeading"/>
      </w:pPr>
      <w:bookmarkStart w:id="17" w:name="_Toc188444266"/>
      <w:r w:rsidRPr="00873941" w:rsidDel="00195452">
        <w:t xml:space="preserve">Population and </w:t>
      </w:r>
      <w:r w:rsidR="008E0D3C" w:rsidRPr="00873941" w:rsidDel="00195452">
        <w:t>d</w:t>
      </w:r>
      <w:r w:rsidRPr="00873941" w:rsidDel="00195452">
        <w:t>isease</w:t>
      </w:r>
      <w:bookmarkEnd w:id="17"/>
    </w:p>
    <w:p w14:paraId="3F4CD0A4" w14:textId="1586554A" w:rsidR="00327374" w:rsidRPr="00873941" w:rsidRDefault="00327374" w:rsidP="006139B4">
      <w:pPr>
        <w:pStyle w:val="3-BodyText"/>
      </w:pPr>
      <w:r w:rsidRPr="00873941">
        <w:t>Breast cancer is a complex condition made up of different subtypes, including HER2 positive.</w:t>
      </w:r>
      <w:r w:rsidR="00DE0AFE" w:rsidRPr="00873941">
        <w:t xml:space="preserve"> </w:t>
      </w:r>
      <w:r w:rsidRPr="00873941">
        <w:t xml:space="preserve">HER2 positive </w:t>
      </w:r>
      <w:proofErr w:type="spellStart"/>
      <w:r w:rsidRPr="00873941">
        <w:t>eBC</w:t>
      </w:r>
      <w:proofErr w:type="spellEnd"/>
      <w:r w:rsidRPr="00873941">
        <w:t xml:space="preserve"> occurs when breast cells overexpress the HER2 receptor </w:t>
      </w:r>
      <w:r w:rsidRPr="00873941">
        <w:lastRenderedPageBreak/>
        <w:t>due to an oncogenic mutation in the HER2 gene; reported in 15-20% of all breast cancers.</w:t>
      </w:r>
      <w:r w:rsidR="00E774CE" w:rsidRPr="00873941">
        <w:rPr>
          <w:rStyle w:val="FootnoteReference"/>
        </w:rPr>
        <w:footnoteReference w:id="6"/>
      </w:r>
      <w:r w:rsidRPr="00873941">
        <w:t xml:space="preserve"> HER2-positive tumours tend to be more aggressive than HER2-negative tumours and are associated with a less favourable prognosis. </w:t>
      </w:r>
    </w:p>
    <w:p w14:paraId="245B9842" w14:textId="1545EA37" w:rsidR="00327374" w:rsidRPr="00873941" w:rsidRDefault="00327374" w:rsidP="006139B4">
      <w:pPr>
        <w:pStyle w:val="3-BodyText"/>
      </w:pPr>
      <w:r w:rsidRPr="00873941">
        <w:t xml:space="preserve">The primary surgical goals of neoadjuvant systemic therapy are to achieve tumour or nodal downstaging, improve tumour </w:t>
      </w:r>
      <w:proofErr w:type="spellStart"/>
      <w:r w:rsidRPr="00873941">
        <w:t>resectability</w:t>
      </w:r>
      <w:proofErr w:type="spellEnd"/>
      <w:r w:rsidRPr="00873941">
        <w:t xml:space="preserve"> and decrease surgical morbidity and the extent of surgery. Neoadjuvant systemic therapy increases the feasibility of breast-conserving surgery among </w:t>
      </w:r>
      <w:r w:rsidR="00912564" w:rsidRPr="00873941">
        <w:t xml:space="preserve">patients </w:t>
      </w:r>
      <w:r w:rsidRPr="00873941">
        <w:t xml:space="preserve">with Stage II-III breast cancer who would otherwise require a mastectomy. In </w:t>
      </w:r>
      <w:r w:rsidR="00912564" w:rsidRPr="00873941">
        <w:t xml:space="preserve">patients </w:t>
      </w:r>
      <w:r w:rsidRPr="00873941">
        <w:t xml:space="preserve">with significant nodal disease, neoadjuvant systemic therapy can downstage axillary nodes, decrease the morbidity and extent of axillary surgery and render inoperable tumours as operable. </w:t>
      </w:r>
      <w:r w:rsidR="00FF568B" w:rsidRPr="00873941">
        <w:t xml:space="preserve">In addition, patients with HER2-positive breast cancer are more likely to obtain a pCR and avoid axillary lymph node dissection after neoadjuvant therapy. Thus, these patients are likely to avoid complications associated with axillary lymph node dissection, such as lymphoedema. </w:t>
      </w:r>
      <w:r w:rsidRPr="00873941">
        <w:t>In patients with HER2-positive tumours, additional benefits of neoadjuvant systemic therapy include the potential to individualise adjuvant therapy options based on pathological response and to provide information about tumour status in vivo, allowing for escalation or de-escalation of therapy, as guided by response biomarkers.</w:t>
      </w:r>
    </w:p>
    <w:p w14:paraId="2967CD12" w14:textId="7B3C3FD6" w:rsidR="00327374" w:rsidRPr="00873941" w:rsidRDefault="00327374" w:rsidP="006139B4">
      <w:pPr>
        <w:pStyle w:val="3-BodyText"/>
      </w:pPr>
      <w:r w:rsidRPr="00873941">
        <w:t xml:space="preserve">The PBAC previously </w:t>
      </w:r>
      <w:r w:rsidR="002A163F" w:rsidRPr="00873941">
        <w:t xml:space="preserve">considered </w:t>
      </w:r>
      <w:r w:rsidRPr="00873941">
        <w:t xml:space="preserve">this population in the March 2020 submission for pertuzumab in the neoadjuvant setting and the </w:t>
      </w:r>
      <w:r w:rsidR="00E774CE" w:rsidRPr="00873941">
        <w:t xml:space="preserve">July </w:t>
      </w:r>
      <w:r w:rsidRPr="00873941">
        <w:t xml:space="preserve">2012 submission for trastuzumab to extend the existing trastuzumab listings to include neoadjuvant treatment for </w:t>
      </w:r>
      <w:proofErr w:type="spellStart"/>
      <w:r w:rsidR="00FF568B" w:rsidRPr="00873941">
        <w:t>eBC</w:t>
      </w:r>
      <w:proofErr w:type="spellEnd"/>
      <w:r w:rsidRPr="00873941">
        <w:t xml:space="preserve"> and locally advanced breast cancer</w:t>
      </w:r>
      <w:r w:rsidR="00E774CE" w:rsidRPr="00873941">
        <w:t xml:space="preserve"> (para. 1.1, pertuzumab PSD, March 2020 PBAC meeting; Section 1, trastuzumab PSD, July 2012 PBAC meeting)</w:t>
      </w:r>
      <w:r w:rsidRPr="00873941">
        <w:t>. The propose</w:t>
      </w:r>
      <w:r w:rsidR="00FF568B" w:rsidRPr="00873941">
        <w:t>d</w:t>
      </w:r>
      <w:r w:rsidRPr="00873941">
        <w:t xml:space="preserve"> patient population was unchanged from the March 2020 submission.</w:t>
      </w:r>
    </w:p>
    <w:p w14:paraId="04CFDAB6" w14:textId="45EB14E4" w:rsidR="00327374" w:rsidRPr="00873941" w:rsidRDefault="00327374" w:rsidP="006139B4">
      <w:pPr>
        <w:pStyle w:val="3-BodyText"/>
      </w:pPr>
      <w:r w:rsidRPr="00873941">
        <w:t xml:space="preserve">Pertuzumab is a recombinant, humanised monoclonal antibody which specifically targets the extracellular </w:t>
      </w:r>
      <w:proofErr w:type="spellStart"/>
      <w:r w:rsidRPr="00873941">
        <w:t>dimerisation</w:t>
      </w:r>
      <w:proofErr w:type="spellEnd"/>
      <w:r w:rsidRPr="00873941">
        <w:t xml:space="preserve"> domain (subdomain II) of the HER2 receptor. In addition, pertuzumab mediates antibody-dependent cell-mediated cytotoxicity.</w:t>
      </w:r>
    </w:p>
    <w:p w14:paraId="6915DCF9" w14:textId="77777777" w:rsidR="00C719C0" w:rsidRDefault="001E6C0A" w:rsidP="006139B4">
      <w:pPr>
        <w:pStyle w:val="3-BodyText"/>
      </w:pPr>
      <w:r w:rsidRPr="00873941">
        <w:t>The resubmission stated that</w:t>
      </w:r>
      <w:r w:rsidR="00AC3EEF" w:rsidRPr="00873941">
        <w:t xml:space="preserve"> </w:t>
      </w:r>
      <w:r w:rsidRPr="00873941">
        <w:t xml:space="preserve">guidelines unanimously recommend neoadjuvant chemotherapy plus trastuzumab with or without pertuzumab for HER2 positive high risk </w:t>
      </w:r>
      <w:proofErr w:type="spellStart"/>
      <w:r w:rsidRPr="00873941">
        <w:t>eBC</w:t>
      </w:r>
      <w:proofErr w:type="spellEnd"/>
      <w:r w:rsidRPr="00873941">
        <w:t xml:space="preserve"> patients. The resubmission noted that the most recent guidance recommended neoadjuvant chemotherapy combined with dual HER2 blockade (i.e., pertuzumab and trastuzumab) as the preferred regimen.</w:t>
      </w:r>
      <w:r w:rsidR="00E774CE" w:rsidRPr="00873941">
        <w:rPr>
          <w:rStyle w:val="FootnoteReference"/>
        </w:rPr>
        <w:footnoteReference w:id="7"/>
      </w:r>
      <w:r w:rsidRPr="00873941">
        <w:t xml:space="preserve"> </w:t>
      </w:r>
      <w:r w:rsidR="00011D50" w:rsidRPr="00E43B33">
        <w:t xml:space="preserve">The ESC noted that ESMO guidelines recommend 6-8 cycles of </w:t>
      </w:r>
      <w:r w:rsidR="00A63F8E" w:rsidRPr="00E43B33">
        <w:t xml:space="preserve">neoadjuvant </w:t>
      </w:r>
      <w:proofErr w:type="spellStart"/>
      <w:r w:rsidR="00A63F8E" w:rsidRPr="00E43B33">
        <w:t>P+T+Chemo</w:t>
      </w:r>
      <w:proofErr w:type="spellEnd"/>
      <w:r w:rsidR="00A26DDB" w:rsidRPr="00E43B33">
        <w:t>.</w:t>
      </w:r>
      <w:r w:rsidR="009B202E">
        <w:t xml:space="preserve"> </w:t>
      </w:r>
    </w:p>
    <w:p w14:paraId="37A9CE59" w14:textId="2007DA78" w:rsidR="00E774CE" w:rsidRPr="00873941" w:rsidRDefault="00E774CE" w:rsidP="006139B4">
      <w:pPr>
        <w:pStyle w:val="3-BodyText"/>
      </w:pPr>
      <w:r w:rsidRPr="00873941">
        <w:t xml:space="preserve">The resubmission stated that there was inequity of access to neoadjuvant pertuzumab for patients with high risk </w:t>
      </w:r>
      <w:proofErr w:type="spellStart"/>
      <w:r w:rsidRPr="00873941">
        <w:t>eBC</w:t>
      </w:r>
      <w:proofErr w:type="spellEnd"/>
      <w:r w:rsidRPr="00873941">
        <w:t xml:space="preserve"> in Australia. In the absence of PBS funding, nearly half of eligible </w:t>
      </w:r>
      <w:proofErr w:type="spellStart"/>
      <w:r w:rsidRPr="00873941">
        <w:t>eBC</w:t>
      </w:r>
      <w:proofErr w:type="spellEnd"/>
      <w:r w:rsidRPr="00873941">
        <w:t xml:space="preserve"> patients are receiving access to neoadjuvant pertuzumab by patient </w:t>
      </w:r>
      <w:r w:rsidRPr="00873941">
        <w:lastRenderedPageBreak/>
        <w:t xml:space="preserve">self-funding or via a hospital purchasing program. </w:t>
      </w:r>
      <w:r w:rsidR="00984327">
        <w:t>The PBAC noted that some patients are also self-funding pertuzumab in the adjuvant setting.</w:t>
      </w:r>
    </w:p>
    <w:p w14:paraId="6EFB04A5" w14:textId="4E1BDD03" w:rsidR="001E6C0A" w:rsidRPr="00873941" w:rsidRDefault="001E6C0A" w:rsidP="009A1A29">
      <w:pPr>
        <w:pStyle w:val="3-BodyText"/>
      </w:pPr>
      <w:r w:rsidRPr="00873941">
        <w:t xml:space="preserve">Following neoadjuvant treatment, patients receive surgery. Patients are </w:t>
      </w:r>
      <w:r w:rsidR="001C3029" w:rsidRPr="00873941">
        <w:t xml:space="preserve">then </w:t>
      </w:r>
      <w:r w:rsidRPr="00873941">
        <w:t>eligible for adjuvant treatment with trastuzumab emtansine (T-DM1) or trastuzumab. Patients with pathological complete response (pCR) receive adjuvant treatment with trastuzumab</w:t>
      </w:r>
      <w:r w:rsidR="002A163F" w:rsidRPr="00873941">
        <w:t>, while patients without pCR receive T-DM1</w:t>
      </w:r>
      <w:r w:rsidRPr="00873941">
        <w:t xml:space="preserve">. </w:t>
      </w:r>
      <w:r w:rsidR="00984327">
        <w:t>T</w:t>
      </w:r>
      <w:r w:rsidR="00984327">
        <w:rPr>
          <w:bCs/>
        </w:rPr>
        <w:t>he Australian PI for pertuzumab recommends p</w:t>
      </w:r>
      <w:r w:rsidR="00984327" w:rsidRPr="001815C6">
        <w:rPr>
          <w:bCs/>
        </w:rPr>
        <w:t xml:space="preserve">atients who start </w:t>
      </w:r>
      <w:proofErr w:type="spellStart"/>
      <w:r w:rsidR="00984327">
        <w:rPr>
          <w:bCs/>
        </w:rPr>
        <w:t>P+T+Chemo</w:t>
      </w:r>
      <w:proofErr w:type="spellEnd"/>
      <w:r w:rsidR="00984327" w:rsidRPr="001815C6">
        <w:rPr>
          <w:bCs/>
        </w:rPr>
        <w:t xml:space="preserve"> in the neoadjuvant setting should continue to receive adjuvant </w:t>
      </w:r>
      <w:r w:rsidR="00984327">
        <w:rPr>
          <w:bCs/>
        </w:rPr>
        <w:t>P+T</w:t>
      </w:r>
      <w:r w:rsidR="00984327" w:rsidRPr="001815C6">
        <w:rPr>
          <w:bCs/>
        </w:rPr>
        <w:t xml:space="preserve"> to complete one year of treatment</w:t>
      </w:r>
      <w:r w:rsidR="00984327">
        <w:rPr>
          <w:bCs/>
        </w:rPr>
        <w:t xml:space="preserve">, and international guidelines include adjuvant pertuzumab as a treatment option for lymph node positive patients who have pCR following surgery, as well as </w:t>
      </w:r>
      <w:r w:rsidR="00C66960">
        <w:rPr>
          <w:bCs/>
        </w:rPr>
        <w:t xml:space="preserve">for </w:t>
      </w:r>
      <w:r w:rsidR="00984327">
        <w:rPr>
          <w:bCs/>
        </w:rPr>
        <w:t>patients who do not undergo neoadjuvant treatment with pertuzumab but are considered high risk</w:t>
      </w:r>
      <w:r w:rsidR="00B55507">
        <w:rPr>
          <w:bCs/>
        </w:rPr>
        <w:t xml:space="preserve"> following surgery</w:t>
      </w:r>
      <w:r w:rsidR="00984327">
        <w:rPr>
          <w:rStyle w:val="FootnoteReference"/>
          <w:bCs/>
        </w:rPr>
        <w:footnoteReference w:id="8"/>
      </w:r>
      <w:r w:rsidR="00984327">
        <w:rPr>
          <w:bCs/>
        </w:rPr>
        <w:t xml:space="preserve">. </w:t>
      </w:r>
    </w:p>
    <w:p w14:paraId="51E5AE96" w14:textId="136A63B1" w:rsidR="00B50DB8" w:rsidRPr="00873941" w:rsidRDefault="00B50DB8" w:rsidP="004E18E9">
      <w:pPr>
        <w:pStyle w:val="2-SectionHeading"/>
      </w:pPr>
      <w:bookmarkStart w:id="18" w:name="_Toc188444267"/>
      <w:r w:rsidRPr="00873941">
        <w:t>Comparator</w:t>
      </w:r>
      <w:bookmarkEnd w:id="18"/>
    </w:p>
    <w:p w14:paraId="01C75611" w14:textId="12AEF70B" w:rsidR="001E6C0A" w:rsidRPr="00873941" w:rsidRDefault="001E6C0A" w:rsidP="00882E3C">
      <w:pPr>
        <w:pStyle w:val="3-BodyText"/>
      </w:pPr>
      <w:r w:rsidRPr="00873941">
        <w:t xml:space="preserve">The resubmission nominated </w:t>
      </w:r>
      <w:proofErr w:type="spellStart"/>
      <w:r w:rsidRPr="00873941">
        <w:t>T+Chemo</w:t>
      </w:r>
      <w:proofErr w:type="spellEnd"/>
      <w:r w:rsidRPr="00873941">
        <w:t xml:space="preserve"> as the main comparator. This was unchanged from the March 2020 submission.</w:t>
      </w:r>
      <w:r w:rsidR="0053179D" w:rsidRPr="00873941">
        <w:t xml:space="preserve"> The intervention and comparator both include</w:t>
      </w:r>
      <w:r w:rsidR="003231D2" w:rsidRPr="00873941">
        <w:t>d</w:t>
      </w:r>
      <w:r w:rsidR="0053179D" w:rsidRPr="00873941">
        <w:t xml:space="preserve"> chemotherapy, which can involve a range of medicines.</w:t>
      </w:r>
    </w:p>
    <w:p w14:paraId="310B1443" w14:textId="6910E395" w:rsidR="001E6C0A" w:rsidRPr="00873941" w:rsidRDefault="001E6C0A" w:rsidP="00882E3C">
      <w:pPr>
        <w:pStyle w:val="3-BodyText"/>
        <w:rPr>
          <w:i/>
          <w:iCs/>
        </w:rPr>
      </w:pPr>
      <w:r w:rsidRPr="00873941">
        <w:t xml:space="preserve">The resubmission noted previous PBAC advice that the relevant comparison for </w:t>
      </w:r>
      <w:proofErr w:type="spellStart"/>
      <w:r w:rsidRPr="00873941">
        <w:t>P+T+Chemo</w:t>
      </w:r>
      <w:proofErr w:type="spellEnd"/>
      <w:r w:rsidRPr="00873941">
        <w:t xml:space="preserve"> should take into account sequential pertuzumab and T-DM1, given the availability of T-DM1 as adjuvant therapy for patients with residual disease following treatment with trastuzumab plus </w:t>
      </w:r>
      <w:proofErr w:type="spellStart"/>
      <w:r w:rsidRPr="00873941">
        <w:t>taxane</w:t>
      </w:r>
      <w:proofErr w:type="spellEnd"/>
      <w:r w:rsidRPr="00873941">
        <w:t xml:space="preserve">-based chemotherapy in the neoadjuvant setting. The resubmission maintained that </w:t>
      </w:r>
      <w:proofErr w:type="spellStart"/>
      <w:r w:rsidRPr="00873941">
        <w:t>T+Chemo</w:t>
      </w:r>
      <w:proofErr w:type="spellEnd"/>
      <w:r w:rsidRPr="00873941">
        <w:t xml:space="preserve"> was the appropriate comparator in the neoadjuvant setting; however, the clinical implications and cost-effectiveness, and financial of sequential use of T-DM1 in patients without a pCR were considered in the resubmission. </w:t>
      </w:r>
      <w:r w:rsidR="00B00F4A" w:rsidRPr="00A3343C">
        <w:t>The ESC considered this was reasonable.</w:t>
      </w:r>
    </w:p>
    <w:p w14:paraId="444C28CF" w14:textId="14794EE9" w:rsidR="0053179D" w:rsidRDefault="0053179D" w:rsidP="002E4F02">
      <w:pPr>
        <w:pStyle w:val="3-BodyText"/>
      </w:pPr>
      <w:bookmarkStart w:id="19" w:name="_Hlk184761746"/>
      <w:r w:rsidRPr="00873941">
        <w:t xml:space="preserve">The utilisation of trastuzumab for locoregional recurrence, and pertuzumab, T-DM1, </w:t>
      </w:r>
      <w:r w:rsidR="00FF568B" w:rsidRPr="00873941">
        <w:t xml:space="preserve">and </w:t>
      </w:r>
      <w:r w:rsidRPr="00873941">
        <w:t xml:space="preserve">trastuzumab </w:t>
      </w:r>
      <w:proofErr w:type="spellStart"/>
      <w:r w:rsidRPr="00873941">
        <w:t>deruxtecan</w:t>
      </w:r>
      <w:proofErr w:type="spellEnd"/>
      <w:r w:rsidRPr="00873941">
        <w:t xml:space="preserve"> (T-</w:t>
      </w:r>
      <w:proofErr w:type="spellStart"/>
      <w:r w:rsidRPr="00873941">
        <w:t>DXd</w:t>
      </w:r>
      <w:proofErr w:type="spellEnd"/>
      <w:r w:rsidRPr="00873941">
        <w:t>) in the metastatic setting could also be affected</w:t>
      </w:r>
      <w:r w:rsidR="00FF568B" w:rsidRPr="00873941">
        <w:t>.</w:t>
      </w:r>
      <w:r w:rsidRPr="00873941">
        <w:t xml:space="preserve"> </w:t>
      </w:r>
      <w:r w:rsidR="00FF568B" w:rsidRPr="00873941">
        <w:t xml:space="preserve">This </w:t>
      </w:r>
      <w:r w:rsidRPr="00873941">
        <w:t>was</w:t>
      </w:r>
      <w:r w:rsidR="003231D2" w:rsidRPr="00873941">
        <w:t xml:space="preserve"> </w:t>
      </w:r>
      <w:r w:rsidRPr="00873941">
        <w:t>n</w:t>
      </w:r>
      <w:r w:rsidR="003231D2" w:rsidRPr="00873941">
        <w:t>o</w:t>
      </w:r>
      <w:r w:rsidRPr="00873941">
        <w:t xml:space="preserve">t captured in the </w:t>
      </w:r>
      <w:r w:rsidR="00FF568B" w:rsidRPr="00873941">
        <w:t xml:space="preserve">clinical </w:t>
      </w:r>
      <w:r w:rsidRPr="00873941">
        <w:t>trials but was considered in the economic analysis and financial estimates.</w:t>
      </w:r>
      <w:bookmarkEnd w:id="19"/>
    </w:p>
    <w:p w14:paraId="2C853B34" w14:textId="77777777" w:rsidR="008A4C7A" w:rsidRDefault="008A4C7A" w:rsidP="008A4C7A">
      <w:pPr>
        <w:ind w:firstLine="709"/>
        <w:rPr>
          <w:rFonts w:asciiTheme="minorHAnsi" w:hAnsiTheme="minorHAnsi"/>
          <w:i/>
        </w:rPr>
      </w:pPr>
    </w:p>
    <w:p w14:paraId="36E11962" w14:textId="4D46B471" w:rsidR="008A4C7A" w:rsidRPr="008A4C7A" w:rsidRDefault="008A4C7A" w:rsidP="008A4C7A">
      <w:pPr>
        <w:ind w:firstLine="709"/>
        <w:rPr>
          <w:rFonts w:asciiTheme="minorHAnsi" w:hAnsiTheme="minorHAnsi"/>
          <w:i/>
        </w:rPr>
      </w:pPr>
      <w:r w:rsidRPr="008A4C7A">
        <w:rPr>
          <w:rFonts w:asciiTheme="minorHAnsi" w:hAnsiTheme="minorHAnsi"/>
          <w:i/>
        </w:rPr>
        <w:t>For more detail on PBAC’s view, see section 7 PBAC outcome.</w:t>
      </w:r>
    </w:p>
    <w:p w14:paraId="4C01C92B" w14:textId="77777777" w:rsidR="004A29D1" w:rsidRPr="00873941" w:rsidRDefault="004A29D1" w:rsidP="004A29D1">
      <w:pPr>
        <w:pStyle w:val="2-SectionHeading"/>
      </w:pPr>
      <w:bookmarkStart w:id="20" w:name="_Toc188444268"/>
      <w:r w:rsidRPr="00873941">
        <w:t>Consideration of the evidence</w:t>
      </w:r>
      <w:bookmarkEnd w:id="20"/>
    </w:p>
    <w:p w14:paraId="0E92B5D0" w14:textId="77777777" w:rsidR="00FF6963" w:rsidRPr="006E1229" w:rsidRDefault="00FF6963" w:rsidP="005A6D9A">
      <w:pPr>
        <w:pStyle w:val="4-SubsectionHeading"/>
        <w:rPr>
          <w:lang w:eastAsia="en-AU"/>
        </w:rPr>
      </w:pPr>
      <w:bookmarkStart w:id="21" w:name="_Hlk76375935"/>
      <w:bookmarkStart w:id="22" w:name="_Toc188444269"/>
      <w:r w:rsidRPr="006E1229">
        <w:rPr>
          <w:lang w:eastAsia="en-AU"/>
        </w:rPr>
        <w:t>Sponsor hearing</w:t>
      </w:r>
    </w:p>
    <w:p w14:paraId="49370DD0" w14:textId="4ADE929B" w:rsidR="00FF6963" w:rsidRPr="00F91542" w:rsidRDefault="00FF6963" w:rsidP="00FF6963">
      <w:pPr>
        <w:widowControl w:val="0"/>
        <w:numPr>
          <w:ilvl w:val="1"/>
          <w:numId w:val="5"/>
        </w:numPr>
        <w:spacing w:after="120"/>
        <w:rPr>
          <w:rFonts w:cs="Calibri"/>
          <w:bCs/>
          <w:snapToGrid w:val="0"/>
        </w:rPr>
      </w:pPr>
      <w:r w:rsidRPr="00F91542">
        <w:rPr>
          <w:rFonts w:cs="Calibri"/>
          <w:bCs/>
          <w:snapToGrid w:val="0"/>
        </w:rPr>
        <w:t>There was no hearing for this item.</w:t>
      </w:r>
    </w:p>
    <w:p w14:paraId="572BA145" w14:textId="77777777" w:rsidR="00FF6963" w:rsidRPr="006E1229" w:rsidRDefault="00FF6963" w:rsidP="005A6D9A">
      <w:pPr>
        <w:pStyle w:val="4-SubsectionHeading"/>
        <w:rPr>
          <w:lang w:eastAsia="en-AU"/>
        </w:rPr>
      </w:pPr>
      <w:r w:rsidRPr="006E1229">
        <w:rPr>
          <w:lang w:eastAsia="en-AU"/>
        </w:rPr>
        <w:lastRenderedPageBreak/>
        <w:t>Consumer comments</w:t>
      </w:r>
    </w:p>
    <w:p w14:paraId="3FD6B3D3" w14:textId="2DBCE09E" w:rsidR="00FF6963" w:rsidRPr="00836F75" w:rsidRDefault="00FF6963" w:rsidP="00FF6963">
      <w:pPr>
        <w:widowControl w:val="0"/>
        <w:numPr>
          <w:ilvl w:val="1"/>
          <w:numId w:val="5"/>
        </w:numPr>
        <w:spacing w:after="120"/>
        <w:rPr>
          <w:rFonts w:asciiTheme="minorHAnsi" w:hAnsiTheme="minorHAnsi"/>
          <w:bCs/>
          <w:snapToGrid w:val="0"/>
        </w:rPr>
      </w:pPr>
      <w:bookmarkStart w:id="23" w:name="_Hlk76382618"/>
      <w:r w:rsidRPr="00836F75">
        <w:rPr>
          <w:rFonts w:asciiTheme="minorHAnsi" w:hAnsiTheme="minorHAnsi"/>
          <w:bCs/>
          <w:snapToGrid w:val="0"/>
        </w:rPr>
        <w:t>The PBAC noted and welcomed the input from health care professionals (</w:t>
      </w:r>
      <w:r w:rsidR="00965AD6">
        <w:rPr>
          <w:rFonts w:asciiTheme="minorHAnsi" w:hAnsiTheme="minorHAnsi"/>
          <w:bCs/>
          <w:snapToGrid w:val="0"/>
        </w:rPr>
        <w:t>3</w:t>
      </w:r>
      <w:r w:rsidRPr="00836F75">
        <w:rPr>
          <w:rFonts w:asciiTheme="minorHAnsi" w:hAnsiTheme="minorHAnsi"/>
          <w:bCs/>
          <w:snapToGrid w:val="0"/>
        </w:rPr>
        <w:t>) and organisations (</w:t>
      </w:r>
      <w:r w:rsidR="00CE79B8">
        <w:rPr>
          <w:rFonts w:asciiTheme="minorHAnsi" w:hAnsiTheme="minorHAnsi"/>
          <w:bCs/>
          <w:snapToGrid w:val="0"/>
        </w:rPr>
        <w:t>5</w:t>
      </w:r>
      <w:r w:rsidRPr="00836F75">
        <w:rPr>
          <w:rFonts w:asciiTheme="minorHAnsi" w:hAnsiTheme="minorHAnsi"/>
          <w:bCs/>
          <w:snapToGrid w:val="0"/>
        </w:rPr>
        <w:t>) via the Consumer Comments facility on the PBS website. The comments</w:t>
      </w:r>
      <w:r w:rsidR="00F735AC">
        <w:rPr>
          <w:rFonts w:asciiTheme="minorHAnsi" w:hAnsiTheme="minorHAnsi"/>
          <w:bCs/>
          <w:snapToGrid w:val="0"/>
        </w:rPr>
        <w:t xml:space="preserve"> from health care professionals</w:t>
      </w:r>
      <w:r w:rsidRPr="00836F75">
        <w:rPr>
          <w:rFonts w:asciiTheme="minorHAnsi" w:hAnsiTheme="minorHAnsi"/>
          <w:bCs/>
          <w:snapToGrid w:val="0"/>
        </w:rPr>
        <w:t xml:space="preserve"> described</w:t>
      </w:r>
      <w:bookmarkStart w:id="24" w:name="_Hlk97141379"/>
      <w:r w:rsidR="00CB5673">
        <w:rPr>
          <w:rFonts w:asciiTheme="minorHAnsi" w:hAnsiTheme="minorHAnsi"/>
          <w:bCs/>
          <w:snapToGrid w:val="0"/>
        </w:rPr>
        <w:t xml:space="preserve"> </w:t>
      </w:r>
      <w:r w:rsidR="006F5433">
        <w:rPr>
          <w:rFonts w:asciiTheme="minorHAnsi" w:hAnsiTheme="minorHAnsi"/>
          <w:bCs/>
          <w:snapToGrid w:val="0"/>
        </w:rPr>
        <w:t xml:space="preserve">equity of access issues, noting that </w:t>
      </w:r>
      <w:r w:rsidR="003425D4">
        <w:rPr>
          <w:rFonts w:asciiTheme="minorHAnsi" w:hAnsiTheme="minorHAnsi"/>
          <w:bCs/>
          <w:snapToGrid w:val="0"/>
        </w:rPr>
        <w:t xml:space="preserve">many patients </w:t>
      </w:r>
      <w:r w:rsidR="009B4DDC">
        <w:rPr>
          <w:rFonts w:asciiTheme="minorHAnsi" w:hAnsiTheme="minorHAnsi"/>
          <w:bCs/>
          <w:snapToGrid w:val="0"/>
        </w:rPr>
        <w:t>are currently self-funding pertuzumab</w:t>
      </w:r>
      <w:r w:rsidRPr="00287959">
        <w:rPr>
          <w:rFonts w:asciiTheme="minorHAnsi" w:hAnsiTheme="minorHAnsi"/>
          <w:bCs/>
          <w:snapToGrid w:val="0"/>
        </w:rPr>
        <w:t>.</w:t>
      </w:r>
      <w:bookmarkEnd w:id="24"/>
      <w:r w:rsidR="00060911">
        <w:rPr>
          <w:rFonts w:asciiTheme="minorHAnsi" w:hAnsiTheme="minorHAnsi"/>
          <w:bCs/>
          <w:snapToGrid w:val="0"/>
        </w:rPr>
        <w:t xml:space="preserve"> </w:t>
      </w:r>
      <w:r w:rsidR="003249BA">
        <w:rPr>
          <w:rFonts w:asciiTheme="minorHAnsi" w:hAnsiTheme="minorHAnsi"/>
          <w:bCs/>
          <w:snapToGrid w:val="0"/>
        </w:rPr>
        <w:t xml:space="preserve">The comments also </w:t>
      </w:r>
      <w:r w:rsidR="00F94457" w:rsidRPr="00F94457">
        <w:rPr>
          <w:rFonts w:asciiTheme="minorHAnsi" w:hAnsiTheme="minorHAnsi"/>
          <w:bCs/>
          <w:snapToGrid w:val="0"/>
        </w:rPr>
        <w:t>state</w:t>
      </w:r>
      <w:r w:rsidR="00F94457">
        <w:rPr>
          <w:rFonts w:asciiTheme="minorHAnsi" w:hAnsiTheme="minorHAnsi"/>
          <w:bCs/>
          <w:snapToGrid w:val="0"/>
        </w:rPr>
        <w:t>d</w:t>
      </w:r>
      <w:r w:rsidR="00F94457" w:rsidRPr="00F94457">
        <w:rPr>
          <w:rFonts w:asciiTheme="minorHAnsi" w:hAnsiTheme="minorHAnsi"/>
          <w:bCs/>
          <w:snapToGrid w:val="0"/>
        </w:rPr>
        <w:t xml:space="preserve"> the inclusion of pertuzumab to the </w:t>
      </w:r>
      <w:r w:rsidR="00F94457">
        <w:rPr>
          <w:rFonts w:asciiTheme="minorHAnsi" w:hAnsiTheme="minorHAnsi"/>
          <w:bCs/>
          <w:snapToGrid w:val="0"/>
        </w:rPr>
        <w:t xml:space="preserve">neoadjuvant </w:t>
      </w:r>
      <w:r w:rsidR="00F94457" w:rsidRPr="00F94457">
        <w:rPr>
          <w:rFonts w:asciiTheme="minorHAnsi" w:hAnsiTheme="minorHAnsi"/>
          <w:bCs/>
          <w:snapToGrid w:val="0"/>
        </w:rPr>
        <w:t xml:space="preserve">regimen significantly increases the rate of </w:t>
      </w:r>
      <w:r w:rsidR="00771F5A">
        <w:rPr>
          <w:rFonts w:asciiTheme="minorHAnsi" w:hAnsiTheme="minorHAnsi"/>
          <w:bCs/>
          <w:snapToGrid w:val="0"/>
        </w:rPr>
        <w:t>pCR</w:t>
      </w:r>
      <w:r w:rsidR="00F94457" w:rsidRPr="00F94457">
        <w:rPr>
          <w:rFonts w:asciiTheme="minorHAnsi" w:hAnsiTheme="minorHAnsi"/>
          <w:bCs/>
          <w:snapToGrid w:val="0"/>
        </w:rPr>
        <w:t>, which correlates with improve</w:t>
      </w:r>
      <w:r w:rsidR="00022687">
        <w:rPr>
          <w:rFonts w:asciiTheme="minorHAnsi" w:hAnsiTheme="minorHAnsi"/>
          <w:bCs/>
          <w:snapToGrid w:val="0"/>
        </w:rPr>
        <w:t>d survival,</w:t>
      </w:r>
      <w:r w:rsidR="00F41C84">
        <w:rPr>
          <w:rFonts w:asciiTheme="minorHAnsi" w:hAnsiTheme="minorHAnsi"/>
          <w:bCs/>
          <w:snapToGrid w:val="0"/>
        </w:rPr>
        <w:t xml:space="preserve"> reduce</w:t>
      </w:r>
      <w:r w:rsidR="00022687">
        <w:rPr>
          <w:rFonts w:asciiTheme="minorHAnsi" w:hAnsiTheme="minorHAnsi"/>
          <w:bCs/>
          <w:snapToGrid w:val="0"/>
        </w:rPr>
        <w:t>s</w:t>
      </w:r>
      <w:r w:rsidR="00F41C84">
        <w:rPr>
          <w:rFonts w:asciiTheme="minorHAnsi" w:hAnsiTheme="minorHAnsi"/>
          <w:bCs/>
          <w:snapToGrid w:val="0"/>
        </w:rPr>
        <w:t xml:space="preserve"> the </w:t>
      </w:r>
      <w:r w:rsidR="00304BAB">
        <w:rPr>
          <w:rFonts w:asciiTheme="minorHAnsi" w:hAnsiTheme="minorHAnsi"/>
          <w:bCs/>
          <w:snapToGrid w:val="0"/>
        </w:rPr>
        <w:t>extent of surgery</w:t>
      </w:r>
      <w:r w:rsidR="00134F57">
        <w:rPr>
          <w:rFonts w:asciiTheme="minorHAnsi" w:hAnsiTheme="minorHAnsi"/>
          <w:bCs/>
          <w:snapToGrid w:val="0"/>
        </w:rPr>
        <w:t>,</w:t>
      </w:r>
      <w:r w:rsidR="00737948" w:rsidRPr="00737948">
        <w:t xml:space="preserve"> </w:t>
      </w:r>
      <w:r w:rsidR="00737948" w:rsidRPr="00737948">
        <w:rPr>
          <w:rFonts w:asciiTheme="minorHAnsi" w:hAnsiTheme="minorHAnsi"/>
          <w:bCs/>
          <w:snapToGrid w:val="0"/>
        </w:rPr>
        <w:t xml:space="preserve">increases the chances of successful breast-conserving surgery, </w:t>
      </w:r>
      <w:r w:rsidR="00737948">
        <w:rPr>
          <w:rFonts w:asciiTheme="minorHAnsi" w:hAnsiTheme="minorHAnsi"/>
          <w:bCs/>
          <w:snapToGrid w:val="0"/>
        </w:rPr>
        <w:t>and</w:t>
      </w:r>
      <w:r w:rsidR="00737948" w:rsidRPr="00737948">
        <w:rPr>
          <w:rFonts w:asciiTheme="minorHAnsi" w:hAnsiTheme="minorHAnsi"/>
          <w:bCs/>
          <w:snapToGrid w:val="0"/>
        </w:rPr>
        <w:t xml:space="preserve"> helps identify patients with residual disease who may benefit from tailored post-surgical therapies</w:t>
      </w:r>
      <w:r w:rsidR="00737948">
        <w:rPr>
          <w:rFonts w:asciiTheme="minorHAnsi" w:hAnsiTheme="minorHAnsi"/>
          <w:bCs/>
          <w:snapToGrid w:val="0"/>
        </w:rPr>
        <w:t>.</w:t>
      </w:r>
      <w:r w:rsidR="00304BAB">
        <w:rPr>
          <w:rFonts w:asciiTheme="minorHAnsi" w:hAnsiTheme="minorHAnsi"/>
          <w:bCs/>
          <w:snapToGrid w:val="0"/>
        </w:rPr>
        <w:t xml:space="preserve"> Input noted that the main side effects (</w:t>
      </w:r>
      <w:r w:rsidR="006E6CAC">
        <w:rPr>
          <w:rFonts w:asciiTheme="minorHAnsi" w:hAnsiTheme="minorHAnsi"/>
          <w:bCs/>
          <w:snapToGrid w:val="0"/>
        </w:rPr>
        <w:t xml:space="preserve">diarrhea and reversible cardiomyopathy) can be easily managed and can reduce the need for other </w:t>
      </w:r>
      <w:r w:rsidR="003425D4">
        <w:rPr>
          <w:rFonts w:asciiTheme="minorHAnsi" w:hAnsiTheme="minorHAnsi"/>
          <w:bCs/>
          <w:snapToGrid w:val="0"/>
        </w:rPr>
        <w:t>toxic treatments in the longer term</w:t>
      </w:r>
      <w:r w:rsidR="006E6CAC">
        <w:rPr>
          <w:rFonts w:asciiTheme="minorHAnsi" w:hAnsiTheme="minorHAnsi"/>
          <w:bCs/>
          <w:snapToGrid w:val="0"/>
        </w:rPr>
        <w:t xml:space="preserve">. </w:t>
      </w:r>
    </w:p>
    <w:p w14:paraId="33EFB336" w14:textId="77777777" w:rsidR="0099249D" w:rsidRDefault="00FF6963" w:rsidP="0099249D">
      <w:pPr>
        <w:widowControl w:val="0"/>
        <w:numPr>
          <w:ilvl w:val="1"/>
          <w:numId w:val="5"/>
        </w:numPr>
        <w:spacing w:after="120"/>
        <w:rPr>
          <w:rFonts w:asciiTheme="minorHAnsi" w:hAnsiTheme="minorHAnsi"/>
          <w:bCs/>
          <w:snapToGrid w:val="0"/>
        </w:rPr>
      </w:pPr>
      <w:r w:rsidRPr="00836F75">
        <w:rPr>
          <w:rFonts w:asciiTheme="minorHAnsi" w:hAnsiTheme="minorHAnsi"/>
          <w:bCs/>
          <w:snapToGrid w:val="0"/>
        </w:rPr>
        <w:t xml:space="preserve">The PBAC noted the advice received from </w:t>
      </w:r>
      <w:r w:rsidR="0043607E">
        <w:rPr>
          <w:rFonts w:asciiTheme="minorHAnsi" w:hAnsiTheme="minorHAnsi"/>
          <w:bCs/>
          <w:snapToGrid w:val="0"/>
        </w:rPr>
        <w:t>Breast Surgeons ANZ who also noted that pCR is a valuable surrogate for survival endpoints</w:t>
      </w:r>
      <w:r w:rsidR="00350B88">
        <w:rPr>
          <w:rFonts w:asciiTheme="minorHAnsi" w:hAnsiTheme="minorHAnsi"/>
          <w:bCs/>
          <w:snapToGrid w:val="0"/>
        </w:rPr>
        <w:t xml:space="preserve"> and commented on the </w:t>
      </w:r>
      <w:r w:rsidR="004B019B">
        <w:rPr>
          <w:rFonts w:asciiTheme="minorHAnsi" w:hAnsiTheme="minorHAnsi"/>
          <w:bCs/>
          <w:snapToGrid w:val="0"/>
        </w:rPr>
        <w:t>reduction in the extent of surgery and impacts on cosmetic outcomes and quality of life</w:t>
      </w:r>
      <w:r w:rsidR="00197A49">
        <w:rPr>
          <w:rFonts w:asciiTheme="minorHAnsi" w:hAnsiTheme="minorHAnsi"/>
          <w:bCs/>
          <w:snapToGrid w:val="0"/>
        </w:rPr>
        <w:t xml:space="preserve">, </w:t>
      </w:r>
      <w:r w:rsidR="00E96E54">
        <w:rPr>
          <w:rFonts w:asciiTheme="minorHAnsi" w:hAnsiTheme="minorHAnsi"/>
          <w:bCs/>
          <w:snapToGrid w:val="0"/>
        </w:rPr>
        <w:t>citing</w:t>
      </w:r>
      <w:r w:rsidR="00197A49">
        <w:rPr>
          <w:rFonts w:asciiTheme="minorHAnsi" w:hAnsiTheme="minorHAnsi"/>
          <w:bCs/>
          <w:snapToGrid w:val="0"/>
        </w:rPr>
        <w:t xml:space="preserve"> </w:t>
      </w:r>
      <w:r w:rsidR="00DA7464">
        <w:rPr>
          <w:rFonts w:asciiTheme="minorHAnsi" w:hAnsiTheme="minorHAnsi"/>
          <w:bCs/>
          <w:snapToGrid w:val="0"/>
        </w:rPr>
        <w:t xml:space="preserve">several </w:t>
      </w:r>
      <w:r w:rsidR="00E96E54">
        <w:rPr>
          <w:rFonts w:asciiTheme="minorHAnsi" w:hAnsiTheme="minorHAnsi"/>
          <w:bCs/>
          <w:snapToGrid w:val="0"/>
        </w:rPr>
        <w:t xml:space="preserve">publications demonstrating the </w:t>
      </w:r>
      <w:r w:rsidR="00EB7CAB">
        <w:rPr>
          <w:rFonts w:asciiTheme="minorHAnsi" w:hAnsiTheme="minorHAnsi"/>
          <w:bCs/>
          <w:snapToGrid w:val="0"/>
        </w:rPr>
        <w:t>increase in breast conserving surgery associated with neoadjuvant pertuzumab</w:t>
      </w:r>
      <w:r w:rsidR="004B019B">
        <w:rPr>
          <w:rFonts w:asciiTheme="minorHAnsi" w:hAnsiTheme="minorHAnsi"/>
          <w:bCs/>
          <w:snapToGrid w:val="0"/>
        </w:rPr>
        <w:t xml:space="preserve">. </w:t>
      </w:r>
      <w:r w:rsidR="00F87B8F">
        <w:rPr>
          <w:rFonts w:asciiTheme="minorHAnsi" w:hAnsiTheme="minorHAnsi"/>
          <w:bCs/>
          <w:snapToGrid w:val="0"/>
        </w:rPr>
        <w:t>The PBAC noted that Breast Cancer Network Australia (BCNA)</w:t>
      </w:r>
      <w:r w:rsidR="00F24356">
        <w:rPr>
          <w:rFonts w:asciiTheme="minorHAnsi" w:hAnsiTheme="minorHAnsi"/>
          <w:bCs/>
          <w:snapToGrid w:val="0"/>
        </w:rPr>
        <w:t xml:space="preserve"> expressed strong support for PBS listing of pertuzumab. In addition to </w:t>
      </w:r>
      <w:r w:rsidR="00A8088E">
        <w:rPr>
          <w:rFonts w:asciiTheme="minorHAnsi" w:hAnsiTheme="minorHAnsi"/>
          <w:bCs/>
          <w:snapToGrid w:val="0"/>
        </w:rPr>
        <w:t>improved pCR rates BCNA noted th</w:t>
      </w:r>
      <w:r w:rsidR="00FD5AE8" w:rsidRPr="00FD5AE8">
        <w:rPr>
          <w:rFonts w:asciiTheme="minorHAnsi" w:hAnsiTheme="minorHAnsi"/>
          <w:bCs/>
          <w:snapToGrid w:val="0"/>
        </w:rPr>
        <w:t xml:space="preserve">e APHINITY trial </w:t>
      </w:r>
      <w:r w:rsidR="00A8088E">
        <w:rPr>
          <w:rFonts w:asciiTheme="minorHAnsi" w:hAnsiTheme="minorHAnsi"/>
          <w:bCs/>
          <w:snapToGrid w:val="0"/>
        </w:rPr>
        <w:t>(</w:t>
      </w:r>
      <w:r w:rsidR="00FD5AE8" w:rsidRPr="00FD5AE8">
        <w:rPr>
          <w:rFonts w:asciiTheme="minorHAnsi" w:hAnsiTheme="minorHAnsi"/>
          <w:bCs/>
          <w:snapToGrid w:val="0"/>
        </w:rPr>
        <w:t>in the adjuvant setting</w:t>
      </w:r>
      <w:r w:rsidR="00A8088E">
        <w:rPr>
          <w:rFonts w:asciiTheme="minorHAnsi" w:hAnsiTheme="minorHAnsi"/>
          <w:bCs/>
          <w:snapToGrid w:val="0"/>
        </w:rPr>
        <w:t>)</w:t>
      </w:r>
      <w:r w:rsidR="00FD5AE8" w:rsidRPr="00FD5AE8">
        <w:rPr>
          <w:rFonts w:asciiTheme="minorHAnsi" w:hAnsiTheme="minorHAnsi"/>
          <w:bCs/>
          <w:snapToGrid w:val="0"/>
        </w:rPr>
        <w:t xml:space="preserve"> showed adding pertuzumab to the standard treatment of trastuzumab and chemotherapy significantly improves invasive disease-free survival (IDFS), especially for those with node-positive or hormone receptor-negative disease.</w:t>
      </w:r>
      <w:r w:rsidR="00C276AD">
        <w:rPr>
          <w:rFonts w:asciiTheme="minorHAnsi" w:hAnsiTheme="minorHAnsi"/>
          <w:bCs/>
          <w:snapToGrid w:val="0"/>
        </w:rPr>
        <w:t xml:space="preserve"> </w:t>
      </w:r>
      <w:r w:rsidR="00132A9A">
        <w:rPr>
          <w:rFonts w:asciiTheme="minorHAnsi" w:hAnsiTheme="minorHAnsi"/>
          <w:bCs/>
          <w:snapToGrid w:val="0"/>
        </w:rPr>
        <w:t xml:space="preserve">Breast Surgeons ANZ, </w:t>
      </w:r>
      <w:r w:rsidR="00C276AD">
        <w:rPr>
          <w:rFonts w:asciiTheme="minorHAnsi" w:hAnsiTheme="minorHAnsi"/>
          <w:bCs/>
          <w:snapToGrid w:val="0"/>
        </w:rPr>
        <w:t xml:space="preserve">BCNA </w:t>
      </w:r>
      <w:r w:rsidR="00132A9A">
        <w:rPr>
          <w:rFonts w:asciiTheme="minorHAnsi" w:hAnsiTheme="minorHAnsi"/>
          <w:bCs/>
          <w:snapToGrid w:val="0"/>
        </w:rPr>
        <w:t xml:space="preserve">and </w:t>
      </w:r>
      <w:r w:rsidR="00536831">
        <w:rPr>
          <w:rFonts w:asciiTheme="minorHAnsi" w:hAnsiTheme="minorHAnsi"/>
          <w:bCs/>
          <w:snapToGrid w:val="0"/>
        </w:rPr>
        <w:t xml:space="preserve">Breast Cancer Trials </w:t>
      </w:r>
      <w:r w:rsidR="00C276AD">
        <w:rPr>
          <w:rFonts w:asciiTheme="minorHAnsi" w:hAnsiTheme="minorHAnsi"/>
          <w:bCs/>
          <w:snapToGrid w:val="0"/>
        </w:rPr>
        <w:t xml:space="preserve">noted that </w:t>
      </w:r>
      <w:r w:rsidR="00A90289">
        <w:rPr>
          <w:rFonts w:asciiTheme="minorHAnsi" w:hAnsiTheme="minorHAnsi"/>
          <w:bCs/>
          <w:snapToGrid w:val="0"/>
        </w:rPr>
        <w:t xml:space="preserve">the addition of pertuzumab is </w:t>
      </w:r>
      <w:r w:rsidR="00583C6F">
        <w:rPr>
          <w:rFonts w:asciiTheme="minorHAnsi" w:hAnsiTheme="minorHAnsi"/>
          <w:bCs/>
          <w:snapToGrid w:val="0"/>
        </w:rPr>
        <w:t xml:space="preserve">recommended </w:t>
      </w:r>
      <w:r w:rsidR="002B6410">
        <w:rPr>
          <w:rFonts w:asciiTheme="minorHAnsi" w:hAnsiTheme="minorHAnsi"/>
          <w:bCs/>
          <w:snapToGrid w:val="0"/>
        </w:rPr>
        <w:t>internationally and considered standard of care</w:t>
      </w:r>
      <w:r w:rsidR="00583C6F" w:rsidRPr="00583C6F">
        <w:rPr>
          <w:rFonts w:asciiTheme="minorHAnsi" w:hAnsiTheme="minorHAnsi"/>
          <w:bCs/>
          <w:snapToGrid w:val="0"/>
        </w:rPr>
        <w:t>.</w:t>
      </w:r>
      <w:r w:rsidR="002B6410">
        <w:rPr>
          <w:rFonts w:asciiTheme="minorHAnsi" w:hAnsiTheme="minorHAnsi"/>
          <w:bCs/>
          <w:snapToGrid w:val="0"/>
        </w:rPr>
        <w:t xml:space="preserve"> </w:t>
      </w:r>
      <w:r w:rsidR="005E0F31">
        <w:rPr>
          <w:rFonts w:asciiTheme="minorHAnsi" w:hAnsiTheme="minorHAnsi"/>
          <w:bCs/>
          <w:snapToGrid w:val="0"/>
        </w:rPr>
        <w:t xml:space="preserve">Breast Cancer Trials noted that </w:t>
      </w:r>
      <w:r w:rsidR="005E0F31" w:rsidRPr="005E0F31">
        <w:rPr>
          <w:rFonts w:asciiTheme="minorHAnsi" w:hAnsiTheme="minorHAnsi"/>
          <w:bCs/>
          <w:snapToGrid w:val="0"/>
        </w:rPr>
        <w:t xml:space="preserve">not being able to provide </w:t>
      </w:r>
      <w:r w:rsidR="005E0F31">
        <w:rPr>
          <w:rFonts w:asciiTheme="minorHAnsi" w:hAnsiTheme="minorHAnsi"/>
          <w:bCs/>
          <w:snapToGrid w:val="0"/>
        </w:rPr>
        <w:t xml:space="preserve">pertuzumab as </w:t>
      </w:r>
      <w:r w:rsidR="005E0F31" w:rsidRPr="005E0F31">
        <w:rPr>
          <w:rFonts w:asciiTheme="minorHAnsi" w:hAnsiTheme="minorHAnsi"/>
          <w:bCs/>
          <w:snapToGrid w:val="0"/>
        </w:rPr>
        <w:t>standard of care prevents access for Australians to trials, and to the benefits of those trials</w:t>
      </w:r>
      <w:r w:rsidR="005E0F31">
        <w:rPr>
          <w:rFonts w:asciiTheme="minorHAnsi" w:hAnsiTheme="minorHAnsi"/>
          <w:bCs/>
          <w:snapToGrid w:val="0"/>
        </w:rPr>
        <w:t>.</w:t>
      </w:r>
      <w:r w:rsidR="002F3A90">
        <w:rPr>
          <w:rFonts w:asciiTheme="minorHAnsi" w:hAnsiTheme="minorHAnsi"/>
          <w:bCs/>
          <w:snapToGrid w:val="0"/>
        </w:rPr>
        <w:t xml:space="preserve"> </w:t>
      </w:r>
      <w:r w:rsidR="00986E5C">
        <w:rPr>
          <w:rFonts w:asciiTheme="minorHAnsi" w:hAnsiTheme="minorHAnsi"/>
          <w:bCs/>
          <w:snapToGrid w:val="0"/>
        </w:rPr>
        <w:t xml:space="preserve">Breast Surgeons ANZ and BCNA also raised equity of access issues for </w:t>
      </w:r>
      <w:r w:rsidR="00042255">
        <w:rPr>
          <w:rFonts w:asciiTheme="minorHAnsi" w:hAnsiTheme="minorHAnsi"/>
          <w:bCs/>
          <w:snapToGrid w:val="0"/>
        </w:rPr>
        <w:t xml:space="preserve">pertuzumab. </w:t>
      </w:r>
      <w:r w:rsidR="002F3A90">
        <w:rPr>
          <w:rFonts w:asciiTheme="minorHAnsi" w:hAnsiTheme="minorHAnsi"/>
          <w:bCs/>
          <w:snapToGrid w:val="0"/>
        </w:rPr>
        <w:t>Rare Cancers Australia noted its support of PBS listing pertuzumab.</w:t>
      </w:r>
      <w:bookmarkEnd w:id="21"/>
      <w:bookmarkEnd w:id="23"/>
    </w:p>
    <w:p w14:paraId="2E232B10" w14:textId="5A4CAF9A" w:rsidR="00684653" w:rsidRPr="00684653" w:rsidRDefault="00FF6963" w:rsidP="00684653">
      <w:pPr>
        <w:widowControl w:val="0"/>
        <w:numPr>
          <w:ilvl w:val="1"/>
          <w:numId w:val="5"/>
        </w:numPr>
        <w:spacing w:after="120"/>
        <w:rPr>
          <w:rFonts w:asciiTheme="minorHAnsi" w:hAnsiTheme="minorHAnsi"/>
          <w:bCs/>
          <w:snapToGrid w:val="0"/>
        </w:rPr>
      </w:pPr>
      <w:r w:rsidRPr="0099249D">
        <w:rPr>
          <w:rFonts w:asciiTheme="minorHAnsi" w:hAnsiTheme="minorHAnsi"/>
          <w:bCs/>
          <w:snapToGrid w:val="0"/>
        </w:rPr>
        <w:t xml:space="preserve">The Medical Oncology Group of Australia (MOGA) also expressed its strong support for the </w:t>
      </w:r>
      <w:r w:rsidR="0099249D">
        <w:rPr>
          <w:rFonts w:asciiTheme="minorHAnsi" w:hAnsiTheme="minorHAnsi"/>
          <w:bCs/>
          <w:snapToGrid w:val="0"/>
        </w:rPr>
        <w:t>pertuzumab</w:t>
      </w:r>
      <w:r w:rsidRPr="0099249D">
        <w:rPr>
          <w:rFonts w:asciiTheme="minorHAnsi" w:hAnsiTheme="minorHAnsi"/>
          <w:bCs/>
          <w:snapToGrid w:val="0"/>
        </w:rPr>
        <w:t xml:space="preserve"> submission, categorising it as one of the therapies of “highest priority for PBS listing” on the basis of the </w:t>
      </w:r>
      <w:r w:rsidR="00793459">
        <w:rPr>
          <w:rFonts w:asciiTheme="minorHAnsi" w:hAnsiTheme="minorHAnsi"/>
          <w:bCs/>
          <w:snapToGrid w:val="0"/>
        </w:rPr>
        <w:t>N</w:t>
      </w:r>
      <w:r w:rsidR="00540ED2">
        <w:rPr>
          <w:rFonts w:asciiTheme="minorHAnsi" w:hAnsiTheme="minorHAnsi"/>
          <w:bCs/>
          <w:snapToGrid w:val="0"/>
        </w:rPr>
        <w:t>EOSHPERE</w:t>
      </w:r>
      <w:r w:rsidRPr="0099249D">
        <w:rPr>
          <w:rFonts w:asciiTheme="minorHAnsi" w:hAnsiTheme="minorHAnsi"/>
          <w:bCs/>
          <w:snapToGrid w:val="0"/>
        </w:rPr>
        <w:t xml:space="preserve"> trial. The PBAC noted that the MOGA presented a European Society for Medical Oncology Magnitude of Clinical Benefit Scale (ESMO-MCBS) for </w:t>
      </w:r>
      <w:r w:rsidR="00DD66D4">
        <w:rPr>
          <w:rFonts w:asciiTheme="minorHAnsi" w:hAnsiTheme="minorHAnsi"/>
          <w:bCs/>
          <w:snapToGrid w:val="0"/>
        </w:rPr>
        <w:t>pertuzumab</w:t>
      </w:r>
      <w:r w:rsidRPr="0099249D">
        <w:rPr>
          <w:rFonts w:asciiTheme="minorHAnsi" w:hAnsiTheme="minorHAnsi"/>
          <w:bCs/>
          <w:snapToGrid w:val="0"/>
        </w:rPr>
        <w:t xml:space="preserve">, which was limited to </w:t>
      </w:r>
      <w:r w:rsidR="00A42088">
        <w:rPr>
          <w:rFonts w:asciiTheme="minorHAnsi" w:hAnsiTheme="minorHAnsi"/>
          <w:bCs/>
          <w:snapToGrid w:val="0"/>
        </w:rPr>
        <w:t xml:space="preserve">grade </w:t>
      </w:r>
      <w:r w:rsidR="00DD66D4">
        <w:rPr>
          <w:rFonts w:asciiTheme="minorHAnsi" w:hAnsiTheme="minorHAnsi"/>
          <w:bCs/>
          <w:snapToGrid w:val="0"/>
        </w:rPr>
        <w:t>C</w:t>
      </w:r>
      <w:r w:rsidRPr="0099249D">
        <w:rPr>
          <w:rFonts w:asciiTheme="minorHAnsi" w:hAnsiTheme="minorHAnsi"/>
          <w:bCs/>
          <w:snapToGrid w:val="0"/>
        </w:rPr>
        <w:t xml:space="preserve"> (where </w:t>
      </w:r>
      <w:r w:rsidR="00A42088">
        <w:rPr>
          <w:rFonts w:asciiTheme="minorHAnsi" w:hAnsiTheme="minorHAnsi"/>
          <w:bCs/>
          <w:snapToGrid w:val="0"/>
        </w:rPr>
        <w:t xml:space="preserve">A and B </w:t>
      </w:r>
      <w:r w:rsidRPr="0099249D">
        <w:rPr>
          <w:rFonts w:asciiTheme="minorHAnsi" w:hAnsiTheme="minorHAnsi"/>
          <w:bCs/>
          <w:snapToGrid w:val="0"/>
        </w:rPr>
        <w:t>represent the grades with substantial improvement</w:t>
      </w:r>
      <w:r w:rsidR="006978DB">
        <w:rPr>
          <w:rFonts w:asciiTheme="minorHAnsi" w:hAnsiTheme="minorHAnsi"/>
          <w:bCs/>
          <w:snapToGrid w:val="0"/>
        </w:rPr>
        <w:t xml:space="preserve"> in survival outcomes</w:t>
      </w:r>
      <w:r w:rsidRPr="0099249D">
        <w:rPr>
          <w:rFonts w:asciiTheme="minorHAnsi" w:hAnsiTheme="minorHAnsi"/>
          <w:bCs/>
          <w:snapToGrid w:val="0"/>
        </w:rPr>
        <w:t>)</w:t>
      </w:r>
      <w:r w:rsidR="00842422">
        <w:rPr>
          <w:rStyle w:val="FootnoteReference"/>
          <w:rFonts w:asciiTheme="minorHAnsi" w:hAnsiTheme="minorHAnsi"/>
          <w:bCs/>
          <w:snapToGrid w:val="0"/>
        </w:rPr>
        <w:footnoteReference w:id="9"/>
      </w:r>
      <w:r w:rsidR="00684653">
        <w:rPr>
          <w:rFonts w:asciiTheme="minorHAnsi" w:hAnsiTheme="minorHAnsi"/>
          <w:bCs/>
          <w:snapToGrid w:val="0"/>
        </w:rPr>
        <w:t>.</w:t>
      </w:r>
    </w:p>
    <w:p w14:paraId="24778EA6" w14:textId="39450F73" w:rsidR="00785588" w:rsidRPr="00873941" w:rsidRDefault="00785588" w:rsidP="00785588">
      <w:pPr>
        <w:pStyle w:val="4-SubsectionHeading"/>
        <w:rPr>
          <w:lang w:eastAsia="en-AU"/>
        </w:rPr>
      </w:pPr>
      <w:r w:rsidRPr="00873941">
        <w:rPr>
          <w:lang w:eastAsia="en-AU"/>
        </w:rPr>
        <w:t>Clinical trials</w:t>
      </w:r>
      <w:r w:rsidR="007E5D37" w:rsidRPr="00873941">
        <w:rPr>
          <w:lang w:eastAsia="en-AU"/>
        </w:rPr>
        <w:t xml:space="preserve"> and studies</w:t>
      </w:r>
      <w:bookmarkEnd w:id="22"/>
    </w:p>
    <w:p w14:paraId="26C8BA21" w14:textId="4E61C4B1" w:rsidR="00A031C2" w:rsidRPr="00873941" w:rsidRDefault="00A031C2" w:rsidP="00A031C2">
      <w:pPr>
        <w:pStyle w:val="3-BodyText"/>
      </w:pPr>
      <w:r w:rsidRPr="00873941">
        <w:t>The resubmission was based on 3 head-to-head randomised</w:t>
      </w:r>
      <w:r w:rsidR="007E5D37" w:rsidRPr="00873941">
        <w:t xml:space="preserve"> controlled</w:t>
      </w:r>
      <w:r w:rsidRPr="00873941">
        <w:t xml:space="preserve"> trials</w:t>
      </w:r>
      <w:r w:rsidR="007E5D37" w:rsidRPr="00873941">
        <w:t xml:space="preserve"> (RCTs)</w:t>
      </w:r>
      <w:r w:rsidRPr="00873941">
        <w:t xml:space="preserve"> comparing </w:t>
      </w:r>
      <w:proofErr w:type="spellStart"/>
      <w:r w:rsidRPr="00873941">
        <w:t>P+T+Chemo</w:t>
      </w:r>
      <w:proofErr w:type="spellEnd"/>
      <w:r w:rsidRPr="00873941">
        <w:t xml:space="preserve"> to </w:t>
      </w:r>
      <w:proofErr w:type="spellStart"/>
      <w:r w:rsidRPr="00873941">
        <w:t>T+Chemo</w:t>
      </w:r>
      <w:proofErr w:type="spellEnd"/>
      <w:r w:rsidRPr="00873941">
        <w:t xml:space="preserve"> as neoadjuvant treatment for </w:t>
      </w:r>
      <w:proofErr w:type="spellStart"/>
      <w:r w:rsidRPr="00873941">
        <w:t>eBC</w:t>
      </w:r>
      <w:proofErr w:type="spellEnd"/>
      <w:r w:rsidRPr="00873941">
        <w:t>:</w:t>
      </w:r>
    </w:p>
    <w:p w14:paraId="7D9941E0" w14:textId="1354D902" w:rsidR="00A031C2" w:rsidRPr="00873941" w:rsidRDefault="00A031C2" w:rsidP="003231D2">
      <w:pPr>
        <w:pStyle w:val="ListParagraph"/>
        <w:jc w:val="both"/>
      </w:pPr>
      <w:r w:rsidRPr="00873941">
        <w:lastRenderedPageBreak/>
        <w:t xml:space="preserve">The NEOSPHERE trial had 4 arms that compared </w:t>
      </w:r>
      <w:r w:rsidR="00EB331F" w:rsidRPr="00873941">
        <w:t xml:space="preserve">4 cycles of </w:t>
      </w:r>
      <w:proofErr w:type="spellStart"/>
      <w:r w:rsidRPr="00873941">
        <w:t>P+T+Chemo</w:t>
      </w:r>
      <w:proofErr w:type="spellEnd"/>
      <w:r w:rsidRPr="00873941">
        <w:t xml:space="preserve"> (docetaxel) with</w:t>
      </w:r>
      <w:r w:rsidR="00EB331F" w:rsidRPr="00873941">
        <w:t xml:space="preserve"> 4 cycles of</w:t>
      </w:r>
      <w:r w:rsidRPr="00873941">
        <w:t xml:space="preserve"> </w:t>
      </w:r>
      <w:proofErr w:type="spellStart"/>
      <w:r w:rsidRPr="00873941">
        <w:t>T+Chemo</w:t>
      </w:r>
      <w:proofErr w:type="spellEnd"/>
      <w:r w:rsidRPr="00873941">
        <w:t xml:space="preserve"> (docetaxel), </w:t>
      </w:r>
      <w:r w:rsidR="00EB331F" w:rsidRPr="00873941">
        <w:t xml:space="preserve">4 cycles of </w:t>
      </w:r>
      <w:proofErr w:type="spellStart"/>
      <w:r w:rsidRPr="00873941">
        <w:t>P+Chemo</w:t>
      </w:r>
      <w:proofErr w:type="spellEnd"/>
      <w:r w:rsidRPr="00873941">
        <w:t xml:space="preserve"> (docetaxel), and</w:t>
      </w:r>
      <w:r w:rsidR="00EB331F" w:rsidRPr="00873941">
        <w:t xml:space="preserve"> 4 cycles of</w:t>
      </w:r>
      <w:r w:rsidRPr="00873941">
        <w:t xml:space="preserve"> </w:t>
      </w:r>
      <w:proofErr w:type="spellStart"/>
      <w:r w:rsidRPr="00873941">
        <w:t>T+Chemo</w:t>
      </w:r>
      <w:proofErr w:type="spellEnd"/>
      <w:r w:rsidRPr="00873941">
        <w:t xml:space="preserve"> (docetaxel) [N=417, n relevant to this </w:t>
      </w:r>
      <w:r w:rsidR="005E4F20" w:rsidRPr="00873941">
        <w:t>re</w:t>
      </w:r>
      <w:r w:rsidRPr="00873941">
        <w:t>submission = 214].</w:t>
      </w:r>
    </w:p>
    <w:p w14:paraId="7B812FEC" w14:textId="1FBE7FA4" w:rsidR="00A031C2" w:rsidRPr="00873941" w:rsidRDefault="00A031C2" w:rsidP="003231D2">
      <w:pPr>
        <w:pStyle w:val="ListParagraph"/>
        <w:jc w:val="both"/>
      </w:pPr>
      <w:r w:rsidRPr="00873941">
        <w:t>The PEONY trial had 2 arms that compared</w:t>
      </w:r>
      <w:r w:rsidR="00EB331F" w:rsidRPr="00873941">
        <w:t xml:space="preserve"> 4 cycles of</w:t>
      </w:r>
      <w:r w:rsidRPr="00873941">
        <w:t xml:space="preserve"> </w:t>
      </w:r>
      <w:proofErr w:type="spellStart"/>
      <w:r w:rsidRPr="00873941">
        <w:t>P+T+Chemo</w:t>
      </w:r>
      <w:proofErr w:type="spellEnd"/>
      <w:r w:rsidRPr="00873941">
        <w:t xml:space="preserve"> (docetaxel) with </w:t>
      </w:r>
      <w:r w:rsidR="00EB331F" w:rsidRPr="00873941">
        <w:t xml:space="preserve">4 cycles of </w:t>
      </w:r>
      <w:proofErr w:type="spellStart"/>
      <w:r w:rsidRPr="00873941">
        <w:t>T+Chemo</w:t>
      </w:r>
      <w:proofErr w:type="spellEnd"/>
      <w:r w:rsidRPr="00873941">
        <w:t xml:space="preserve"> (docetaxel) [N=328].</w:t>
      </w:r>
    </w:p>
    <w:p w14:paraId="26187330" w14:textId="2CD16B84" w:rsidR="00A031C2" w:rsidRPr="00873941" w:rsidRDefault="00A031C2" w:rsidP="003231D2">
      <w:pPr>
        <w:pStyle w:val="ListParagraph"/>
        <w:jc w:val="both"/>
      </w:pPr>
      <w:r w:rsidRPr="00873941">
        <w:t>The I-SPY2 trial is an ongoing adaptively randomised platform trial that evaluates multiple investigation agents in parallel against a common control within specific breast cancer subtypes. There were 3 arms relevant to HER2 positive pa</w:t>
      </w:r>
      <w:r w:rsidR="004C4000" w:rsidRPr="00873941">
        <w:t>rticipant</w:t>
      </w:r>
      <w:r w:rsidRPr="00873941">
        <w:t xml:space="preserve">s: </w:t>
      </w:r>
      <w:proofErr w:type="spellStart"/>
      <w:r w:rsidRPr="00873941">
        <w:t>P+T+Chemo</w:t>
      </w:r>
      <w:proofErr w:type="spellEnd"/>
      <w:r w:rsidRPr="00873941">
        <w:t xml:space="preserve">, P+T-DM1+Chemo, and </w:t>
      </w:r>
      <w:proofErr w:type="spellStart"/>
      <w:r w:rsidRPr="00873941">
        <w:t>T+Chemo</w:t>
      </w:r>
      <w:proofErr w:type="spellEnd"/>
      <w:r w:rsidRPr="00873941">
        <w:t>. The chemotherapy backbone was paclitaxel with 4 cycles of HER2 targeted treatment</w:t>
      </w:r>
      <w:r w:rsidR="00EB331F" w:rsidRPr="00873941">
        <w:t xml:space="preserve"> (P+T, P+T-DM1, or </w:t>
      </w:r>
      <w:r w:rsidR="000C7F5D" w:rsidRPr="00873941">
        <w:t>trastuzumab</w:t>
      </w:r>
      <w:r w:rsidR="00EB331F" w:rsidRPr="00873941">
        <w:t>)</w:t>
      </w:r>
      <w:r w:rsidRPr="00873941">
        <w:t xml:space="preserve"> followed by 4 cycles of anthracycline treatment [relevant n = 76]. </w:t>
      </w:r>
    </w:p>
    <w:p w14:paraId="063DAF6F" w14:textId="335D7E25" w:rsidR="007E5D37" w:rsidRPr="00873941" w:rsidRDefault="007E5D37" w:rsidP="006139B4">
      <w:pPr>
        <w:pStyle w:val="3-BodyText"/>
      </w:pPr>
      <w:r w:rsidRPr="00873941">
        <w:t xml:space="preserve">The resubmission also presented one supplementary </w:t>
      </w:r>
      <w:r w:rsidR="0091441D" w:rsidRPr="00873941">
        <w:t>RCT</w:t>
      </w:r>
      <w:r w:rsidRPr="00873941">
        <w:t xml:space="preserve"> comparing </w:t>
      </w:r>
      <w:r w:rsidR="00F74FD3" w:rsidRPr="00873941">
        <w:t xml:space="preserve">3 </w:t>
      </w:r>
      <w:r w:rsidRPr="00873941">
        <w:t xml:space="preserve">different chemotherapy regimens for </w:t>
      </w:r>
      <w:proofErr w:type="spellStart"/>
      <w:r w:rsidRPr="00873941">
        <w:t>P+T+Chemo</w:t>
      </w:r>
      <w:proofErr w:type="spellEnd"/>
      <w:r w:rsidRPr="00873941">
        <w:t xml:space="preserve"> as neoadjuvant treatment for </w:t>
      </w:r>
      <w:proofErr w:type="spellStart"/>
      <w:r w:rsidRPr="00873941">
        <w:t>eBC</w:t>
      </w:r>
      <w:proofErr w:type="spellEnd"/>
      <w:r w:rsidRPr="00873941">
        <w:t>:</w:t>
      </w:r>
    </w:p>
    <w:p w14:paraId="077FDF97" w14:textId="762FC2D1" w:rsidR="007E5D37" w:rsidRPr="00873941" w:rsidRDefault="007E5D37" w:rsidP="00445292">
      <w:pPr>
        <w:pStyle w:val="ListParagraph"/>
        <w:jc w:val="both"/>
      </w:pPr>
      <w:r w:rsidRPr="00873941">
        <w:t xml:space="preserve">The TRYPHAENA trial had 3 arms that compared </w:t>
      </w:r>
      <w:proofErr w:type="spellStart"/>
      <w:r w:rsidRPr="00873941">
        <w:t>P+T+Chemo</w:t>
      </w:r>
      <w:proofErr w:type="spellEnd"/>
      <w:r w:rsidRPr="00873941">
        <w:t xml:space="preserve"> with different chemotherapy backbones ([6 cycles P+T with 3 cycles</w:t>
      </w:r>
      <w:r w:rsidR="00445292" w:rsidRPr="00873941">
        <w:t xml:space="preserve"> 5-fluorouracil</w:t>
      </w:r>
      <w:r w:rsidRPr="00873941">
        <w:t xml:space="preserve"> </w:t>
      </w:r>
      <w:r w:rsidR="00445292" w:rsidRPr="00873941">
        <w:t>[</w:t>
      </w:r>
      <w:r w:rsidRPr="00873941">
        <w:t>5FU</w:t>
      </w:r>
      <w:r w:rsidR="00445292" w:rsidRPr="00873941">
        <w:t>]</w:t>
      </w:r>
      <w:r w:rsidRPr="00873941">
        <w:t xml:space="preserve"> + </w:t>
      </w:r>
      <w:proofErr w:type="spellStart"/>
      <w:r w:rsidRPr="00873941">
        <w:t>epirubicin</w:t>
      </w:r>
      <w:proofErr w:type="spellEnd"/>
      <w:r w:rsidRPr="00873941">
        <w:t xml:space="preserve"> + cyclophosphamide followed by 3 cycles docetaxel], [6 cycles P+T with 6 cycles docetaxel + carboplatin], [3 cycles 5FU + </w:t>
      </w:r>
      <w:proofErr w:type="spellStart"/>
      <w:r w:rsidRPr="00873941">
        <w:t>epirubicin</w:t>
      </w:r>
      <w:proofErr w:type="spellEnd"/>
      <w:r w:rsidRPr="00873941">
        <w:t xml:space="preserve"> + cyclophosphamide followed by 3 cycles P+T with 3 cycles docetaxel]) [N=225, relevant n=150].</w:t>
      </w:r>
    </w:p>
    <w:p w14:paraId="0992DB32" w14:textId="6920D27B" w:rsidR="007E5D37" w:rsidRPr="00873941" w:rsidRDefault="007E5D37" w:rsidP="00445292">
      <w:pPr>
        <w:pStyle w:val="3-BodyText"/>
      </w:pPr>
      <w:r w:rsidRPr="00873941">
        <w:t xml:space="preserve">The TRYPHAENA trial was excluded from the search for </w:t>
      </w:r>
      <w:r w:rsidR="0091441D" w:rsidRPr="00873941">
        <w:t>RCTs</w:t>
      </w:r>
      <w:r w:rsidRPr="00873941">
        <w:t xml:space="preserve"> because it d</w:t>
      </w:r>
      <w:r w:rsidR="00AC3EEF" w:rsidRPr="00873941">
        <w:t>id</w:t>
      </w:r>
      <w:r w:rsidRPr="00873941">
        <w:t xml:space="preserve"> not include comparative evidence for </w:t>
      </w:r>
      <w:proofErr w:type="spellStart"/>
      <w:r w:rsidRPr="00873941">
        <w:t>P+T+Chemo</w:t>
      </w:r>
      <w:proofErr w:type="spellEnd"/>
      <w:r w:rsidRPr="00873941">
        <w:t xml:space="preserve"> vs </w:t>
      </w:r>
      <w:proofErr w:type="spellStart"/>
      <w:r w:rsidRPr="00873941">
        <w:t>T+Chemo</w:t>
      </w:r>
      <w:proofErr w:type="spellEnd"/>
      <w:r w:rsidRPr="00873941">
        <w:t xml:space="preserve">. However, it was included in the resubmission because it provided information on 6 neoadjuvant cycles, and assessed anthracycline-based or carboplatin-based neoadjuvant chemotherapy regimens, which </w:t>
      </w:r>
      <w:r w:rsidR="0091441D" w:rsidRPr="00873941">
        <w:t xml:space="preserve">were </w:t>
      </w:r>
      <w:r w:rsidRPr="00873941">
        <w:t>applicable in the Australian setting.</w:t>
      </w:r>
    </w:p>
    <w:p w14:paraId="50F88AA2" w14:textId="5D28ED89" w:rsidR="007E5D37" w:rsidRPr="00873941" w:rsidRDefault="007E5D37" w:rsidP="007E5D37">
      <w:pPr>
        <w:pStyle w:val="3-BodyText"/>
      </w:pPr>
      <w:r w:rsidRPr="00873941">
        <w:t xml:space="preserve">Additionally, the resubmission identified 14 </w:t>
      </w:r>
      <w:r w:rsidR="00A17A62" w:rsidRPr="00873941">
        <w:t xml:space="preserve">observational </w:t>
      </w:r>
      <w:r w:rsidRPr="00873941">
        <w:t xml:space="preserve">studies comparing </w:t>
      </w:r>
      <w:proofErr w:type="spellStart"/>
      <w:r w:rsidRPr="00873941">
        <w:t>P+T+Chemo</w:t>
      </w:r>
      <w:proofErr w:type="spellEnd"/>
      <w:r w:rsidRPr="00873941">
        <w:t xml:space="preserve"> to </w:t>
      </w:r>
      <w:proofErr w:type="spellStart"/>
      <w:r w:rsidRPr="00873941">
        <w:t>T+Chemo</w:t>
      </w:r>
      <w:proofErr w:type="spellEnd"/>
      <w:r w:rsidRPr="00873941">
        <w:t xml:space="preserve"> where the neoadjuvant chemotherapy backbone included anthracyclines:</w:t>
      </w:r>
    </w:p>
    <w:p w14:paraId="69EB4516" w14:textId="77777777" w:rsidR="007E5D37" w:rsidRPr="00873941" w:rsidRDefault="007E5D37" w:rsidP="0091441D">
      <w:pPr>
        <w:pStyle w:val="ListParagraph"/>
        <w:jc w:val="both"/>
      </w:pPr>
      <w:r w:rsidRPr="00873941">
        <w:t>Acevedo (2023) a retrospective population-cohort study from a breast cancer registry in Chile [N=372].</w:t>
      </w:r>
    </w:p>
    <w:p w14:paraId="01C64DD7" w14:textId="77777777" w:rsidR="007E5D37" w:rsidRPr="00873941" w:rsidRDefault="007E5D37" w:rsidP="0091441D">
      <w:pPr>
        <w:pStyle w:val="ListParagraph"/>
        <w:jc w:val="both"/>
      </w:pPr>
      <w:r w:rsidRPr="00873941">
        <w:t>HER2PATH (Bilici 2023) a retrospective, multicentre nationwide cohort study in Turkey [N=1,528].</w:t>
      </w:r>
    </w:p>
    <w:p w14:paraId="2FA4D359" w14:textId="77777777" w:rsidR="007E5D37" w:rsidRPr="00873941" w:rsidRDefault="007E5D37" w:rsidP="0091441D">
      <w:pPr>
        <w:pStyle w:val="ListParagraph"/>
        <w:jc w:val="both"/>
      </w:pPr>
      <w:proofErr w:type="spellStart"/>
      <w:r w:rsidRPr="00873941">
        <w:t>NeoPowER</w:t>
      </w:r>
      <w:proofErr w:type="spellEnd"/>
      <w:r w:rsidRPr="00873941">
        <w:t xml:space="preserve"> (Canino 2024) a retrospective, observational, multicentre review of medical records in Italy [N=260].</w:t>
      </w:r>
    </w:p>
    <w:p w14:paraId="614CD78C" w14:textId="77777777" w:rsidR="007E5D37" w:rsidRPr="00873941" w:rsidRDefault="007E5D37" w:rsidP="0091441D">
      <w:pPr>
        <w:pStyle w:val="ListParagraph"/>
        <w:jc w:val="both"/>
      </w:pPr>
      <w:r w:rsidRPr="00873941">
        <w:t>Chang (2020) a retrospective database review from a tertiary hospital in Hong Kong [N=142].</w:t>
      </w:r>
    </w:p>
    <w:p w14:paraId="5BF5FB03" w14:textId="77777777" w:rsidR="007E5D37" w:rsidRPr="00873941" w:rsidRDefault="007E5D37" w:rsidP="0091441D">
      <w:pPr>
        <w:pStyle w:val="ListParagraph"/>
        <w:jc w:val="both"/>
      </w:pPr>
      <w:r w:rsidRPr="00873941">
        <w:t xml:space="preserve">Cheng (2022) a retrospective multicentre study across 30 hospitals in China [N=1,032]. </w:t>
      </w:r>
    </w:p>
    <w:p w14:paraId="06AB842D" w14:textId="77777777" w:rsidR="007E5D37" w:rsidRPr="00873941" w:rsidRDefault="007E5D37" w:rsidP="0091441D">
      <w:pPr>
        <w:pStyle w:val="ListParagraph"/>
        <w:jc w:val="both"/>
      </w:pPr>
      <w:r w:rsidRPr="00873941">
        <w:lastRenderedPageBreak/>
        <w:t>Díaz-Redondo (2019) a retrospective review of clinical records in Spain [N=254].</w:t>
      </w:r>
    </w:p>
    <w:p w14:paraId="7CFA5CE7" w14:textId="77777777" w:rsidR="007E5D37" w:rsidRPr="00873941" w:rsidRDefault="007E5D37" w:rsidP="0091441D">
      <w:pPr>
        <w:pStyle w:val="ListParagraph"/>
        <w:jc w:val="both"/>
      </w:pPr>
      <w:proofErr w:type="spellStart"/>
      <w:r w:rsidRPr="00873941">
        <w:t>Neopearl</w:t>
      </w:r>
      <w:proofErr w:type="spellEnd"/>
      <w:r w:rsidRPr="00873941">
        <w:t xml:space="preserve"> (Fabbri 2023) a retrospective multicentre observational study in Italy [N=271].</w:t>
      </w:r>
    </w:p>
    <w:p w14:paraId="2BCB10B7" w14:textId="77777777" w:rsidR="007E5D37" w:rsidRPr="00873941" w:rsidRDefault="007E5D37" w:rsidP="0091441D">
      <w:pPr>
        <w:pStyle w:val="ListParagraph"/>
        <w:jc w:val="both"/>
      </w:pPr>
      <w:r w:rsidRPr="00873941">
        <w:t>Hung (2022) a retrospective single centre cohort study in Taiwan [N=147].</w:t>
      </w:r>
    </w:p>
    <w:p w14:paraId="284D0DA1" w14:textId="77777777" w:rsidR="007E5D37" w:rsidRPr="00873941" w:rsidRDefault="007E5D37" w:rsidP="0091441D">
      <w:pPr>
        <w:pStyle w:val="ListParagraph"/>
        <w:jc w:val="both"/>
      </w:pPr>
      <w:r w:rsidRPr="00873941">
        <w:t>Jiao (2024) a retrospective multicentre cohort study in China [N=2,010].</w:t>
      </w:r>
    </w:p>
    <w:p w14:paraId="2F10A877" w14:textId="77777777" w:rsidR="007E5D37" w:rsidRPr="00873941" w:rsidRDefault="007E5D37" w:rsidP="0091441D">
      <w:pPr>
        <w:pStyle w:val="ListParagraph"/>
        <w:jc w:val="both"/>
      </w:pPr>
      <w:r w:rsidRPr="00873941">
        <w:t>Little (2020) a retrospective case note study in the UK [N=176].</w:t>
      </w:r>
    </w:p>
    <w:p w14:paraId="2D1BA1F1" w14:textId="77777777" w:rsidR="007E5D37" w:rsidRPr="00873941" w:rsidRDefault="007E5D37" w:rsidP="0091441D">
      <w:pPr>
        <w:pStyle w:val="ListParagraph"/>
        <w:jc w:val="both"/>
      </w:pPr>
      <w:r w:rsidRPr="00873941">
        <w:t>Spring (2018) a retrospective review of electronic records in the US [N=121].</w:t>
      </w:r>
    </w:p>
    <w:p w14:paraId="182063AF" w14:textId="77777777" w:rsidR="007E5D37" w:rsidRPr="00873941" w:rsidRDefault="007E5D37" w:rsidP="0091441D">
      <w:pPr>
        <w:pStyle w:val="ListParagraph"/>
        <w:jc w:val="both"/>
      </w:pPr>
      <w:r w:rsidRPr="00873941">
        <w:t>Van der Voort (2022) a nationwide cohort analysis of national cancer registry data in the Netherlands [N=1,124].</w:t>
      </w:r>
    </w:p>
    <w:p w14:paraId="2D9CEED7" w14:textId="77777777" w:rsidR="007E5D37" w:rsidRPr="00873941" w:rsidRDefault="007E5D37" w:rsidP="0091441D">
      <w:pPr>
        <w:pStyle w:val="ListParagraph"/>
        <w:jc w:val="both"/>
      </w:pPr>
      <w:r w:rsidRPr="00873941">
        <w:t>Vieira (2023) a retrospective review of electronic medical reports at a single site in Portugal [N=94].</w:t>
      </w:r>
    </w:p>
    <w:p w14:paraId="788385C5" w14:textId="77777777" w:rsidR="007E5D37" w:rsidRPr="00873941" w:rsidRDefault="007E5D37" w:rsidP="0091441D">
      <w:pPr>
        <w:pStyle w:val="ListParagraph"/>
        <w:jc w:val="both"/>
      </w:pPr>
      <w:r w:rsidRPr="00873941">
        <w:t>NBRST (Whitworth 2022) a prospective multicentre observational study in the US [N=295].</w:t>
      </w:r>
    </w:p>
    <w:p w14:paraId="1EB51BE7" w14:textId="603B2FD2" w:rsidR="00A031C2" w:rsidRPr="00873941" w:rsidRDefault="007E5D37" w:rsidP="002E4F02">
      <w:pPr>
        <w:pStyle w:val="3-BodyText"/>
      </w:pPr>
      <w:r w:rsidRPr="00873941">
        <w:t xml:space="preserve">Finally, </w:t>
      </w:r>
      <w:r w:rsidR="0005559C" w:rsidRPr="00873941">
        <w:t xml:space="preserve">the resubmission presented Swain (2022) </w:t>
      </w:r>
      <w:r w:rsidRPr="00873941">
        <w:t>as part of its assessment of pCR as a surrogate measure for prevention of disease recurrence</w:t>
      </w:r>
      <w:r w:rsidR="0005559C" w:rsidRPr="00873941">
        <w:t xml:space="preserve">. Swain (2022) was </w:t>
      </w:r>
      <w:r w:rsidRPr="00873941">
        <w:t xml:space="preserve">a review that analysed the relationship between neoadjuvant </w:t>
      </w:r>
      <w:r w:rsidR="002A309D" w:rsidRPr="00873941">
        <w:t xml:space="preserve">pCR </w:t>
      </w:r>
      <w:r w:rsidRPr="00873941">
        <w:t xml:space="preserve">and </w:t>
      </w:r>
      <w:r w:rsidR="002A309D" w:rsidRPr="00873941">
        <w:t>event free survival (EFS)</w:t>
      </w:r>
      <w:r w:rsidRPr="00873941">
        <w:t xml:space="preserve"> across 5 RCTs in pa</w:t>
      </w:r>
      <w:r w:rsidR="004C4000" w:rsidRPr="00873941">
        <w:t>rticipan</w:t>
      </w:r>
      <w:r w:rsidRPr="00873941">
        <w:t xml:space="preserve">ts who received pertuzumab, trastuzumab or both in the neoadjuvant and adjuvant settings. The 5 RCTs included in Swain (2022) were the NEOSPHERE, TRYPHAENA, BERENICE, </w:t>
      </w:r>
      <w:proofErr w:type="spellStart"/>
      <w:r w:rsidRPr="00873941">
        <w:t>HannaH</w:t>
      </w:r>
      <w:proofErr w:type="spellEnd"/>
      <w:r w:rsidRPr="00873941">
        <w:t>, and KRISTINE trials.</w:t>
      </w:r>
    </w:p>
    <w:p w14:paraId="1BB318FA" w14:textId="1A75B46F" w:rsidR="007E5D37" w:rsidRPr="00873941" w:rsidRDefault="007E5D37" w:rsidP="002E4F02">
      <w:pPr>
        <w:pStyle w:val="3-BodyText"/>
      </w:pPr>
      <w:r w:rsidRPr="00873941">
        <w:t xml:space="preserve">The PBAC previously considered the NEOSPHERE, PEONY, and TRYPHAENA trials as part of the March 2020 submission. The I-SPY2 </w:t>
      </w:r>
      <w:r w:rsidR="007E4413" w:rsidRPr="00873941">
        <w:t xml:space="preserve">trial </w:t>
      </w:r>
      <w:r w:rsidRPr="00873941">
        <w:t xml:space="preserve">was unpublished at the time of the March 2020 PBAC submission. The PBAC has not previously </w:t>
      </w:r>
      <w:r w:rsidR="00A17A62" w:rsidRPr="00873941">
        <w:t>consider</w:t>
      </w:r>
      <w:r w:rsidR="00A751C2" w:rsidRPr="00873941">
        <w:t>ed</w:t>
      </w:r>
      <w:r w:rsidR="00A17A62" w:rsidRPr="00873941">
        <w:t xml:space="preserve"> </w:t>
      </w:r>
      <w:r w:rsidRPr="00873941">
        <w:t xml:space="preserve">the 14 </w:t>
      </w:r>
      <w:r w:rsidR="00A17A62" w:rsidRPr="00873941">
        <w:t xml:space="preserve">observational </w:t>
      </w:r>
      <w:r w:rsidRPr="00873941">
        <w:t>studies including neoadjuvant anthracyclines or Swain (2022).</w:t>
      </w:r>
    </w:p>
    <w:p w14:paraId="2B59ABAC" w14:textId="311514EF" w:rsidR="00862502" w:rsidRPr="00873941" w:rsidRDefault="00A73134" w:rsidP="002E4F02">
      <w:pPr>
        <w:pStyle w:val="3-BodyText"/>
      </w:pPr>
      <w:r w:rsidRPr="00873941">
        <w:t>Details of the trials</w:t>
      </w:r>
      <w:r w:rsidR="00373B66" w:rsidRPr="00873941">
        <w:t xml:space="preserve"> </w:t>
      </w:r>
      <w:r w:rsidRPr="00873941">
        <w:t xml:space="preserve">presented in the </w:t>
      </w:r>
      <w:r w:rsidR="00BD14F2" w:rsidRPr="00873941">
        <w:t>re</w:t>
      </w:r>
      <w:r w:rsidRPr="00873941">
        <w:t>submission are provided in</w:t>
      </w:r>
      <w:r w:rsidR="00373B66" w:rsidRPr="00873941">
        <w:t xml:space="preserve"> </w:t>
      </w:r>
      <w:r w:rsidR="00373B66" w:rsidRPr="00873941">
        <w:fldChar w:fldCharType="begin"/>
      </w:r>
      <w:r w:rsidR="00373B66" w:rsidRPr="00873941">
        <w:instrText xml:space="preserve"> REF _Ref184763342 \h </w:instrText>
      </w:r>
      <w:r w:rsidR="00373B66" w:rsidRPr="00873941">
        <w:fldChar w:fldCharType="separate"/>
      </w:r>
      <w:r w:rsidR="000B094B" w:rsidRPr="00873941">
        <w:t xml:space="preserve">Table </w:t>
      </w:r>
      <w:r w:rsidR="000B094B">
        <w:rPr>
          <w:noProof/>
        </w:rPr>
        <w:t>3</w:t>
      </w:r>
      <w:r w:rsidR="00373B66" w:rsidRPr="00873941">
        <w:fldChar w:fldCharType="end"/>
      </w:r>
      <w:r w:rsidRPr="00873941">
        <w:t>.</w:t>
      </w:r>
      <w:r w:rsidR="00BC591F" w:rsidRPr="00873941">
        <w:t xml:space="preserve"> </w:t>
      </w:r>
    </w:p>
    <w:p w14:paraId="20B26B96" w14:textId="23B9E0DE" w:rsidR="00373B66" w:rsidRPr="00873941" w:rsidRDefault="00373B66" w:rsidP="00F759B0">
      <w:pPr>
        <w:pStyle w:val="Caption"/>
      </w:pPr>
      <w:bookmarkStart w:id="25" w:name="_Ref184763342"/>
      <w:r w:rsidRPr="00873941">
        <w:lastRenderedPageBreak/>
        <w:t xml:space="preserve">Table </w:t>
      </w:r>
      <w:r w:rsidR="00435D6D">
        <w:fldChar w:fldCharType="begin"/>
      </w:r>
      <w:r w:rsidR="00435D6D">
        <w:instrText xml:space="preserve"> SEQ Table \* ARABIC </w:instrText>
      </w:r>
      <w:r w:rsidR="00435D6D">
        <w:fldChar w:fldCharType="separate"/>
      </w:r>
      <w:r w:rsidR="000B094B">
        <w:rPr>
          <w:noProof/>
        </w:rPr>
        <w:t>3</w:t>
      </w:r>
      <w:r w:rsidR="00435D6D">
        <w:fldChar w:fldCharType="end"/>
      </w:r>
      <w:bookmarkEnd w:id="25"/>
      <w:r w:rsidRPr="00873941">
        <w:t xml:space="preserve">: </w:t>
      </w:r>
      <w:r w:rsidRPr="00873941">
        <w:rPr>
          <w:rStyle w:val="CommentReference"/>
          <w:b/>
          <w:szCs w:val="24"/>
        </w:rPr>
        <w:t xml:space="preserve">Trials and associated reports presented in the </w:t>
      </w:r>
      <w:r w:rsidR="00BD14F2" w:rsidRPr="00873941">
        <w:rPr>
          <w:rStyle w:val="CommentReference"/>
          <w:b/>
          <w:szCs w:val="24"/>
        </w:rPr>
        <w:t>re</w:t>
      </w:r>
      <w:r w:rsidRPr="00873941">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1435"/>
        <w:gridCol w:w="5459"/>
        <w:gridCol w:w="2123"/>
      </w:tblGrid>
      <w:tr w:rsidR="00373B66" w:rsidRPr="00873941" w14:paraId="1EF3B646" w14:textId="77777777" w:rsidTr="00132464">
        <w:trPr>
          <w:tblHeader/>
        </w:trPr>
        <w:tc>
          <w:tcPr>
            <w:tcW w:w="796" w:type="pct"/>
            <w:tcBorders>
              <w:bottom w:val="single" w:sz="4" w:space="0" w:color="auto"/>
            </w:tcBorders>
            <w:vAlign w:val="center"/>
          </w:tcPr>
          <w:p w14:paraId="239D20A7" w14:textId="77777777" w:rsidR="00373B66" w:rsidRPr="00873941" w:rsidRDefault="00373B66" w:rsidP="00F759B0">
            <w:pPr>
              <w:pStyle w:val="In-tableHeading"/>
              <w:rPr>
                <w:lang w:val="en-AU"/>
              </w:rPr>
            </w:pPr>
            <w:r w:rsidRPr="00873941">
              <w:rPr>
                <w:lang w:val="en-AU"/>
              </w:rPr>
              <w:t>Trial ID</w:t>
            </w:r>
          </w:p>
        </w:tc>
        <w:tc>
          <w:tcPr>
            <w:tcW w:w="3027" w:type="pct"/>
            <w:tcBorders>
              <w:bottom w:val="single" w:sz="4" w:space="0" w:color="auto"/>
            </w:tcBorders>
            <w:vAlign w:val="center"/>
          </w:tcPr>
          <w:p w14:paraId="5DFA7B7C" w14:textId="77777777" w:rsidR="00373B66" w:rsidRPr="00873941" w:rsidRDefault="00373B66" w:rsidP="00F759B0">
            <w:pPr>
              <w:pStyle w:val="In-tableHeading"/>
              <w:rPr>
                <w:lang w:val="en-AU"/>
              </w:rPr>
            </w:pPr>
            <w:r w:rsidRPr="00873941">
              <w:rPr>
                <w:lang w:val="en-AU"/>
              </w:rPr>
              <w:t>Protocol title/ Publication title</w:t>
            </w:r>
          </w:p>
        </w:tc>
        <w:tc>
          <w:tcPr>
            <w:tcW w:w="1177" w:type="pct"/>
            <w:tcBorders>
              <w:bottom w:val="single" w:sz="4" w:space="0" w:color="auto"/>
            </w:tcBorders>
            <w:vAlign w:val="center"/>
          </w:tcPr>
          <w:p w14:paraId="6D603590" w14:textId="77777777" w:rsidR="00373B66" w:rsidRPr="00873941" w:rsidRDefault="00373B66" w:rsidP="00F759B0">
            <w:pPr>
              <w:pStyle w:val="In-tableHeading"/>
              <w:rPr>
                <w:lang w:val="en-AU"/>
              </w:rPr>
            </w:pPr>
            <w:r w:rsidRPr="00873941">
              <w:rPr>
                <w:lang w:val="en-AU"/>
              </w:rPr>
              <w:t>Publication citation</w:t>
            </w:r>
          </w:p>
        </w:tc>
      </w:tr>
      <w:tr w:rsidR="00373B66" w:rsidRPr="00873941" w14:paraId="68B8E8D9" w14:textId="77777777" w:rsidTr="00132464">
        <w:tc>
          <w:tcPr>
            <w:tcW w:w="5000" w:type="pct"/>
            <w:gridSpan w:val="3"/>
            <w:tcBorders>
              <w:bottom w:val="single" w:sz="4" w:space="0" w:color="auto"/>
            </w:tcBorders>
            <w:vAlign w:val="center"/>
          </w:tcPr>
          <w:p w14:paraId="06A450B5" w14:textId="7AD67172" w:rsidR="00373B66" w:rsidRPr="00873941" w:rsidRDefault="00AA6F58" w:rsidP="00F759B0">
            <w:pPr>
              <w:pStyle w:val="In-tableHeading"/>
              <w:rPr>
                <w:lang w:val="en-AU"/>
              </w:rPr>
            </w:pPr>
            <w:r w:rsidRPr="00873941">
              <w:rPr>
                <w:lang w:val="en-AU"/>
              </w:rPr>
              <w:t xml:space="preserve">RCTs: </w:t>
            </w:r>
            <w:proofErr w:type="spellStart"/>
            <w:r w:rsidR="00373B66" w:rsidRPr="00873941">
              <w:rPr>
                <w:lang w:val="en-AU"/>
              </w:rPr>
              <w:t>P+T+Chemo</w:t>
            </w:r>
            <w:proofErr w:type="spellEnd"/>
            <w:r w:rsidR="00373B66" w:rsidRPr="00873941">
              <w:rPr>
                <w:lang w:val="en-AU"/>
              </w:rPr>
              <w:t xml:space="preserve"> vs </w:t>
            </w:r>
            <w:proofErr w:type="spellStart"/>
            <w:r w:rsidR="00373B66" w:rsidRPr="00873941">
              <w:rPr>
                <w:lang w:val="en-AU"/>
              </w:rPr>
              <w:t>T+Chemo</w:t>
            </w:r>
            <w:proofErr w:type="spellEnd"/>
          </w:p>
        </w:tc>
      </w:tr>
      <w:tr w:rsidR="00373B66" w:rsidRPr="00873941" w14:paraId="00B1A78B" w14:textId="77777777" w:rsidTr="00132464">
        <w:tc>
          <w:tcPr>
            <w:tcW w:w="796" w:type="pct"/>
            <w:tcBorders>
              <w:bottom w:val="nil"/>
            </w:tcBorders>
            <w:vAlign w:val="center"/>
          </w:tcPr>
          <w:p w14:paraId="18C9B669" w14:textId="77777777" w:rsidR="00373B66" w:rsidRPr="00873941" w:rsidRDefault="00373B66" w:rsidP="00F759B0">
            <w:pPr>
              <w:pStyle w:val="TableText0"/>
            </w:pPr>
          </w:p>
        </w:tc>
        <w:tc>
          <w:tcPr>
            <w:tcW w:w="3027" w:type="pct"/>
            <w:tcBorders>
              <w:bottom w:val="nil"/>
            </w:tcBorders>
            <w:vAlign w:val="center"/>
          </w:tcPr>
          <w:p w14:paraId="0D678B00" w14:textId="77777777" w:rsidR="00373B66" w:rsidRPr="00873941" w:rsidRDefault="00373B66" w:rsidP="00F759B0">
            <w:pPr>
              <w:pStyle w:val="TableText0"/>
            </w:pPr>
            <w:r w:rsidRPr="00873941">
              <w:t>A randomised, multicentre, multinational Phase II study on trastuzumab plus docetaxel versus trastuzumab plus docetaxel plus pertuzumab versus trastuzumab plus pertuzumab versus pertuzumab and docetaxel in patients with locally advanced, inflammatory or early stage HER2 positive breast cancer.</w:t>
            </w:r>
          </w:p>
        </w:tc>
        <w:tc>
          <w:tcPr>
            <w:tcW w:w="1177" w:type="pct"/>
            <w:tcBorders>
              <w:bottom w:val="nil"/>
            </w:tcBorders>
            <w:vAlign w:val="center"/>
          </w:tcPr>
          <w:p w14:paraId="584C42F5" w14:textId="77777777" w:rsidR="00373B66" w:rsidRPr="00873941" w:rsidRDefault="00373B66" w:rsidP="00F759B0">
            <w:pPr>
              <w:pStyle w:val="TableText0"/>
            </w:pPr>
            <w:r w:rsidRPr="00873941">
              <w:t>CSRs dated June 2011, March 2013, February 2014, and February 2015.</w:t>
            </w:r>
          </w:p>
        </w:tc>
      </w:tr>
      <w:tr w:rsidR="00373B66" w:rsidRPr="00873941" w14:paraId="137D9395" w14:textId="77777777" w:rsidTr="00132464">
        <w:tc>
          <w:tcPr>
            <w:tcW w:w="796" w:type="pct"/>
            <w:tcBorders>
              <w:top w:val="nil"/>
              <w:bottom w:val="nil"/>
            </w:tcBorders>
            <w:vAlign w:val="center"/>
          </w:tcPr>
          <w:p w14:paraId="3A75409C" w14:textId="77777777" w:rsidR="00373B66" w:rsidRPr="00873941" w:rsidRDefault="00373B66" w:rsidP="00F759B0">
            <w:pPr>
              <w:pStyle w:val="TableText0"/>
            </w:pPr>
          </w:p>
        </w:tc>
        <w:tc>
          <w:tcPr>
            <w:tcW w:w="3027" w:type="pct"/>
            <w:tcBorders>
              <w:top w:val="nil"/>
              <w:bottom w:val="nil"/>
            </w:tcBorders>
            <w:vAlign w:val="center"/>
          </w:tcPr>
          <w:p w14:paraId="3F3C7498" w14:textId="77777777" w:rsidR="00373B66" w:rsidRPr="00873941" w:rsidRDefault="00373B66" w:rsidP="00F759B0">
            <w:pPr>
              <w:pStyle w:val="TableText0"/>
              <w:rPr>
                <w:szCs w:val="18"/>
              </w:rPr>
            </w:pPr>
            <w:r w:rsidRPr="00873941">
              <w:rPr>
                <w:szCs w:val="18"/>
              </w:rPr>
              <w:t xml:space="preserve">Gianni L, Pienkowski T, </w:t>
            </w:r>
            <w:proofErr w:type="spellStart"/>
            <w:r w:rsidRPr="00873941">
              <w:rPr>
                <w:szCs w:val="18"/>
              </w:rPr>
              <w:t>Im</w:t>
            </w:r>
            <w:proofErr w:type="spellEnd"/>
            <w:r w:rsidRPr="00873941">
              <w:rPr>
                <w:szCs w:val="18"/>
              </w:rPr>
              <w:t xml:space="preserve"> YH et al. Efficacy and safety of neoadjuvant pertuzumab and trastuzumab in women with locally advanced, inflammatory, or early HER2-positive breast cancer (</w:t>
            </w:r>
            <w:proofErr w:type="spellStart"/>
            <w:r w:rsidRPr="00873941">
              <w:rPr>
                <w:szCs w:val="18"/>
              </w:rPr>
              <w:t>NeoSphere</w:t>
            </w:r>
            <w:proofErr w:type="spellEnd"/>
            <w:r w:rsidRPr="00873941">
              <w:rPr>
                <w:szCs w:val="18"/>
              </w:rPr>
              <w:t>): A randomised multicentre, open-label, phase 2 trial.</w:t>
            </w:r>
          </w:p>
        </w:tc>
        <w:tc>
          <w:tcPr>
            <w:tcW w:w="1177" w:type="pct"/>
            <w:tcBorders>
              <w:top w:val="nil"/>
              <w:bottom w:val="nil"/>
            </w:tcBorders>
            <w:vAlign w:val="center"/>
          </w:tcPr>
          <w:p w14:paraId="0D51BAF2" w14:textId="77777777" w:rsidR="00373B66" w:rsidRPr="00873941" w:rsidRDefault="00373B66" w:rsidP="00F759B0">
            <w:pPr>
              <w:pStyle w:val="TableText0"/>
              <w:rPr>
                <w:i/>
              </w:rPr>
            </w:pPr>
            <w:r w:rsidRPr="00873941">
              <w:rPr>
                <w:i/>
              </w:rPr>
              <w:t>The Lancet Oncology</w:t>
            </w:r>
            <w:r w:rsidRPr="00873941">
              <w:rPr>
                <w:iCs/>
              </w:rPr>
              <w:t xml:space="preserve"> 2012;</w:t>
            </w:r>
            <w:r w:rsidRPr="00873941">
              <w:rPr>
                <w:i/>
              </w:rPr>
              <w:t xml:space="preserve"> </w:t>
            </w:r>
            <w:r w:rsidRPr="00873941">
              <w:rPr>
                <w:iCs/>
              </w:rPr>
              <w:t>13(1): 25-32.</w:t>
            </w:r>
          </w:p>
        </w:tc>
      </w:tr>
      <w:tr w:rsidR="00373B66" w:rsidRPr="00873941" w14:paraId="55C521EF" w14:textId="77777777" w:rsidTr="00132464">
        <w:tc>
          <w:tcPr>
            <w:tcW w:w="796" w:type="pct"/>
            <w:tcBorders>
              <w:top w:val="nil"/>
              <w:bottom w:val="nil"/>
            </w:tcBorders>
            <w:vAlign w:val="center"/>
          </w:tcPr>
          <w:p w14:paraId="53938169" w14:textId="77777777" w:rsidR="00373B66" w:rsidRPr="00873941" w:rsidRDefault="00373B66" w:rsidP="00F759B0">
            <w:pPr>
              <w:pStyle w:val="TableText0"/>
            </w:pPr>
            <w:r w:rsidRPr="00873941">
              <w:t>NEOSPHERE</w:t>
            </w:r>
          </w:p>
          <w:p w14:paraId="5CD88185" w14:textId="77777777" w:rsidR="00373B66" w:rsidRPr="00873941" w:rsidRDefault="00373B66" w:rsidP="00F759B0">
            <w:pPr>
              <w:pStyle w:val="TableText0"/>
            </w:pPr>
            <w:r w:rsidRPr="00873941">
              <w:t>NCT00545688</w:t>
            </w:r>
          </w:p>
        </w:tc>
        <w:tc>
          <w:tcPr>
            <w:tcW w:w="3027" w:type="pct"/>
            <w:tcBorders>
              <w:top w:val="nil"/>
              <w:bottom w:val="nil"/>
            </w:tcBorders>
            <w:vAlign w:val="center"/>
          </w:tcPr>
          <w:p w14:paraId="78EDA620" w14:textId="77777777" w:rsidR="00373B66" w:rsidRPr="00873941" w:rsidRDefault="00373B66" w:rsidP="00F759B0">
            <w:pPr>
              <w:pStyle w:val="TableText0"/>
              <w:rPr>
                <w:szCs w:val="18"/>
              </w:rPr>
            </w:pPr>
            <w:r w:rsidRPr="00873941">
              <w:rPr>
                <w:szCs w:val="18"/>
              </w:rPr>
              <w:t xml:space="preserve">Gianni L, Pienkowski T, </w:t>
            </w:r>
            <w:proofErr w:type="spellStart"/>
            <w:r w:rsidRPr="00873941">
              <w:rPr>
                <w:szCs w:val="18"/>
              </w:rPr>
              <w:t>Im</w:t>
            </w:r>
            <w:proofErr w:type="spellEnd"/>
            <w:r w:rsidRPr="00873941">
              <w:rPr>
                <w:szCs w:val="18"/>
              </w:rPr>
              <w:t xml:space="preserve"> YH et al.</w:t>
            </w:r>
            <w:r w:rsidRPr="00873941">
              <w:t xml:space="preserve"> </w:t>
            </w:r>
            <w:r w:rsidRPr="00873941">
              <w:rPr>
                <w:szCs w:val="18"/>
              </w:rPr>
              <w:t>5-year analysis of neoadjuvant pertuzumab and trastuzumab in patients with locally advanced, inflammatory, or early-stage HER2-positive breast cancer (</w:t>
            </w:r>
            <w:proofErr w:type="spellStart"/>
            <w:r w:rsidRPr="00873941">
              <w:rPr>
                <w:szCs w:val="18"/>
              </w:rPr>
              <w:t>NeoSphere</w:t>
            </w:r>
            <w:proofErr w:type="spellEnd"/>
            <w:r w:rsidRPr="00873941">
              <w:rPr>
                <w:szCs w:val="18"/>
              </w:rPr>
              <w:t>): a multicentre, open-label, phase 2 randomised trial.</w:t>
            </w:r>
          </w:p>
        </w:tc>
        <w:tc>
          <w:tcPr>
            <w:tcW w:w="1177" w:type="pct"/>
            <w:tcBorders>
              <w:top w:val="nil"/>
              <w:bottom w:val="nil"/>
            </w:tcBorders>
            <w:vAlign w:val="center"/>
          </w:tcPr>
          <w:p w14:paraId="500B1F85" w14:textId="77777777" w:rsidR="00373B66" w:rsidRPr="00873941" w:rsidRDefault="00373B66" w:rsidP="00F759B0">
            <w:pPr>
              <w:pStyle w:val="TableText0"/>
            </w:pPr>
            <w:r w:rsidRPr="00873941">
              <w:rPr>
                <w:i/>
              </w:rPr>
              <w:t>The Lancet Oncology</w:t>
            </w:r>
            <w:r w:rsidRPr="00873941">
              <w:rPr>
                <w:iCs/>
              </w:rPr>
              <w:t xml:space="preserve"> 2016; 17(6): 791-800.</w:t>
            </w:r>
          </w:p>
        </w:tc>
      </w:tr>
      <w:tr w:rsidR="00373B66" w:rsidRPr="00873941" w14:paraId="05AF4288" w14:textId="77777777" w:rsidTr="00132464">
        <w:tc>
          <w:tcPr>
            <w:tcW w:w="796" w:type="pct"/>
            <w:tcBorders>
              <w:top w:val="nil"/>
              <w:bottom w:val="nil"/>
            </w:tcBorders>
            <w:vAlign w:val="center"/>
          </w:tcPr>
          <w:p w14:paraId="06B3A7E4" w14:textId="77777777" w:rsidR="00373B66" w:rsidRPr="00873941" w:rsidRDefault="00373B66" w:rsidP="00F759B0">
            <w:pPr>
              <w:pStyle w:val="TableText0"/>
            </w:pPr>
          </w:p>
        </w:tc>
        <w:tc>
          <w:tcPr>
            <w:tcW w:w="3027" w:type="pct"/>
            <w:tcBorders>
              <w:top w:val="nil"/>
              <w:bottom w:val="nil"/>
            </w:tcBorders>
            <w:vAlign w:val="center"/>
          </w:tcPr>
          <w:p w14:paraId="353C960B" w14:textId="77777777" w:rsidR="00373B66" w:rsidRPr="00873941" w:rsidRDefault="00373B66" w:rsidP="00F759B0">
            <w:pPr>
              <w:pStyle w:val="TableText0"/>
            </w:pPr>
            <w:r w:rsidRPr="00873941">
              <w:rPr>
                <w:szCs w:val="18"/>
              </w:rPr>
              <w:t xml:space="preserve">Gianni L, Pienkowski T, </w:t>
            </w:r>
            <w:proofErr w:type="spellStart"/>
            <w:r w:rsidRPr="00873941">
              <w:rPr>
                <w:szCs w:val="18"/>
              </w:rPr>
              <w:t>Im</w:t>
            </w:r>
            <w:proofErr w:type="spellEnd"/>
            <w:r w:rsidRPr="00873941">
              <w:rPr>
                <w:szCs w:val="18"/>
              </w:rPr>
              <w:t xml:space="preserve"> YH et al. Abstract S3-2: neoadjuvant Pertuzumab (P) and Trastuzumab (H): antitumor and Safety Analysis of a Randomized Phase II Study ('</w:t>
            </w:r>
            <w:proofErr w:type="spellStart"/>
            <w:r w:rsidRPr="00873941">
              <w:rPr>
                <w:szCs w:val="18"/>
              </w:rPr>
              <w:t>NeoSphere</w:t>
            </w:r>
            <w:proofErr w:type="spellEnd"/>
            <w:r w:rsidRPr="00873941">
              <w:rPr>
                <w:szCs w:val="18"/>
              </w:rPr>
              <w:t xml:space="preserve">'). </w:t>
            </w:r>
          </w:p>
        </w:tc>
        <w:tc>
          <w:tcPr>
            <w:tcW w:w="1177" w:type="pct"/>
            <w:tcBorders>
              <w:top w:val="nil"/>
              <w:bottom w:val="nil"/>
            </w:tcBorders>
            <w:vAlign w:val="center"/>
          </w:tcPr>
          <w:p w14:paraId="7054F105" w14:textId="77777777" w:rsidR="00373B66" w:rsidRPr="00873941" w:rsidRDefault="00373B66" w:rsidP="00F759B0">
            <w:pPr>
              <w:pStyle w:val="TableText0"/>
            </w:pPr>
            <w:r w:rsidRPr="00873941">
              <w:rPr>
                <w:i/>
                <w:iCs/>
              </w:rPr>
              <w:t>Cancer Res</w:t>
            </w:r>
            <w:r w:rsidRPr="00873941">
              <w:t xml:space="preserve"> 2010; 70 (24_Supplement): S3-2.</w:t>
            </w:r>
          </w:p>
        </w:tc>
      </w:tr>
      <w:tr w:rsidR="00373B66" w:rsidRPr="00873941" w14:paraId="4AE5BB66" w14:textId="77777777" w:rsidTr="00132464">
        <w:tc>
          <w:tcPr>
            <w:tcW w:w="796" w:type="pct"/>
            <w:tcBorders>
              <w:top w:val="nil"/>
              <w:bottom w:val="nil"/>
            </w:tcBorders>
            <w:vAlign w:val="center"/>
          </w:tcPr>
          <w:p w14:paraId="2F981CAC" w14:textId="77777777" w:rsidR="00373B66" w:rsidRPr="00873941" w:rsidRDefault="00373B66" w:rsidP="00F759B0">
            <w:pPr>
              <w:pStyle w:val="TableText0"/>
            </w:pPr>
          </w:p>
        </w:tc>
        <w:tc>
          <w:tcPr>
            <w:tcW w:w="3027" w:type="pct"/>
            <w:tcBorders>
              <w:top w:val="nil"/>
              <w:bottom w:val="nil"/>
            </w:tcBorders>
            <w:vAlign w:val="center"/>
          </w:tcPr>
          <w:p w14:paraId="7990ADF9" w14:textId="77777777" w:rsidR="00373B66" w:rsidRPr="00873941" w:rsidRDefault="00373B66" w:rsidP="00F759B0">
            <w:pPr>
              <w:pStyle w:val="TableText0"/>
              <w:rPr>
                <w:szCs w:val="18"/>
              </w:rPr>
            </w:pPr>
            <w:r w:rsidRPr="00873941">
              <w:rPr>
                <w:szCs w:val="18"/>
              </w:rPr>
              <w:t xml:space="preserve">Gianni L, Pienkowski T, </w:t>
            </w:r>
            <w:proofErr w:type="spellStart"/>
            <w:r w:rsidRPr="00873941">
              <w:rPr>
                <w:szCs w:val="18"/>
              </w:rPr>
              <w:t>Im</w:t>
            </w:r>
            <w:proofErr w:type="spellEnd"/>
            <w:r w:rsidRPr="00873941">
              <w:rPr>
                <w:szCs w:val="18"/>
              </w:rPr>
              <w:t xml:space="preserve"> YH et al. Addition of pertuzumab (P) to trastuzumab (H)-based neoadjuvant chemotherapy significantly improves pathological complete response in women with HER2-positive early breast cancer: Result of a randomised phase II study (NEOSPHERE).</w:t>
            </w:r>
          </w:p>
        </w:tc>
        <w:tc>
          <w:tcPr>
            <w:tcW w:w="1177" w:type="pct"/>
            <w:tcBorders>
              <w:top w:val="nil"/>
              <w:bottom w:val="nil"/>
            </w:tcBorders>
            <w:vAlign w:val="center"/>
          </w:tcPr>
          <w:p w14:paraId="3E6F3234" w14:textId="77777777" w:rsidR="00373B66" w:rsidRPr="00873941" w:rsidRDefault="00373B66" w:rsidP="00F759B0">
            <w:pPr>
              <w:pStyle w:val="TableText0"/>
            </w:pPr>
            <w:r w:rsidRPr="00873941">
              <w:rPr>
                <w:i/>
                <w:iCs/>
              </w:rPr>
              <w:t xml:space="preserve">Breast </w:t>
            </w:r>
            <w:r w:rsidRPr="00873941">
              <w:t>2011;</w:t>
            </w:r>
            <w:r w:rsidRPr="00873941">
              <w:rPr>
                <w:i/>
                <w:iCs/>
              </w:rPr>
              <w:t xml:space="preserve"> </w:t>
            </w:r>
            <w:r w:rsidRPr="00873941">
              <w:t>20: S73.</w:t>
            </w:r>
          </w:p>
        </w:tc>
      </w:tr>
      <w:tr w:rsidR="00373B66" w:rsidRPr="00873941" w14:paraId="4AE6452A" w14:textId="77777777" w:rsidTr="00132464">
        <w:tc>
          <w:tcPr>
            <w:tcW w:w="796" w:type="pct"/>
            <w:tcBorders>
              <w:top w:val="nil"/>
              <w:bottom w:val="single" w:sz="4" w:space="0" w:color="auto"/>
            </w:tcBorders>
            <w:vAlign w:val="center"/>
          </w:tcPr>
          <w:p w14:paraId="6A530EF8" w14:textId="77777777" w:rsidR="00373B66" w:rsidRPr="00873941" w:rsidRDefault="00373B66" w:rsidP="006139B4">
            <w:pPr>
              <w:pStyle w:val="TableText0"/>
              <w:keepNext w:val="0"/>
              <w:keepLines w:val="0"/>
            </w:pPr>
          </w:p>
        </w:tc>
        <w:tc>
          <w:tcPr>
            <w:tcW w:w="3027" w:type="pct"/>
            <w:tcBorders>
              <w:top w:val="nil"/>
              <w:bottom w:val="single" w:sz="4" w:space="0" w:color="auto"/>
            </w:tcBorders>
            <w:vAlign w:val="center"/>
          </w:tcPr>
          <w:p w14:paraId="0F7234E9" w14:textId="77777777" w:rsidR="00373B66" w:rsidRPr="00873941" w:rsidRDefault="00373B66" w:rsidP="006139B4">
            <w:pPr>
              <w:pStyle w:val="TableText0"/>
              <w:keepNext w:val="0"/>
              <w:keepLines w:val="0"/>
              <w:rPr>
                <w:szCs w:val="18"/>
              </w:rPr>
            </w:pPr>
            <w:r w:rsidRPr="00873941">
              <w:rPr>
                <w:szCs w:val="18"/>
              </w:rPr>
              <w:t xml:space="preserve">Gianni L, Pienkowski T, </w:t>
            </w:r>
            <w:proofErr w:type="spellStart"/>
            <w:r w:rsidRPr="00873941">
              <w:rPr>
                <w:szCs w:val="18"/>
              </w:rPr>
              <w:t>Im</w:t>
            </w:r>
            <w:proofErr w:type="spellEnd"/>
            <w:r w:rsidRPr="00873941">
              <w:rPr>
                <w:szCs w:val="18"/>
              </w:rPr>
              <w:t xml:space="preserve"> YH et al. Five-year analysis of the phase II </w:t>
            </w:r>
            <w:proofErr w:type="spellStart"/>
            <w:r w:rsidRPr="00873941">
              <w:rPr>
                <w:szCs w:val="18"/>
              </w:rPr>
              <w:t>NeoSphere</w:t>
            </w:r>
            <w:proofErr w:type="spellEnd"/>
            <w:r w:rsidRPr="00873941">
              <w:rPr>
                <w:szCs w:val="18"/>
              </w:rPr>
              <w:t xml:space="preserve"> trial evaluating four cycles of neoadjuvant docetaxel (D) and/or trastuzumab (T) and/or pertuzumab (P).</w:t>
            </w:r>
          </w:p>
        </w:tc>
        <w:tc>
          <w:tcPr>
            <w:tcW w:w="1177" w:type="pct"/>
            <w:tcBorders>
              <w:top w:val="nil"/>
              <w:bottom w:val="single" w:sz="4" w:space="0" w:color="auto"/>
            </w:tcBorders>
            <w:vAlign w:val="center"/>
          </w:tcPr>
          <w:p w14:paraId="2B6488F1" w14:textId="77777777" w:rsidR="00373B66" w:rsidRPr="00873941" w:rsidRDefault="00373B66" w:rsidP="006139B4">
            <w:pPr>
              <w:pStyle w:val="TableText0"/>
              <w:keepNext w:val="0"/>
              <w:keepLines w:val="0"/>
              <w:rPr>
                <w:i/>
                <w:iCs/>
              </w:rPr>
            </w:pPr>
            <w:r w:rsidRPr="00873941">
              <w:rPr>
                <w:i/>
                <w:iCs/>
              </w:rPr>
              <w:t xml:space="preserve">Journal of Clinical Oncology </w:t>
            </w:r>
            <w:r w:rsidRPr="00873941">
              <w:t>2015; 33(15): suppl.505.</w:t>
            </w:r>
          </w:p>
        </w:tc>
      </w:tr>
      <w:tr w:rsidR="00373B66" w:rsidRPr="00873941" w14:paraId="6565D80F" w14:textId="77777777" w:rsidTr="00132464">
        <w:tc>
          <w:tcPr>
            <w:tcW w:w="796" w:type="pct"/>
            <w:tcBorders>
              <w:top w:val="single" w:sz="4" w:space="0" w:color="auto"/>
              <w:bottom w:val="nil"/>
            </w:tcBorders>
            <w:vAlign w:val="center"/>
          </w:tcPr>
          <w:p w14:paraId="7EF83E43" w14:textId="77777777" w:rsidR="00373B66" w:rsidRPr="00873941" w:rsidRDefault="00373B66" w:rsidP="006139B4">
            <w:pPr>
              <w:pStyle w:val="TableText0"/>
              <w:keepNext w:val="0"/>
              <w:keepLines w:val="0"/>
            </w:pPr>
          </w:p>
        </w:tc>
        <w:tc>
          <w:tcPr>
            <w:tcW w:w="3027" w:type="pct"/>
            <w:tcBorders>
              <w:top w:val="single" w:sz="4" w:space="0" w:color="auto"/>
              <w:bottom w:val="nil"/>
            </w:tcBorders>
            <w:vAlign w:val="center"/>
          </w:tcPr>
          <w:p w14:paraId="147980A9" w14:textId="77777777" w:rsidR="00373B66" w:rsidRPr="00873941" w:rsidRDefault="00373B66" w:rsidP="006139B4">
            <w:pPr>
              <w:pStyle w:val="TableText0"/>
              <w:keepNext w:val="0"/>
              <w:keepLines w:val="0"/>
              <w:rPr>
                <w:szCs w:val="18"/>
              </w:rPr>
            </w:pPr>
            <w:r w:rsidRPr="00873941">
              <w:rPr>
                <w:szCs w:val="18"/>
              </w:rPr>
              <w:t xml:space="preserve">A randomized, </w:t>
            </w:r>
            <w:proofErr w:type="spellStart"/>
            <w:r w:rsidRPr="00873941">
              <w:rPr>
                <w:szCs w:val="18"/>
              </w:rPr>
              <w:t>multicenter</w:t>
            </w:r>
            <w:proofErr w:type="spellEnd"/>
            <w:r w:rsidRPr="00873941">
              <w:rPr>
                <w:szCs w:val="18"/>
              </w:rPr>
              <w:t>, double-blind, placebo-controlled, phase III study to evaluate pertuzumab in combination with docetaxel and trastuzumab as neoadjuvant therapy, and pertuzumab in combination with trastuzumab as adjuvant therapy after surgery and chemotherapy in patients with early-stage or locally advanced HER2-positive breast cancer.</w:t>
            </w:r>
          </w:p>
        </w:tc>
        <w:tc>
          <w:tcPr>
            <w:tcW w:w="1177" w:type="pct"/>
            <w:tcBorders>
              <w:top w:val="single" w:sz="4" w:space="0" w:color="auto"/>
              <w:bottom w:val="nil"/>
            </w:tcBorders>
            <w:vAlign w:val="center"/>
          </w:tcPr>
          <w:p w14:paraId="144991AA" w14:textId="77777777" w:rsidR="00373B66" w:rsidRPr="00873941" w:rsidRDefault="00373B66" w:rsidP="006139B4">
            <w:pPr>
              <w:pStyle w:val="TableText0"/>
              <w:keepNext w:val="0"/>
              <w:keepLines w:val="0"/>
            </w:pPr>
            <w:r w:rsidRPr="00873941">
              <w:t>CSRs dated June 2018, August 2022.</w:t>
            </w:r>
          </w:p>
        </w:tc>
      </w:tr>
      <w:tr w:rsidR="00373B66" w:rsidRPr="00873941" w14:paraId="289137FC" w14:textId="77777777" w:rsidTr="00132464">
        <w:tc>
          <w:tcPr>
            <w:tcW w:w="796" w:type="pct"/>
            <w:tcBorders>
              <w:top w:val="nil"/>
              <w:bottom w:val="nil"/>
            </w:tcBorders>
            <w:vAlign w:val="center"/>
          </w:tcPr>
          <w:p w14:paraId="0F1EA539" w14:textId="77777777" w:rsidR="00373B66" w:rsidRPr="00873941" w:rsidRDefault="00373B66" w:rsidP="006139B4">
            <w:pPr>
              <w:pStyle w:val="TableText0"/>
              <w:keepNext w:val="0"/>
              <w:keepLines w:val="0"/>
            </w:pPr>
          </w:p>
        </w:tc>
        <w:tc>
          <w:tcPr>
            <w:tcW w:w="3027" w:type="pct"/>
            <w:tcBorders>
              <w:top w:val="nil"/>
              <w:bottom w:val="nil"/>
            </w:tcBorders>
            <w:vAlign w:val="center"/>
          </w:tcPr>
          <w:p w14:paraId="25B53328" w14:textId="77777777" w:rsidR="00373B66" w:rsidRPr="00873941" w:rsidRDefault="00373B66" w:rsidP="006139B4">
            <w:pPr>
              <w:pStyle w:val="TableText0"/>
              <w:keepNext w:val="0"/>
              <w:keepLines w:val="0"/>
              <w:rPr>
                <w:szCs w:val="18"/>
              </w:rPr>
            </w:pPr>
            <w:r w:rsidRPr="00873941">
              <w:rPr>
                <w:szCs w:val="18"/>
              </w:rPr>
              <w:t>Huang L, Pang D, Yang H et al. Neoadjuvant-adjuvant pertuzumab in HER2-positive early breast cancer: final analysis of the randomized phase III PEONY trial.</w:t>
            </w:r>
          </w:p>
        </w:tc>
        <w:tc>
          <w:tcPr>
            <w:tcW w:w="1177" w:type="pct"/>
            <w:tcBorders>
              <w:top w:val="nil"/>
              <w:bottom w:val="nil"/>
            </w:tcBorders>
            <w:vAlign w:val="center"/>
          </w:tcPr>
          <w:p w14:paraId="337848E5" w14:textId="77777777" w:rsidR="00373B66" w:rsidRPr="00873941" w:rsidRDefault="00373B66" w:rsidP="006139B4">
            <w:pPr>
              <w:pStyle w:val="TableText0"/>
              <w:keepNext w:val="0"/>
              <w:keepLines w:val="0"/>
              <w:rPr>
                <w:i/>
                <w:iCs/>
              </w:rPr>
            </w:pPr>
            <w:r w:rsidRPr="00873941">
              <w:rPr>
                <w:i/>
                <w:iCs/>
              </w:rPr>
              <w:t xml:space="preserve">Nature Communications </w:t>
            </w:r>
            <w:r w:rsidRPr="00873941">
              <w:t>2014; 15(1): 2153.</w:t>
            </w:r>
          </w:p>
        </w:tc>
      </w:tr>
      <w:tr w:rsidR="00373B66" w:rsidRPr="00873941" w14:paraId="041B5A31" w14:textId="77777777" w:rsidTr="00132464">
        <w:tc>
          <w:tcPr>
            <w:tcW w:w="796" w:type="pct"/>
            <w:tcBorders>
              <w:top w:val="nil"/>
              <w:bottom w:val="nil"/>
            </w:tcBorders>
            <w:vAlign w:val="center"/>
          </w:tcPr>
          <w:p w14:paraId="661D7A43" w14:textId="77777777" w:rsidR="00373B66" w:rsidRPr="00873941" w:rsidRDefault="00373B66" w:rsidP="006139B4">
            <w:pPr>
              <w:pStyle w:val="TableText0"/>
              <w:keepNext w:val="0"/>
              <w:keepLines w:val="0"/>
            </w:pPr>
            <w:r w:rsidRPr="00873941">
              <w:t>PEONY</w:t>
            </w:r>
          </w:p>
          <w:p w14:paraId="13E853A1" w14:textId="77777777" w:rsidR="00373B66" w:rsidRPr="00873941" w:rsidRDefault="00373B66" w:rsidP="006139B4">
            <w:pPr>
              <w:pStyle w:val="TableText0"/>
              <w:keepNext w:val="0"/>
              <w:keepLines w:val="0"/>
            </w:pPr>
            <w:r w:rsidRPr="00873941">
              <w:t>NCT02586025</w:t>
            </w:r>
          </w:p>
        </w:tc>
        <w:tc>
          <w:tcPr>
            <w:tcW w:w="3027" w:type="pct"/>
            <w:tcBorders>
              <w:top w:val="nil"/>
              <w:bottom w:val="nil"/>
            </w:tcBorders>
            <w:vAlign w:val="center"/>
          </w:tcPr>
          <w:p w14:paraId="52DD018F" w14:textId="77777777" w:rsidR="00373B66" w:rsidRPr="00873941" w:rsidRDefault="00373B66" w:rsidP="006139B4">
            <w:pPr>
              <w:pStyle w:val="TableText0"/>
              <w:keepNext w:val="0"/>
              <w:keepLines w:val="0"/>
              <w:rPr>
                <w:szCs w:val="18"/>
              </w:rPr>
            </w:pPr>
            <w:r w:rsidRPr="00873941">
              <w:rPr>
                <w:szCs w:val="18"/>
              </w:rPr>
              <w:t>Shao Z, Pang D, Yang H et al. Efficacy, Safety, and Tolerability of Pertuzumab, Trastuzumab, and Docetaxel for Patients with Early or Locally Advanced ERBB2-Positive Breast Cancer in Asia: The PEONY Phase 3 Randomized Clinical Trial.</w:t>
            </w:r>
          </w:p>
        </w:tc>
        <w:tc>
          <w:tcPr>
            <w:tcW w:w="1177" w:type="pct"/>
            <w:tcBorders>
              <w:top w:val="nil"/>
              <w:bottom w:val="nil"/>
            </w:tcBorders>
            <w:vAlign w:val="center"/>
          </w:tcPr>
          <w:p w14:paraId="03919C07" w14:textId="77777777" w:rsidR="00373B66" w:rsidRPr="00873941" w:rsidRDefault="00373B66" w:rsidP="006139B4">
            <w:pPr>
              <w:pStyle w:val="TableText0"/>
              <w:keepNext w:val="0"/>
              <w:keepLines w:val="0"/>
              <w:rPr>
                <w:i/>
                <w:iCs/>
              </w:rPr>
            </w:pPr>
            <w:r w:rsidRPr="00873941">
              <w:rPr>
                <w:i/>
                <w:iCs/>
              </w:rPr>
              <w:t>JAMA Oncology</w:t>
            </w:r>
            <w:r w:rsidRPr="00873941">
              <w:t xml:space="preserve"> 2020; 6(3): e193692.</w:t>
            </w:r>
          </w:p>
        </w:tc>
      </w:tr>
      <w:tr w:rsidR="00373B66" w:rsidRPr="00873941" w14:paraId="54C5481C" w14:textId="77777777" w:rsidTr="00132464">
        <w:tc>
          <w:tcPr>
            <w:tcW w:w="796" w:type="pct"/>
            <w:tcBorders>
              <w:top w:val="nil"/>
              <w:bottom w:val="nil"/>
            </w:tcBorders>
            <w:vAlign w:val="center"/>
          </w:tcPr>
          <w:p w14:paraId="285FAC45" w14:textId="77777777" w:rsidR="00373B66" w:rsidRPr="00873941" w:rsidRDefault="00373B66" w:rsidP="006139B4">
            <w:pPr>
              <w:pStyle w:val="TableText0"/>
              <w:keepNext w:val="0"/>
              <w:keepLines w:val="0"/>
            </w:pPr>
          </w:p>
        </w:tc>
        <w:tc>
          <w:tcPr>
            <w:tcW w:w="3027" w:type="pct"/>
            <w:tcBorders>
              <w:top w:val="nil"/>
              <w:bottom w:val="nil"/>
            </w:tcBorders>
            <w:vAlign w:val="center"/>
          </w:tcPr>
          <w:p w14:paraId="79609BD2" w14:textId="77777777" w:rsidR="00373B66" w:rsidRPr="00873941" w:rsidRDefault="00373B66" w:rsidP="006139B4">
            <w:pPr>
              <w:pStyle w:val="TableText0"/>
              <w:keepNext w:val="0"/>
              <w:keepLines w:val="0"/>
              <w:rPr>
                <w:szCs w:val="18"/>
              </w:rPr>
            </w:pPr>
            <w:r w:rsidRPr="00873941">
              <w:rPr>
                <w:szCs w:val="18"/>
              </w:rPr>
              <w:t>Duan C, Pang D, Yang H et al. Peony exploratory analyses of biomarker changes: From baseline to surgical samples in patients with HER2+ breast cancer.</w:t>
            </w:r>
          </w:p>
        </w:tc>
        <w:tc>
          <w:tcPr>
            <w:tcW w:w="1177" w:type="pct"/>
            <w:tcBorders>
              <w:top w:val="nil"/>
              <w:bottom w:val="nil"/>
            </w:tcBorders>
            <w:vAlign w:val="center"/>
          </w:tcPr>
          <w:p w14:paraId="0A46AF71" w14:textId="77777777" w:rsidR="00373B66" w:rsidRPr="00873941" w:rsidRDefault="00373B66" w:rsidP="006139B4">
            <w:pPr>
              <w:pStyle w:val="TableText0"/>
              <w:keepNext w:val="0"/>
              <w:keepLines w:val="0"/>
              <w:rPr>
                <w:i/>
                <w:iCs/>
              </w:rPr>
            </w:pPr>
            <w:r w:rsidRPr="00873941">
              <w:rPr>
                <w:i/>
                <w:iCs/>
              </w:rPr>
              <w:t xml:space="preserve">Journal of Clinical Oncology </w:t>
            </w:r>
            <w:r w:rsidRPr="00873941">
              <w:t>2024; 42(16):e15136.</w:t>
            </w:r>
          </w:p>
        </w:tc>
      </w:tr>
      <w:tr w:rsidR="00373B66" w:rsidRPr="00873941" w14:paraId="360EF66D" w14:textId="77777777" w:rsidTr="00132464">
        <w:tc>
          <w:tcPr>
            <w:tcW w:w="796" w:type="pct"/>
            <w:tcBorders>
              <w:top w:val="nil"/>
              <w:bottom w:val="nil"/>
            </w:tcBorders>
            <w:vAlign w:val="center"/>
          </w:tcPr>
          <w:p w14:paraId="2F6C2DA5" w14:textId="77777777" w:rsidR="00373B66" w:rsidRPr="00873941" w:rsidRDefault="00373B66" w:rsidP="006139B4">
            <w:pPr>
              <w:pStyle w:val="TableText0"/>
              <w:keepNext w:val="0"/>
              <w:keepLines w:val="0"/>
            </w:pPr>
          </w:p>
        </w:tc>
        <w:tc>
          <w:tcPr>
            <w:tcW w:w="3027" w:type="pct"/>
            <w:tcBorders>
              <w:top w:val="nil"/>
              <w:bottom w:val="nil"/>
            </w:tcBorders>
            <w:vAlign w:val="center"/>
          </w:tcPr>
          <w:p w14:paraId="641FD3C1" w14:textId="77777777" w:rsidR="00373B66" w:rsidRPr="00873941" w:rsidRDefault="00373B66" w:rsidP="006139B4">
            <w:pPr>
              <w:pStyle w:val="TableText0"/>
              <w:keepNext w:val="0"/>
              <w:keepLines w:val="0"/>
              <w:rPr>
                <w:szCs w:val="18"/>
              </w:rPr>
            </w:pPr>
            <w:r w:rsidRPr="00873941">
              <w:rPr>
                <w:szCs w:val="18"/>
              </w:rPr>
              <w:t>Shao Z, Pang D, Yang H et al. Pertuzumab, trastuzumab, and docetaxel for HER2-positive early or locally advanced breast cancer in the neoadjuvant setting: Efficacy and safety analysis of a randomized phase III study in Asian patients (PEONY).</w:t>
            </w:r>
          </w:p>
        </w:tc>
        <w:tc>
          <w:tcPr>
            <w:tcW w:w="1177" w:type="pct"/>
            <w:tcBorders>
              <w:top w:val="nil"/>
              <w:bottom w:val="nil"/>
            </w:tcBorders>
            <w:vAlign w:val="center"/>
          </w:tcPr>
          <w:p w14:paraId="340B7186" w14:textId="77777777" w:rsidR="00373B66" w:rsidRPr="00873941" w:rsidRDefault="00373B66" w:rsidP="006139B4">
            <w:pPr>
              <w:pStyle w:val="TableText0"/>
              <w:keepNext w:val="0"/>
              <w:keepLines w:val="0"/>
              <w:rPr>
                <w:i/>
                <w:iCs/>
              </w:rPr>
            </w:pPr>
            <w:r w:rsidRPr="00873941">
              <w:rPr>
                <w:i/>
                <w:iCs/>
              </w:rPr>
              <w:t>Cancer Research</w:t>
            </w:r>
            <w:r w:rsidRPr="00873941">
              <w:t xml:space="preserve"> 2019; 79(4_supplement): P6-17-17.</w:t>
            </w:r>
          </w:p>
        </w:tc>
      </w:tr>
      <w:tr w:rsidR="00373B66" w:rsidRPr="00873941" w14:paraId="322BD40F" w14:textId="77777777" w:rsidTr="00132464">
        <w:tc>
          <w:tcPr>
            <w:tcW w:w="796" w:type="pct"/>
            <w:tcBorders>
              <w:top w:val="nil"/>
              <w:bottom w:val="single" w:sz="4" w:space="0" w:color="auto"/>
            </w:tcBorders>
            <w:vAlign w:val="center"/>
          </w:tcPr>
          <w:p w14:paraId="771077C8" w14:textId="77777777" w:rsidR="00373B66" w:rsidRPr="00873941" w:rsidRDefault="00373B66" w:rsidP="006139B4">
            <w:pPr>
              <w:pStyle w:val="TableText0"/>
              <w:keepNext w:val="0"/>
              <w:keepLines w:val="0"/>
            </w:pPr>
          </w:p>
        </w:tc>
        <w:tc>
          <w:tcPr>
            <w:tcW w:w="3027" w:type="pct"/>
            <w:tcBorders>
              <w:top w:val="nil"/>
              <w:bottom w:val="single" w:sz="4" w:space="0" w:color="auto"/>
            </w:tcBorders>
            <w:vAlign w:val="center"/>
          </w:tcPr>
          <w:p w14:paraId="4DD018BC" w14:textId="77777777" w:rsidR="00373B66" w:rsidRPr="00873941" w:rsidRDefault="00373B66" w:rsidP="006139B4">
            <w:pPr>
              <w:pStyle w:val="TableText0"/>
              <w:keepNext w:val="0"/>
              <w:keepLines w:val="0"/>
              <w:rPr>
                <w:szCs w:val="18"/>
              </w:rPr>
            </w:pPr>
            <w:r w:rsidRPr="00873941">
              <w:rPr>
                <w:szCs w:val="18"/>
              </w:rPr>
              <w:t>Shao Z, Pang D, Yang H et al. Final analysis of the Phase III PEONY trial: long-term efficacy and safety of neoadjuvant-adjuvant pertuzumab or placebo, plus trastuzumab and docetaxel, in patients with HER2- positive early or locally advanced breast cancer</w:t>
            </w:r>
          </w:p>
        </w:tc>
        <w:tc>
          <w:tcPr>
            <w:tcW w:w="1177" w:type="pct"/>
            <w:tcBorders>
              <w:top w:val="nil"/>
              <w:bottom w:val="single" w:sz="4" w:space="0" w:color="auto"/>
            </w:tcBorders>
            <w:vAlign w:val="center"/>
          </w:tcPr>
          <w:p w14:paraId="4351BF7C" w14:textId="77777777" w:rsidR="00373B66" w:rsidRPr="00873941" w:rsidRDefault="00373B66" w:rsidP="006139B4">
            <w:pPr>
              <w:pStyle w:val="TableText0"/>
              <w:keepNext w:val="0"/>
              <w:keepLines w:val="0"/>
              <w:rPr>
                <w:i/>
                <w:iCs/>
              </w:rPr>
            </w:pPr>
            <w:r w:rsidRPr="00873941">
              <w:rPr>
                <w:i/>
                <w:iCs/>
              </w:rPr>
              <w:t>Cancer Research</w:t>
            </w:r>
            <w:r w:rsidRPr="00873941">
              <w:t xml:space="preserve"> 2023; 83(5_supplement): PD18-03.</w:t>
            </w:r>
          </w:p>
        </w:tc>
      </w:tr>
      <w:tr w:rsidR="00373B66" w:rsidRPr="00873941" w14:paraId="6DA563B8" w14:textId="77777777" w:rsidTr="00132464">
        <w:tc>
          <w:tcPr>
            <w:tcW w:w="796" w:type="pct"/>
            <w:tcBorders>
              <w:top w:val="single" w:sz="4" w:space="0" w:color="auto"/>
              <w:bottom w:val="nil"/>
            </w:tcBorders>
            <w:vAlign w:val="center"/>
          </w:tcPr>
          <w:p w14:paraId="56731F63" w14:textId="77777777" w:rsidR="00373B66" w:rsidRPr="00873941" w:rsidRDefault="00373B66" w:rsidP="00F759B0">
            <w:pPr>
              <w:pStyle w:val="TableText0"/>
            </w:pPr>
          </w:p>
        </w:tc>
        <w:tc>
          <w:tcPr>
            <w:tcW w:w="3027" w:type="pct"/>
            <w:tcBorders>
              <w:top w:val="single" w:sz="4" w:space="0" w:color="auto"/>
              <w:bottom w:val="nil"/>
            </w:tcBorders>
            <w:vAlign w:val="center"/>
          </w:tcPr>
          <w:p w14:paraId="1987EDF0" w14:textId="77777777" w:rsidR="00373B66" w:rsidRPr="00873941" w:rsidRDefault="00373B66" w:rsidP="00F759B0">
            <w:pPr>
              <w:pStyle w:val="TableText0"/>
              <w:rPr>
                <w:szCs w:val="18"/>
              </w:rPr>
            </w:pPr>
            <w:r w:rsidRPr="00873941">
              <w:rPr>
                <w:szCs w:val="18"/>
              </w:rPr>
              <w:t>Clark AS, Yau C, Wolf DM et al. Neoadjuvant T-DM1/pertuzumab and paclitaxel/trastuzumab/pertuzumab for HER2+ breast cancer in the adaptively randomized I-SPY2 trial.</w:t>
            </w:r>
          </w:p>
        </w:tc>
        <w:tc>
          <w:tcPr>
            <w:tcW w:w="1177" w:type="pct"/>
            <w:tcBorders>
              <w:top w:val="single" w:sz="4" w:space="0" w:color="auto"/>
              <w:bottom w:val="nil"/>
            </w:tcBorders>
            <w:vAlign w:val="center"/>
          </w:tcPr>
          <w:p w14:paraId="0EBFC2EB" w14:textId="7667E7B6" w:rsidR="00373B66" w:rsidRPr="00873941" w:rsidRDefault="00373B66" w:rsidP="00F759B0">
            <w:pPr>
              <w:pStyle w:val="TableText0"/>
              <w:rPr>
                <w:i/>
                <w:iCs/>
              </w:rPr>
            </w:pPr>
            <w:r w:rsidRPr="00873941">
              <w:rPr>
                <w:i/>
                <w:iCs/>
              </w:rPr>
              <w:t>Nature communications</w:t>
            </w:r>
            <w:r w:rsidRPr="00873941">
              <w:t xml:space="preserve"> </w:t>
            </w:r>
            <w:r w:rsidR="00EB331F" w:rsidRPr="00873941">
              <w:t>2021</w:t>
            </w:r>
            <w:r w:rsidRPr="00873941">
              <w:t>;</w:t>
            </w:r>
            <w:r w:rsidRPr="00873941">
              <w:rPr>
                <w:i/>
                <w:iCs/>
              </w:rPr>
              <w:t xml:space="preserve"> </w:t>
            </w:r>
            <w:r w:rsidRPr="00873941">
              <w:t>12(1): 6428.</w:t>
            </w:r>
          </w:p>
        </w:tc>
      </w:tr>
      <w:tr w:rsidR="00373B66" w:rsidRPr="00873941" w14:paraId="2D9C7C66" w14:textId="77777777" w:rsidTr="00132464">
        <w:tc>
          <w:tcPr>
            <w:tcW w:w="796" w:type="pct"/>
            <w:tcBorders>
              <w:top w:val="nil"/>
              <w:bottom w:val="nil"/>
            </w:tcBorders>
            <w:vAlign w:val="center"/>
          </w:tcPr>
          <w:p w14:paraId="7CEF8C71" w14:textId="77777777" w:rsidR="00373B66" w:rsidRPr="00873941" w:rsidRDefault="00373B66" w:rsidP="00F759B0">
            <w:pPr>
              <w:pStyle w:val="TableText0"/>
            </w:pPr>
            <w:r w:rsidRPr="00873941">
              <w:t>I-SPY2</w:t>
            </w:r>
          </w:p>
          <w:p w14:paraId="0CEBBBF9" w14:textId="77777777" w:rsidR="00373B66" w:rsidRPr="00873941" w:rsidRDefault="00373B66" w:rsidP="00F759B0">
            <w:pPr>
              <w:pStyle w:val="TableText0"/>
            </w:pPr>
            <w:r w:rsidRPr="00873941">
              <w:t>NCT01042379</w:t>
            </w:r>
          </w:p>
        </w:tc>
        <w:tc>
          <w:tcPr>
            <w:tcW w:w="3027" w:type="pct"/>
            <w:tcBorders>
              <w:top w:val="nil"/>
              <w:bottom w:val="nil"/>
            </w:tcBorders>
            <w:vAlign w:val="center"/>
          </w:tcPr>
          <w:p w14:paraId="4A96E8BE" w14:textId="77777777" w:rsidR="00373B66" w:rsidRPr="00873941" w:rsidRDefault="00373B66" w:rsidP="00F759B0">
            <w:pPr>
              <w:pStyle w:val="TableText0"/>
              <w:rPr>
                <w:szCs w:val="18"/>
              </w:rPr>
            </w:pPr>
            <w:r w:rsidRPr="00873941">
              <w:rPr>
                <w:szCs w:val="18"/>
              </w:rPr>
              <w:t>Buxton M, DeMichele AM, Chia S et al. Efficacy of pertuzumab/ trastuzumab/ paclitaxel over standard trastuzumab/ paclitaxel therapy for HER2+ breast cancer: Results from the neoadjuvant I-SPY 2 TRIAL.</w:t>
            </w:r>
          </w:p>
        </w:tc>
        <w:tc>
          <w:tcPr>
            <w:tcW w:w="1177" w:type="pct"/>
            <w:tcBorders>
              <w:top w:val="nil"/>
              <w:bottom w:val="nil"/>
            </w:tcBorders>
            <w:vAlign w:val="center"/>
          </w:tcPr>
          <w:p w14:paraId="1A6B9E16" w14:textId="77777777" w:rsidR="00373B66" w:rsidRPr="00873941" w:rsidRDefault="00373B66" w:rsidP="00F759B0">
            <w:pPr>
              <w:pStyle w:val="TableText0"/>
              <w:rPr>
                <w:i/>
                <w:iCs/>
              </w:rPr>
            </w:pPr>
            <w:r w:rsidRPr="00873941">
              <w:rPr>
                <w:i/>
                <w:iCs/>
              </w:rPr>
              <w:t>Cancer Research</w:t>
            </w:r>
            <w:r w:rsidRPr="00873941">
              <w:t xml:space="preserve"> 2016; 76(14_supplement): CT106.</w:t>
            </w:r>
          </w:p>
        </w:tc>
      </w:tr>
      <w:tr w:rsidR="00373B66" w:rsidRPr="00873941" w14:paraId="6117DCBA" w14:textId="77777777" w:rsidTr="00002E82">
        <w:tc>
          <w:tcPr>
            <w:tcW w:w="796" w:type="pct"/>
            <w:tcBorders>
              <w:top w:val="nil"/>
              <w:bottom w:val="single" w:sz="4" w:space="0" w:color="auto"/>
            </w:tcBorders>
            <w:vAlign w:val="center"/>
          </w:tcPr>
          <w:p w14:paraId="675D16B1" w14:textId="77777777" w:rsidR="00373B66" w:rsidRPr="00873941" w:rsidRDefault="00373B66" w:rsidP="00F759B0">
            <w:pPr>
              <w:pStyle w:val="TableText0"/>
            </w:pPr>
          </w:p>
        </w:tc>
        <w:tc>
          <w:tcPr>
            <w:tcW w:w="3027" w:type="pct"/>
            <w:tcBorders>
              <w:top w:val="nil"/>
              <w:bottom w:val="single" w:sz="4" w:space="0" w:color="auto"/>
            </w:tcBorders>
            <w:vAlign w:val="center"/>
          </w:tcPr>
          <w:p w14:paraId="793C62A2" w14:textId="77777777" w:rsidR="00373B66" w:rsidRPr="00873941" w:rsidRDefault="00373B66" w:rsidP="00F759B0">
            <w:pPr>
              <w:pStyle w:val="TableText0"/>
              <w:rPr>
                <w:szCs w:val="18"/>
              </w:rPr>
            </w:pPr>
            <w:r w:rsidRPr="00873941">
              <w:rPr>
                <w:szCs w:val="18"/>
              </w:rPr>
              <w:t xml:space="preserve">Yee D, </w:t>
            </w:r>
            <w:proofErr w:type="spellStart"/>
            <w:r w:rsidRPr="00873941">
              <w:rPr>
                <w:szCs w:val="18"/>
              </w:rPr>
              <w:t>Demichele</w:t>
            </w:r>
            <w:proofErr w:type="spellEnd"/>
            <w:r w:rsidRPr="00873941">
              <w:rPr>
                <w:szCs w:val="18"/>
              </w:rPr>
              <w:t xml:space="preserve"> A, Isaacs C et al. Pathological complete response predicts event-free and distant disease-free survival in the I-SPY2 TRIAL.</w:t>
            </w:r>
          </w:p>
        </w:tc>
        <w:tc>
          <w:tcPr>
            <w:tcW w:w="1177" w:type="pct"/>
            <w:tcBorders>
              <w:top w:val="nil"/>
              <w:bottom w:val="single" w:sz="4" w:space="0" w:color="auto"/>
            </w:tcBorders>
            <w:vAlign w:val="center"/>
          </w:tcPr>
          <w:p w14:paraId="1CA0D4FE" w14:textId="77777777" w:rsidR="00373B66" w:rsidRPr="00873941" w:rsidRDefault="00373B66" w:rsidP="00F759B0">
            <w:pPr>
              <w:pStyle w:val="TableText0"/>
              <w:rPr>
                <w:i/>
                <w:iCs/>
              </w:rPr>
            </w:pPr>
            <w:r w:rsidRPr="00873941">
              <w:rPr>
                <w:i/>
                <w:iCs/>
              </w:rPr>
              <w:t>Cancer Research</w:t>
            </w:r>
            <w:r w:rsidRPr="00873941">
              <w:t xml:space="preserve"> 2018; 78(4).</w:t>
            </w:r>
          </w:p>
        </w:tc>
      </w:tr>
      <w:tr w:rsidR="00132464" w:rsidRPr="00873941" w14:paraId="1DACF6DA" w14:textId="77777777" w:rsidTr="00002E82">
        <w:tc>
          <w:tcPr>
            <w:tcW w:w="5000" w:type="pct"/>
            <w:gridSpan w:val="3"/>
            <w:tcBorders>
              <w:top w:val="single" w:sz="4" w:space="0" w:color="auto"/>
              <w:left w:val="single" w:sz="4" w:space="0" w:color="auto"/>
              <w:bottom w:val="single" w:sz="4" w:space="0" w:color="auto"/>
              <w:right w:val="single" w:sz="4" w:space="0" w:color="auto"/>
            </w:tcBorders>
            <w:vAlign w:val="center"/>
          </w:tcPr>
          <w:p w14:paraId="29B4F1CC" w14:textId="22218D4F" w:rsidR="00132464" w:rsidRPr="00873941" w:rsidRDefault="00132464" w:rsidP="00132464">
            <w:pPr>
              <w:pStyle w:val="In-tableHeading"/>
              <w:rPr>
                <w:i/>
                <w:iCs/>
                <w:lang w:val="en-AU"/>
              </w:rPr>
            </w:pPr>
            <w:r w:rsidRPr="00873941">
              <w:rPr>
                <w:lang w:val="en-AU"/>
              </w:rPr>
              <w:t xml:space="preserve">Supplementary RCT: </w:t>
            </w:r>
            <w:proofErr w:type="spellStart"/>
            <w:r w:rsidRPr="00873941">
              <w:rPr>
                <w:lang w:val="en-AU"/>
              </w:rPr>
              <w:t>P+T+Chemo</w:t>
            </w:r>
            <w:proofErr w:type="spellEnd"/>
            <w:r w:rsidRPr="00873941">
              <w:rPr>
                <w:lang w:val="en-AU"/>
              </w:rPr>
              <w:t xml:space="preserve"> vs </w:t>
            </w:r>
            <w:proofErr w:type="spellStart"/>
            <w:r w:rsidRPr="00873941">
              <w:rPr>
                <w:lang w:val="en-AU"/>
              </w:rPr>
              <w:t>P+T+Chemo</w:t>
            </w:r>
            <w:proofErr w:type="spellEnd"/>
          </w:p>
        </w:tc>
      </w:tr>
      <w:tr w:rsidR="00132464" w:rsidRPr="00873941" w14:paraId="1896F291" w14:textId="77777777" w:rsidTr="00002E82">
        <w:tc>
          <w:tcPr>
            <w:tcW w:w="796" w:type="pct"/>
            <w:tcBorders>
              <w:top w:val="single" w:sz="4" w:space="0" w:color="auto"/>
              <w:bottom w:val="nil"/>
            </w:tcBorders>
            <w:vAlign w:val="center"/>
          </w:tcPr>
          <w:p w14:paraId="499E9852" w14:textId="77777777" w:rsidR="00132464" w:rsidRPr="00873941" w:rsidRDefault="00132464" w:rsidP="00132464">
            <w:pPr>
              <w:pStyle w:val="TableText0"/>
              <w:keepNext w:val="0"/>
              <w:keepLines w:val="0"/>
            </w:pPr>
          </w:p>
        </w:tc>
        <w:tc>
          <w:tcPr>
            <w:tcW w:w="3027" w:type="pct"/>
            <w:tcBorders>
              <w:top w:val="single" w:sz="4" w:space="0" w:color="auto"/>
              <w:bottom w:val="nil"/>
            </w:tcBorders>
            <w:vAlign w:val="center"/>
          </w:tcPr>
          <w:p w14:paraId="64465961" w14:textId="356CB449" w:rsidR="00132464" w:rsidRPr="00873941" w:rsidRDefault="00132464" w:rsidP="00132464">
            <w:pPr>
              <w:pStyle w:val="TableText0"/>
              <w:keepNext w:val="0"/>
              <w:keepLines w:val="0"/>
              <w:rPr>
                <w:szCs w:val="18"/>
              </w:rPr>
            </w:pPr>
            <w:r w:rsidRPr="00873941">
              <w:rPr>
                <w:szCs w:val="18"/>
              </w:rPr>
              <w:t>Clinical Study Report – BO22280 - A randomised, multicentre,</w:t>
            </w:r>
            <w:r w:rsidR="00FA3CE6">
              <w:rPr>
                <w:szCs w:val="18"/>
              </w:rPr>
              <w:t xml:space="preserve"> </w:t>
            </w:r>
            <w:r w:rsidRPr="00873941">
              <w:rPr>
                <w:szCs w:val="18"/>
              </w:rPr>
              <w:t>multinational Phase II study to evaluate pertuzumab in combination with trastuzumab, given either concomitantly or sequentially with standard anthracycline-based chemotherapy or concomitantly with a non-anthracycline-based chemotherapy regimen, as neoadjuvant therapy for patients with locally advanced, inflammatory or early stage HER2-positive breast cancer.</w:t>
            </w:r>
          </w:p>
        </w:tc>
        <w:tc>
          <w:tcPr>
            <w:tcW w:w="1177" w:type="pct"/>
            <w:tcBorders>
              <w:top w:val="single" w:sz="4" w:space="0" w:color="auto"/>
              <w:bottom w:val="nil"/>
            </w:tcBorders>
            <w:vAlign w:val="center"/>
          </w:tcPr>
          <w:p w14:paraId="79DFC509" w14:textId="5D2978AA" w:rsidR="00132464" w:rsidRPr="00873941" w:rsidRDefault="00132464" w:rsidP="00132464">
            <w:pPr>
              <w:pStyle w:val="TableText0"/>
              <w:keepNext w:val="0"/>
              <w:keepLines w:val="0"/>
              <w:rPr>
                <w:i/>
                <w:iCs/>
              </w:rPr>
            </w:pPr>
            <w:r w:rsidRPr="00873941">
              <w:t>CSRs dated May 2021, Dec 2012, Jan 2014, Sep 2016.</w:t>
            </w:r>
          </w:p>
        </w:tc>
      </w:tr>
      <w:tr w:rsidR="00132464" w:rsidRPr="00873941" w14:paraId="6C366195" w14:textId="77777777" w:rsidTr="00132464">
        <w:tc>
          <w:tcPr>
            <w:tcW w:w="796" w:type="pct"/>
            <w:tcBorders>
              <w:top w:val="nil"/>
              <w:bottom w:val="nil"/>
            </w:tcBorders>
            <w:vAlign w:val="center"/>
          </w:tcPr>
          <w:p w14:paraId="3C15EC68" w14:textId="77777777" w:rsidR="00132464" w:rsidRPr="00873941" w:rsidRDefault="00132464" w:rsidP="00132464">
            <w:pPr>
              <w:pStyle w:val="TableText0"/>
              <w:keepNext w:val="0"/>
              <w:keepLines w:val="0"/>
            </w:pPr>
            <w:r w:rsidRPr="00873941">
              <w:t>TRYPHAENA</w:t>
            </w:r>
          </w:p>
          <w:p w14:paraId="14970798" w14:textId="0DB9F532" w:rsidR="00132464" w:rsidRPr="00873941" w:rsidRDefault="00132464" w:rsidP="00132464">
            <w:pPr>
              <w:pStyle w:val="TableText0"/>
              <w:keepNext w:val="0"/>
              <w:keepLines w:val="0"/>
            </w:pPr>
            <w:r w:rsidRPr="00873941">
              <w:t>NCT00976989</w:t>
            </w:r>
          </w:p>
        </w:tc>
        <w:tc>
          <w:tcPr>
            <w:tcW w:w="3027" w:type="pct"/>
            <w:tcBorders>
              <w:top w:val="nil"/>
              <w:bottom w:val="nil"/>
            </w:tcBorders>
            <w:vAlign w:val="center"/>
          </w:tcPr>
          <w:p w14:paraId="010B1FC6" w14:textId="73EAD9DB" w:rsidR="00132464" w:rsidRPr="00873941" w:rsidRDefault="00132464" w:rsidP="00132464">
            <w:pPr>
              <w:pStyle w:val="TableText0"/>
              <w:keepNext w:val="0"/>
              <w:keepLines w:val="0"/>
              <w:rPr>
                <w:szCs w:val="18"/>
              </w:rPr>
            </w:pPr>
            <w:r w:rsidRPr="00873941">
              <w:rPr>
                <w:szCs w:val="18"/>
              </w:rPr>
              <w:t>Schneeweiss A, Chia S, et al. Pertuzumab plus trastuzumab in combination with standard neoadjuvant anthracycline-containing and anthracycline-free chemotherapy regimens in patients with HER2-positive early breast cancer: a randomized phase II cardiac safety study (TRYPHAENA)</w:t>
            </w:r>
          </w:p>
        </w:tc>
        <w:tc>
          <w:tcPr>
            <w:tcW w:w="1177" w:type="pct"/>
            <w:tcBorders>
              <w:top w:val="nil"/>
              <w:bottom w:val="nil"/>
            </w:tcBorders>
            <w:vAlign w:val="center"/>
          </w:tcPr>
          <w:p w14:paraId="22CEA255" w14:textId="13B48D4A" w:rsidR="00132464" w:rsidRPr="00873941" w:rsidRDefault="00132464" w:rsidP="00132464">
            <w:pPr>
              <w:pStyle w:val="TableText0"/>
              <w:keepNext w:val="0"/>
              <w:keepLines w:val="0"/>
              <w:rPr>
                <w:i/>
                <w:iCs/>
              </w:rPr>
            </w:pPr>
            <w:r w:rsidRPr="00873941">
              <w:rPr>
                <w:i/>
                <w:iCs/>
              </w:rPr>
              <w:t>Annals of Oncology</w:t>
            </w:r>
            <w:r w:rsidRPr="00873941">
              <w:t xml:space="preserve"> 2013; 24(9): 2278-2284.</w:t>
            </w:r>
          </w:p>
        </w:tc>
      </w:tr>
      <w:tr w:rsidR="00132464" w:rsidRPr="00873941" w14:paraId="6266D68B" w14:textId="77777777" w:rsidTr="00132464">
        <w:tc>
          <w:tcPr>
            <w:tcW w:w="796" w:type="pct"/>
            <w:tcBorders>
              <w:top w:val="nil"/>
              <w:bottom w:val="single" w:sz="4" w:space="0" w:color="auto"/>
            </w:tcBorders>
            <w:vAlign w:val="center"/>
          </w:tcPr>
          <w:p w14:paraId="3C0E26FB" w14:textId="77777777" w:rsidR="00132464" w:rsidRPr="00873941" w:rsidRDefault="00132464" w:rsidP="00132464">
            <w:pPr>
              <w:pStyle w:val="TableText0"/>
              <w:keepNext w:val="0"/>
              <w:keepLines w:val="0"/>
            </w:pPr>
          </w:p>
        </w:tc>
        <w:tc>
          <w:tcPr>
            <w:tcW w:w="3027" w:type="pct"/>
            <w:tcBorders>
              <w:top w:val="nil"/>
              <w:bottom w:val="single" w:sz="4" w:space="0" w:color="auto"/>
            </w:tcBorders>
            <w:vAlign w:val="center"/>
          </w:tcPr>
          <w:p w14:paraId="05FA307F" w14:textId="109D0490" w:rsidR="00132464" w:rsidRPr="00873941" w:rsidRDefault="00132464" w:rsidP="00132464">
            <w:pPr>
              <w:pStyle w:val="TableText0"/>
              <w:keepNext w:val="0"/>
              <w:keepLines w:val="0"/>
              <w:rPr>
                <w:szCs w:val="18"/>
              </w:rPr>
            </w:pPr>
            <w:r w:rsidRPr="00873941">
              <w:rPr>
                <w:szCs w:val="18"/>
              </w:rPr>
              <w:t>Schneeweiss A, Chia S, et al. Long-term efficacy analysis of the randomised, phase II TRYPHAENA cardiac safety study: Evaluating pertuzumab and trastuzumab plus standard neoadjuvant anthracycline-containing and anthracycline-free chemotherapy regimens in patients with HER2-positive early breast cancer.</w:t>
            </w:r>
          </w:p>
        </w:tc>
        <w:tc>
          <w:tcPr>
            <w:tcW w:w="1177" w:type="pct"/>
            <w:tcBorders>
              <w:top w:val="nil"/>
              <w:bottom w:val="single" w:sz="4" w:space="0" w:color="auto"/>
            </w:tcBorders>
            <w:vAlign w:val="center"/>
          </w:tcPr>
          <w:p w14:paraId="6A232C49" w14:textId="72C4B006" w:rsidR="00132464" w:rsidRPr="00873941" w:rsidRDefault="00132464" w:rsidP="00132464">
            <w:pPr>
              <w:pStyle w:val="TableText0"/>
              <w:keepNext w:val="0"/>
              <w:keepLines w:val="0"/>
              <w:rPr>
                <w:i/>
                <w:iCs/>
              </w:rPr>
            </w:pPr>
            <w:r w:rsidRPr="00873941">
              <w:rPr>
                <w:i/>
                <w:iCs/>
              </w:rPr>
              <w:t>European Journal of Cancer</w:t>
            </w:r>
            <w:r w:rsidRPr="00873941">
              <w:t xml:space="preserve"> 2018; 89:27-35.</w:t>
            </w:r>
          </w:p>
        </w:tc>
      </w:tr>
      <w:tr w:rsidR="00132464" w:rsidRPr="00873941" w14:paraId="689C9422" w14:textId="77777777" w:rsidTr="00132464">
        <w:tc>
          <w:tcPr>
            <w:tcW w:w="5000" w:type="pct"/>
            <w:gridSpan w:val="3"/>
            <w:tcBorders>
              <w:top w:val="nil"/>
              <w:bottom w:val="single" w:sz="4" w:space="0" w:color="auto"/>
            </w:tcBorders>
            <w:vAlign w:val="center"/>
          </w:tcPr>
          <w:p w14:paraId="177E7008" w14:textId="4C638B77" w:rsidR="00132464" w:rsidRPr="00873941" w:rsidRDefault="00132464" w:rsidP="00132464">
            <w:pPr>
              <w:pStyle w:val="In-tableHeading"/>
              <w:rPr>
                <w:i/>
                <w:iCs/>
                <w:lang w:val="en-AU"/>
              </w:rPr>
            </w:pPr>
            <w:r w:rsidRPr="00873941">
              <w:rPr>
                <w:lang w:val="en-AU"/>
              </w:rPr>
              <w:t>Pooled analysis</w:t>
            </w:r>
          </w:p>
        </w:tc>
      </w:tr>
      <w:tr w:rsidR="00132464" w:rsidRPr="00873941" w14:paraId="0CDAB919" w14:textId="77777777" w:rsidTr="00132464">
        <w:tc>
          <w:tcPr>
            <w:tcW w:w="796" w:type="pct"/>
            <w:tcBorders>
              <w:top w:val="nil"/>
              <w:bottom w:val="single" w:sz="4" w:space="0" w:color="auto"/>
            </w:tcBorders>
            <w:vAlign w:val="center"/>
          </w:tcPr>
          <w:p w14:paraId="473977BD" w14:textId="21EA3A49" w:rsidR="00132464" w:rsidRPr="00873941" w:rsidRDefault="00132464" w:rsidP="00132464">
            <w:pPr>
              <w:pStyle w:val="TableText0"/>
              <w:keepNext w:val="0"/>
              <w:keepLines w:val="0"/>
            </w:pPr>
            <w:r w:rsidRPr="00873941">
              <w:t>Swain (2022)</w:t>
            </w:r>
          </w:p>
        </w:tc>
        <w:tc>
          <w:tcPr>
            <w:tcW w:w="3027" w:type="pct"/>
            <w:tcBorders>
              <w:top w:val="nil"/>
              <w:bottom w:val="single" w:sz="4" w:space="0" w:color="auto"/>
            </w:tcBorders>
            <w:vAlign w:val="center"/>
          </w:tcPr>
          <w:p w14:paraId="02B369C0" w14:textId="31CAC522" w:rsidR="00132464" w:rsidRPr="00873941" w:rsidRDefault="00132464" w:rsidP="00132464">
            <w:pPr>
              <w:pStyle w:val="TableText0"/>
              <w:keepNext w:val="0"/>
              <w:keepLines w:val="0"/>
              <w:rPr>
                <w:szCs w:val="18"/>
              </w:rPr>
            </w:pPr>
            <w:r w:rsidRPr="00873941">
              <w:rPr>
                <w:szCs w:val="18"/>
              </w:rPr>
              <w:t>Swain 2m, Macharia H, Cortes J et al. Event-Free Survival in Patients with Early HER2-Positive Breast Cancer with a Pathological Complete Response after HER2-Targeted Therapy: A Pooled Analysis</w:t>
            </w:r>
          </w:p>
        </w:tc>
        <w:tc>
          <w:tcPr>
            <w:tcW w:w="1177" w:type="pct"/>
            <w:tcBorders>
              <w:top w:val="nil"/>
              <w:bottom w:val="single" w:sz="4" w:space="0" w:color="auto"/>
            </w:tcBorders>
            <w:vAlign w:val="center"/>
          </w:tcPr>
          <w:p w14:paraId="37ECA74B" w14:textId="4AF96F2F" w:rsidR="00132464" w:rsidRPr="00873941" w:rsidRDefault="00132464" w:rsidP="00132464">
            <w:pPr>
              <w:pStyle w:val="TableText0"/>
              <w:keepNext w:val="0"/>
              <w:keepLines w:val="0"/>
              <w:rPr>
                <w:i/>
                <w:iCs/>
              </w:rPr>
            </w:pPr>
            <w:r w:rsidRPr="00873941">
              <w:rPr>
                <w:i/>
                <w:iCs/>
              </w:rPr>
              <w:t>Cancers</w:t>
            </w:r>
            <w:r w:rsidRPr="00873941">
              <w:t xml:space="preserve"> 2022; 14:5051</w:t>
            </w:r>
          </w:p>
        </w:tc>
      </w:tr>
      <w:tr w:rsidR="00132464" w:rsidRPr="00873941" w14:paraId="37036BA3" w14:textId="77777777" w:rsidTr="00132464">
        <w:tc>
          <w:tcPr>
            <w:tcW w:w="5000" w:type="pct"/>
            <w:gridSpan w:val="3"/>
            <w:tcBorders>
              <w:top w:val="nil"/>
              <w:bottom w:val="single" w:sz="4" w:space="0" w:color="auto"/>
            </w:tcBorders>
            <w:vAlign w:val="center"/>
          </w:tcPr>
          <w:p w14:paraId="1426FEA3" w14:textId="797E3869" w:rsidR="00132464" w:rsidRPr="00873941" w:rsidRDefault="00132464" w:rsidP="00132464">
            <w:pPr>
              <w:pStyle w:val="In-tableHeading"/>
              <w:rPr>
                <w:i/>
                <w:iCs/>
                <w:lang w:val="en-AU"/>
              </w:rPr>
            </w:pPr>
            <w:r w:rsidRPr="00873941">
              <w:rPr>
                <w:lang w:val="en-AU"/>
              </w:rPr>
              <w:t xml:space="preserve">Studies: </w:t>
            </w:r>
            <w:proofErr w:type="spellStart"/>
            <w:r w:rsidRPr="00873941">
              <w:rPr>
                <w:lang w:val="en-AU"/>
              </w:rPr>
              <w:t>P+T+Chemo</w:t>
            </w:r>
            <w:proofErr w:type="spellEnd"/>
            <w:r w:rsidRPr="00873941">
              <w:rPr>
                <w:lang w:val="en-AU"/>
              </w:rPr>
              <w:t xml:space="preserve"> vs </w:t>
            </w:r>
            <w:proofErr w:type="spellStart"/>
            <w:r w:rsidRPr="00873941">
              <w:rPr>
                <w:lang w:val="en-AU"/>
              </w:rPr>
              <w:t>T+Chemo</w:t>
            </w:r>
            <w:proofErr w:type="spellEnd"/>
            <w:r w:rsidRPr="00873941">
              <w:rPr>
                <w:lang w:val="en-AU"/>
              </w:rPr>
              <w:t>, neoadjuvant chemotherapy must include an anthracycline</w:t>
            </w:r>
          </w:p>
        </w:tc>
      </w:tr>
      <w:tr w:rsidR="00132464" w:rsidRPr="00873941" w14:paraId="2FC95730" w14:textId="77777777" w:rsidTr="00132464">
        <w:tc>
          <w:tcPr>
            <w:tcW w:w="796" w:type="pct"/>
            <w:tcBorders>
              <w:top w:val="nil"/>
              <w:bottom w:val="single" w:sz="4" w:space="0" w:color="auto"/>
            </w:tcBorders>
          </w:tcPr>
          <w:p w14:paraId="5A446FC4" w14:textId="7A471910" w:rsidR="00132464" w:rsidRPr="00873941" w:rsidRDefault="00132464" w:rsidP="00132464">
            <w:pPr>
              <w:pStyle w:val="TableText0"/>
              <w:keepNext w:val="0"/>
              <w:keepLines w:val="0"/>
            </w:pPr>
            <w:r w:rsidRPr="00873941">
              <w:t>Acevedo (2023)</w:t>
            </w:r>
          </w:p>
        </w:tc>
        <w:tc>
          <w:tcPr>
            <w:tcW w:w="3027" w:type="pct"/>
            <w:tcBorders>
              <w:top w:val="nil"/>
              <w:bottom w:val="single" w:sz="4" w:space="0" w:color="auto"/>
            </w:tcBorders>
            <w:vAlign w:val="center"/>
          </w:tcPr>
          <w:p w14:paraId="0E809111" w14:textId="79C7734A" w:rsidR="00132464" w:rsidRPr="00873941" w:rsidRDefault="00132464" w:rsidP="00132464">
            <w:pPr>
              <w:pStyle w:val="TableText0"/>
              <w:keepNext w:val="0"/>
              <w:keepLines w:val="0"/>
              <w:rPr>
                <w:szCs w:val="18"/>
              </w:rPr>
            </w:pPr>
            <w:r w:rsidRPr="00873941">
              <w:rPr>
                <w:szCs w:val="18"/>
              </w:rPr>
              <w:t>Acevedo F, Walbaum B, Medina L et al. The real-world outcome of</w:t>
            </w:r>
            <w:r w:rsidR="00FA3CE6">
              <w:rPr>
                <w:szCs w:val="18"/>
              </w:rPr>
              <w:t xml:space="preserve"> </w:t>
            </w:r>
            <w:r w:rsidRPr="00873941">
              <w:rPr>
                <w:szCs w:val="18"/>
              </w:rPr>
              <w:t>human epidermal growth factor type-2 positive breast cancer patients receiving neoadjuvant therapy with or without pertuzumab.</w:t>
            </w:r>
          </w:p>
        </w:tc>
        <w:tc>
          <w:tcPr>
            <w:tcW w:w="1177" w:type="pct"/>
            <w:tcBorders>
              <w:top w:val="nil"/>
              <w:bottom w:val="single" w:sz="4" w:space="0" w:color="auto"/>
            </w:tcBorders>
            <w:vAlign w:val="center"/>
          </w:tcPr>
          <w:p w14:paraId="7549EB00" w14:textId="606A0AAE" w:rsidR="00132464" w:rsidRPr="00873941" w:rsidRDefault="00132464" w:rsidP="00132464">
            <w:pPr>
              <w:pStyle w:val="TableText0"/>
              <w:keepNext w:val="0"/>
              <w:keepLines w:val="0"/>
              <w:rPr>
                <w:i/>
                <w:iCs/>
              </w:rPr>
            </w:pPr>
            <w:r w:rsidRPr="00873941">
              <w:rPr>
                <w:i/>
                <w:iCs/>
              </w:rPr>
              <w:t xml:space="preserve">Cancer Res </w:t>
            </w:r>
            <w:r w:rsidRPr="00873941">
              <w:t>2023; 85(5_Supplement): P1-11-17.</w:t>
            </w:r>
          </w:p>
        </w:tc>
      </w:tr>
      <w:tr w:rsidR="00132464" w:rsidRPr="00873941" w14:paraId="65958AC5" w14:textId="77777777" w:rsidTr="00132464">
        <w:tc>
          <w:tcPr>
            <w:tcW w:w="796" w:type="pct"/>
            <w:tcBorders>
              <w:top w:val="nil"/>
              <w:bottom w:val="single" w:sz="4" w:space="0" w:color="auto"/>
            </w:tcBorders>
          </w:tcPr>
          <w:p w14:paraId="388D73E8" w14:textId="5F2899C3" w:rsidR="00132464" w:rsidRPr="00873941" w:rsidRDefault="00132464" w:rsidP="00132464">
            <w:pPr>
              <w:pStyle w:val="TableText0"/>
              <w:keepNext w:val="0"/>
              <w:keepLines w:val="0"/>
            </w:pPr>
            <w:r w:rsidRPr="00873941">
              <w:t>HER2PATH</w:t>
            </w:r>
          </w:p>
        </w:tc>
        <w:tc>
          <w:tcPr>
            <w:tcW w:w="3027" w:type="pct"/>
            <w:tcBorders>
              <w:top w:val="nil"/>
              <w:bottom w:val="single" w:sz="4" w:space="0" w:color="auto"/>
            </w:tcBorders>
            <w:vAlign w:val="center"/>
          </w:tcPr>
          <w:p w14:paraId="339FC4E7" w14:textId="77777777" w:rsidR="00132464" w:rsidRPr="00873941" w:rsidRDefault="00132464" w:rsidP="00132464">
            <w:pPr>
              <w:pStyle w:val="TableText0"/>
              <w:rPr>
                <w:szCs w:val="18"/>
              </w:rPr>
            </w:pPr>
            <w:r w:rsidRPr="00873941">
              <w:rPr>
                <w:szCs w:val="18"/>
              </w:rPr>
              <w:t xml:space="preserve">Bilici A, </w:t>
            </w:r>
            <w:proofErr w:type="spellStart"/>
            <w:r w:rsidRPr="00873941">
              <w:rPr>
                <w:szCs w:val="18"/>
              </w:rPr>
              <w:t>Olmez</w:t>
            </w:r>
            <w:proofErr w:type="spellEnd"/>
            <w:r w:rsidRPr="00873941">
              <w:rPr>
                <w:szCs w:val="18"/>
              </w:rPr>
              <w:t xml:space="preserve"> OF, Kaplan MA et al. Impact of adding pertuzumab to trastuzumab plus chemotherapy in neoadjuvant treatment of HER2</w:t>
            </w:r>
          </w:p>
          <w:p w14:paraId="25A45BD5" w14:textId="13519D73" w:rsidR="00132464" w:rsidRPr="00873941" w:rsidRDefault="00132464" w:rsidP="00132464">
            <w:pPr>
              <w:pStyle w:val="TableText0"/>
              <w:keepNext w:val="0"/>
              <w:keepLines w:val="0"/>
              <w:rPr>
                <w:szCs w:val="18"/>
              </w:rPr>
            </w:pPr>
            <w:r w:rsidRPr="00873941">
              <w:rPr>
                <w:szCs w:val="18"/>
              </w:rPr>
              <w:t xml:space="preserve">positive breast cancer patients: a </w:t>
            </w:r>
            <w:proofErr w:type="spellStart"/>
            <w:r w:rsidRPr="00873941">
              <w:rPr>
                <w:szCs w:val="18"/>
              </w:rPr>
              <w:t>multicenter</w:t>
            </w:r>
            <w:proofErr w:type="spellEnd"/>
            <w:r w:rsidRPr="00873941">
              <w:rPr>
                <w:szCs w:val="18"/>
              </w:rPr>
              <w:t xml:space="preserve"> real life HER2PATH study.</w:t>
            </w:r>
          </w:p>
        </w:tc>
        <w:tc>
          <w:tcPr>
            <w:tcW w:w="1177" w:type="pct"/>
            <w:tcBorders>
              <w:top w:val="nil"/>
              <w:bottom w:val="single" w:sz="4" w:space="0" w:color="auto"/>
            </w:tcBorders>
            <w:vAlign w:val="center"/>
          </w:tcPr>
          <w:p w14:paraId="2D63B7F9" w14:textId="3D11FBDA" w:rsidR="00132464" w:rsidRPr="00873941" w:rsidRDefault="00132464" w:rsidP="00132464">
            <w:pPr>
              <w:pStyle w:val="TableText0"/>
              <w:keepNext w:val="0"/>
              <w:keepLines w:val="0"/>
              <w:rPr>
                <w:i/>
                <w:iCs/>
              </w:rPr>
            </w:pPr>
            <w:r w:rsidRPr="00873941">
              <w:rPr>
                <w:i/>
                <w:iCs/>
              </w:rPr>
              <w:t xml:space="preserve">Acta </w:t>
            </w:r>
            <w:proofErr w:type="spellStart"/>
            <w:r w:rsidRPr="00873941">
              <w:rPr>
                <w:i/>
                <w:iCs/>
              </w:rPr>
              <w:t>Oncologica</w:t>
            </w:r>
            <w:proofErr w:type="spellEnd"/>
            <w:r w:rsidRPr="00873941">
              <w:rPr>
                <w:i/>
                <w:iCs/>
              </w:rPr>
              <w:t xml:space="preserve"> </w:t>
            </w:r>
            <w:r w:rsidRPr="00873941">
              <w:t>2023; 62(4):381-390.</w:t>
            </w:r>
          </w:p>
        </w:tc>
      </w:tr>
      <w:tr w:rsidR="00132464" w:rsidRPr="00873941" w14:paraId="6ADDEF7C" w14:textId="77777777" w:rsidTr="00132464">
        <w:tc>
          <w:tcPr>
            <w:tcW w:w="796" w:type="pct"/>
            <w:tcBorders>
              <w:top w:val="nil"/>
              <w:bottom w:val="single" w:sz="4" w:space="0" w:color="auto"/>
            </w:tcBorders>
          </w:tcPr>
          <w:p w14:paraId="33DB4812" w14:textId="75F7A113" w:rsidR="00132464" w:rsidRPr="00873941" w:rsidRDefault="00132464" w:rsidP="00132464">
            <w:pPr>
              <w:pStyle w:val="TableText0"/>
              <w:keepNext w:val="0"/>
              <w:keepLines w:val="0"/>
            </w:pPr>
            <w:proofErr w:type="spellStart"/>
            <w:r w:rsidRPr="00873941">
              <w:t>NeoPowER</w:t>
            </w:r>
            <w:proofErr w:type="spellEnd"/>
          </w:p>
        </w:tc>
        <w:tc>
          <w:tcPr>
            <w:tcW w:w="3027" w:type="pct"/>
            <w:tcBorders>
              <w:top w:val="nil"/>
              <w:bottom w:val="single" w:sz="4" w:space="0" w:color="auto"/>
            </w:tcBorders>
            <w:vAlign w:val="center"/>
          </w:tcPr>
          <w:p w14:paraId="7E68A04B" w14:textId="37EB4FA9" w:rsidR="00132464" w:rsidRPr="00873941" w:rsidRDefault="00132464" w:rsidP="00132464">
            <w:pPr>
              <w:pStyle w:val="TableText0"/>
              <w:keepNext w:val="0"/>
              <w:keepLines w:val="0"/>
              <w:rPr>
                <w:szCs w:val="18"/>
              </w:rPr>
            </w:pPr>
            <w:r w:rsidRPr="00873941">
              <w:rPr>
                <w:szCs w:val="18"/>
              </w:rPr>
              <w:t xml:space="preserve">Canino F, </w:t>
            </w:r>
            <w:proofErr w:type="spellStart"/>
            <w:r w:rsidRPr="00873941">
              <w:rPr>
                <w:szCs w:val="18"/>
              </w:rPr>
              <w:t>Barbolini</w:t>
            </w:r>
            <w:proofErr w:type="spellEnd"/>
            <w:r w:rsidRPr="00873941">
              <w:rPr>
                <w:szCs w:val="18"/>
              </w:rPr>
              <w:t xml:space="preserve"> M, De Giorgi U et al. Safety and efficacy analysis of neoadjuvant pertuzumab, trastuzumab and standard chemotherapy for HER2–positive early breast cancer: real–world data from </w:t>
            </w:r>
            <w:proofErr w:type="spellStart"/>
            <w:r w:rsidRPr="00873941">
              <w:rPr>
                <w:szCs w:val="18"/>
              </w:rPr>
              <w:t>NeoPowER</w:t>
            </w:r>
            <w:proofErr w:type="spellEnd"/>
            <w:r w:rsidRPr="00873941">
              <w:rPr>
                <w:szCs w:val="18"/>
              </w:rPr>
              <w:t xml:space="preserve"> study.</w:t>
            </w:r>
          </w:p>
        </w:tc>
        <w:tc>
          <w:tcPr>
            <w:tcW w:w="1177" w:type="pct"/>
            <w:tcBorders>
              <w:top w:val="nil"/>
              <w:bottom w:val="single" w:sz="4" w:space="0" w:color="auto"/>
            </w:tcBorders>
            <w:vAlign w:val="center"/>
          </w:tcPr>
          <w:p w14:paraId="0EDA6193" w14:textId="595BE6AD" w:rsidR="00132464" w:rsidRPr="00873941" w:rsidRDefault="00132464" w:rsidP="00132464">
            <w:pPr>
              <w:pStyle w:val="TableText0"/>
              <w:keepNext w:val="0"/>
              <w:keepLines w:val="0"/>
              <w:rPr>
                <w:i/>
                <w:iCs/>
              </w:rPr>
            </w:pPr>
            <w:r w:rsidRPr="00873941">
              <w:rPr>
                <w:i/>
                <w:iCs/>
              </w:rPr>
              <w:t xml:space="preserve">BMC Cancer </w:t>
            </w:r>
            <w:r w:rsidRPr="00873941">
              <w:t>2024; 24:735.</w:t>
            </w:r>
          </w:p>
        </w:tc>
      </w:tr>
      <w:tr w:rsidR="00132464" w:rsidRPr="00873941" w14:paraId="0F2FC086" w14:textId="77777777" w:rsidTr="00132464">
        <w:tc>
          <w:tcPr>
            <w:tcW w:w="796" w:type="pct"/>
            <w:tcBorders>
              <w:top w:val="nil"/>
              <w:bottom w:val="single" w:sz="4" w:space="0" w:color="auto"/>
            </w:tcBorders>
          </w:tcPr>
          <w:p w14:paraId="570A1E18" w14:textId="35AD6459" w:rsidR="00132464" w:rsidRPr="00873941" w:rsidRDefault="00132464" w:rsidP="00132464">
            <w:pPr>
              <w:pStyle w:val="TableText0"/>
              <w:keepNext w:val="0"/>
              <w:keepLines w:val="0"/>
            </w:pPr>
            <w:r w:rsidRPr="00873941">
              <w:t>Chang (2020)</w:t>
            </w:r>
          </w:p>
        </w:tc>
        <w:tc>
          <w:tcPr>
            <w:tcW w:w="3027" w:type="pct"/>
            <w:tcBorders>
              <w:top w:val="nil"/>
              <w:bottom w:val="single" w:sz="4" w:space="0" w:color="auto"/>
            </w:tcBorders>
            <w:vAlign w:val="center"/>
          </w:tcPr>
          <w:p w14:paraId="3A316CDD" w14:textId="57EF7A94" w:rsidR="00132464" w:rsidRPr="00873941" w:rsidRDefault="00132464" w:rsidP="00132464">
            <w:pPr>
              <w:pStyle w:val="TableText0"/>
              <w:keepNext w:val="0"/>
              <w:keepLines w:val="0"/>
              <w:rPr>
                <w:szCs w:val="18"/>
              </w:rPr>
            </w:pPr>
            <w:r w:rsidRPr="00873941">
              <w:rPr>
                <w:szCs w:val="18"/>
              </w:rPr>
              <w:t>Chang Y-K, Co M, Kwong A. Conversion rate from mastectomy to breast conservation after neoadjuvant dual target therapy for HER2</w:t>
            </w:r>
            <w:r w:rsidRPr="00873941">
              <w:rPr>
                <w:rFonts w:ascii="Cambria Math" w:hAnsi="Cambria Math" w:cs="Cambria Math"/>
                <w:szCs w:val="18"/>
              </w:rPr>
              <w:t>‑</w:t>
            </w:r>
            <w:r w:rsidRPr="00873941">
              <w:rPr>
                <w:szCs w:val="18"/>
              </w:rPr>
              <w:t>positive breast cancer in the Asian population.</w:t>
            </w:r>
          </w:p>
        </w:tc>
        <w:tc>
          <w:tcPr>
            <w:tcW w:w="1177" w:type="pct"/>
            <w:tcBorders>
              <w:top w:val="nil"/>
              <w:bottom w:val="single" w:sz="4" w:space="0" w:color="auto"/>
            </w:tcBorders>
            <w:vAlign w:val="center"/>
          </w:tcPr>
          <w:p w14:paraId="152A3494" w14:textId="193E6E36" w:rsidR="00132464" w:rsidRPr="00873941" w:rsidRDefault="00132464" w:rsidP="00132464">
            <w:pPr>
              <w:pStyle w:val="TableText0"/>
              <w:keepNext w:val="0"/>
              <w:keepLines w:val="0"/>
              <w:rPr>
                <w:i/>
                <w:iCs/>
              </w:rPr>
            </w:pPr>
            <w:r w:rsidRPr="00873941">
              <w:rPr>
                <w:i/>
                <w:iCs/>
              </w:rPr>
              <w:t>Breast Cancer</w:t>
            </w:r>
            <w:r w:rsidRPr="00873941">
              <w:t xml:space="preserve"> 2020; 27:456-463.</w:t>
            </w:r>
          </w:p>
        </w:tc>
      </w:tr>
      <w:tr w:rsidR="00132464" w:rsidRPr="00873941" w14:paraId="17819BA5" w14:textId="77777777" w:rsidTr="00132464">
        <w:tc>
          <w:tcPr>
            <w:tcW w:w="796" w:type="pct"/>
            <w:tcBorders>
              <w:top w:val="nil"/>
              <w:bottom w:val="single" w:sz="4" w:space="0" w:color="auto"/>
            </w:tcBorders>
          </w:tcPr>
          <w:p w14:paraId="1A38D7F3" w14:textId="0B16DD6B" w:rsidR="00132464" w:rsidRPr="00873941" w:rsidRDefault="00132464" w:rsidP="00132464">
            <w:pPr>
              <w:pStyle w:val="TableText0"/>
              <w:keepNext w:val="0"/>
              <w:keepLines w:val="0"/>
            </w:pPr>
            <w:r w:rsidRPr="00873941">
              <w:t>Cheng (2022)</w:t>
            </w:r>
          </w:p>
        </w:tc>
        <w:tc>
          <w:tcPr>
            <w:tcW w:w="3027" w:type="pct"/>
            <w:tcBorders>
              <w:top w:val="nil"/>
              <w:bottom w:val="single" w:sz="4" w:space="0" w:color="auto"/>
            </w:tcBorders>
            <w:vAlign w:val="center"/>
          </w:tcPr>
          <w:p w14:paraId="11C15561" w14:textId="07391682" w:rsidR="00132464" w:rsidRPr="00873941" w:rsidRDefault="00132464" w:rsidP="00132464">
            <w:pPr>
              <w:pStyle w:val="TableText0"/>
              <w:keepNext w:val="0"/>
              <w:keepLines w:val="0"/>
              <w:rPr>
                <w:szCs w:val="18"/>
              </w:rPr>
            </w:pPr>
            <w:r w:rsidRPr="00873941">
              <w:rPr>
                <w:szCs w:val="18"/>
              </w:rPr>
              <w:t xml:space="preserve">Cheng Y, Xiang H, Xin L et al. Neoadjuvant therapy for early human epidermal growth factor receptor 2 positive breast cancer in China: A </w:t>
            </w:r>
            <w:proofErr w:type="spellStart"/>
            <w:r w:rsidRPr="00873941">
              <w:rPr>
                <w:szCs w:val="18"/>
              </w:rPr>
              <w:t>multicenter</w:t>
            </w:r>
            <w:proofErr w:type="spellEnd"/>
            <w:r w:rsidRPr="00873941">
              <w:rPr>
                <w:szCs w:val="18"/>
              </w:rPr>
              <w:t xml:space="preserve"> real-world study (CSBrS-015).</w:t>
            </w:r>
          </w:p>
        </w:tc>
        <w:tc>
          <w:tcPr>
            <w:tcW w:w="1177" w:type="pct"/>
            <w:tcBorders>
              <w:top w:val="nil"/>
              <w:bottom w:val="single" w:sz="4" w:space="0" w:color="auto"/>
            </w:tcBorders>
            <w:vAlign w:val="center"/>
          </w:tcPr>
          <w:p w14:paraId="40F52462" w14:textId="34213B64" w:rsidR="00132464" w:rsidRPr="00873941" w:rsidRDefault="00132464" w:rsidP="00132464">
            <w:pPr>
              <w:pStyle w:val="TableText0"/>
              <w:keepNext w:val="0"/>
              <w:keepLines w:val="0"/>
              <w:rPr>
                <w:i/>
                <w:iCs/>
              </w:rPr>
            </w:pPr>
            <w:r w:rsidRPr="00873941">
              <w:rPr>
                <w:i/>
                <w:iCs/>
              </w:rPr>
              <w:t xml:space="preserve">Chinese Medical Journal </w:t>
            </w:r>
            <w:r w:rsidRPr="00873941">
              <w:t>2022; 135(19):2311-2318.</w:t>
            </w:r>
          </w:p>
        </w:tc>
      </w:tr>
      <w:tr w:rsidR="00132464" w:rsidRPr="00873941" w14:paraId="12F934DC" w14:textId="77777777" w:rsidTr="00132464">
        <w:tc>
          <w:tcPr>
            <w:tcW w:w="796" w:type="pct"/>
            <w:tcBorders>
              <w:top w:val="nil"/>
              <w:bottom w:val="single" w:sz="4" w:space="0" w:color="auto"/>
            </w:tcBorders>
          </w:tcPr>
          <w:p w14:paraId="7E68F870" w14:textId="79F02DB6" w:rsidR="00132464" w:rsidRPr="00873941" w:rsidRDefault="00132464" w:rsidP="00132464">
            <w:pPr>
              <w:pStyle w:val="TableText0"/>
              <w:keepNext w:val="0"/>
              <w:keepLines w:val="0"/>
            </w:pPr>
            <w:r w:rsidRPr="00873941">
              <w:t>Díaz-Redondo (2019)</w:t>
            </w:r>
          </w:p>
        </w:tc>
        <w:tc>
          <w:tcPr>
            <w:tcW w:w="3027" w:type="pct"/>
            <w:tcBorders>
              <w:top w:val="nil"/>
              <w:bottom w:val="single" w:sz="4" w:space="0" w:color="auto"/>
            </w:tcBorders>
            <w:vAlign w:val="center"/>
          </w:tcPr>
          <w:p w14:paraId="1C0FCE3C" w14:textId="0E169CC6" w:rsidR="00132464" w:rsidRPr="00873941" w:rsidRDefault="00132464" w:rsidP="00132464">
            <w:pPr>
              <w:pStyle w:val="TableText0"/>
              <w:keepNext w:val="0"/>
              <w:keepLines w:val="0"/>
              <w:rPr>
                <w:szCs w:val="18"/>
              </w:rPr>
            </w:pPr>
            <w:r w:rsidRPr="00873941">
              <w:rPr>
                <w:szCs w:val="18"/>
              </w:rPr>
              <w:t>Díaz-Redondo T, Lavado-Valenzuela R, Jiminez B et al. Different Pathological Complete Response Rates According to PAM50 Subtype in HER2+ Breast Cancer Patients Treated With Neoadjuvant Pertuzumab/Trastuzumab vs. Trastuzumab Plus Standard Chemotherapy: An Analysis of Real-World Data.</w:t>
            </w:r>
          </w:p>
        </w:tc>
        <w:tc>
          <w:tcPr>
            <w:tcW w:w="1177" w:type="pct"/>
            <w:tcBorders>
              <w:top w:val="nil"/>
              <w:bottom w:val="single" w:sz="4" w:space="0" w:color="auto"/>
            </w:tcBorders>
            <w:vAlign w:val="center"/>
          </w:tcPr>
          <w:p w14:paraId="25679CDB" w14:textId="148922F0" w:rsidR="00132464" w:rsidRPr="00873941" w:rsidRDefault="00132464" w:rsidP="00132464">
            <w:pPr>
              <w:pStyle w:val="TableText0"/>
              <w:keepNext w:val="0"/>
              <w:keepLines w:val="0"/>
              <w:rPr>
                <w:i/>
                <w:iCs/>
              </w:rPr>
            </w:pPr>
            <w:r w:rsidRPr="00873941">
              <w:rPr>
                <w:i/>
                <w:iCs/>
              </w:rPr>
              <w:t>Frontiers in Oncology</w:t>
            </w:r>
            <w:r w:rsidRPr="00873941">
              <w:t xml:space="preserve"> 2019; 9:1178.</w:t>
            </w:r>
          </w:p>
        </w:tc>
      </w:tr>
      <w:tr w:rsidR="00132464" w:rsidRPr="00873941" w14:paraId="6FB57A62" w14:textId="77777777" w:rsidTr="00132464">
        <w:tc>
          <w:tcPr>
            <w:tcW w:w="796" w:type="pct"/>
            <w:tcBorders>
              <w:top w:val="nil"/>
              <w:bottom w:val="single" w:sz="4" w:space="0" w:color="auto"/>
            </w:tcBorders>
          </w:tcPr>
          <w:p w14:paraId="15E0A7D2" w14:textId="6C0DFDD8" w:rsidR="00132464" w:rsidRPr="00873941" w:rsidRDefault="00132464" w:rsidP="00132464">
            <w:pPr>
              <w:pStyle w:val="TableText0"/>
              <w:keepNext w:val="0"/>
              <w:keepLines w:val="0"/>
            </w:pPr>
            <w:proofErr w:type="spellStart"/>
            <w:r w:rsidRPr="00873941">
              <w:lastRenderedPageBreak/>
              <w:t>Neopearl</w:t>
            </w:r>
            <w:proofErr w:type="spellEnd"/>
            <w:r w:rsidRPr="00873941">
              <w:t xml:space="preserve"> </w:t>
            </w:r>
          </w:p>
        </w:tc>
        <w:tc>
          <w:tcPr>
            <w:tcW w:w="3027" w:type="pct"/>
            <w:tcBorders>
              <w:top w:val="nil"/>
              <w:bottom w:val="single" w:sz="4" w:space="0" w:color="auto"/>
            </w:tcBorders>
            <w:vAlign w:val="center"/>
          </w:tcPr>
          <w:p w14:paraId="6FD02B32" w14:textId="77777777" w:rsidR="00132464" w:rsidRPr="00873941" w:rsidRDefault="00132464" w:rsidP="00132464">
            <w:pPr>
              <w:pStyle w:val="TableText0"/>
              <w:rPr>
                <w:szCs w:val="18"/>
              </w:rPr>
            </w:pPr>
            <w:r w:rsidRPr="00873941">
              <w:rPr>
                <w:szCs w:val="18"/>
              </w:rPr>
              <w:t>Fabbri A, Nelli F, Botticelli A et al. Pathologic response and survival</w:t>
            </w:r>
          </w:p>
          <w:p w14:paraId="6692D02B" w14:textId="20161461" w:rsidR="00132464" w:rsidRPr="00873941" w:rsidRDefault="00132464" w:rsidP="00132464">
            <w:pPr>
              <w:pStyle w:val="TableText0"/>
              <w:keepNext w:val="0"/>
              <w:keepLines w:val="0"/>
              <w:rPr>
                <w:szCs w:val="18"/>
              </w:rPr>
            </w:pPr>
            <w:r w:rsidRPr="00873941">
              <w:rPr>
                <w:szCs w:val="18"/>
              </w:rPr>
              <w:t xml:space="preserve">after neoadjuvant chemotherapy with or without pertuzumab in patients with HER2-positive breast cancer: the </w:t>
            </w:r>
            <w:proofErr w:type="spellStart"/>
            <w:r w:rsidRPr="00873941">
              <w:rPr>
                <w:szCs w:val="18"/>
              </w:rPr>
              <w:t>Neopearl</w:t>
            </w:r>
            <w:proofErr w:type="spellEnd"/>
            <w:r w:rsidRPr="00873941">
              <w:rPr>
                <w:szCs w:val="18"/>
              </w:rPr>
              <w:t xml:space="preserve"> nationwide collaborative study.</w:t>
            </w:r>
          </w:p>
        </w:tc>
        <w:tc>
          <w:tcPr>
            <w:tcW w:w="1177" w:type="pct"/>
            <w:tcBorders>
              <w:top w:val="nil"/>
              <w:bottom w:val="single" w:sz="4" w:space="0" w:color="auto"/>
            </w:tcBorders>
            <w:vAlign w:val="center"/>
          </w:tcPr>
          <w:p w14:paraId="2948FA42" w14:textId="0A18806B" w:rsidR="00132464" w:rsidRPr="00873941" w:rsidRDefault="00132464" w:rsidP="00132464">
            <w:pPr>
              <w:pStyle w:val="TableText0"/>
              <w:keepNext w:val="0"/>
              <w:keepLines w:val="0"/>
              <w:rPr>
                <w:i/>
                <w:iCs/>
              </w:rPr>
            </w:pPr>
            <w:r w:rsidRPr="00873941">
              <w:rPr>
                <w:i/>
                <w:iCs/>
              </w:rPr>
              <w:t>Frontiers in Oncology</w:t>
            </w:r>
            <w:r w:rsidRPr="00873941">
              <w:t xml:space="preserve"> 2023; 13:1177681.</w:t>
            </w:r>
          </w:p>
        </w:tc>
      </w:tr>
      <w:tr w:rsidR="00132464" w:rsidRPr="00873941" w14:paraId="52A172ED" w14:textId="77777777" w:rsidTr="00132464">
        <w:tc>
          <w:tcPr>
            <w:tcW w:w="796" w:type="pct"/>
            <w:tcBorders>
              <w:top w:val="nil"/>
              <w:bottom w:val="single" w:sz="4" w:space="0" w:color="auto"/>
            </w:tcBorders>
          </w:tcPr>
          <w:p w14:paraId="14277A7F" w14:textId="69033EAB" w:rsidR="00132464" w:rsidRPr="00873941" w:rsidRDefault="00132464" w:rsidP="00132464">
            <w:pPr>
              <w:pStyle w:val="TableText0"/>
              <w:keepNext w:val="0"/>
              <w:keepLines w:val="0"/>
            </w:pPr>
            <w:r w:rsidRPr="00873941">
              <w:t>Hung (2022)</w:t>
            </w:r>
          </w:p>
        </w:tc>
        <w:tc>
          <w:tcPr>
            <w:tcW w:w="3027" w:type="pct"/>
            <w:tcBorders>
              <w:top w:val="nil"/>
              <w:bottom w:val="single" w:sz="4" w:space="0" w:color="auto"/>
            </w:tcBorders>
            <w:vAlign w:val="center"/>
          </w:tcPr>
          <w:p w14:paraId="4993128F" w14:textId="3C880FFF" w:rsidR="00132464" w:rsidRPr="00873941" w:rsidRDefault="00132464" w:rsidP="00132464">
            <w:pPr>
              <w:pStyle w:val="TableText0"/>
              <w:keepNext w:val="0"/>
              <w:keepLines w:val="0"/>
              <w:rPr>
                <w:szCs w:val="18"/>
              </w:rPr>
            </w:pPr>
            <w:r w:rsidRPr="00873941">
              <w:rPr>
                <w:szCs w:val="18"/>
              </w:rPr>
              <w:t>Hung C-C, Tsai I-C, Hsu C-Y et al. Clinical Outcomes of Neoadjuvant Therapy in Human Epidermal Growth Factor Receptor 2 Breast Cancer Patients: A Single-</w:t>
            </w:r>
            <w:proofErr w:type="spellStart"/>
            <w:r w:rsidRPr="00873941">
              <w:rPr>
                <w:szCs w:val="18"/>
              </w:rPr>
              <w:t>Center</w:t>
            </w:r>
            <w:proofErr w:type="spellEnd"/>
            <w:r w:rsidRPr="00873941">
              <w:rPr>
                <w:szCs w:val="18"/>
              </w:rPr>
              <w:t xml:space="preserve"> Retrospective Study.</w:t>
            </w:r>
          </w:p>
        </w:tc>
        <w:tc>
          <w:tcPr>
            <w:tcW w:w="1177" w:type="pct"/>
            <w:tcBorders>
              <w:top w:val="nil"/>
              <w:bottom w:val="single" w:sz="4" w:space="0" w:color="auto"/>
            </w:tcBorders>
            <w:vAlign w:val="center"/>
          </w:tcPr>
          <w:p w14:paraId="2A3BC92C" w14:textId="4ADA765D" w:rsidR="00132464" w:rsidRPr="00873941" w:rsidRDefault="00132464" w:rsidP="00132464">
            <w:pPr>
              <w:pStyle w:val="TableText0"/>
              <w:keepNext w:val="0"/>
              <w:keepLines w:val="0"/>
              <w:rPr>
                <w:i/>
                <w:iCs/>
              </w:rPr>
            </w:pPr>
            <w:r w:rsidRPr="00873941">
              <w:rPr>
                <w:i/>
                <w:iCs/>
              </w:rPr>
              <w:t xml:space="preserve">J. Clin. Med. </w:t>
            </w:r>
            <w:r w:rsidRPr="00873941">
              <w:t>2022; 11:1434</w:t>
            </w:r>
          </w:p>
        </w:tc>
      </w:tr>
      <w:tr w:rsidR="00132464" w:rsidRPr="00873941" w14:paraId="71193EC2" w14:textId="77777777" w:rsidTr="00132464">
        <w:tc>
          <w:tcPr>
            <w:tcW w:w="796" w:type="pct"/>
            <w:tcBorders>
              <w:top w:val="nil"/>
              <w:bottom w:val="single" w:sz="4" w:space="0" w:color="auto"/>
            </w:tcBorders>
          </w:tcPr>
          <w:p w14:paraId="1F07953D" w14:textId="39FBA7A0" w:rsidR="00132464" w:rsidRPr="00873941" w:rsidRDefault="00132464" w:rsidP="00132464">
            <w:pPr>
              <w:pStyle w:val="TableText0"/>
              <w:keepNext w:val="0"/>
              <w:keepLines w:val="0"/>
            </w:pPr>
            <w:r w:rsidRPr="00873941">
              <w:t>Jiao (2024)</w:t>
            </w:r>
          </w:p>
        </w:tc>
        <w:tc>
          <w:tcPr>
            <w:tcW w:w="3027" w:type="pct"/>
            <w:tcBorders>
              <w:top w:val="nil"/>
              <w:bottom w:val="single" w:sz="4" w:space="0" w:color="auto"/>
            </w:tcBorders>
            <w:vAlign w:val="center"/>
          </w:tcPr>
          <w:p w14:paraId="00F4F964" w14:textId="065A76CD" w:rsidR="00132464" w:rsidRPr="00873941" w:rsidRDefault="00132464" w:rsidP="00132464">
            <w:pPr>
              <w:pStyle w:val="TableText0"/>
              <w:keepNext w:val="0"/>
              <w:keepLines w:val="0"/>
              <w:rPr>
                <w:szCs w:val="18"/>
              </w:rPr>
            </w:pPr>
            <w:r w:rsidRPr="00873941">
              <w:rPr>
                <w:szCs w:val="18"/>
              </w:rPr>
              <w:t>Jiao D, Li G, Dai H et al. Comparison of the Response to Neoadjuvant Therapy Between Immunohistochemistry HER2 (3+) and HER2 (2+)/ISH+ Early-Stage Breast Cancer: A Retrospective Multicenter Cohort Study.</w:t>
            </w:r>
          </w:p>
        </w:tc>
        <w:tc>
          <w:tcPr>
            <w:tcW w:w="1177" w:type="pct"/>
            <w:tcBorders>
              <w:top w:val="nil"/>
              <w:bottom w:val="single" w:sz="4" w:space="0" w:color="auto"/>
            </w:tcBorders>
            <w:vAlign w:val="center"/>
          </w:tcPr>
          <w:p w14:paraId="51101598" w14:textId="578C497F" w:rsidR="00132464" w:rsidRPr="00873941" w:rsidRDefault="00132464" w:rsidP="00132464">
            <w:pPr>
              <w:pStyle w:val="TableText0"/>
              <w:keepNext w:val="0"/>
              <w:keepLines w:val="0"/>
              <w:rPr>
                <w:i/>
                <w:iCs/>
              </w:rPr>
            </w:pPr>
            <w:r w:rsidRPr="00873941">
              <w:rPr>
                <w:i/>
                <w:iCs/>
              </w:rPr>
              <w:t>The Oncologist</w:t>
            </w:r>
            <w:r w:rsidRPr="00873941">
              <w:t xml:space="preserve"> 2024; 29:e877-e886.</w:t>
            </w:r>
          </w:p>
        </w:tc>
      </w:tr>
      <w:tr w:rsidR="00132464" w:rsidRPr="00873941" w14:paraId="234F436B" w14:textId="77777777" w:rsidTr="00132464">
        <w:tc>
          <w:tcPr>
            <w:tcW w:w="796" w:type="pct"/>
            <w:tcBorders>
              <w:top w:val="nil"/>
              <w:bottom w:val="single" w:sz="4" w:space="0" w:color="auto"/>
            </w:tcBorders>
          </w:tcPr>
          <w:p w14:paraId="33BAE2EB" w14:textId="3BEC81BA" w:rsidR="00132464" w:rsidRPr="00873941" w:rsidRDefault="00132464" w:rsidP="00132464">
            <w:pPr>
              <w:pStyle w:val="TableText0"/>
              <w:keepNext w:val="0"/>
              <w:keepLines w:val="0"/>
            </w:pPr>
            <w:r w:rsidRPr="00873941">
              <w:t>Little (2020)</w:t>
            </w:r>
          </w:p>
        </w:tc>
        <w:tc>
          <w:tcPr>
            <w:tcW w:w="3027" w:type="pct"/>
            <w:tcBorders>
              <w:top w:val="nil"/>
              <w:bottom w:val="single" w:sz="4" w:space="0" w:color="auto"/>
            </w:tcBorders>
            <w:vAlign w:val="center"/>
          </w:tcPr>
          <w:p w14:paraId="23A01063" w14:textId="7B398852" w:rsidR="00132464" w:rsidRPr="00873941" w:rsidRDefault="00132464" w:rsidP="00132464">
            <w:pPr>
              <w:pStyle w:val="TableText0"/>
              <w:keepNext w:val="0"/>
              <w:keepLines w:val="0"/>
              <w:rPr>
                <w:szCs w:val="18"/>
              </w:rPr>
            </w:pPr>
            <w:r w:rsidRPr="00873941">
              <w:rPr>
                <w:szCs w:val="18"/>
              </w:rPr>
              <w:t>Little J, Forner S, Sim V et al. The differential impact of non-anthracycline treatment regimens on pathological complete response (pCR) rates by ER status after neoadjuvant single or dual HER2 targeted therapy (NACT): A single centre experience.</w:t>
            </w:r>
          </w:p>
        </w:tc>
        <w:tc>
          <w:tcPr>
            <w:tcW w:w="1177" w:type="pct"/>
            <w:tcBorders>
              <w:top w:val="nil"/>
              <w:bottom w:val="single" w:sz="4" w:space="0" w:color="auto"/>
            </w:tcBorders>
            <w:vAlign w:val="center"/>
          </w:tcPr>
          <w:p w14:paraId="4EA17696" w14:textId="692FA421" w:rsidR="00132464" w:rsidRPr="00873941" w:rsidRDefault="00132464" w:rsidP="00132464">
            <w:pPr>
              <w:pStyle w:val="TableText0"/>
              <w:keepNext w:val="0"/>
              <w:keepLines w:val="0"/>
              <w:rPr>
                <w:i/>
                <w:iCs/>
              </w:rPr>
            </w:pPr>
            <w:r w:rsidRPr="00873941">
              <w:rPr>
                <w:i/>
                <w:iCs/>
              </w:rPr>
              <w:t>Cancer Res</w:t>
            </w:r>
            <w:r w:rsidRPr="00873941">
              <w:t xml:space="preserve"> 2020; 80(4_Supplement): P2-16-31.</w:t>
            </w:r>
          </w:p>
        </w:tc>
      </w:tr>
      <w:tr w:rsidR="00132464" w:rsidRPr="00873941" w14:paraId="60D7F620" w14:textId="77777777" w:rsidTr="00132464">
        <w:tc>
          <w:tcPr>
            <w:tcW w:w="796" w:type="pct"/>
            <w:tcBorders>
              <w:top w:val="nil"/>
              <w:bottom w:val="single" w:sz="4" w:space="0" w:color="auto"/>
            </w:tcBorders>
          </w:tcPr>
          <w:p w14:paraId="19376B21" w14:textId="63B86705" w:rsidR="00132464" w:rsidRPr="00873941" w:rsidRDefault="00132464" w:rsidP="00132464">
            <w:pPr>
              <w:pStyle w:val="TableText0"/>
              <w:keepNext w:val="0"/>
              <w:keepLines w:val="0"/>
            </w:pPr>
            <w:r w:rsidRPr="00873941">
              <w:t>Spring (2018)</w:t>
            </w:r>
          </w:p>
        </w:tc>
        <w:tc>
          <w:tcPr>
            <w:tcW w:w="3027" w:type="pct"/>
            <w:tcBorders>
              <w:top w:val="nil"/>
              <w:bottom w:val="single" w:sz="4" w:space="0" w:color="auto"/>
            </w:tcBorders>
            <w:vAlign w:val="center"/>
          </w:tcPr>
          <w:p w14:paraId="7E1595C5" w14:textId="34550D46" w:rsidR="00132464" w:rsidRPr="00873941" w:rsidRDefault="00132464" w:rsidP="00132464">
            <w:pPr>
              <w:pStyle w:val="TableText0"/>
              <w:keepNext w:val="0"/>
              <w:keepLines w:val="0"/>
              <w:rPr>
                <w:szCs w:val="18"/>
              </w:rPr>
            </w:pPr>
            <w:r w:rsidRPr="00873941">
              <w:rPr>
                <w:szCs w:val="18"/>
              </w:rPr>
              <w:t xml:space="preserve">Spring L, </w:t>
            </w:r>
            <w:proofErr w:type="spellStart"/>
            <w:r w:rsidRPr="00873941">
              <w:rPr>
                <w:szCs w:val="18"/>
              </w:rPr>
              <w:t>Niemierko</w:t>
            </w:r>
            <w:proofErr w:type="spellEnd"/>
            <w:r w:rsidRPr="00873941">
              <w:rPr>
                <w:szCs w:val="18"/>
              </w:rPr>
              <w:t xml:space="preserve"> A, Haddad S et al. Effectiveness and tolerability of neoadjuvant pertuzumab containing regimens for HER2-positive localized breast cancer.</w:t>
            </w:r>
          </w:p>
        </w:tc>
        <w:tc>
          <w:tcPr>
            <w:tcW w:w="1177" w:type="pct"/>
            <w:tcBorders>
              <w:top w:val="nil"/>
              <w:bottom w:val="single" w:sz="4" w:space="0" w:color="auto"/>
            </w:tcBorders>
            <w:vAlign w:val="center"/>
          </w:tcPr>
          <w:p w14:paraId="1D1F9D08" w14:textId="3DEB03D5" w:rsidR="00132464" w:rsidRPr="00873941" w:rsidRDefault="00132464" w:rsidP="00132464">
            <w:pPr>
              <w:pStyle w:val="TableText0"/>
              <w:keepNext w:val="0"/>
              <w:keepLines w:val="0"/>
              <w:rPr>
                <w:i/>
                <w:iCs/>
              </w:rPr>
            </w:pPr>
            <w:r w:rsidRPr="00873941">
              <w:rPr>
                <w:i/>
                <w:iCs/>
              </w:rPr>
              <w:t xml:space="preserve">Breast Cancer Res Treat. </w:t>
            </w:r>
            <w:r w:rsidRPr="00873941">
              <w:t>2018; 172(3):733-740.</w:t>
            </w:r>
          </w:p>
        </w:tc>
      </w:tr>
      <w:tr w:rsidR="00132464" w:rsidRPr="00873941" w14:paraId="12909FD5" w14:textId="77777777" w:rsidTr="00132464">
        <w:tc>
          <w:tcPr>
            <w:tcW w:w="796" w:type="pct"/>
            <w:tcBorders>
              <w:top w:val="nil"/>
              <w:bottom w:val="single" w:sz="4" w:space="0" w:color="auto"/>
            </w:tcBorders>
          </w:tcPr>
          <w:p w14:paraId="3E7F4036" w14:textId="7BFECE34" w:rsidR="00132464" w:rsidRPr="00873941" w:rsidRDefault="00132464" w:rsidP="00132464">
            <w:pPr>
              <w:pStyle w:val="TableText0"/>
              <w:keepNext w:val="0"/>
              <w:keepLines w:val="0"/>
            </w:pPr>
            <w:r w:rsidRPr="00873941">
              <w:t>Van der Voort (2022)</w:t>
            </w:r>
          </w:p>
        </w:tc>
        <w:tc>
          <w:tcPr>
            <w:tcW w:w="3027" w:type="pct"/>
            <w:tcBorders>
              <w:top w:val="nil"/>
              <w:bottom w:val="single" w:sz="4" w:space="0" w:color="auto"/>
            </w:tcBorders>
            <w:vAlign w:val="center"/>
          </w:tcPr>
          <w:p w14:paraId="32CF30B5" w14:textId="2FA9AFF4" w:rsidR="00132464" w:rsidRPr="00873941" w:rsidRDefault="00132464" w:rsidP="00132464">
            <w:pPr>
              <w:pStyle w:val="TableText0"/>
              <w:keepNext w:val="0"/>
              <w:keepLines w:val="0"/>
              <w:rPr>
                <w:szCs w:val="18"/>
              </w:rPr>
            </w:pPr>
            <w:r w:rsidRPr="00873941">
              <w:rPr>
                <w:szCs w:val="18"/>
              </w:rPr>
              <w:t xml:space="preserve">Van der Voort A, </w:t>
            </w:r>
            <w:proofErr w:type="spellStart"/>
            <w:r w:rsidRPr="00873941">
              <w:rPr>
                <w:szCs w:val="18"/>
              </w:rPr>
              <w:t>Liefaard</w:t>
            </w:r>
            <w:proofErr w:type="spellEnd"/>
            <w:r w:rsidRPr="00873941">
              <w:rPr>
                <w:szCs w:val="18"/>
              </w:rPr>
              <w:t xml:space="preserve"> MC, van </w:t>
            </w:r>
            <w:proofErr w:type="spellStart"/>
            <w:r w:rsidRPr="00873941">
              <w:rPr>
                <w:szCs w:val="18"/>
              </w:rPr>
              <w:t>Ramshorst</w:t>
            </w:r>
            <w:proofErr w:type="spellEnd"/>
            <w:r w:rsidRPr="00873941">
              <w:rPr>
                <w:szCs w:val="18"/>
              </w:rPr>
              <w:t xml:space="preserve"> MS et al. Efficacy of</w:t>
            </w:r>
            <w:r w:rsidR="00FA3CE6">
              <w:rPr>
                <w:szCs w:val="18"/>
              </w:rPr>
              <w:t xml:space="preserve"> </w:t>
            </w:r>
            <w:r w:rsidRPr="00873941">
              <w:rPr>
                <w:szCs w:val="18"/>
              </w:rPr>
              <w:t>neoadjuvant treatment with or without pertuzumab in patients with stage II and III HER2-positive breast cancer: a nationwide cohort analysis of pathologic response and 5-year survival.</w:t>
            </w:r>
          </w:p>
        </w:tc>
        <w:tc>
          <w:tcPr>
            <w:tcW w:w="1177" w:type="pct"/>
            <w:tcBorders>
              <w:top w:val="nil"/>
              <w:bottom w:val="single" w:sz="4" w:space="0" w:color="auto"/>
            </w:tcBorders>
            <w:vAlign w:val="center"/>
          </w:tcPr>
          <w:p w14:paraId="518C6878" w14:textId="31DD735D" w:rsidR="00132464" w:rsidRPr="00873941" w:rsidRDefault="00132464" w:rsidP="00132464">
            <w:pPr>
              <w:pStyle w:val="TableText0"/>
              <w:keepNext w:val="0"/>
              <w:keepLines w:val="0"/>
              <w:rPr>
                <w:i/>
                <w:iCs/>
              </w:rPr>
            </w:pPr>
            <w:r w:rsidRPr="00873941">
              <w:rPr>
                <w:i/>
                <w:iCs/>
              </w:rPr>
              <w:t>The Breast</w:t>
            </w:r>
            <w:r w:rsidRPr="00873941">
              <w:t xml:space="preserve"> 2022; 110-115</w:t>
            </w:r>
          </w:p>
        </w:tc>
      </w:tr>
      <w:tr w:rsidR="00132464" w:rsidRPr="00873941" w14:paraId="47A0C1DD" w14:textId="77777777" w:rsidTr="00132464">
        <w:tc>
          <w:tcPr>
            <w:tcW w:w="796" w:type="pct"/>
            <w:tcBorders>
              <w:top w:val="nil"/>
              <w:bottom w:val="single" w:sz="4" w:space="0" w:color="auto"/>
            </w:tcBorders>
          </w:tcPr>
          <w:p w14:paraId="4761BAD3" w14:textId="179F92BA" w:rsidR="00132464" w:rsidRPr="00873941" w:rsidRDefault="00132464" w:rsidP="00132464">
            <w:pPr>
              <w:pStyle w:val="TableText0"/>
              <w:keepNext w:val="0"/>
              <w:keepLines w:val="0"/>
            </w:pPr>
            <w:r w:rsidRPr="00873941">
              <w:t>Vieira (2023)</w:t>
            </w:r>
          </w:p>
        </w:tc>
        <w:tc>
          <w:tcPr>
            <w:tcW w:w="3027" w:type="pct"/>
            <w:tcBorders>
              <w:top w:val="nil"/>
              <w:bottom w:val="single" w:sz="4" w:space="0" w:color="auto"/>
            </w:tcBorders>
            <w:vAlign w:val="center"/>
          </w:tcPr>
          <w:p w14:paraId="0B49039A" w14:textId="5FCC982D" w:rsidR="00132464" w:rsidRPr="00873941" w:rsidRDefault="00132464" w:rsidP="00132464">
            <w:pPr>
              <w:pStyle w:val="TableText0"/>
              <w:keepNext w:val="0"/>
              <w:keepLines w:val="0"/>
              <w:rPr>
                <w:szCs w:val="18"/>
              </w:rPr>
            </w:pPr>
            <w:r w:rsidRPr="00873941">
              <w:rPr>
                <w:szCs w:val="18"/>
              </w:rPr>
              <w:t>Vieira C, Borges A, Pereira FF et al. Pertuzumab in Combination with Trastuzumab and Docetaxel in the Neoadjuvant Treatment for HER2-Positive Breast Cancer.</w:t>
            </w:r>
          </w:p>
        </w:tc>
        <w:tc>
          <w:tcPr>
            <w:tcW w:w="1177" w:type="pct"/>
            <w:tcBorders>
              <w:top w:val="nil"/>
              <w:bottom w:val="single" w:sz="4" w:space="0" w:color="auto"/>
            </w:tcBorders>
            <w:vAlign w:val="center"/>
          </w:tcPr>
          <w:p w14:paraId="0B1BE159" w14:textId="46F6CF70" w:rsidR="00132464" w:rsidRPr="00873941" w:rsidRDefault="00132464" w:rsidP="00132464">
            <w:pPr>
              <w:pStyle w:val="TableText0"/>
              <w:keepNext w:val="0"/>
              <w:keepLines w:val="0"/>
              <w:rPr>
                <w:i/>
                <w:iCs/>
              </w:rPr>
            </w:pPr>
            <w:r w:rsidRPr="00873941">
              <w:rPr>
                <w:i/>
                <w:iCs/>
              </w:rPr>
              <w:t xml:space="preserve">J </w:t>
            </w:r>
            <w:proofErr w:type="spellStart"/>
            <w:r w:rsidRPr="00873941">
              <w:rPr>
                <w:i/>
                <w:iCs/>
              </w:rPr>
              <w:t>Immunother</w:t>
            </w:r>
            <w:proofErr w:type="spellEnd"/>
            <w:r w:rsidRPr="00873941">
              <w:rPr>
                <w:i/>
                <w:iCs/>
              </w:rPr>
              <w:t xml:space="preserve"> Precis Oncol. </w:t>
            </w:r>
            <w:r w:rsidRPr="00873941">
              <w:t>2023l 6(1):1-9</w:t>
            </w:r>
          </w:p>
        </w:tc>
      </w:tr>
      <w:tr w:rsidR="00132464" w:rsidRPr="00873941" w14:paraId="529267E1" w14:textId="77777777" w:rsidTr="00132464">
        <w:tc>
          <w:tcPr>
            <w:tcW w:w="796" w:type="pct"/>
            <w:tcBorders>
              <w:top w:val="nil"/>
              <w:bottom w:val="single" w:sz="4" w:space="0" w:color="auto"/>
            </w:tcBorders>
          </w:tcPr>
          <w:p w14:paraId="62C6D853" w14:textId="0580D468" w:rsidR="00132464" w:rsidRPr="00873941" w:rsidRDefault="00132464" w:rsidP="00132464">
            <w:pPr>
              <w:pStyle w:val="TableText0"/>
              <w:keepNext w:val="0"/>
              <w:keepLines w:val="0"/>
            </w:pPr>
            <w:r w:rsidRPr="00873941">
              <w:t>NBRST (Whitworth 2022)</w:t>
            </w:r>
          </w:p>
        </w:tc>
        <w:tc>
          <w:tcPr>
            <w:tcW w:w="3027" w:type="pct"/>
            <w:tcBorders>
              <w:top w:val="nil"/>
              <w:bottom w:val="single" w:sz="4" w:space="0" w:color="auto"/>
            </w:tcBorders>
            <w:vAlign w:val="center"/>
          </w:tcPr>
          <w:p w14:paraId="0165DA46" w14:textId="3A614FA8" w:rsidR="00132464" w:rsidRPr="00873941" w:rsidRDefault="00132464" w:rsidP="00132464">
            <w:pPr>
              <w:pStyle w:val="TableText0"/>
              <w:keepNext w:val="0"/>
              <w:keepLines w:val="0"/>
              <w:rPr>
                <w:szCs w:val="18"/>
              </w:rPr>
            </w:pPr>
            <w:r w:rsidRPr="00873941">
              <w:rPr>
                <w:szCs w:val="18"/>
              </w:rPr>
              <w:t>Whitworth PW, Bietsch PD, Murray MK et al. Genomic Classification of HER2-Positive Patients with 80-Gene and 70-Gene Signatures Identified Diversity in Clinical Outcomes With HER2-Targeted Neoadjuvant Therapy.</w:t>
            </w:r>
          </w:p>
        </w:tc>
        <w:tc>
          <w:tcPr>
            <w:tcW w:w="1177" w:type="pct"/>
            <w:tcBorders>
              <w:top w:val="nil"/>
              <w:bottom w:val="single" w:sz="4" w:space="0" w:color="auto"/>
            </w:tcBorders>
            <w:vAlign w:val="center"/>
          </w:tcPr>
          <w:p w14:paraId="3B73550B" w14:textId="4239AA83" w:rsidR="00132464" w:rsidRPr="00873941" w:rsidRDefault="00132464" w:rsidP="00132464">
            <w:pPr>
              <w:pStyle w:val="TableText0"/>
              <w:keepNext w:val="0"/>
              <w:keepLines w:val="0"/>
              <w:rPr>
                <w:i/>
                <w:iCs/>
              </w:rPr>
            </w:pPr>
            <w:r w:rsidRPr="00873941">
              <w:rPr>
                <w:i/>
                <w:iCs/>
              </w:rPr>
              <w:t xml:space="preserve">JCO </w:t>
            </w:r>
            <w:proofErr w:type="spellStart"/>
            <w:r w:rsidRPr="00873941">
              <w:rPr>
                <w:i/>
                <w:iCs/>
              </w:rPr>
              <w:t>Percis</w:t>
            </w:r>
            <w:proofErr w:type="spellEnd"/>
            <w:r w:rsidRPr="00873941">
              <w:rPr>
                <w:i/>
                <w:iCs/>
              </w:rPr>
              <w:t xml:space="preserve"> Oncol</w:t>
            </w:r>
            <w:r w:rsidRPr="00873941">
              <w:t xml:space="preserve"> 2022; 6:e2200197.</w:t>
            </w:r>
          </w:p>
        </w:tc>
      </w:tr>
    </w:tbl>
    <w:p w14:paraId="3ACAE5B7" w14:textId="77777777" w:rsidR="00132464" w:rsidRPr="00873941" w:rsidRDefault="00132464" w:rsidP="00132464">
      <w:pPr>
        <w:pStyle w:val="FooterTableFigure"/>
      </w:pPr>
      <w:r w:rsidRPr="00873941">
        <w:t>Source: Tables 2-3 &amp;2-54, pp39-43 &amp; 122-126 of the resubmission; Appendix and References of the resubmission; Table 2.4, p37 of the March 2020 submission.</w:t>
      </w:r>
    </w:p>
    <w:p w14:paraId="14DB77C6" w14:textId="77777777" w:rsidR="00132464" w:rsidRPr="00873941" w:rsidRDefault="00132464" w:rsidP="00132464">
      <w:pPr>
        <w:pStyle w:val="FooterTableFigure"/>
        <w:rPr>
          <w:sz w:val="20"/>
        </w:rPr>
      </w:pPr>
      <w:r w:rsidRPr="00873941">
        <w:t xml:space="preserve">CSR=Clinical Study Report; </w:t>
      </w:r>
      <w:proofErr w:type="spellStart"/>
      <w:r w:rsidRPr="00873941">
        <w:t>P+T+Chemo</w:t>
      </w:r>
      <w:proofErr w:type="spellEnd"/>
      <w:r w:rsidRPr="00873941">
        <w:t xml:space="preserve">=pertuzumab + trastuzumab + chemotherapy; </w:t>
      </w:r>
      <w:proofErr w:type="spellStart"/>
      <w:r w:rsidRPr="00873941">
        <w:t>T+Chemo</w:t>
      </w:r>
      <w:proofErr w:type="spellEnd"/>
      <w:r w:rsidRPr="00873941">
        <w:t>=trastuzumab + chemotherapy.</w:t>
      </w:r>
    </w:p>
    <w:p w14:paraId="1DD06D7D" w14:textId="2E21522D" w:rsidR="007F1017" w:rsidRPr="00873941" w:rsidRDefault="008F120A" w:rsidP="006139B4">
      <w:pPr>
        <w:pStyle w:val="3-BodyText"/>
      </w:pPr>
      <w:r w:rsidRPr="00873941">
        <w:t xml:space="preserve">The key features of the </w:t>
      </w:r>
      <w:r w:rsidR="00621ADA" w:rsidRPr="00873941">
        <w:t>included evidence</w:t>
      </w:r>
      <w:r w:rsidRPr="00873941">
        <w:t xml:space="preserve"> are summarised in</w:t>
      </w:r>
      <w:r w:rsidR="00294B96" w:rsidRPr="00873941">
        <w:t xml:space="preserve"> </w:t>
      </w:r>
      <w:r w:rsidR="00294B96" w:rsidRPr="00873941">
        <w:fldChar w:fldCharType="begin"/>
      </w:r>
      <w:r w:rsidR="00294B96" w:rsidRPr="00873941">
        <w:instrText xml:space="preserve"> REF _Ref184766834 \h </w:instrText>
      </w:r>
      <w:r w:rsidR="00294B96" w:rsidRPr="00873941">
        <w:fldChar w:fldCharType="separate"/>
      </w:r>
      <w:r w:rsidR="000B094B" w:rsidRPr="00873941">
        <w:t xml:space="preserve">Table </w:t>
      </w:r>
      <w:r w:rsidR="000B094B">
        <w:rPr>
          <w:noProof/>
        </w:rPr>
        <w:t>4</w:t>
      </w:r>
      <w:r w:rsidR="00294B96" w:rsidRPr="00873941">
        <w:fldChar w:fldCharType="end"/>
      </w:r>
      <w:r w:rsidRPr="00873941">
        <w:t>.</w:t>
      </w:r>
      <w:r w:rsidR="00BC591F" w:rsidRPr="00873941">
        <w:t xml:space="preserve"> </w:t>
      </w:r>
    </w:p>
    <w:p w14:paraId="55D1E232" w14:textId="77777777" w:rsidR="006D60FB" w:rsidRPr="00873941" w:rsidRDefault="006D60FB">
      <w:pPr>
        <w:jc w:val="left"/>
        <w:rPr>
          <w:rFonts w:ascii="Arial Narrow" w:hAnsi="Arial Narrow"/>
          <w:b/>
          <w:bCs/>
          <w:sz w:val="20"/>
          <w:szCs w:val="18"/>
        </w:rPr>
      </w:pPr>
      <w:bookmarkStart w:id="26" w:name="_Ref184764192"/>
      <w:r w:rsidRPr="00873941">
        <w:br w:type="page"/>
      </w:r>
    </w:p>
    <w:p w14:paraId="77283BFF" w14:textId="1F646C27" w:rsidR="006D60FB" w:rsidRPr="00873941" w:rsidRDefault="006D60FB" w:rsidP="006D60FB">
      <w:pPr>
        <w:pStyle w:val="Caption"/>
      </w:pPr>
      <w:bookmarkStart w:id="27" w:name="_Ref184766834"/>
      <w:r w:rsidRPr="00873941">
        <w:lastRenderedPageBreak/>
        <w:t xml:space="preserve">Table </w:t>
      </w:r>
      <w:r w:rsidR="00435D6D">
        <w:fldChar w:fldCharType="begin"/>
      </w:r>
      <w:r w:rsidR="00435D6D">
        <w:instrText xml:space="preserve"> SEQ Table \* ARABIC </w:instrText>
      </w:r>
      <w:r w:rsidR="00435D6D">
        <w:fldChar w:fldCharType="separate"/>
      </w:r>
      <w:r w:rsidR="000B094B">
        <w:rPr>
          <w:noProof/>
        </w:rPr>
        <w:t>4</w:t>
      </w:r>
      <w:r w:rsidR="00435D6D">
        <w:fldChar w:fldCharType="end"/>
      </w:r>
      <w:bookmarkEnd w:id="26"/>
      <w:bookmarkEnd w:id="27"/>
      <w:r w:rsidRPr="00873941">
        <w:t>:</w:t>
      </w:r>
      <w:r w:rsidRPr="00873941">
        <w:rPr>
          <w:szCs w:val="20"/>
        </w:rPr>
        <w:t xml:space="preserve"> Key features of the included trials and studies</w:t>
      </w:r>
    </w:p>
    <w:tbl>
      <w:tblPr>
        <w:tblStyle w:val="TableGrid"/>
        <w:tblW w:w="5000" w:type="pct"/>
        <w:tblLook w:val="04A0" w:firstRow="1" w:lastRow="0" w:firstColumn="1" w:lastColumn="0" w:noHBand="0" w:noVBand="1"/>
        <w:tblCaption w:val="Table 4: Key features of the included trials and studies"/>
      </w:tblPr>
      <w:tblGrid>
        <w:gridCol w:w="1246"/>
        <w:gridCol w:w="663"/>
        <w:gridCol w:w="1238"/>
        <w:gridCol w:w="1621"/>
        <w:gridCol w:w="773"/>
        <w:gridCol w:w="2120"/>
        <w:gridCol w:w="1356"/>
      </w:tblGrid>
      <w:tr w:rsidR="006D60FB" w:rsidRPr="00873941" w14:paraId="0DC54030" w14:textId="77777777" w:rsidTr="00937714">
        <w:trPr>
          <w:tblHeader/>
        </w:trPr>
        <w:tc>
          <w:tcPr>
            <w:tcW w:w="691" w:type="pct"/>
            <w:vAlign w:val="center"/>
          </w:tcPr>
          <w:p w14:paraId="01DDE0A3" w14:textId="77777777" w:rsidR="006D60FB" w:rsidRPr="00873941" w:rsidRDefault="006D60FB" w:rsidP="006139B4">
            <w:pPr>
              <w:pStyle w:val="In-tableHeading"/>
              <w:keepNext w:val="0"/>
              <w:rPr>
                <w:lang w:val="en-AU"/>
              </w:rPr>
            </w:pPr>
            <w:r w:rsidRPr="00873941">
              <w:rPr>
                <w:lang w:val="en-AU"/>
              </w:rPr>
              <w:t>Trial</w:t>
            </w:r>
          </w:p>
        </w:tc>
        <w:tc>
          <w:tcPr>
            <w:tcW w:w="368" w:type="pct"/>
            <w:vAlign w:val="center"/>
          </w:tcPr>
          <w:p w14:paraId="37FF88A2" w14:textId="73835CD5" w:rsidR="006D60FB" w:rsidRPr="00873941" w:rsidRDefault="006D60FB" w:rsidP="006139B4">
            <w:pPr>
              <w:pStyle w:val="In-tableHeading"/>
              <w:keepNext w:val="0"/>
              <w:rPr>
                <w:lang w:val="en-AU"/>
              </w:rPr>
            </w:pPr>
            <w:r w:rsidRPr="00873941">
              <w:rPr>
                <w:lang w:val="en-AU"/>
              </w:rPr>
              <w:t>N</w:t>
            </w:r>
            <w:r w:rsidRPr="00873941">
              <w:rPr>
                <w:vertAlign w:val="superscript"/>
                <w:lang w:val="en-AU"/>
              </w:rPr>
              <w:t>a</w:t>
            </w:r>
          </w:p>
        </w:tc>
        <w:tc>
          <w:tcPr>
            <w:tcW w:w="686" w:type="pct"/>
            <w:vAlign w:val="center"/>
          </w:tcPr>
          <w:p w14:paraId="61298A44" w14:textId="77777777" w:rsidR="006D60FB" w:rsidRPr="00873941" w:rsidRDefault="006D60FB" w:rsidP="006139B4">
            <w:pPr>
              <w:pStyle w:val="In-tableHeading"/>
              <w:keepNext w:val="0"/>
              <w:rPr>
                <w:lang w:val="en-AU"/>
              </w:rPr>
            </w:pPr>
            <w:r w:rsidRPr="00873941">
              <w:rPr>
                <w:lang w:val="en-AU"/>
              </w:rPr>
              <w:t>Design / follow-up duration (years)</w:t>
            </w:r>
          </w:p>
        </w:tc>
        <w:tc>
          <w:tcPr>
            <w:tcW w:w="899" w:type="pct"/>
            <w:vAlign w:val="center"/>
          </w:tcPr>
          <w:p w14:paraId="11AA3443" w14:textId="77777777" w:rsidR="006D60FB" w:rsidRPr="00873941" w:rsidRDefault="006D60FB" w:rsidP="006139B4">
            <w:pPr>
              <w:pStyle w:val="In-tableHeading"/>
              <w:keepNext w:val="0"/>
              <w:rPr>
                <w:lang w:val="en-AU"/>
              </w:rPr>
            </w:pPr>
            <w:r w:rsidRPr="00873941">
              <w:rPr>
                <w:lang w:val="en-AU"/>
              </w:rPr>
              <w:t>Chemo component (relevant arms)</w:t>
            </w:r>
          </w:p>
        </w:tc>
        <w:tc>
          <w:tcPr>
            <w:tcW w:w="429" w:type="pct"/>
            <w:vAlign w:val="center"/>
          </w:tcPr>
          <w:p w14:paraId="49A3B4D9" w14:textId="77777777" w:rsidR="006D60FB" w:rsidRPr="00873941" w:rsidRDefault="006D60FB" w:rsidP="006139B4">
            <w:pPr>
              <w:pStyle w:val="In-tableHeading"/>
              <w:keepNext w:val="0"/>
              <w:rPr>
                <w:lang w:val="en-AU"/>
              </w:rPr>
            </w:pPr>
            <w:r w:rsidRPr="00873941">
              <w:rPr>
                <w:lang w:val="en-AU"/>
              </w:rPr>
              <w:t>Bias</w:t>
            </w:r>
          </w:p>
        </w:tc>
        <w:tc>
          <w:tcPr>
            <w:tcW w:w="1176" w:type="pct"/>
            <w:vAlign w:val="center"/>
          </w:tcPr>
          <w:p w14:paraId="285DBFC0" w14:textId="77777777" w:rsidR="006D60FB" w:rsidRPr="00873941" w:rsidRDefault="006D60FB" w:rsidP="006139B4">
            <w:pPr>
              <w:pStyle w:val="In-tableHeading"/>
              <w:keepNext w:val="0"/>
              <w:rPr>
                <w:lang w:val="en-AU"/>
              </w:rPr>
            </w:pPr>
            <w:r w:rsidRPr="00873941">
              <w:rPr>
                <w:lang w:val="en-AU"/>
              </w:rPr>
              <w:t>Patient population</w:t>
            </w:r>
          </w:p>
        </w:tc>
        <w:tc>
          <w:tcPr>
            <w:tcW w:w="752" w:type="pct"/>
            <w:vAlign w:val="center"/>
          </w:tcPr>
          <w:p w14:paraId="2F91F734" w14:textId="77777777" w:rsidR="006D60FB" w:rsidRPr="00873941" w:rsidRDefault="006D60FB" w:rsidP="006139B4">
            <w:pPr>
              <w:pStyle w:val="In-tableHeading"/>
              <w:keepNext w:val="0"/>
              <w:rPr>
                <w:lang w:val="en-AU"/>
              </w:rPr>
            </w:pPr>
            <w:r w:rsidRPr="00873941">
              <w:rPr>
                <w:lang w:val="en-AU"/>
              </w:rPr>
              <w:t>Key Outcomes</w:t>
            </w:r>
          </w:p>
        </w:tc>
      </w:tr>
      <w:tr w:rsidR="006D60FB" w:rsidRPr="00873941" w14:paraId="1732A1BB" w14:textId="77777777" w:rsidTr="00357E0A">
        <w:tc>
          <w:tcPr>
            <w:tcW w:w="5000" w:type="pct"/>
            <w:gridSpan w:val="7"/>
            <w:vAlign w:val="center"/>
          </w:tcPr>
          <w:p w14:paraId="633C310D" w14:textId="4ACE45DE" w:rsidR="006D60FB" w:rsidRPr="00873941" w:rsidRDefault="006D60FB" w:rsidP="006139B4">
            <w:pPr>
              <w:pStyle w:val="In-tableHeading"/>
              <w:keepNext w:val="0"/>
              <w:rPr>
                <w:lang w:val="en-AU"/>
              </w:rPr>
            </w:pPr>
            <w:proofErr w:type="spellStart"/>
            <w:r w:rsidRPr="00873941">
              <w:rPr>
                <w:lang w:val="en-AU"/>
              </w:rPr>
              <w:t>P+T+Chemo</w:t>
            </w:r>
            <w:proofErr w:type="spellEnd"/>
            <w:r w:rsidRPr="00873941">
              <w:rPr>
                <w:lang w:val="en-AU"/>
              </w:rPr>
              <w:t xml:space="preserve"> vs </w:t>
            </w:r>
            <w:proofErr w:type="spellStart"/>
            <w:r w:rsidRPr="00873941">
              <w:rPr>
                <w:lang w:val="en-AU"/>
              </w:rPr>
              <w:t>T+Chemo</w:t>
            </w:r>
            <w:proofErr w:type="spellEnd"/>
            <w:r w:rsidRPr="00873941">
              <w:rPr>
                <w:lang w:val="en-AU"/>
              </w:rPr>
              <w:t xml:space="preserve"> (RCTs) </w:t>
            </w:r>
            <w:r w:rsidR="00722939" w:rsidRPr="00873941">
              <w:rPr>
                <w:vertAlign w:val="superscript"/>
                <w:lang w:val="en-AU"/>
              </w:rPr>
              <w:t>b</w:t>
            </w:r>
          </w:p>
        </w:tc>
      </w:tr>
      <w:tr w:rsidR="006D60FB" w:rsidRPr="00873941" w14:paraId="24CB4676" w14:textId="77777777" w:rsidTr="00937714">
        <w:tc>
          <w:tcPr>
            <w:tcW w:w="691" w:type="pct"/>
          </w:tcPr>
          <w:p w14:paraId="0C734CE4" w14:textId="77777777" w:rsidR="006D60FB" w:rsidRPr="00873941" w:rsidRDefault="006D60FB" w:rsidP="00357E0A">
            <w:pPr>
              <w:pStyle w:val="TableText0"/>
              <w:keepNext w:val="0"/>
            </w:pPr>
            <w:r w:rsidRPr="00873941">
              <w:t>NEOSPHERE</w:t>
            </w:r>
          </w:p>
        </w:tc>
        <w:tc>
          <w:tcPr>
            <w:tcW w:w="368" w:type="pct"/>
          </w:tcPr>
          <w:p w14:paraId="3E598505" w14:textId="77777777" w:rsidR="006D60FB" w:rsidRPr="00873941" w:rsidRDefault="006D60FB" w:rsidP="00357E0A">
            <w:pPr>
              <w:pStyle w:val="TableText0"/>
              <w:keepNext w:val="0"/>
              <w:jc w:val="center"/>
            </w:pPr>
            <w:r w:rsidRPr="00873941">
              <w:t>214</w:t>
            </w:r>
          </w:p>
        </w:tc>
        <w:tc>
          <w:tcPr>
            <w:tcW w:w="686" w:type="pct"/>
          </w:tcPr>
          <w:p w14:paraId="0B50E185" w14:textId="77777777" w:rsidR="006D60FB" w:rsidRPr="00873941" w:rsidRDefault="006D60FB" w:rsidP="00357E0A">
            <w:pPr>
              <w:pStyle w:val="TableText0"/>
              <w:keepNext w:val="0"/>
            </w:pPr>
            <w:r w:rsidRPr="00873941">
              <w:t>R, OL, MC; 5 yrs</w:t>
            </w:r>
          </w:p>
        </w:tc>
        <w:tc>
          <w:tcPr>
            <w:tcW w:w="899" w:type="pct"/>
          </w:tcPr>
          <w:p w14:paraId="38E8507B" w14:textId="0EF56DF3" w:rsidR="006D60FB" w:rsidRPr="00873941" w:rsidRDefault="006D60FB" w:rsidP="00357E0A">
            <w:pPr>
              <w:pStyle w:val="TableText0"/>
              <w:keepNext w:val="0"/>
            </w:pPr>
            <w:r w:rsidRPr="00873941">
              <w:t>4 x docetaxel</w:t>
            </w:r>
            <w:r w:rsidR="00512515" w:rsidRPr="00873941">
              <w:t xml:space="preserve"> cycles</w:t>
            </w:r>
          </w:p>
        </w:tc>
        <w:tc>
          <w:tcPr>
            <w:tcW w:w="429" w:type="pct"/>
          </w:tcPr>
          <w:p w14:paraId="43645C1F" w14:textId="3B019429" w:rsidR="006D60FB" w:rsidRPr="00873941" w:rsidRDefault="006D60FB" w:rsidP="00357E0A">
            <w:pPr>
              <w:pStyle w:val="TableText0"/>
              <w:keepNext w:val="0"/>
            </w:pPr>
            <w:r w:rsidRPr="00873941">
              <w:t>Mod.</w:t>
            </w:r>
          </w:p>
        </w:tc>
        <w:tc>
          <w:tcPr>
            <w:tcW w:w="1176" w:type="pct"/>
          </w:tcPr>
          <w:p w14:paraId="7C2ED824" w14:textId="639DCDC6" w:rsidR="006D60FB" w:rsidRPr="00873941" w:rsidRDefault="006D60FB" w:rsidP="00357E0A">
            <w:pPr>
              <w:pStyle w:val="TableText0"/>
              <w:keepNext w:val="0"/>
            </w:pPr>
            <w:r w:rsidRPr="00873941">
              <w:t>Chemotherapy-naïve pa</w:t>
            </w:r>
            <w:r w:rsidR="004C4000" w:rsidRPr="00873941">
              <w:t>rticipan</w:t>
            </w:r>
            <w:r w:rsidRPr="00873941">
              <w:t>ts with locally advanced, inflammatory or early stage (tumour &gt;2 cm) HER2-positive BC.</w:t>
            </w:r>
          </w:p>
        </w:tc>
        <w:tc>
          <w:tcPr>
            <w:tcW w:w="752" w:type="pct"/>
          </w:tcPr>
          <w:p w14:paraId="2C26D6D7" w14:textId="77777777" w:rsidR="006D60FB" w:rsidRPr="00873941" w:rsidRDefault="006D60FB" w:rsidP="00357E0A">
            <w:pPr>
              <w:pStyle w:val="TableText0"/>
              <w:keepNext w:val="0"/>
            </w:pPr>
            <w:r w:rsidRPr="00873941">
              <w:t xml:space="preserve">Primary: </w:t>
            </w:r>
            <w:proofErr w:type="spellStart"/>
            <w:r w:rsidRPr="00873941">
              <w:t>bpCR</w:t>
            </w:r>
            <w:proofErr w:type="spellEnd"/>
          </w:p>
          <w:p w14:paraId="690CB006" w14:textId="77777777" w:rsidR="006D60FB" w:rsidRPr="00873941" w:rsidRDefault="006D60FB" w:rsidP="00357E0A">
            <w:pPr>
              <w:pStyle w:val="TableText0"/>
              <w:keepNext w:val="0"/>
            </w:pPr>
            <w:r w:rsidRPr="00873941">
              <w:t>Secondary: response, time to response, PFS, DFS, Safety</w:t>
            </w:r>
          </w:p>
          <w:p w14:paraId="26C9BFAE" w14:textId="77777777" w:rsidR="006D60FB" w:rsidRPr="00873941" w:rsidRDefault="006D60FB" w:rsidP="00357E0A">
            <w:pPr>
              <w:pStyle w:val="TableText0"/>
              <w:keepNext w:val="0"/>
            </w:pPr>
            <w:r w:rsidRPr="00873941">
              <w:t xml:space="preserve">Post-hoc: </w:t>
            </w:r>
            <w:proofErr w:type="spellStart"/>
            <w:r w:rsidRPr="00873941">
              <w:t>tpCR</w:t>
            </w:r>
            <w:proofErr w:type="spellEnd"/>
          </w:p>
        </w:tc>
      </w:tr>
      <w:tr w:rsidR="006D60FB" w:rsidRPr="00873941" w14:paraId="2A0EF662" w14:textId="77777777" w:rsidTr="00937714">
        <w:tc>
          <w:tcPr>
            <w:tcW w:w="691" w:type="pct"/>
          </w:tcPr>
          <w:p w14:paraId="255AE4F3" w14:textId="77777777" w:rsidR="006D60FB" w:rsidRPr="00873941" w:rsidRDefault="006D60FB" w:rsidP="00357E0A">
            <w:pPr>
              <w:pStyle w:val="TableText0"/>
              <w:keepNext w:val="0"/>
            </w:pPr>
            <w:r w:rsidRPr="00873941">
              <w:t>PEONY</w:t>
            </w:r>
          </w:p>
        </w:tc>
        <w:tc>
          <w:tcPr>
            <w:tcW w:w="368" w:type="pct"/>
          </w:tcPr>
          <w:p w14:paraId="2B0E0E14" w14:textId="77777777" w:rsidR="006D60FB" w:rsidRPr="00873941" w:rsidRDefault="006D60FB" w:rsidP="00357E0A">
            <w:pPr>
              <w:pStyle w:val="TableText0"/>
              <w:keepNext w:val="0"/>
              <w:jc w:val="center"/>
            </w:pPr>
            <w:r w:rsidRPr="00873941">
              <w:t>328</w:t>
            </w:r>
          </w:p>
        </w:tc>
        <w:tc>
          <w:tcPr>
            <w:tcW w:w="686" w:type="pct"/>
          </w:tcPr>
          <w:p w14:paraId="553ED9E6" w14:textId="77777777" w:rsidR="006D60FB" w:rsidRPr="00873941" w:rsidRDefault="006D60FB" w:rsidP="00357E0A">
            <w:pPr>
              <w:pStyle w:val="TableText0"/>
              <w:keepNext w:val="0"/>
            </w:pPr>
            <w:r w:rsidRPr="00873941">
              <w:t xml:space="preserve">R, DB, MC; </w:t>
            </w:r>
          </w:p>
          <w:p w14:paraId="673A3514" w14:textId="77777777" w:rsidR="006D60FB" w:rsidRPr="00873941" w:rsidRDefault="006D60FB" w:rsidP="00357E0A">
            <w:pPr>
              <w:pStyle w:val="TableText0"/>
              <w:keepNext w:val="0"/>
            </w:pPr>
            <w:r w:rsidRPr="00873941">
              <w:t>5-yrs</w:t>
            </w:r>
          </w:p>
        </w:tc>
        <w:tc>
          <w:tcPr>
            <w:tcW w:w="899" w:type="pct"/>
          </w:tcPr>
          <w:p w14:paraId="3F132904" w14:textId="06DDCE24" w:rsidR="006D60FB" w:rsidRPr="00873941" w:rsidRDefault="006D60FB" w:rsidP="00357E0A">
            <w:pPr>
              <w:pStyle w:val="TableText0"/>
              <w:keepNext w:val="0"/>
            </w:pPr>
            <w:r w:rsidRPr="00873941">
              <w:t>4 x docetaxel</w:t>
            </w:r>
            <w:r w:rsidR="00512515" w:rsidRPr="00873941">
              <w:t xml:space="preserve"> cycles</w:t>
            </w:r>
          </w:p>
        </w:tc>
        <w:tc>
          <w:tcPr>
            <w:tcW w:w="429" w:type="pct"/>
          </w:tcPr>
          <w:p w14:paraId="5D1955BE" w14:textId="77777777" w:rsidR="006D60FB" w:rsidRPr="00873941" w:rsidRDefault="006D60FB" w:rsidP="00357E0A">
            <w:pPr>
              <w:pStyle w:val="TableText0"/>
              <w:keepNext w:val="0"/>
            </w:pPr>
            <w:r w:rsidRPr="00873941">
              <w:t>Low</w:t>
            </w:r>
          </w:p>
        </w:tc>
        <w:tc>
          <w:tcPr>
            <w:tcW w:w="1176" w:type="pct"/>
          </w:tcPr>
          <w:p w14:paraId="2FFB4B51" w14:textId="24258336" w:rsidR="006D60FB" w:rsidRPr="00873941" w:rsidRDefault="006D60FB" w:rsidP="00357E0A">
            <w:pPr>
              <w:pStyle w:val="TableText0"/>
              <w:keepNext w:val="0"/>
            </w:pPr>
            <w:r w:rsidRPr="00873941">
              <w:t>Chemotherapy-naïve pa</w:t>
            </w:r>
            <w:r w:rsidR="004C4000" w:rsidRPr="00873941">
              <w:t>rticipan</w:t>
            </w:r>
            <w:r w:rsidRPr="00873941">
              <w:t>ts with early stage (tumours &gt;2 cm) or locally advanced HER2-positive BC.</w:t>
            </w:r>
          </w:p>
        </w:tc>
        <w:tc>
          <w:tcPr>
            <w:tcW w:w="752" w:type="pct"/>
          </w:tcPr>
          <w:p w14:paraId="56852E7A" w14:textId="77777777" w:rsidR="006D60FB" w:rsidRPr="00873941" w:rsidRDefault="006D60FB" w:rsidP="00357E0A">
            <w:pPr>
              <w:pStyle w:val="TableText0"/>
              <w:keepNext w:val="0"/>
            </w:pPr>
            <w:r w:rsidRPr="00873941">
              <w:t xml:space="preserve">Primary: </w:t>
            </w:r>
            <w:proofErr w:type="spellStart"/>
            <w:r w:rsidRPr="00873941">
              <w:t>tpCR</w:t>
            </w:r>
            <w:proofErr w:type="spellEnd"/>
          </w:p>
          <w:p w14:paraId="4E54E62C" w14:textId="77777777" w:rsidR="006D60FB" w:rsidRPr="00873941" w:rsidRDefault="006D60FB" w:rsidP="00357E0A">
            <w:pPr>
              <w:pStyle w:val="TableText0"/>
              <w:keepNext w:val="0"/>
            </w:pPr>
            <w:r w:rsidRPr="00873941">
              <w:t xml:space="preserve">Secondary: </w:t>
            </w:r>
            <w:proofErr w:type="spellStart"/>
            <w:r w:rsidRPr="00873941">
              <w:t>bpCR</w:t>
            </w:r>
            <w:proofErr w:type="spellEnd"/>
            <w:r w:rsidRPr="00873941">
              <w:t>, response, EFS, DFS, OS, Safety</w:t>
            </w:r>
          </w:p>
        </w:tc>
      </w:tr>
      <w:tr w:rsidR="006D60FB" w:rsidRPr="00873941" w14:paraId="571C9A0A" w14:textId="77777777" w:rsidTr="00937714">
        <w:tc>
          <w:tcPr>
            <w:tcW w:w="691" w:type="pct"/>
          </w:tcPr>
          <w:p w14:paraId="1B0EE39F" w14:textId="77777777" w:rsidR="006D60FB" w:rsidRPr="00873941" w:rsidRDefault="006D60FB" w:rsidP="00357E0A">
            <w:pPr>
              <w:pStyle w:val="TableText0"/>
              <w:keepNext w:val="0"/>
            </w:pPr>
            <w:r w:rsidRPr="00873941">
              <w:t>I-SPY2</w:t>
            </w:r>
          </w:p>
        </w:tc>
        <w:tc>
          <w:tcPr>
            <w:tcW w:w="368" w:type="pct"/>
          </w:tcPr>
          <w:p w14:paraId="253F1252" w14:textId="77777777" w:rsidR="006D60FB" w:rsidRPr="00873941" w:rsidRDefault="006D60FB" w:rsidP="00357E0A">
            <w:pPr>
              <w:pStyle w:val="TableText0"/>
              <w:keepNext w:val="0"/>
              <w:jc w:val="center"/>
            </w:pPr>
            <w:r w:rsidRPr="00873941">
              <w:t>76</w:t>
            </w:r>
          </w:p>
        </w:tc>
        <w:tc>
          <w:tcPr>
            <w:tcW w:w="686" w:type="pct"/>
          </w:tcPr>
          <w:p w14:paraId="7FAE992B" w14:textId="77777777" w:rsidR="006D60FB" w:rsidRPr="00873941" w:rsidRDefault="006D60FB" w:rsidP="00357E0A">
            <w:pPr>
              <w:pStyle w:val="TableText0"/>
              <w:keepNext w:val="0"/>
            </w:pPr>
            <w:r w:rsidRPr="00873941">
              <w:t>R, OL, MC, AR; 4 yrs</w:t>
            </w:r>
          </w:p>
        </w:tc>
        <w:tc>
          <w:tcPr>
            <w:tcW w:w="899" w:type="pct"/>
          </w:tcPr>
          <w:p w14:paraId="68370E77" w14:textId="127B34D3" w:rsidR="006D60FB" w:rsidRPr="00873941" w:rsidRDefault="006D60FB" w:rsidP="00357E0A">
            <w:pPr>
              <w:pStyle w:val="TableText0"/>
              <w:keepNext w:val="0"/>
            </w:pPr>
            <w:r w:rsidRPr="00873941">
              <w:t>12 weeks paclitaxel then 4 anthracycline</w:t>
            </w:r>
            <w:r w:rsidR="00512515" w:rsidRPr="00873941">
              <w:t xml:space="preserve"> cycles</w:t>
            </w:r>
          </w:p>
        </w:tc>
        <w:tc>
          <w:tcPr>
            <w:tcW w:w="429" w:type="pct"/>
          </w:tcPr>
          <w:p w14:paraId="2332D136" w14:textId="2D5B76F0" w:rsidR="006D60FB" w:rsidRPr="00873941" w:rsidRDefault="006D60FB" w:rsidP="00357E0A">
            <w:pPr>
              <w:pStyle w:val="TableText0"/>
              <w:keepNext w:val="0"/>
            </w:pPr>
            <w:r w:rsidRPr="00873941">
              <w:t>Mod.</w:t>
            </w:r>
          </w:p>
        </w:tc>
        <w:tc>
          <w:tcPr>
            <w:tcW w:w="1176" w:type="pct"/>
          </w:tcPr>
          <w:p w14:paraId="6F90C042" w14:textId="77777777" w:rsidR="006D60FB" w:rsidRPr="00873941" w:rsidRDefault="006D60FB" w:rsidP="00357E0A">
            <w:pPr>
              <w:pStyle w:val="TableText0"/>
              <w:keepNext w:val="0"/>
            </w:pPr>
            <w:r w:rsidRPr="00873941">
              <w:t>Adult women with HER2+ stage II or III breast cancer with primary tumours ≥ 2.5 cm clinically or ≥ 2.0 cm by imaging who have not received prior treatment for their BC.</w:t>
            </w:r>
          </w:p>
        </w:tc>
        <w:tc>
          <w:tcPr>
            <w:tcW w:w="752" w:type="pct"/>
          </w:tcPr>
          <w:p w14:paraId="1F2C944C" w14:textId="77777777" w:rsidR="006D60FB" w:rsidRPr="00873941" w:rsidRDefault="006D60FB" w:rsidP="00357E0A">
            <w:pPr>
              <w:pStyle w:val="TableText0"/>
              <w:keepNext w:val="0"/>
            </w:pPr>
            <w:r w:rsidRPr="00873941">
              <w:t xml:space="preserve">Primary: </w:t>
            </w:r>
            <w:proofErr w:type="spellStart"/>
            <w:r w:rsidRPr="00873941">
              <w:t>tpCR</w:t>
            </w:r>
            <w:proofErr w:type="spellEnd"/>
          </w:p>
          <w:p w14:paraId="0C41E5E1" w14:textId="77777777" w:rsidR="006D60FB" w:rsidRPr="00873941" w:rsidRDefault="006D60FB" w:rsidP="00357E0A">
            <w:pPr>
              <w:pStyle w:val="TableText0"/>
              <w:keepNext w:val="0"/>
            </w:pPr>
            <w:r w:rsidRPr="00873941">
              <w:t>Secondary: residual disease burden, EFS, DRFS, Safety</w:t>
            </w:r>
          </w:p>
        </w:tc>
      </w:tr>
      <w:tr w:rsidR="006D60FB" w:rsidRPr="00873941" w14:paraId="7CAED03A" w14:textId="77777777" w:rsidTr="00357E0A">
        <w:tc>
          <w:tcPr>
            <w:tcW w:w="5000" w:type="pct"/>
            <w:gridSpan w:val="7"/>
            <w:vAlign w:val="center"/>
          </w:tcPr>
          <w:p w14:paraId="7F4E5F66" w14:textId="1A8C792C" w:rsidR="006D60FB" w:rsidRPr="00873941" w:rsidRDefault="006D60FB" w:rsidP="006139B4">
            <w:pPr>
              <w:pStyle w:val="In-tableHeading"/>
              <w:keepNext w:val="0"/>
              <w:rPr>
                <w:lang w:val="en-AU"/>
              </w:rPr>
            </w:pPr>
            <w:proofErr w:type="spellStart"/>
            <w:r w:rsidRPr="00873941">
              <w:rPr>
                <w:lang w:val="en-AU"/>
              </w:rPr>
              <w:t>P+T+Chemo</w:t>
            </w:r>
            <w:proofErr w:type="spellEnd"/>
            <w:r w:rsidRPr="00873941">
              <w:rPr>
                <w:lang w:val="en-AU"/>
              </w:rPr>
              <w:t>, different chemotherapy types (RCT)</w:t>
            </w:r>
            <w:r w:rsidR="00722939" w:rsidRPr="00873941">
              <w:rPr>
                <w:lang w:val="en-AU"/>
              </w:rPr>
              <w:t xml:space="preserve"> </w:t>
            </w:r>
            <w:r w:rsidR="00722939" w:rsidRPr="00873941">
              <w:rPr>
                <w:vertAlign w:val="superscript"/>
                <w:lang w:val="en-AU"/>
              </w:rPr>
              <w:t>b</w:t>
            </w:r>
          </w:p>
        </w:tc>
      </w:tr>
      <w:tr w:rsidR="006D60FB" w:rsidRPr="00873941" w14:paraId="1863951E" w14:textId="77777777" w:rsidTr="00937714">
        <w:tc>
          <w:tcPr>
            <w:tcW w:w="691" w:type="pct"/>
          </w:tcPr>
          <w:p w14:paraId="59772ACB" w14:textId="77777777" w:rsidR="006D60FB" w:rsidRPr="00873941" w:rsidRDefault="006D60FB" w:rsidP="00357E0A">
            <w:pPr>
              <w:pStyle w:val="TableText0"/>
              <w:keepNext w:val="0"/>
            </w:pPr>
            <w:r w:rsidRPr="00873941">
              <w:t>TRYPHAENA</w:t>
            </w:r>
          </w:p>
        </w:tc>
        <w:tc>
          <w:tcPr>
            <w:tcW w:w="368" w:type="pct"/>
          </w:tcPr>
          <w:p w14:paraId="4BB192F9" w14:textId="77777777" w:rsidR="006D60FB" w:rsidRPr="00873941" w:rsidRDefault="006D60FB" w:rsidP="00357E0A">
            <w:pPr>
              <w:pStyle w:val="TableText0"/>
              <w:keepNext w:val="0"/>
              <w:jc w:val="center"/>
            </w:pPr>
            <w:r w:rsidRPr="00873941">
              <w:t>150</w:t>
            </w:r>
          </w:p>
        </w:tc>
        <w:tc>
          <w:tcPr>
            <w:tcW w:w="686" w:type="pct"/>
          </w:tcPr>
          <w:p w14:paraId="76604381" w14:textId="77777777" w:rsidR="006D60FB" w:rsidRPr="00873941" w:rsidRDefault="006D60FB" w:rsidP="00357E0A">
            <w:pPr>
              <w:pStyle w:val="TableText0"/>
              <w:keepNext w:val="0"/>
            </w:pPr>
            <w:r w:rsidRPr="00873941">
              <w:t xml:space="preserve">R, OL, MC; </w:t>
            </w:r>
          </w:p>
          <w:p w14:paraId="660A9F07" w14:textId="77777777" w:rsidR="006D60FB" w:rsidRPr="00873941" w:rsidRDefault="006D60FB" w:rsidP="00357E0A">
            <w:pPr>
              <w:pStyle w:val="TableText0"/>
              <w:keepNext w:val="0"/>
            </w:pPr>
            <w:r w:rsidRPr="00873941">
              <w:t>5yrs</w:t>
            </w:r>
          </w:p>
        </w:tc>
        <w:tc>
          <w:tcPr>
            <w:tcW w:w="899" w:type="pct"/>
          </w:tcPr>
          <w:p w14:paraId="4083B06D" w14:textId="33C5224B" w:rsidR="006D60FB" w:rsidRPr="00873941" w:rsidRDefault="00512515" w:rsidP="00357E0A">
            <w:pPr>
              <w:pStyle w:val="TableText0"/>
              <w:keepNext w:val="0"/>
            </w:pPr>
            <w:r w:rsidRPr="00873941">
              <w:t>3+3</w:t>
            </w:r>
            <w:r w:rsidR="006D60FB" w:rsidRPr="00873941">
              <w:t xml:space="preserve">: 3 x (5FU + </w:t>
            </w:r>
            <w:proofErr w:type="spellStart"/>
            <w:r w:rsidR="006D60FB" w:rsidRPr="00873941">
              <w:t>epirubicin</w:t>
            </w:r>
            <w:proofErr w:type="spellEnd"/>
            <w:r w:rsidR="006D60FB" w:rsidRPr="00873941">
              <w:t xml:space="preserve"> + </w:t>
            </w:r>
            <w:proofErr w:type="spellStart"/>
            <w:r w:rsidR="006D60FB" w:rsidRPr="00873941">
              <w:t>cyclophospham</w:t>
            </w:r>
            <w:proofErr w:type="spellEnd"/>
            <w:r w:rsidR="007246EB" w:rsidRPr="00873941">
              <w:t>-</w:t>
            </w:r>
            <w:r w:rsidR="006D60FB" w:rsidRPr="00873941">
              <w:t>ide)</w:t>
            </w:r>
            <w:r w:rsidRPr="00873941">
              <w:t xml:space="preserve"> cycles</w:t>
            </w:r>
            <w:r w:rsidR="006D60FB" w:rsidRPr="00873941">
              <w:t xml:space="preserve"> then 3 x docetaxel</w:t>
            </w:r>
            <w:r w:rsidRPr="00873941">
              <w:t xml:space="preserve"> cycles</w:t>
            </w:r>
          </w:p>
          <w:p w14:paraId="17141A1F" w14:textId="72C988B2" w:rsidR="006D60FB" w:rsidRPr="00873941" w:rsidRDefault="006D60FB" w:rsidP="00357E0A">
            <w:pPr>
              <w:pStyle w:val="TableText0"/>
              <w:keepNext w:val="0"/>
            </w:pPr>
            <w:r w:rsidRPr="00873941">
              <w:t>6: 6 x (docetaxel + carboplatin)</w:t>
            </w:r>
            <w:r w:rsidR="00512515" w:rsidRPr="00873941">
              <w:t xml:space="preserve"> cycles</w:t>
            </w:r>
          </w:p>
        </w:tc>
        <w:tc>
          <w:tcPr>
            <w:tcW w:w="429" w:type="pct"/>
          </w:tcPr>
          <w:p w14:paraId="793AC68A" w14:textId="62BB6AE4" w:rsidR="006D60FB" w:rsidRPr="00873941" w:rsidRDefault="006D60FB" w:rsidP="00357E0A">
            <w:pPr>
              <w:pStyle w:val="TableText0"/>
              <w:keepNext w:val="0"/>
            </w:pPr>
            <w:r w:rsidRPr="00873941">
              <w:t>Mod.</w:t>
            </w:r>
          </w:p>
        </w:tc>
        <w:tc>
          <w:tcPr>
            <w:tcW w:w="1176" w:type="pct"/>
          </w:tcPr>
          <w:p w14:paraId="5EDF8D93" w14:textId="5AB7F9AD" w:rsidR="006D60FB" w:rsidRPr="00873941" w:rsidRDefault="006D60FB" w:rsidP="00357E0A">
            <w:pPr>
              <w:pStyle w:val="TableText0"/>
              <w:keepNext w:val="0"/>
            </w:pPr>
            <w:r w:rsidRPr="00873941">
              <w:t>Chemotherapy-naïve pa</w:t>
            </w:r>
            <w:r w:rsidR="004C4000" w:rsidRPr="00873941">
              <w:t>rticipan</w:t>
            </w:r>
            <w:r w:rsidRPr="00873941">
              <w:t>ts with HER2-positive BC which was early stage, and &gt;2 cm in diameter, or locally advanced or inflammatory.</w:t>
            </w:r>
          </w:p>
        </w:tc>
        <w:tc>
          <w:tcPr>
            <w:tcW w:w="752" w:type="pct"/>
          </w:tcPr>
          <w:p w14:paraId="41471A8B" w14:textId="77777777" w:rsidR="006D60FB" w:rsidRPr="00873941" w:rsidRDefault="006D60FB" w:rsidP="00357E0A">
            <w:pPr>
              <w:pStyle w:val="TableText0"/>
              <w:keepNext w:val="0"/>
            </w:pPr>
            <w:r w:rsidRPr="00873941">
              <w:t>Primary: Tolerability</w:t>
            </w:r>
          </w:p>
          <w:p w14:paraId="5FD20DAD" w14:textId="77777777" w:rsidR="006D60FB" w:rsidRPr="00873941" w:rsidRDefault="006D60FB" w:rsidP="00357E0A">
            <w:pPr>
              <w:pStyle w:val="TableText0"/>
              <w:keepNext w:val="0"/>
            </w:pPr>
            <w:r w:rsidRPr="00873941">
              <w:t xml:space="preserve">Secondary: </w:t>
            </w:r>
            <w:proofErr w:type="spellStart"/>
            <w:r w:rsidRPr="00873941">
              <w:t>bpCR</w:t>
            </w:r>
            <w:proofErr w:type="spellEnd"/>
            <w:r w:rsidRPr="00873941">
              <w:t xml:space="preserve">, </w:t>
            </w:r>
            <w:proofErr w:type="spellStart"/>
            <w:r w:rsidRPr="00873941">
              <w:t>tpCR</w:t>
            </w:r>
            <w:proofErr w:type="spellEnd"/>
            <w:r w:rsidRPr="00873941">
              <w:t>, response, time to response, PFS, DFS, OS</w:t>
            </w:r>
          </w:p>
        </w:tc>
      </w:tr>
      <w:tr w:rsidR="006D60FB" w:rsidRPr="00873941" w14:paraId="58330ACA" w14:textId="77777777" w:rsidTr="00357E0A">
        <w:tc>
          <w:tcPr>
            <w:tcW w:w="5000" w:type="pct"/>
            <w:gridSpan w:val="7"/>
          </w:tcPr>
          <w:p w14:paraId="3F5C6F9F" w14:textId="77777777" w:rsidR="006D60FB" w:rsidRPr="00873941" w:rsidRDefault="006D60FB" w:rsidP="006139B4">
            <w:pPr>
              <w:pStyle w:val="In-tableHeading"/>
              <w:keepNext w:val="0"/>
              <w:rPr>
                <w:lang w:val="en-AU"/>
              </w:rPr>
            </w:pPr>
            <w:proofErr w:type="spellStart"/>
            <w:r w:rsidRPr="00873941">
              <w:rPr>
                <w:lang w:val="en-AU"/>
              </w:rPr>
              <w:t>P+T+Chemo</w:t>
            </w:r>
            <w:proofErr w:type="spellEnd"/>
            <w:r w:rsidRPr="00873941">
              <w:rPr>
                <w:lang w:val="en-AU"/>
              </w:rPr>
              <w:t xml:space="preserve"> vs </w:t>
            </w:r>
            <w:proofErr w:type="spellStart"/>
            <w:r w:rsidRPr="00873941">
              <w:rPr>
                <w:lang w:val="en-AU"/>
              </w:rPr>
              <w:t>T+Chemo</w:t>
            </w:r>
            <w:proofErr w:type="spellEnd"/>
            <w:r w:rsidRPr="00873941">
              <w:rPr>
                <w:lang w:val="en-AU"/>
              </w:rPr>
              <w:t xml:space="preserve"> (all studies, chemo must include anthracyclines)</w:t>
            </w:r>
          </w:p>
        </w:tc>
      </w:tr>
      <w:tr w:rsidR="00937714" w:rsidRPr="00873941" w14:paraId="1813DD6F" w14:textId="77777777" w:rsidTr="00937714">
        <w:tc>
          <w:tcPr>
            <w:tcW w:w="691" w:type="pct"/>
          </w:tcPr>
          <w:p w14:paraId="3931D408" w14:textId="77777777" w:rsidR="00937714" w:rsidRPr="00873941" w:rsidRDefault="00937714" w:rsidP="00937714">
            <w:pPr>
              <w:pStyle w:val="TableText0"/>
              <w:keepNext w:val="0"/>
            </w:pPr>
            <w:r w:rsidRPr="00873941">
              <w:t>Acevedo (2023)</w:t>
            </w:r>
          </w:p>
        </w:tc>
        <w:tc>
          <w:tcPr>
            <w:tcW w:w="368" w:type="pct"/>
          </w:tcPr>
          <w:p w14:paraId="479FF8EB" w14:textId="77777777" w:rsidR="00937714" w:rsidRPr="00873941" w:rsidRDefault="00937714" w:rsidP="00937714">
            <w:pPr>
              <w:pStyle w:val="TableText0"/>
              <w:keepNext w:val="0"/>
              <w:jc w:val="center"/>
            </w:pPr>
            <w:r w:rsidRPr="00873941">
              <w:t>372</w:t>
            </w:r>
          </w:p>
        </w:tc>
        <w:tc>
          <w:tcPr>
            <w:tcW w:w="686" w:type="pct"/>
          </w:tcPr>
          <w:p w14:paraId="5F1D2A2F" w14:textId="77777777" w:rsidR="00937714" w:rsidRPr="00873941" w:rsidRDefault="00937714" w:rsidP="00937714">
            <w:pPr>
              <w:pStyle w:val="TableText0"/>
              <w:keepNext w:val="0"/>
            </w:pPr>
            <w:r w:rsidRPr="00873941">
              <w:t>Retro, cohort, registry</w:t>
            </w:r>
          </w:p>
        </w:tc>
        <w:tc>
          <w:tcPr>
            <w:tcW w:w="899" w:type="pct"/>
          </w:tcPr>
          <w:p w14:paraId="7CE82C9B" w14:textId="28A08002" w:rsidR="00937714" w:rsidRPr="00873941" w:rsidRDefault="00937714" w:rsidP="00937714">
            <w:pPr>
              <w:pStyle w:val="TableText0"/>
              <w:keepNext w:val="0"/>
            </w:pPr>
            <w:r w:rsidRPr="00873941">
              <w:t xml:space="preserve">85.2% AC + </w:t>
            </w:r>
            <w:proofErr w:type="spellStart"/>
            <w:r w:rsidRPr="00873941">
              <w:t>taxane</w:t>
            </w:r>
            <w:proofErr w:type="spellEnd"/>
            <w:r w:rsidRPr="00873941">
              <w:t xml:space="preserve">, 10.0% </w:t>
            </w:r>
            <w:proofErr w:type="spellStart"/>
            <w:r w:rsidRPr="00873941">
              <w:t>taxane</w:t>
            </w:r>
            <w:proofErr w:type="spellEnd"/>
            <w:r w:rsidRPr="00873941">
              <w:t xml:space="preserve"> only, 4.8% AC only.</w:t>
            </w:r>
          </w:p>
        </w:tc>
        <w:tc>
          <w:tcPr>
            <w:tcW w:w="429" w:type="pct"/>
          </w:tcPr>
          <w:p w14:paraId="720426D9" w14:textId="305B8752" w:rsidR="00937714" w:rsidRPr="00873941" w:rsidRDefault="00937714" w:rsidP="00937714">
            <w:pPr>
              <w:pStyle w:val="TableText0"/>
              <w:keepNext w:val="0"/>
            </w:pPr>
            <w:r w:rsidRPr="00873941">
              <w:t>Critical</w:t>
            </w:r>
          </w:p>
        </w:tc>
        <w:tc>
          <w:tcPr>
            <w:tcW w:w="1176" w:type="pct"/>
          </w:tcPr>
          <w:p w14:paraId="24534C71" w14:textId="77777777" w:rsidR="00937714" w:rsidRPr="00873941" w:rsidRDefault="00937714" w:rsidP="00937714">
            <w:pPr>
              <w:pStyle w:val="TableText0"/>
              <w:keepNext w:val="0"/>
            </w:pPr>
            <w:r w:rsidRPr="00873941">
              <w:t>Females with Stage I-III HER2 positive BC.</w:t>
            </w:r>
          </w:p>
        </w:tc>
        <w:tc>
          <w:tcPr>
            <w:tcW w:w="752" w:type="pct"/>
          </w:tcPr>
          <w:p w14:paraId="2AA85D66" w14:textId="77777777" w:rsidR="00937714" w:rsidRPr="00873941" w:rsidRDefault="00937714" w:rsidP="00937714">
            <w:pPr>
              <w:pStyle w:val="TableText0"/>
              <w:keepNext w:val="0"/>
            </w:pPr>
            <w:proofErr w:type="spellStart"/>
            <w:r w:rsidRPr="00873941">
              <w:t>tpCR</w:t>
            </w:r>
            <w:proofErr w:type="spellEnd"/>
            <w:r w:rsidRPr="00873941">
              <w:t>, DDFS</w:t>
            </w:r>
          </w:p>
        </w:tc>
      </w:tr>
      <w:tr w:rsidR="00937714" w:rsidRPr="00873941" w14:paraId="412F188A" w14:textId="77777777" w:rsidTr="00937714">
        <w:tc>
          <w:tcPr>
            <w:tcW w:w="691" w:type="pct"/>
          </w:tcPr>
          <w:p w14:paraId="4D22BAD3" w14:textId="77777777" w:rsidR="00937714" w:rsidRPr="00873941" w:rsidRDefault="00937714" w:rsidP="00937714">
            <w:pPr>
              <w:pStyle w:val="TableText0"/>
              <w:keepNext w:val="0"/>
            </w:pPr>
            <w:r w:rsidRPr="00873941">
              <w:t>HER2PATH (Bilici 2023)</w:t>
            </w:r>
          </w:p>
        </w:tc>
        <w:tc>
          <w:tcPr>
            <w:tcW w:w="368" w:type="pct"/>
          </w:tcPr>
          <w:p w14:paraId="4865FFC7" w14:textId="77777777" w:rsidR="00937714" w:rsidRPr="00873941" w:rsidRDefault="00937714" w:rsidP="00937714">
            <w:pPr>
              <w:pStyle w:val="TableText0"/>
              <w:keepNext w:val="0"/>
              <w:jc w:val="center"/>
            </w:pPr>
            <w:r w:rsidRPr="00873941">
              <w:t>1,528</w:t>
            </w:r>
          </w:p>
        </w:tc>
        <w:tc>
          <w:tcPr>
            <w:tcW w:w="686" w:type="pct"/>
          </w:tcPr>
          <w:p w14:paraId="0C1247F1" w14:textId="77777777" w:rsidR="00937714" w:rsidRPr="00873941" w:rsidRDefault="00937714" w:rsidP="00937714">
            <w:pPr>
              <w:pStyle w:val="TableText0"/>
              <w:keepNext w:val="0"/>
            </w:pPr>
            <w:r w:rsidRPr="00873941">
              <w:t>Retro, cohort, MC</w:t>
            </w:r>
          </w:p>
        </w:tc>
        <w:tc>
          <w:tcPr>
            <w:tcW w:w="899" w:type="pct"/>
          </w:tcPr>
          <w:p w14:paraId="42633047" w14:textId="77777777" w:rsidR="00937714" w:rsidRPr="00873941" w:rsidRDefault="00937714" w:rsidP="00937714">
            <w:pPr>
              <w:pStyle w:val="TableText0"/>
              <w:keepNext w:val="0"/>
            </w:pPr>
            <w:proofErr w:type="spellStart"/>
            <w:r w:rsidRPr="00873941">
              <w:rPr>
                <w:u w:val="single"/>
              </w:rPr>
              <w:t>P+T+Chemo</w:t>
            </w:r>
            <w:proofErr w:type="spellEnd"/>
            <w:r w:rsidRPr="00873941">
              <w:rPr>
                <w:u w:val="single"/>
              </w:rPr>
              <w:t>:</w:t>
            </w:r>
            <w:r w:rsidRPr="00873941">
              <w:t xml:space="preserve"> 83% received AC</w:t>
            </w:r>
          </w:p>
          <w:p w14:paraId="345EA971" w14:textId="723FE550" w:rsidR="00937714" w:rsidRPr="00873941" w:rsidRDefault="00937714" w:rsidP="00937714">
            <w:pPr>
              <w:pStyle w:val="TableText0"/>
              <w:keepNext w:val="0"/>
            </w:pPr>
            <w:proofErr w:type="spellStart"/>
            <w:r w:rsidRPr="00873941">
              <w:rPr>
                <w:u w:val="single"/>
              </w:rPr>
              <w:t>T+Chemo</w:t>
            </w:r>
            <w:proofErr w:type="spellEnd"/>
            <w:r w:rsidRPr="00873941">
              <w:rPr>
                <w:u w:val="single"/>
              </w:rPr>
              <w:t>:</w:t>
            </w:r>
            <w:r w:rsidRPr="00873941">
              <w:t xml:space="preserve"> 78.5% received AC</w:t>
            </w:r>
          </w:p>
        </w:tc>
        <w:tc>
          <w:tcPr>
            <w:tcW w:w="429" w:type="pct"/>
          </w:tcPr>
          <w:p w14:paraId="2E971311" w14:textId="184D1FE2" w:rsidR="00937714" w:rsidRPr="00873941" w:rsidRDefault="00937714" w:rsidP="00937714">
            <w:pPr>
              <w:pStyle w:val="TableText0"/>
              <w:keepNext w:val="0"/>
            </w:pPr>
            <w:r w:rsidRPr="00873941">
              <w:t>Critical</w:t>
            </w:r>
          </w:p>
        </w:tc>
        <w:tc>
          <w:tcPr>
            <w:tcW w:w="1176" w:type="pct"/>
          </w:tcPr>
          <w:p w14:paraId="74C343CC" w14:textId="2B6A16F4" w:rsidR="00937714" w:rsidRPr="00873941" w:rsidRDefault="00937714" w:rsidP="00937714">
            <w:pPr>
              <w:pStyle w:val="TableText0"/>
              <w:keepNext w:val="0"/>
            </w:pPr>
            <w:r w:rsidRPr="00873941">
              <w:t>Female participants ≥18 years with histologically confirmed HER2+ BC.</w:t>
            </w:r>
          </w:p>
        </w:tc>
        <w:tc>
          <w:tcPr>
            <w:tcW w:w="752" w:type="pct"/>
          </w:tcPr>
          <w:p w14:paraId="020CD409" w14:textId="77777777" w:rsidR="00937714" w:rsidRPr="00873941" w:rsidRDefault="00937714" w:rsidP="00937714">
            <w:pPr>
              <w:pStyle w:val="TableText0"/>
              <w:keepNext w:val="0"/>
            </w:pPr>
            <w:proofErr w:type="spellStart"/>
            <w:r w:rsidRPr="00873941">
              <w:t>tpCR</w:t>
            </w:r>
            <w:proofErr w:type="spellEnd"/>
            <w:r w:rsidRPr="00873941">
              <w:t>, EFS, safety</w:t>
            </w:r>
          </w:p>
        </w:tc>
      </w:tr>
      <w:tr w:rsidR="00937714" w:rsidRPr="00873941" w14:paraId="1C64DF59" w14:textId="77777777" w:rsidTr="00937714">
        <w:tc>
          <w:tcPr>
            <w:tcW w:w="691" w:type="pct"/>
          </w:tcPr>
          <w:p w14:paraId="46CD339C" w14:textId="77777777" w:rsidR="00937714" w:rsidRPr="00873941" w:rsidRDefault="00937714" w:rsidP="00937714">
            <w:pPr>
              <w:pStyle w:val="TableText0"/>
              <w:keepNext w:val="0"/>
            </w:pPr>
            <w:proofErr w:type="spellStart"/>
            <w:r w:rsidRPr="00873941">
              <w:t>NeoPowER</w:t>
            </w:r>
            <w:proofErr w:type="spellEnd"/>
            <w:r w:rsidRPr="00873941">
              <w:t xml:space="preserve"> (Canino 2024)</w:t>
            </w:r>
          </w:p>
        </w:tc>
        <w:tc>
          <w:tcPr>
            <w:tcW w:w="368" w:type="pct"/>
          </w:tcPr>
          <w:p w14:paraId="4941D178" w14:textId="77777777" w:rsidR="00937714" w:rsidRPr="00873941" w:rsidRDefault="00937714" w:rsidP="00937714">
            <w:pPr>
              <w:pStyle w:val="TableText0"/>
              <w:keepNext w:val="0"/>
              <w:jc w:val="center"/>
            </w:pPr>
            <w:r w:rsidRPr="00873941">
              <w:t>260</w:t>
            </w:r>
          </w:p>
        </w:tc>
        <w:tc>
          <w:tcPr>
            <w:tcW w:w="686" w:type="pct"/>
          </w:tcPr>
          <w:p w14:paraId="7D0DD4B6" w14:textId="77777777" w:rsidR="00937714" w:rsidRPr="00873941" w:rsidRDefault="00937714" w:rsidP="00937714">
            <w:pPr>
              <w:pStyle w:val="TableText0"/>
              <w:keepNext w:val="0"/>
            </w:pPr>
            <w:r w:rsidRPr="00873941">
              <w:t>Retro, chart review, MC</w:t>
            </w:r>
          </w:p>
        </w:tc>
        <w:tc>
          <w:tcPr>
            <w:tcW w:w="899" w:type="pct"/>
          </w:tcPr>
          <w:p w14:paraId="61CCD147" w14:textId="77777777" w:rsidR="00937714" w:rsidRPr="00873941" w:rsidRDefault="00937714" w:rsidP="00937714">
            <w:pPr>
              <w:pStyle w:val="TableText0"/>
              <w:keepNext w:val="0"/>
            </w:pPr>
            <w:proofErr w:type="spellStart"/>
            <w:r w:rsidRPr="00873941">
              <w:rPr>
                <w:u w:val="single"/>
              </w:rPr>
              <w:t>P+T+Chemo</w:t>
            </w:r>
            <w:proofErr w:type="spellEnd"/>
            <w:r w:rsidRPr="00873941">
              <w:rPr>
                <w:u w:val="single"/>
              </w:rPr>
              <w:t>:</w:t>
            </w:r>
            <w:r w:rsidRPr="00873941">
              <w:t xml:space="preserve"> 44.4% AC, 0% 5-FU</w:t>
            </w:r>
          </w:p>
          <w:p w14:paraId="16A64E72" w14:textId="09858922" w:rsidR="00937714" w:rsidRPr="00873941" w:rsidRDefault="00937714" w:rsidP="00937714">
            <w:pPr>
              <w:pStyle w:val="TableText0"/>
              <w:keepNext w:val="0"/>
            </w:pPr>
            <w:proofErr w:type="spellStart"/>
            <w:r w:rsidRPr="00873941">
              <w:rPr>
                <w:u w:val="single"/>
              </w:rPr>
              <w:t>T+Chemo</w:t>
            </w:r>
            <w:proofErr w:type="spellEnd"/>
            <w:r w:rsidRPr="00873941">
              <w:rPr>
                <w:u w:val="single"/>
              </w:rPr>
              <w:t>:</w:t>
            </w:r>
            <w:r w:rsidRPr="00873941">
              <w:t xml:space="preserve"> 82.8% AC, 44% 5-FU</w:t>
            </w:r>
          </w:p>
        </w:tc>
        <w:tc>
          <w:tcPr>
            <w:tcW w:w="429" w:type="pct"/>
          </w:tcPr>
          <w:p w14:paraId="051C1680" w14:textId="62EA85E3" w:rsidR="00937714" w:rsidRPr="00873941" w:rsidRDefault="00937714" w:rsidP="00937714">
            <w:pPr>
              <w:pStyle w:val="TableText0"/>
              <w:keepNext w:val="0"/>
            </w:pPr>
            <w:r w:rsidRPr="00873941">
              <w:t>Serious</w:t>
            </w:r>
          </w:p>
        </w:tc>
        <w:tc>
          <w:tcPr>
            <w:tcW w:w="1176" w:type="pct"/>
          </w:tcPr>
          <w:p w14:paraId="2197F0FD" w14:textId="6FFB5120" w:rsidR="00937714" w:rsidRPr="00873941" w:rsidRDefault="00937714" w:rsidP="00937714">
            <w:pPr>
              <w:pStyle w:val="TableText0"/>
              <w:keepNext w:val="0"/>
            </w:pPr>
            <w:r w:rsidRPr="00873941">
              <w:t>Participants ≥18 years, ECOG of 0 or 1; with operable, locally advanced or inflammatory BC (Stage II-III); HER2 overexpression confirmed by IHC or ISH.</w:t>
            </w:r>
          </w:p>
        </w:tc>
        <w:tc>
          <w:tcPr>
            <w:tcW w:w="752" w:type="pct"/>
          </w:tcPr>
          <w:p w14:paraId="5D04CE22" w14:textId="77777777" w:rsidR="00937714" w:rsidRPr="00873941" w:rsidRDefault="00937714" w:rsidP="00937714">
            <w:pPr>
              <w:pStyle w:val="TableText0"/>
              <w:keepNext w:val="0"/>
            </w:pPr>
            <w:proofErr w:type="spellStart"/>
            <w:r w:rsidRPr="00873941">
              <w:t>tpCR</w:t>
            </w:r>
            <w:proofErr w:type="spellEnd"/>
            <w:r w:rsidRPr="00873941">
              <w:t>, DRFS, OS, safety</w:t>
            </w:r>
          </w:p>
        </w:tc>
      </w:tr>
      <w:tr w:rsidR="00937714" w:rsidRPr="00873941" w14:paraId="49213A23" w14:textId="77777777" w:rsidTr="00937714">
        <w:tc>
          <w:tcPr>
            <w:tcW w:w="691" w:type="pct"/>
          </w:tcPr>
          <w:p w14:paraId="64D90982" w14:textId="77777777" w:rsidR="00937714" w:rsidRPr="00873941" w:rsidRDefault="00937714" w:rsidP="00937714">
            <w:pPr>
              <w:pStyle w:val="TableText0"/>
              <w:keepNext w:val="0"/>
            </w:pPr>
            <w:r w:rsidRPr="00873941">
              <w:lastRenderedPageBreak/>
              <w:t>Chang (2020)</w:t>
            </w:r>
          </w:p>
        </w:tc>
        <w:tc>
          <w:tcPr>
            <w:tcW w:w="368" w:type="pct"/>
          </w:tcPr>
          <w:p w14:paraId="754EB88F" w14:textId="77777777" w:rsidR="00937714" w:rsidRPr="00873941" w:rsidRDefault="00937714" w:rsidP="00937714">
            <w:pPr>
              <w:pStyle w:val="TableText0"/>
              <w:keepNext w:val="0"/>
              <w:jc w:val="center"/>
            </w:pPr>
            <w:r w:rsidRPr="00873941">
              <w:t>142</w:t>
            </w:r>
          </w:p>
        </w:tc>
        <w:tc>
          <w:tcPr>
            <w:tcW w:w="686" w:type="pct"/>
          </w:tcPr>
          <w:p w14:paraId="680B3B36" w14:textId="77777777" w:rsidR="00937714" w:rsidRPr="00873941" w:rsidRDefault="00937714" w:rsidP="00937714">
            <w:pPr>
              <w:pStyle w:val="TableText0"/>
              <w:keepNext w:val="0"/>
            </w:pPr>
            <w:r w:rsidRPr="00873941">
              <w:t>Retro, chart review</w:t>
            </w:r>
          </w:p>
        </w:tc>
        <w:tc>
          <w:tcPr>
            <w:tcW w:w="899" w:type="pct"/>
          </w:tcPr>
          <w:p w14:paraId="11EB6ACD" w14:textId="2E52A90F" w:rsidR="00937714" w:rsidRPr="00873941" w:rsidRDefault="00937714" w:rsidP="00937714">
            <w:pPr>
              <w:pStyle w:val="TableText0"/>
              <w:keepNext w:val="0"/>
            </w:pPr>
            <w:r w:rsidRPr="00873941">
              <w:t xml:space="preserve">3.5% AC + </w:t>
            </w:r>
            <w:proofErr w:type="spellStart"/>
            <w:r w:rsidRPr="00873941">
              <w:t>taxane</w:t>
            </w:r>
            <w:proofErr w:type="spellEnd"/>
            <w:r w:rsidRPr="00873941">
              <w:t xml:space="preserve">, 1.4% FEC, 52.1% </w:t>
            </w:r>
            <w:proofErr w:type="spellStart"/>
            <w:r w:rsidRPr="00873941">
              <w:t>taxane</w:t>
            </w:r>
            <w:proofErr w:type="spellEnd"/>
            <w:r w:rsidRPr="00873941">
              <w:t xml:space="preserve"> only, 38.7% AC only, 1.4% carboplatin </w:t>
            </w:r>
          </w:p>
        </w:tc>
        <w:tc>
          <w:tcPr>
            <w:tcW w:w="429" w:type="pct"/>
          </w:tcPr>
          <w:p w14:paraId="0F6CE855" w14:textId="342C6F01" w:rsidR="00937714" w:rsidRPr="00873941" w:rsidRDefault="00937714" w:rsidP="00937714">
            <w:pPr>
              <w:pStyle w:val="TableText0"/>
              <w:keepNext w:val="0"/>
            </w:pPr>
            <w:r w:rsidRPr="00873941">
              <w:t>Critical</w:t>
            </w:r>
          </w:p>
        </w:tc>
        <w:tc>
          <w:tcPr>
            <w:tcW w:w="1176" w:type="pct"/>
          </w:tcPr>
          <w:p w14:paraId="6019BEA6" w14:textId="3A8AAA19" w:rsidR="00937714" w:rsidRPr="00873941" w:rsidRDefault="00937714" w:rsidP="00937714">
            <w:pPr>
              <w:pStyle w:val="TableText0"/>
              <w:keepNext w:val="0"/>
            </w:pPr>
            <w:r w:rsidRPr="00873941">
              <w:t>Participants with non-metastatic, HER2-positive, non-inflammatory BC.</w:t>
            </w:r>
          </w:p>
        </w:tc>
        <w:tc>
          <w:tcPr>
            <w:tcW w:w="752" w:type="pct"/>
          </w:tcPr>
          <w:p w14:paraId="56B3C1DE" w14:textId="77777777" w:rsidR="00937714" w:rsidRPr="00873941" w:rsidRDefault="00937714" w:rsidP="00937714">
            <w:pPr>
              <w:pStyle w:val="TableText0"/>
              <w:keepNext w:val="0"/>
            </w:pPr>
            <w:proofErr w:type="spellStart"/>
            <w:r w:rsidRPr="00873941">
              <w:t>bpCR</w:t>
            </w:r>
            <w:proofErr w:type="spellEnd"/>
            <w:r w:rsidRPr="00873941">
              <w:t xml:space="preserve">, </w:t>
            </w:r>
            <w:proofErr w:type="spellStart"/>
            <w:r w:rsidRPr="00873941">
              <w:t>tpCR</w:t>
            </w:r>
            <w:proofErr w:type="spellEnd"/>
          </w:p>
        </w:tc>
      </w:tr>
      <w:tr w:rsidR="00937714" w:rsidRPr="00873941" w14:paraId="110F7DAE" w14:textId="77777777" w:rsidTr="00937714">
        <w:tc>
          <w:tcPr>
            <w:tcW w:w="691" w:type="pct"/>
          </w:tcPr>
          <w:p w14:paraId="1AC03E6A" w14:textId="77777777" w:rsidR="00937714" w:rsidRPr="00873941" w:rsidRDefault="00937714" w:rsidP="00937714">
            <w:pPr>
              <w:pStyle w:val="TableText0"/>
              <w:keepNext w:val="0"/>
            </w:pPr>
            <w:r w:rsidRPr="00873941">
              <w:t>Cheng (2022)</w:t>
            </w:r>
          </w:p>
        </w:tc>
        <w:tc>
          <w:tcPr>
            <w:tcW w:w="368" w:type="pct"/>
          </w:tcPr>
          <w:p w14:paraId="5C2718FC" w14:textId="77777777" w:rsidR="00937714" w:rsidRPr="00873941" w:rsidRDefault="00937714" w:rsidP="00937714">
            <w:pPr>
              <w:pStyle w:val="TableText0"/>
              <w:keepNext w:val="0"/>
              <w:jc w:val="center"/>
            </w:pPr>
            <w:r w:rsidRPr="00873941">
              <w:t>1,032</w:t>
            </w:r>
          </w:p>
        </w:tc>
        <w:tc>
          <w:tcPr>
            <w:tcW w:w="686" w:type="pct"/>
          </w:tcPr>
          <w:p w14:paraId="62F66964" w14:textId="77777777" w:rsidR="00937714" w:rsidRPr="00873941" w:rsidRDefault="00937714" w:rsidP="00937714">
            <w:pPr>
              <w:pStyle w:val="TableText0"/>
              <w:keepNext w:val="0"/>
            </w:pPr>
            <w:r w:rsidRPr="00873941">
              <w:t>Retro, MC</w:t>
            </w:r>
          </w:p>
        </w:tc>
        <w:tc>
          <w:tcPr>
            <w:tcW w:w="899" w:type="pct"/>
          </w:tcPr>
          <w:p w14:paraId="27AB48F0" w14:textId="77777777" w:rsidR="00937714" w:rsidRPr="00873941" w:rsidRDefault="00937714" w:rsidP="00937714">
            <w:pPr>
              <w:pStyle w:val="TableText0"/>
              <w:keepNext w:val="0"/>
            </w:pPr>
            <w:proofErr w:type="spellStart"/>
            <w:r w:rsidRPr="00873941">
              <w:rPr>
                <w:u w:val="single"/>
              </w:rPr>
              <w:t>P+T+Chemo</w:t>
            </w:r>
            <w:proofErr w:type="spellEnd"/>
            <w:r w:rsidRPr="00873941">
              <w:rPr>
                <w:u w:val="single"/>
              </w:rPr>
              <w:t>:</w:t>
            </w:r>
            <w:r w:rsidRPr="00873941">
              <w:t xml:space="preserve"> 13.8% </w:t>
            </w:r>
            <w:proofErr w:type="spellStart"/>
            <w:r w:rsidRPr="00873941">
              <w:t>taxane</w:t>
            </w:r>
            <w:proofErr w:type="spellEnd"/>
            <w:r w:rsidRPr="00873941">
              <w:t xml:space="preserve"> only, 57% </w:t>
            </w:r>
            <w:proofErr w:type="spellStart"/>
            <w:r w:rsidRPr="00873941">
              <w:t>taxane</w:t>
            </w:r>
            <w:proofErr w:type="spellEnd"/>
            <w:r w:rsidRPr="00873941">
              <w:t xml:space="preserve"> + carboplatin, 29.3% </w:t>
            </w:r>
            <w:proofErr w:type="spellStart"/>
            <w:r w:rsidRPr="00873941">
              <w:t>taxane</w:t>
            </w:r>
            <w:proofErr w:type="spellEnd"/>
            <w:r w:rsidRPr="00873941">
              <w:t xml:space="preserve"> + AC + cyclophosphamide</w:t>
            </w:r>
          </w:p>
          <w:p w14:paraId="2236061C" w14:textId="7119F547" w:rsidR="00937714" w:rsidRPr="00873941" w:rsidRDefault="00937714" w:rsidP="00937714">
            <w:pPr>
              <w:pStyle w:val="TableText0"/>
              <w:keepNext w:val="0"/>
            </w:pPr>
            <w:proofErr w:type="spellStart"/>
            <w:r w:rsidRPr="00873941">
              <w:rPr>
                <w:u w:val="single"/>
              </w:rPr>
              <w:t>T+Chemo</w:t>
            </w:r>
            <w:proofErr w:type="spellEnd"/>
            <w:r w:rsidRPr="00873941">
              <w:rPr>
                <w:u w:val="single"/>
              </w:rPr>
              <w:t>:</w:t>
            </w:r>
            <w:r w:rsidRPr="00873941">
              <w:t xml:space="preserve"> 4.7% </w:t>
            </w:r>
            <w:proofErr w:type="spellStart"/>
            <w:r w:rsidRPr="00873941">
              <w:t>taxane</w:t>
            </w:r>
            <w:proofErr w:type="spellEnd"/>
            <w:r w:rsidRPr="00873941">
              <w:t xml:space="preserve"> only, 57.8% </w:t>
            </w:r>
            <w:proofErr w:type="spellStart"/>
            <w:r w:rsidRPr="00873941">
              <w:t>taxane</w:t>
            </w:r>
            <w:proofErr w:type="spellEnd"/>
            <w:r w:rsidRPr="00873941">
              <w:t xml:space="preserve"> + carboplatin, 34.1% </w:t>
            </w:r>
            <w:proofErr w:type="spellStart"/>
            <w:r w:rsidRPr="00873941">
              <w:t>taxane</w:t>
            </w:r>
            <w:proofErr w:type="spellEnd"/>
            <w:r w:rsidRPr="00873941">
              <w:t xml:space="preserve"> + AC + cyclophosphamide, 3.4% </w:t>
            </w:r>
            <w:proofErr w:type="spellStart"/>
            <w:r w:rsidRPr="00873941">
              <w:t>taxane</w:t>
            </w:r>
            <w:proofErr w:type="spellEnd"/>
            <w:r w:rsidRPr="00873941">
              <w:t xml:space="preserve"> + cyclophosphamide</w:t>
            </w:r>
          </w:p>
        </w:tc>
        <w:tc>
          <w:tcPr>
            <w:tcW w:w="429" w:type="pct"/>
          </w:tcPr>
          <w:p w14:paraId="0D951F6A" w14:textId="0BE399AF" w:rsidR="00937714" w:rsidRPr="00873941" w:rsidRDefault="00937714" w:rsidP="00937714">
            <w:pPr>
              <w:pStyle w:val="TableText0"/>
              <w:keepNext w:val="0"/>
            </w:pPr>
            <w:r w:rsidRPr="00873941">
              <w:t>Critical</w:t>
            </w:r>
          </w:p>
        </w:tc>
        <w:tc>
          <w:tcPr>
            <w:tcW w:w="1176" w:type="pct"/>
          </w:tcPr>
          <w:p w14:paraId="2CE2E4AD" w14:textId="04098743" w:rsidR="00937714" w:rsidRPr="00873941" w:rsidRDefault="00937714" w:rsidP="00937714">
            <w:pPr>
              <w:pStyle w:val="TableText0"/>
              <w:keepNext w:val="0"/>
            </w:pPr>
            <w:r w:rsidRPr="00873941">
              <w:t>Participants with early Stage I-III HER2-positive invasive female BC.</w:t>
            </w:r>
          </w:p>
        </w:tc>
        <w:tc>
          <w:tcPr>
            <w:tcW w:w="752" w:type="pct"/>
          </w:tcPr>
          <w:p w14:paraId="176B790C" w14:textId="77777777" w:rsidR="00937714" w:rsidRPr="00873941" w:rsidRDefault="00937714" w:rsidP="00937714">
            <w:pPr>
              <w:pStyle w:val="TableText0"/>
              <w:keepNext w:val="0"/>
            </w:pPr>
            <w:proofErr w:type="spellStart"/>
            <w:r w:rsidRPr="00873941">
              <w:t>tpCR</w:t>
            </w:r>
            <w:proofErr w:type="spellEnd"/>
            <w:r w:rsidRPr="00873941">
              <w:t>, safety, cardiovascular AEs</w:t>
            </w:r>
          </w:p>
        </w:tc>
      </w:tr>
      <w:tr w:rsidR="00937714" w:rsidRPr="00873941" w14:paraId="768FBB27" w14:textId="77777777" w:rsidTr="00937714">
        <w:tc>
          <w:tcPr>
            <w:tcW w:w="691" w:type="pct"/>
          </w:tcPr>
          <w:p w14:paraId="1A553828" w14:textId="77777777" w:rsidR="00937714" w:rsidRPr="00873941" w:rsidRDefault="00937714" w:rsidP="00937714">
            <w:pPr>
              <w:pStyle w:val="TableText0"/>
              <w:keepNext w:val="0"/>
            </w:pPr>
            <w:r w:rsidRPr="00873941">
              <w:t>Díaz-Redondo (2019)</w:t>
            </w:r>
          </w:p>
        </w:tc>
        <w:tc>
          <w:tcPr>
            <w:tcW w:w="368" w:type="pct"/>
          </w:tcPr>
          <w:p w14:paraId="525815FF" w14:textId="77777777" w:rsidR="00937714" w:rsidRPr="00873941" w:rsidRDefault="00937714" w:rsidP="00937714">
            <w:pPr>
              <w:pStyle w:val="TableText0"/>
              <w:keepNext w:val="0"/>
              <w:jc w:val="center"/>
            </w:pPr>
            <w:r w:rsidRPr="00873941">
              <w:t>254</w:t>
            </w:r>
          </w:p>
        </w:tc>
        <w:tc>
          <w:tcPr>
            <w:tcW w:w="686" w:type="pct"/>
          </w:tcPr>
          <w:p w14:paraId="1850ABB6" w14:textId="77777777" w:rsidR="00937714" w:rsidRPr="00873941" w:rsidRDefault="00937714" w:rsidP="00937714">
            <w:pPr>
              <w:pStyle w:val="TableText0"/>
              <w:keepNext w:val="0"/>
            </w:pPr>
            <w:r w:rsidRPr="00873941">
              <w:t>Retro, record review, MC</w:t>
            </w:r>
          </w:p>
        </w:tc>
        <w:tc>
          <w:tcPr>
            <w:tcW w:w="899" w:type="pct"/>
          </w:tcPr>
          <w:p w14:paraId="358B8FD6" w14:textId="77777777" w:rsidR="00937714" w:rsidRPr="00873941" w:rsidRDefault="00937714" w:rsidP="00937714">
            <w:pPr>
              <w:pStyle w:val="TableText0"/>
              <w:keepNext w:val="0"/>
            </w:pPr>
            <w:proofErr w:type="spellStart"/>
            <w:r w:rsidRPr="00873941">
              <w:rPr>
                <w:u w:val="single"/>
              </w:rPr>
              <w:t>P+T+Chemo</w:t>
            </w:r>
            <w:proofErr w:type="spellEnd"/>
            <w:r w:rsidRPr="00873941">
              <w:rPr>
                <w:u w:val="single"/>
              </w:rPr>
              <w:t>:</w:t>
            </w:r>
            <w:r w:rsidRPr="00873941">
              <w:t xml:space="preserve"> 86% </w:t>
            </w:r>
            <w:proofErr w:type="spellStart"/>
            <w:r w:rsidRPr="00873941">
              <w:t>taxane</w:t>
            </w:r>
            <w:proofErr w:type="spellEnd"/>
            <w:r w:rsidRPr="00873941">
              <w:t xml:space="preserve"> + AC, 14% </w:t>
            </w:r>
            <w:proofErr w:type="spellStart"/>
            <w:r w:rsidRPr="00873941">
              <w:t>taxane</w:t>
            </w:r>
            <w:proofErr w:type="spellEnd"/>
            <w:r w:rsidRPr="00873941">
              <w:t xml:space="preserve"> only</w:t>
            </w:r>
          </w:p>
          <w:p w14:paraId="69D810F3" w14:textId="4619E699" w:rsidR="00937714" w:rsidRPr="00873941" w:rsidRDefault="00937714" w:rsidP="00937714">
            <w:pPr>
              <w:pStyle w:val="TableText0"/>
              <w:keepNext w:val="0"/>
            </w:pPr>
            <w:proofErr w:type="spellStart"/>
            <w:r w:rsidRPr="00873941">
              <w:rPr>
                <w:u w:val="single"/>
              </w:rPr>
              <w:t>T+Chemo</w:t>
            </w:r>
            <w:proofErr w:type="spellEnd"/>
            <w:r w:rsidRPr="00873941">
              <w:rPr>
                <w:u w:val="single"/>
              </w:rPr>
              <w:t>:</w:t>
            </w:r>
            <w:r w:rsidRPr="00873941">
              <w:t xml:space="preserve"> 93% </w:t>
            </w:r>
            <w:proofErr w:type="spellStart"/>
            <w:r w:rsidRPr="00873941">
              <w:t>taxane+AC</w:t>
            </w:r>
            <w:proofErr w:type="spellEnd"/>
            <w:r w:rsidRPr="00873941">
              <w:t>, 7% AC only</w:t>
            </w:r>
          </w:p>
        </w:tc>
        <w:tc>
          <w:tcPr>
            <w:tcW w:w="429" w:type="pct"/>
          </w:tcPr>
          <w:p w14:paraId="210F1E16" w14:textId="6AB05DF6" w:rsidR="00937714" w:rsidRPr="00873941" w:rsidRDefault="00937714" w:rsidP="00937714">
            <w:pPr>
              <w:pStyle w:val="TableText0"/>
              <w:keepNext w:val="0"/>
            </w:pPr>
            <w:r w:rsidRPr="00873941">
              <w:t>Critical</w:t>
            </w:r>
          </w:p>
        </w:tc>
        <w:tc>
          <w:tcPr>
            <w:tcW w:w="1176" w:type="pct"/>
          </w:tcPr>
          <w:p w14:paraId="5C01E35E" w14:textId="15FC9F1B" w:rsidR="00937714" w:rsidRPr="00873941" w:rsidRDefault="00937714" w:rsidP="00937714">
            <w:pPr>
              <w:pStyle w:val="TableText0"/>
              <w:keepNext w:val="0"/>
            </w:pPr>
            <w:r w:rsidRPr="00873941">
              <w:t xml:space="preserve">Participants with HER2+ </w:t>
            </w:r>
            <w:proofErr w:type="spellStart"/>
            <w:r w:rsidRPr="00873941">
              <w:t>eBC</w:t>
            </w:r>
            <w:proofErr w:type="spellEnd"/>
            <w:r w:rsidRPr="00873941">
              <w:t>.</w:t>
            </w:r>
          </w:p>
        </w:tc>
        <w:tc>
          <w:tcPr>
            <w:tcW w:w="752" w:type="pct"/>
          </w:tcPr>
          <w:p w14:paraId="4F7C81E3" w14:textId="77777777" w:rsidR="00937714" w:rsidRPr="00873941" w:rsidRDefault="00937714" w:rsidP="00937714">
            <w:pPr>
              <w:pStyle w:val="TableText0"/>
              <w:keepNext w:val="0"/>
            </w:pPr>
            <w:proofErr w:type="spellStart"/>
            <w:r w:rsidRPr="00873941">
              <w:t>bpCR</w:t>
            </w:r>
            <w:proofErr w:type="spellEnd"/>
            <w:r w:rsidRPr="00873941">
              <w:t xml:space="preserve">, </w:t>
            </w:r>
            <w:proofErr w:type="spellStart"/>
            <w:r w:rsidRPr="00873941">
              <w:t>tpCR</w:t>
            </w:r>
            <w:proofErr w:type="spellEnd"/>
          </w:p>
        </w:tc>
      </w:tr>
      <w:tr w:rsidR="00937714" w:rsidRPr="00873941" w14:paraId="20AD02BD" w14:textId="77777777" w:rsidTr="00937714">
        <w:tc>
          <w:tcPr>
            <w:tcW w:w="691" w:type="pct"/>
          </w:tcPr>
          <w:p w14:paraId="030BB145" w14:textId="77777777" w:rsidR="00937714" w:rsidRPr="00873941" w:rsidRDefault="00937714" w:rsidP="00937714">
            <w:pPr>
              <w:pStyle w:val="TableText0"/>
              <w:keepNext w:val="0"/>
            </w:pPr>
            <w:proofErr w:type="spellStart"/>
            <w:r w:rsidRPr="00873941">
              <w:t>Neopearl</w:t>
            </w:r>
            <w:proofErr w:type="spellEnd"/>
            <w:r w:rsidRPr="00873941">
              <w:t xml:space="preserve"> (Fabbri 2023)</w:t>
            </w:r>
          </w:p>
        </w:tc>
        <w:tc>
          <w:tcPr>
            <w:tcW w:w="368" w:type="pct"/>
          </w:tcPr>
          <w:p w14:paraId="729C5F55" w14:textId="77777777" w:rsidR="00937714" w:rsidRPr="00873941" w:rsidRDefault="00937714" w:rsidP="00937714">
            <w:pPr>
              <w:pStyle w:val="TableText0"/>
              <w:keepNext w:val="0"/>
              <w:jc w:val="center"/>
            </w:pPr>
            <w:r w:rsidRPr="00873941">
              <w:t>271</w:t>
            </w:r>
          </w:p>
        </w:tc>
        <w:tc>
          <w:tcPr>
            <w:tcW w:w="686" w:type="pct"/>
          </w:tcPr>
          <w:p w14:paraId="740233B8" w14:textId="77777777" w:rsidR="00937714" w:rsidRPr="00873941" w:rsidRDefault="00937714" w:rsidP="00937714">
            <w:pPr>
              <w:pStyle w:val="TableText0"/>
              <w:keepNext w:val="0"/>
            </w:pPr>
            <w:r w:rsidRPr="00873941">
              <w:t>Retro, MC</w:t>
            </w:r>
          </w:p>
        </w:tc>
        <w:tc>
          <w:tcPr>
            <w:tcW w:w="899" w:type="pct"/>
          </w:tcPr>
          <w:p w14:paraId="4B7B45C6" w14:textId="77777777" w:rsidR="00937714" w:rsidRPr="00873941" w:rsidRDefault="00937714" w:rsidP="00937714">
            <w:pPr>
              <w:pStyle w:val="TableText0"/>
              <w:keepNext w:val="0"/>
            </w:pPr>
            <w:proofErr w:type="spellStart"/>
            <w:r w:rsidRPr="00873941">
              <w:rPr>
                <w:u w:val="single"/>
              </w:rPr>
              <w:t>P+T+Chemo</w:t>
            </w:r>
            <w:proofErr w:type="spellEnd"/>
            <w:r w:rsidRPr="00873941">
              <w:rPr>
                <w:u w:val="single"/>
              </w:rPr>
              <w:t>:</w:t>
            </w:r>
            <w:r w:rsidRPr="00873941">
              <w:t xml:space="preserve"> 62.8% </w:t>
            </w:r>
            <w:proofErr w:type="spellStart"/>
            <w:r w:rsidRPr="00873941">
              <w:t>taxane</w:t>
            </w:r>
            <w:proofErr w:type="spellEnd"/>
            <w:r w:rsidRPr="00873941">
              <w:t xml:space="preserve"> + AC, 37.2% </w:t>
            </w:r>
            <w:proofErr w:type="spellStart"/>
            <w:r w:rsidRPr="00873941">
              <w:t>taxane</w:t>
            </w:r>
            <w:proofErr w:type="spellEnd"/>
            <w:r w:rsidRPr="00873941">
              <w:t xml:space="preserve"> without AC, 2.9% carboplatin </w:t>
            </w:r>
          </w:p>
          <w:p w14:paraId="138703B8" w14:textId="53308DC7" w:rsidR="00937714" w:rsidRPr="00873941" w:rsidRDefault="00937714" w:rsidP="00937714">
            <w:pPr>
              <w:pStyle w:val="TableText0"/>
              <w:keepNext w:val="0"/>
            </w:pPr>
            <w:proofErr w:type="spellStart"/>
            <w:r w:rsidRPr="00873941">
              <w:rPr>
                <w:u w:val="single"/>
              </w:rPr>
              <w:t>T+Chemo</w:t>
            </w:r>
            <w:proofErr w:type="spellEnd"/>
            <w:r w:rsidRPr="00873941">
              <w:rPr>
                <w:u w:val="single"/>
              </w:rPr>
              <w:t>:</w:t>
            </w:r>
            <w:r w:rsidRPr="00873941">
              <w:t xml:space="preserve"> 94.8% </w:t>
            </w:r>
            <w:proofErr w:type="spellStart"/>
            <w:r w:rsidRPr="00873941">
              <w:t>taxane</w:t>
            </w:r>
            <w:proofErr w:type="spellEnd"/>
            <w:r w:rsidRPr="00873941">
              <w:t xml:space="preserve"> + AC, 5.2% </w:t>
            </w:r>
            <w:proofErr w:type="spellStart"/>
            <w:r w:rsidRPr="00873941">
              <w:t>taxane</w:t>
            </w:r>
            <w:proofErr w:type="spellEnd"/>
            <w:r w:rsidRPr="00873941">
              <w:t xml:space="preserve"> without AC, 7.5% carboplatin </w:t>
            </w:r>
          </w:p>
        </w:tc>
        <w:tc>
          <w:tcPr>
            <w:tcW w:w="429" w:type="pct"/>
          </w:tcPr>
          <w:p w14:paraId="3DA676A5" w14:textId="08BBE4C3" w:rsidR="00937714" w:rsidRPr="00873941" w:rsidRDefault="00937714" w:rsidP="00937714">
            <w:pPr>
              <w:pStyle w:val="TableText0"/>
              <w:keepNext w:val="0"/>
            </w:pPr>
            <w:r w:rsidRPr="00873941">
              <w:t>Critical</w:t>
            </w:r>
          </w:p>
        </w:tc>
        <w:tc>
          <w:tcPr>
            <w:tcW w:w="1176" w:type="pct"/>
          </w:tcPr>
          <w:p w14:paraId="362278C0" w14:textId="77777777" w:rsidR="00937714" w:rsidRPr="00873941" w:rsidRDefault="00937714" w:rsidP="00937714">
            <w:pPr>
              <w:pStyle w:val="TableText0"/>
              <w:keepNext w:val="0"/>
            </w:pPr>
            <w:r w:rsidRPr="00873941">
              <w:t>≥18 years with histologically confirmed HER2-positive invasive BC, localised extent of disease (Stage II or III according to the AJCC 8th edition).</w:t>
            </w:r>
          </w:p>
        </w:tc>
        <w:tc>
          <w:tcPr>
            <w:tcW w:w="752" w:type="pct"/>
          </w:tcPr>
          <w:p w14:paraId="637F2B4D" w14:textId="77777777" w:rsidR="00937714" w:rsidRPr="00873941" w:rsidRDefault="00937714" w:rsidP="00937714">
            <w:pPr>
              <w:pStyle w:val="TableText0"/>
              <w:keepNext w:val="0"/>
            </w:pPr>
            <w:proofErr w:type="spellStart"/>
            <w:r w:rsidRPr="00873941">
              <w:t>bpCR</w:t>
            </w:r>
            <w:proofErr w:type="spellEnd"/>
            <w:r w:rsidRPr="00873941">
              <w:t xml:space="preserve">, </w:t>
            </w:r>
            <w:proofErr w:type="spellStart"/>
            <w:r w:rsidRPr="00873941">
              <w:t>tpCR</w:t>
            </w:r>
            <w:proofErr w:type="spellEnd"/>
            <w:r w:rsidRPr="00873941">
              <w:t>, safety, cardiotoxicity</w:t>
            </w:r>
          </w:p>
        </w:tc>
      </w:tr>
      <w:tr w:rsidR="00937714" w:rsidRPr="00873941" w14:paraId="0DCCFAD0" w14:textId="77777777" w:rsidTr="00937714">
        <w:tc>
          <w:tcPr>
            <w:tcW w:w="691" w:type="pct"/>
          </w:tcPr>
          <w:p w14:paraId="284ED75E" w14:textId="77777777" w:rsidR="00937714" w:rsidRPr="00873941" w:rsidRDefault="00937714" w:rsidP="00937714">
            <w:pPr>
              <w:pStyle w:val="TableText0"/>
              <w:keepNext w:val="0"/>
            </w:pPr>
            <w:r w:rsidRPr="00873941">
              <w:t>Hung (2022)</w:t>
            </w:r>
          </w:p>
        </w:tc>
        <w:tc>
          <w:tcPr>
            <w:tcW w:w="368" w:type="pct"/>
          </w:tcPr>
          <w:p w14:paraId="73A8E84B" w14:textId="77777777" w:rsidR="00937714" w:rsidRPr="00873941" w:rsidRDefault="00937714" w:rsidP="00937714">
            <w:pPr>
              <w:pStyle w:val="TableText0"/>
              <w:keepNext w:val="0"/>
              <w:jc w:val="center"/>
            </w:pPr>
            <w:r w:rsidRPr="00873941">
              <w:t>147</w:t>
            </w:r>
          </w:p>
        </w:tc>
        <w:tc>
          <w:tcPr>
            <w:tcW w:w="686" w:type="pct"/>
          </w:tcPr>
          <w:p w14:paraId="31E47976" w14:textId="77777777" w:rsidR="00937714" w:rsidRPr="00873941" w:rsidRDefault="00937714" w:rsidP="00937714">
            <w:pPr>
              <w:pStyle w:val="TableText0"/>
              <w:keepNext w:val="0"/>
            </w:pPr>
            <w:r w:rsidRPr="00873941">
              <w:t>Retro, cohort</w:t>
            </w:r>
          </w:p>
        </w:tc>
        <w:tc>
          <w:tcPr>
            <w:tcW w:w="899" w:type="pct"/>
          </w:tcPr>
          <w:p w14:paraId="25147338" w14:textId="2B43BBAC" w:rsidR="00937714" w:rsidRPr="00873941" w:rsidRDefault="00937714" w:rsidP="00937714">
            <w:pPr>
              <w:pStyle w:val="TableText0"/>
              <w:keepNext w:val="0"/>
            </w:pPr>
            <w:r w:rsidRPr="00873941">
              <w:t>AC 100%, docetaxel 100%</w:t>
            </w:r>
          </w:p>
        </w:tc>
        <w:tc>
          <w:tcPr>
            <w:tcW w:w="429" w:type="pct"/>
          </w:tcPr>
          <w:p w14:paraId="1C94EC89" w14:textId="60837D1D" w:rsidR="00937714" w:rsidRPr="00873941" w:rsidRDefault="00937714" w:rsidP="00937714">
            <w:pPr>
              <w:pStyle w:val="TableText0"/>
              <w:keepNext w:val="0"/>
            </w:pPr>
            <w:r w:rsidRPr="00873941">
              <w:t>Critical</w:t>
            </w:r>
          </w:p>
        </w:tc>
        <w:tc>
          <w:tcPr>
            <w:tcW w:w="1176" w:type="pct"/>
          </w:tcPr>
          <w:p w14:paraId="1842F84C" w14:textId="0979283B" w:rsidR="00937714" w:rsidRPr="00873941" w:rsidRDefault="00937714" w:rsidP="00937714">
            <w:pPr>
              <w:pStyle w:val="TableText0"/>
              <w:keepNext w:val="0"/>
            </w:pPr>
            <w:r w:rsidRPr="00873941">
              <w:t>Female HER2+ BC participants.</w:t>
            </w:r>
          </w:p>
        </w:tc>
        <w:tc>
          <w:tcPr>
            <w:tcW w:w="752" w:type="pct"/>
          </w:tcPr>
          <w:p w14:paraId="5C3C3BBF" w14:textId="77777777" w:rsidR="00937714" w:rsidRPr="00873941" w:rsidRDefault="00937714" w:rsidP="00937714">
            <w:pPr>
              <w:pStyle w:val="TableText0"/>
              <w:keepNext w:val="0"/>
            </w:pPr>
            <w:proofErr w:type="spellStart"/>
            <w:r w:rsidRPr="00873941">
              <w:t>tpCR</w:t>
            </w:r>
            <w:proofErr w:type="spellEnd"/>
            <w:r w:rsidRPr="00873941">
              <w:t>, DFS, OS</w:t>
            </w:r>
          </w:p>
        </w:tc>
      </w:tr>
      <w:tr w:rsidR="00937714" w:rsidRPr="00873941" w14:paraId="1A735B33" w14:textId="77777777" w:rsidTr="00937714">
        <w:tc>
          <w:tcPr>
            <w:tcW w:w="691" w:type="pct"/>
          </w:tcPr>
          <w:p w14:paraId="0BBEAAAC" w14:textId="77777777" w:rsidR="00937714" w:rsidRPr="00873941" w:rsidRDefault="00937714" w:rsidP="00937714">
            <w:pPr>
              <w:pStyle w:val="TableText0"/>
              <w:keepNext w:val="0"/>
            </w:pPr>
            <w:r w:rsidRPr="00873941">
              <w:t>Jiao (2024)</w:t>
            </w:r>
          </w:p>
        </w:tc>
        <w:tc>
          <w:tcPr>
            <w:tcW w:w="368" w:type="pct"/>
          </w:tcPr>
          <w:p w14:paraId="2CA6494D" w14:textId="77777777" w:rsidR="00937714" w:rsidRPr="00873941" w:rsidRDefault="00937714" w:rsidP="00937714">
            <w:pPr>
              <w:pStyle w:val="TableText0"/>
              <w:keepNext w:val="0"/>
              <w:jc w:val="center"/>
            </w:pPr>
            <w:r w:rsidRPr="00873941">
              <w:t>2,010</w:t>
            </w:r>
          </w:p>
        </w:tc>
        <w:tc>
          <w:tcPr>
            <w:tcW w:w="686" w:type="pct"/>
          </w:tcPr>
          <w:p w14:paraId="0256C706" w14:textId="77777777" w:rsidR="00937714" w:rsidRPr="00873941" w:rsidRDefault="00937714" w:rsidP="00937714">
            <w:pPr>
              <w:pStyle w:val="TableText0"/>
              <w:keepNext w:val="0"/>
            </w:pPr>
            <w:r w:rsidRPr="00873941">
              <w:t>Retro, cohort, MC</w:t>
            </w:r>
          </w:p>
        </w:tc>
        <w:tc>
          <w:tcPr>
            <w:tcW w:w="899" w:type="pct"/>
          </w:tcPr>
          <w:p w14:paraId="2F63B440" w14:textId="77777777" w:rsidR="00937714" w:rsidRPr="00873941" w:rsidRDefault="00937714" w:rsidP="00937714">
            <w:pPr>
              <w:pStyle w:val="TableText0"/>
              <w:keepNext w:val="0"/>
            </w:pPr>
            <w:proofErr w:type="spellStart"/>
            <w:r w:rsidRPr="00873941">
              <w:rPr>
                <w:u w:val="single"/>
              </w:rPr>
              <w:t>P+T+Chemo</w:t>
            </w:r>
            <w:proofErr w:type="spellEnd"/>
            <w:r w:rsidRPr="00873941">
              <w:rPr>
                <w:u w:val="single"/>
              </w:rPr>
              <w:t>:</w:t>
            </w:r>
            <w:r w:rsidRPr="00873941">
              <w:t xml:space="preserve"> 89.6% </w:t>
            </w:r>
            <w:proofErr w:type="spellStart"/>
            <w:r w:rsidRPr="00873941">
              <w:t>taxane</w:t>
            </w:r>
            <w:proofErr w:type="spellEnd"/>
            <w:r w:rsidRPr="00873941">
              <w:t xml:space="preserve">, 10.1% </w:t>
            </w:r>
            <w:proofErr w:type="spellStart"/>
            <w:r w:rsidRPr="00873941">
              <w:t>taxane</w:t>
            </w:r>
            <w:proofErr w:type="spellEnd"/>
            <w:r w:rsidRPr="00873941">
              <w:t xml:space="preserve"> + AC</w:t>
            </w:r>
          </w:p>
          <w:p w14:paraId="561DDF8F" w14:textId="1F06D89D" w:rsidR="00937714" w:rsidRPr="00873941" w:rsidRDefault="00937714" w:rsidP="00937714">
            <w:pPr>
              <w:pStyle w:val="TableText0"/>
              <w:keepNext w:val="0"/>
            </w:pPr>
            <w:proofErr w:type="spellStart"/>
            <w:r w:rsidRPr="00873941">
              <w:rPr>
                <w:u w:val="single"/>
              </w:rPr>
              <w:t>T+Chemo</w:t>
            </w:r>
            <w:proofErr w:type="spellEnd"/>
            <w:r w:rsidRPr="00873941">
              <w:rPr>
                <w:u w:val="single"/>
              </w:rPr>
              <w:t>:</w:t>
            </w:r>
            <w:r w:rsidRPr="00873941">
              <w:t xml:space="preserve"> 54.5% </w:t>
            </w:r>
            <w:proofErr w:type="spellStart"/>
            <w:r w:rsidRPr="00873941">
              <w:t>taxane</w:t>
            </w:r>
            <w:proofErr w:type="spellEnd"/>
            <w:r w:rsidRPr="00873941">
              <w:t xml:space="preserve">, 45.2% </w:t>
            </w:r>
            <w:proofErr w:type="spellStart"/>
            <w:r w:rsidRPr="00873941">
              <w:t>taxane</w:t>
            </w:r>
            <w:proofErr w:type="spellEnd"/>
            <w:r w:rsidRPr="00873941">
              <w:t xml:space="preserve"> + AC</w:t>
            </w:r>
          </w:p>
        </w:tc>
        <w:tc>
          <w:tcPr>
            <w:tcW w:w="429" w:type="pct"/>
          </w:tcPr>
          <w:p w14:paraId="53165B80" w14:textId="64B0BEF2" w:rsidR="00937714" w:rsidRPr="00873941" w:rsidRDefault="00937714" w:rsidP="00937714">
            <w:pPr>
              <w:pStyle w:val="TableText0"/>
              <w:keepNext w:val="0"/>
            </w:pPr>
            <w:r w:rsidRPr="00873941">
              <w:t>Critical</w:t>
            </w:r>
          </w:p>
        </w:tc>
        <w:tc>
          <w:tcPr>
            <w:tcW w:w="1176" w:type="pct"/>
          </w:tcPr>
          <w:p w14:paraId="1BC11338" w14:textId="5C2500CA" w:rsidR="00937714" w:rsidRPr="00873941" w:rsidRDefault="00937714" w:rsidP="00937714">
            <w:pPr>
              <w:pStyle w:val="TableText0"/>
              <w:keepNext w:val="0"/>
            </w:pPr>
            <w:r w:rsidRPr="00873941">
              <w:t xml:space="preserve">Participants 18-80 years of age with HER2-positive </w:t>
            </w:r>
            <w:proofErr w:type="spellStart"/>
            <w:r w:rsidRPr="00873941">
              <w:t>eBC</w:t>
            </w:r>
            <w:proofErr w:type="spellEnd"/>
            <w:r w:rsidRPr="00873941">
              <w:t>.</w:t>
            </w:r>
          </w:p>
        </w:tc>
        <w:tc>
          <w:tcPr>
            <w:tcW w:w="752" w:type="pct"/>
          </w:tcPr>
          <w:p w14:paraId="590B1D64" w14:textId="77777777" w:rsidR="00937714" w:rsidRPr="00873941" w:rsidRDefault="00937714" w:rsidP="00937714">
            <w:pPr>
              <w:pStyle w:val="TableText0"/>
              <w:keepNext w:val="0"/>
              <w:jc w:val="both"/>
            </w:pPr>
            <w:proofErr w:type="spellStart"/>
            <w:r w:rsidRPr="00873941">
              <w:t>tpCR</w:t>
            </w:r>
            <w:proofErr w:type="spellEnd"/>
            <w:r w:rsidRPr="00873941">
              <w:t>, DFS</w:t>
            </w:r>
          </w:p>
        </w:tc>
      </w:tr>
      <w:tr w:rsidR="00937714" w:rsidRPr="00873941" w14:paraId="289D532F" w14:textId="77777777" w:rsidTr="00937714">
        <w:tc>
          <w:tcPr>
            <w:tcW w:w="691" w:type="pct"/>
          </w:tcPr>
          <w:p w14:paraId="567E6D25" w14:textId="77777777" w:rsidR="00937714" w:rsidRPr="00873941" w:rsidRDefault="00937714" w:rsidP="00937714">
            <w:pPr>
              <w:pStyle w:val="TableText0"/>
              <w:keepNext w:val="0"/>
            </w:pPr>
            <w:r w:rsidRPr="00873941">
              <w:t>Little (2020)</w:t>
            </w:r>
          </w:p>
        </w:tc>
        <w:tc>
          <w:tcPr>
            <w:tcW w:w="368" w:type="pct"/>
          </w:tcPr>
          <w:p w14:paraId="4B2E186E" w14:textId="77777777" w:rsidR="00937714" w:rsidRPr="00873941" w:rsidRDefault="00937714" w:rsidP="00937714">
            <w:pPr>
              <w:pStyle w:val="TableText0"/>
              <w:keepNext w:val="0"/>
              <w:jc w:val="center"/>
            </w:pPr>
            <w:r w:rsidRPr="00873941">
              <w:t>176</w:t>
            </w:r>
          </w:p>
        </w:tc>
        <w:tc>
          <w:tcPr>
            <w:tcW w:w="686" w:type="pct"/>
          </w:tcPr>
          <w:p w14:paraId="426C14B2" w14:textId="77777777" w:rsidR="00937714" w:rsidRPr="00873941" w:rsidRDefault="00937714" w:rsidP="00937714">
            <w:pPr>
              <w:pStyle w:val="TableText0"/>
              <w:keepNext w:val="0"/>
            </w:pPr>
            <w:r w:rsidRPr="00873941">
              <w:t>Retro, case notes</w:t>
            </w:r>
          </w:p>
        </w:tc>
        <w:tc>
          <w:tcPr>
            <w:tcW w:w="899" w:type="pct"/>
          </w:tcPr>
          <w:p w14:paraId="6B9A47CB" w14:textId="77777777" w:rsidR="00937714" w:rsidRPr="00873941" w:rsidRDefault="00937714" w:rsidP="00937714">
            <w:pPr>
              <w:pStyle w:val="TableText0"/>
              <w:keepNext w:val="0"/>
            </w:pPr>
            <w:proofErr w:type="spellStart"/>
            <w:r w:rsidRPr="00873941">
              <w:rPr>
                <w:u w:val="single"/>
              </w:rPr>
              <w:t>P+T+Chemo</w:t>
            </w:r>
            <w:proofErr w:type="spellEnd"/>
            <w:r w:rsidRPr="00873941">
              <w:rPr>
                <w:u w:val="single"/>
              </w:rPr>
              <w:t xml:space="preserve">: </w:t>
            </w:r>
            <w:r w:rsidRPr="00873941">
              <w:t xml:space="preserve">48% AC + </w:t>
            </w:r>
            <w:proofErr w:type="spellStart"/>
            <w:r w:rsidRPr="00873941">
              <w:t>taxane</w:t>
            </w:r>
            <w:proofErr w:type="spellEnd"/>
            <w:r w:rsidRPr="00873941">
              <w:t xml:space="preserve">, 52% carboplatin + </w:t>
            </w:r>
            <w:proofErr w:type="spellStart"/>
            <w:r w:rsidRPr="00873941">
              <w:t>taxane</w:t>
            </w:r>
            <w:proofErr w:type="spellEnd"/>
          </w:p>
          <w:p w14:paraId="4762B73F" w14:textId="18C11695" w:rsidR="00937714" w:rsidRPr="00873941" w:rsidRDefault="00937714" w:rsidP="00937714">
            <w:pPr>
              <w:pStyle w:val="TableText0"/>
              <w:keepNext w:val="0"/>
            </w:pPr>
            <w:proofErr w:type="spellStart"/>
            <w:r w:rsidRPr="00873941">
              <w:rPr>
                <w:u w:val="single"/>
              </w:rPr>
              <w:t>T+Chemo</w:t>
            </w:r>
            <w:proofErr w:type="spellEnd"/>
            <w:r w:rsidRPr="00873941">
              <w:rPr>
                <w:u w:val="single"/>
              </w:rPr>
              <w:t>:</w:t>
            </w:r>
            <w:r w:rsidRPr="00873941">
              <w:t xml:space="preserve"> 100% AC + </w:t>
            </w:r>
            <w:proofErr w:type="spellStart"/>
            <w:r w:rsidRPr="00873941">
              <w:t>taxane</w:t>
            </w:r>
            <w:proofErr w:type="spellEnd"/>
          </w:p>
        </w:tc>
        <w:tc>
          <w:tcPr>
            <w:tcW w:w="429" w:type="pct"/>
          </w:tcPr>
          <w:p w14:paraId="311CC9C6" w14:textId="428C11E5" w:rsidR="00937714" w:rsidRPr="00873941" w:rsidRDefault="00937714" w:rsidP="00937714">
            <w:pPr>
              <w:pStyle w:val="TableText0"/>
              <w:keepNext w:val="0"/>
            </w:pPr>
            <w:r w:rsidRPr="00873941">
              <w:t>Critical</w:t>
            </w:r>
          </w:p>
        </w:tc>
        <w:tc>
          <w:tcPr>
            <w:tcW w:w="1176" w:type="pct"/>
          </w:tcPr>
          <w:p w14:paraId="38757B42" w14:textId="77777777" w:rsidR="00937714" w:rsidRPr="00873941" w:rsidRDefault="00937714" w:rsidP="00937714">
            <w:pPr>
              <w:pStyle w:val="TableText0"/>
              <w:keepNext w:val="0"/>
            </w:pPr>
            <w:r w:rsidRPr="00873941">
              <w:t>Stage 1-3 HER2+ BC.</w:t>
            </w:r>
          </w:p>
        </w:tc>
        <w:tc>
          <w:tcPr>
            <w:tcW w:w="752" w:type="pct"/>
          </w:tcPr>
          <w:p w14:paraId="0E067403" w14:textId="77777777" w:rsidR="00937714" w:rsidRPr="00873941" w:rsidRDefault="00937714" w:rsidP="00937714">
            <w:pPr>
              <w:pStyle w:val="TableText0"/>
              <w:keepNext w:val="0"/>
            </w:pPr>
            <w:proofErr w:type="spellStart"/>
            <w:r w:rsidRPr="00873941">
              <w:t>tpCR</w:t>
            </w:r>
            <w:proofErr w:type="spellEnd"/>
          </w:p>
        </w:tc>
      </w:tr>
      <w:tr w:rsidR="00937714" w:rsidRPr="00873941" w14:paraId="1D053C5E" w14:textId="77777777" w:rsidTr="00937714">
        <w:tc>
          <w:tcPr>
            <w:tcW w:w="691" w:type="pct"/>
          </w:tcPr>
          <w:p w14:paraId="368CFF7A" w14:textId="77777777" w:rsidR="00937714" w:rsidRPr="00873941" w:rsidRDefault="00937714" w:rsidP="00937714">
            <w:pPr>
              <w:pStyle w:val="TableText0"/>
              <w:keepNext w:val="0"/>
            </w:pPr>
            <w:r w:rsidRPr="00873941">
              <w:lastRenderedPageBreak/>
              <w:t>Spring (2018)</w:t>
            </w:r>
          </w:p>
        </w:tc>
        <w:tc>
          <w:tcPr>
            <w:tcW w:w="368" w:type="pct"/>
          </w:tcPr>
          <w:p w14:paraId="5A31B725" w14:textId="77777777" w:rsidR="00937714" w:rsidRPr="00873941" w:rsidRDefault="00937714" w:rsidP="00937714">
            <w:pPr>
              <w:pStyle w:val="TableText0"/>
              <w:keepNext w:val="0"/>
              <w:jc w:val="center"/>
            </w:pPr>
            <w:r w:rsidRPr="00873941">
              <w:t>121</w:t>
            </w:r>
          </w:p>
        </w:tc>
        <w:tc>
          <w:tcPr>
            <w:tcW w:w="686" w:type="pct"/>
          </w:tcPr>
          <w:p w14:paraId="404BFFC0" w14:textId="77777777" w:rsidR="00937714" w:rsidRPr="00873941" w:rsidRDefault="00937714" w:rsidP="00937714">
            <w:pPr>
              <w:pStyle w:val="TableText0"/>
              <w:keepNext w:val="0"/>
            </w:pPr>
            <w:r w:rsidRPr="00873941">
              <w:t>Retro, record review, MC</w:t>
            </w:r>
          </w:p>
        </w:tc>
        <w:tc>
          <w:tcPr>
            <w:tcW w:w="899" w:type="pct"/>
          </w:tcPr>
          <w:p w14:paraId="129747C6" w14:textId="77777777" w:rsidR="00937714" w:rsidRPr="00873941" w:rsidRDefault="00937714" w:rsidP="00937714">
            <w:pPr>
              <w:pStyle w:val="TableText0"/>
              <w:keepNext w:val="0"/>
            </w:pPr>
            <w:r w:rsidRPr="00873941">
              <w:rPr>
                <w:u w:val="single"/>
              </w:rPr>
              <w:t xml:space="preserve">AC, </w:t>
            </w:r>
            <w:proofErr w:type="spellStart"/>
            <w:r w:rsidRPr="00873941">
              <w:rPr>
                <w:u w:val="single"/>
              </w:rPr>
              <w:t>P+T+Chemo</w:t>
            </w:r>
            <w:proofErr w:type="spellEnd"/>
            <w:r w:rsidRPr="00873941">
              <w:rPr>
                <w:u w:val="single"/>
              </w:rPr>
              <w:t>:</w:t>
            </w:r>
            <w:r w:rsidRPr="00873941">
              <w:t xml:space="preserve"> AC then </w:t>
            </w:r>
            <w:proofErr w:type="spellStart"/>
            <w:r w:rsidRPr="00873941">
              <w:t>taxane</w:t>
            </w:r>
            <w:proofErr w:type="spellEnd"/>
          </w:p>
          <w:p w14:paraId="50A938A4" w14:textId="77777777" w:rsidR="00937714" w:rsidRPr="00873941" w:rsidRDefault="00937714" w:rsidP="00937714">
            <w:pPr>
              <w:pStyle w:val="TableText0"/>
              <w:keepNext w:val="0"/>
            </w:pPr>
            <w:proofErr w:type="spellStart"/>
            <w:r w:rsidRPr="00873941">
              <w:rPr>
                <w:u w:val="single"/>
              </w:rPr>
              <w:t>P+T+Chemo</w:t>
            </w:r>
            <w:proofErr w:type="spellEnd"/>
            <w:r w:rsidRPr="00873941">
              <w:rPr>
                <w:u w:val="single"/>
              </w:rPr>
              <w:t>:</w:t>
            </w:r>
            <w:r w:rsidRPr="00873941">
              <w:t xml:space="preserve"> 60.4% </w:t>
            </w:r>
            <w:proofErr w:type="spellStart"/>
            <w:r w:rsidRPr="00873941">
              <w:t>taxane</w:t>
            </w:r>
            <w:proofErr w:type="spellEnd"/>
            <w:r w:rsidRPr="00873941">
              <w:t xml:space="preserve">, 39.6% </w:t>
            </w:r>
            <w:proofErr w:type="spellStart"/>
            <w:r w:rsidRPr="00873941">
              <w:t>taxane</w:t>
            </w:r>
            <w:proofErr w:type="spellEnd"/>
            <w:r w:rsidRPr="00873941">
              <w:t xml:space="preserve"> + carboplatin</w:t>
            </w:r>
          </w:p>
          <w:p w14:paraId="3E9F4583" w14:textId="06EED0E3" w:rsidR="00937714" w:rsidRPr="00873941" w:rsidRDefault="00937714" w:rsidP="00937714">
            <w:pPr>
              <w:pStyle w:val="TableText0"/>
              <w:keepNext w:val="0"/>
            </w:pPr>
            <w:proofErr w:type="spellStart"/>
            <w:r w:rsidRPr="00873941">
              <w:rPr>
                <w:u w:val="single"/>
              </w:rPr>
              <w:t>T+Chemo</w:t>
            </w:r>
            <w:proofErr w:type="spellEnd"/>
            <w:r w:rsidRPr="00873941">
              <w:rPr>
                <w:u w:val="single"/>
              </w:rPr>
              <w:t>:</w:t>
            </w:r>
            <w:r w:rsidRPr="00873941">
              <w:t xml:space="preserve"> AC then </w:t>
            </w:r>
            <w:proofErr w:type="spellStart"/>
            <w:r w:rsidRPr="00873941">
              <w:t>taxane</w:t>
            </w:r>
            <w:proofErr w:type="spellEnd"/>
          </w:p>
        </w:tc>
        <w:tc>
          <w:tcPr>
            <w:tcW w:w="429" w:type="pct"/>
          </w:tcPr>
          <w:p w14:paraId="7F3A877B" w14:textId="12D037C2" w:rsidR="00937714" w:rsidRPr="00873941" w:rsidRDefault="00937714" w:rsidP="00937714">
            <w:pPr>
              <w:pStyle w:val="TableText0"/>
              <w:keepNext w:val="0"/>
            </w:pPr>
            <w:r w:rsidRPr="00873941">
              <w:t>Critical</w:t>
            </w:r>
          </w:p>
        </w:tc>
        <w:tc>
          <w:tcPr>
            <w:tcW w:w="1176" w:type="pct"/>
          </w:tcPr>
          <w:p w14:paraId="036C722C" w14:textId="0E343053" w:rsidR="00937714" w:rsidRPr="00873941" w:rsidRDefault="00937714" w:rsidP="00937714">
            <w:pPr>
              <w:pStyle w:val="TableText0"/>
              <w:keepNext w:val="0"/>
            </w:pPr>
            <w:r w:rsidRPr="00873941">
              <w:t>Participants with HER2-positive invasive BC (Stage I-III).</w:t>
            </w:r>
          </w:p>
        </w:tc>
        <w:tc>
          <w:tcPr>
            <w:tcW w:w="752" w:type="pct"/>
          </w:tcPr>
          <w:p w14:paraId="7264B874" w14:textId="77777777" w:rsidR="00937714" w:rsidRPr="00873941" w:rsidRDefault="00937714" w:rsidP="00937714">
            <w:pPr>
              <w:pStyle w:val="TableText0"/>
              <w:keepNext w:val="0"/>
            </w:pPr>
            <w:proofErr w:type="spellStart"/>
            <w:r w:rsidRPr="00873941">
              <w:t>tpCR</w:t>
            </w:r>
            <w:proofErr w:type="spellEnd"/>
            <w:r w:rsidRPr="00873941">
              <w:t>, tolerability, dose reduction or delay, discontinuation, hospitalisation</w:t>
            </w:r>
          </w:p>
        </w:tc>
      </w:tr>
      <w:tr w:rsidR="00937714" w:rsidRPr="00873941" w14:paraId="40DED1F8" w14:textId="77777777" w:rsidTr="00937714">
        <w:tc>
          <w:tcPr>
            <w:tcW w:w="691" w:type="pct"/>
          </w:tcPr>
          <w:p w14:paraId="6CE9B04C" w14:textId="77777777" w:rsidR="00937714" w:rsidRPr="00873941" w:rsidRDefault="00937714" w:rsidP="00937714">
            <w:pPr>
              <w:pStyle w:val="TableText0"/>
              <w:keepNext w:val="0"/>
            </w:pPr>
            <w:r w:rsidRPr="00873941">
              <w:t>Van der Voort (2022)</w:t>
            </w:r>
          </w:p>
        </w:tc>
        <w:tc>
          <w:tcPr>
            <w:tcW w:w="368" w:type="pct"/>
          </w:tcPr>
          <w:p w14:paraId="5C1D3EC1" w14:textId="77777777" w:rsidR="00937714" w:rsidRPr="00873941" w:rsidRDefault="00937714" w:rsidP="00937714">
            <w:pPr>
              <w:pStyle w:val="TableText0"/>
              <w:keepNext w:val="0"/>
              <w:jc w:val="center"/>
            </w:pPr>
            <w:r w:rsidRPr="00873941">
              <w:t>1,124</w:t>
            </w:r>
          </w:p>
        </w:tc>
        <w:tc>
          <w:tcPr>
            <w:tcW w:w="686" w:type="pct"/>
          </w:tcPr>
          <w:p w14:paraId="68FD68B9" w14:textId="77777777" w:rsidR="00937714" w:rsidRPr="00873941" w:rsidRDefault="00937714" w:rsidP="00937714">
            <w:pPr>
              <w:pStyle w:val="TableText0"/>
              <w:keepNext w:val="0"/>
            </w:pPr>
            <w:r w:rsidRPr="00873941">
              <w:t>Cohort, registry</w:t>
            </w:r>
          </w:p>
        </w:tc>
        <w:tc>
          <w:tcPr>
            <w:tcW w:w="899" w:type="pct"/>
          </w:tcPr>
          <w:p w14:paraId="58F7D628" w14:textId="77777777" w:rsidR="00937714" w:rsidRPr="00873941" w:rsidRDefault="00937714" w:rsidP="00937714">
            <w:pPr>
              <w:pStyle w:val="TableText0"/>
              <w:keepNext w:val="0"/>
            </w:pPr>
            <w:proofErr w:type="spellStart"/>
            <w:r w:rsidRPr="00873941">
              <w:rPr>
                <w:u w:val="single"/>
              </w:rPr>
              <w:t>P+T+Chemo</w:t>
            </w:r>
            <w:proofErr w:type="spellEnd"/>
            <w:r w:rsidRPr="00873941">
              <w:rPr>
                <w:u w:val="single"/>
              </w:rPr>
              <w:t>:</w:t>
            </w:r>
            <w:r w:rsidRPr="00873941">
              <w:t xml:space="preserve"> 52.5% AC</w:t>
            </w:r>
          </w:p>
          <w:p w14:paraId="5CA76FA6" w14:textId="36DF9DB7" w:rsidR="00937714" w:rsidRPr="00873941" w:rsidRDefault="00937714" w:rsidP="00937714">
            <w:pPr>
              <w:pStyle w:val="TableText0"/>
              <w:keepNext w:val="0"/>
            </w:pPr>
            <w:proofErr w:type="spellStart"/>
            <w:r w:rsidRPr="00873941">
              <w:rPr>
                <w:u w:val="single"/>
              </w:rPr>
              <w:t>T+Chemo</w:t>
            </w:r>
            <w:proofErr w:type="spellEnd"/>
            <w:r w:rsidRPr="00873941">
              <w:rPr>
                <w:u w:val="single"/>
              </w:rPr>
              <w:t>:</w:t>
            </w:r>
            <w:r w:rsidRPr="00873941">
              <w:t xml:space="preserve"> 79.0% AC</w:t>
            </w:r>
          </w:p>
        </w:tc>
        <w:tc>
          <w:tcPr>
            <w:tcW w:w="429" w:type="pct"/>
          </w:tcPr>
          <w:p w14:paraId="1E732978" w14:textId="3BB23F83" w:rsidR="00937714" w:rsidRPr="00873941" w:rsidRDefault="00937714" w:rsidP="00937714">
            <w:pPr>
              <w:pStyle w:val="TableText0"/>
              <w:keepNext w:val="0"/>
            </w:pPr>
            <w:r w:rsidRPr="00873941">
              <w:t>Serious</w:t>
            </w:r>
          </w:p>
        </w:tc>
        <w:tc>
          <w:tcPr>
            <w:tcW w:w="1176" w:type="pct"/>
          </w:tcPr>
          <w:p w14:paraId="430AA53A" w14:textId="68D8AE19" w:rsidR="00937714" w:rsidRPr="00873941" w:rsidRDefault="00937714" w:rsidP="00937714">
            <w:pPr>
              <w:pStyle w:val="TableText0"/>
              <w:keepNext w:val="0"/>
            </w:pPr>
            <w:r w:rsidRPr="00873941">
              <w:t>Stage II-III HER2+ BC participants.</w:t>
            </w:r>
          </w:p>
        </w:tc>
        <w:tc>
          <w:tcPr>
            <w:tcW w:w="752" w:type="pct"/>
          </w:tcPr>
          <w:p w14:paraId="0A718A99" w14:textId="77777777" w:rsidR="00937714" w:rsidRPr="00873941" w:rsidRDefault="00937714" w:rsidP="00937714">
            <w:pPr>
              <w:pStyle w:val="TableText0"/>
              <w:keepNext w:val="0"/>
            </w:pPr>
            <w:proofErr w:type="spellStart"/>
            <w:r w:rsidRPr="00873941">
              <w:t>tpCR</w:t>
            </w:r>
            <w:proofErr w:type="spellEnd"/>
            <w:r w:rsidRPr="00873941">
              <w:t>, BCSS, OS</w:t>
            </w:r>
          </w:p>
        </w:tc>
      </w:tr>
      <w:tr w:rsidR="00937714" w:rsidRPr="00873941" w14:paraId="4025BAB3" w14:textId="77777777" w:rsidTr="00937714">
        <w:tc>
          <w:tcPr>
            <w:tcW w:w="691" w:type="pct"/>
          </w:tcPr>
          <w:p w14:paraId="3F29EE63" w14:textId="77777777" w:rsidR="00937714" w:rsidRPr="00873941" w:rsidRDefault="00937714" w:rsidP="00937714">
            <w:pPr>
              <w:pStyle w:val="TableText0"/>
              <w:keepNext w:val="0"/>
            </w:pPr>
            <w:r w:rsidRPr="00873941">
              <w:t>Vieira (2023)</w:t>
            </w:r>
          </w:p>
        </w:tc>
        <w:tc>
          <w:tcPr>
            <w:tcW w:w="368" w:type="pct"/>
          </w:tcPr>
          <w:p w14:paraId="46AB16E5" w14:textId="77777777" w:rsidR="00937714" w:rsidRPr="00873941" w:rsidRDefault="00937714" w:rsidP="00937714">
            <w:pPr>
              <w:pStyle w:val="TableText0"/>
              <w:keepNext w:val="0"/>
              <w:jc w:val="center"/>
            </w:pPr>
            <w:r w:rsidRPr="00873941">
              <w:t>94</w:t>
            </w:r>
          </w:p>
        </w:tc>
        <w:tc>
          <w:tcPr>
            <w:tcW w:w="686" w:type="pct"/>
          </w:tcPr>
          <w:p w14:paraId="2C9A1B3F" w14:textId="77777777" w:rsidR="00937714" w:rsidRPr="00873941" w:rsidRDefault="00937714" w:rsidP="00937714">
            <w:pPr>
              <w:pStyle w:val="TableText0"/>
              <w:keepNext w:val="0"/>
            </w:pPr>
            <w:r w:rsidRPr="00873941">
              <w:t>Retro, record review</w:t>
            </w:r>
          </w:p>
        </w:tc>
        <w:tc>
          <w:tcPr>
            <w:tcW w:w="899" w:type="pct"/>
          </w:tcPr>
          <w:p w14:paraId="2F140160" w14:textId="403B49C0" w:rsidR="00937714" w:rsidRPr="00873941" w:rsidRDefault="00937714" w:rsidP="00937714">
            <w:pPr>
              <w:pStyle w:val="TableText0"/>
              <w:keepNext w:val="0"/>
            </w:pPr>
            <w:r w:rsidRPr="00873941">
              <w:t xml:space="preserve">AC + </w:t>
            </w:r>
            <w:proofErr w:type="spellStart"/>
            <w:r w:rsidRPr="00873941">
              <w:t>taxane</w:t>
            </w:r>
            <w:proofErr w:type="spellEnd"/>
            <w:r w:rsidRPr="00873941">
              <w:t xml:space="preserve"> + cyclophosphamide</w:t>
            </w:r>
          </w:p>
        </w:tc>
        <w:tc>
          <w:tcPr>
            <w:tcW w:w="429" w:type="pct"/>
          </w:tcPr>
          <w:p w14:paraId="2D859046" w14:textId="3D891754" w:rsidR="00937714" w:rsidRPr="00873941" w:rsidRDefault="00937714" w:rsidP="00937714">
            <w:pPr>
              <w:pStyle w:val="TableText0"/>
              <w:keepNext w:val="0"/>
            </w:pPr>
            <w:r w:rsidRPr="00873941">
              <w:t>Critical</w:t>
            </w:r>
          </w:p>
        </w:tc>
        <w:tc>
          <w:tcPr>
            <w:tcW w:w="1176" w:type="pct"/>
          </w:tcPr>
          <w:p w14:paraId="77FCA372" w14:textId="77777777" w:rsidR="00937714" w:rsidRPr="00873941" w:rsidRDefault="00937714" w:rsidP="00937714">
            <w:pPr>
              <w:pStyle w:val="TableText0"/>
              <w:keepNext w:val="0"/>
            </w:pPr>
            <w:r w:rsidRPr="00873941">
              <w:t>Female adults with clinically diagnosed HER2+ Stage II-III, operable, locally advanced or inflammatory BC.</w:t>
            </w:r>
          </w:p>
        </w:tc>
        <w:tc>
          <w:tcPr>
            <w:tcW w:w="752" w:type="pct"/>
          </w:tcPr>
          <w:p w14:paraId="32173A56" w14:textId="77777777" w:rsidR="00937714" w:rsidRPr="00873941" w:rsidRDefault="00937714" w:rsidP="00937714">
            <w:pPr>
              <w:pStyle w:val="TableText0"/>
              <w:keepNext w:val="0"/>
            </w:pPr>
            <w:proofErr w:type="spellStart"/>
            <w:r w:rsidRPr="00873941">
              <w:t>tpCR</w:t>
            </w:r>
            <w:proofErr w:type="spellEnd"/>
            <w:r w:rsidRPr="00873941">
              <w:t>, safety</w:t>
            </w:r>
          </w:p>
        </w:tc>
      </w:tr>
      <w:tr w:rsidR="00937714" w:rsidRPr="00873941" w14:paraId="4606D5FA" w14:textId="77777777" w:rsidTr="00937714">
        <w:tc>
          <w:tcPr>
            <w:tcW w:w="691" w:type="pct"/>
          </w:tcPr>
          <w:p w14:paraId="02784D7B" w14:textId="77777777" w:rsidR="00937714" w:rsidRPr="00873941" w:rsidRDefault="00937714" w:rsidP="00937714">
            <w:pPr>
              <w:pStyle w:val="TableText0"/>
              <w:keepNext w:val="0"/>
            </w:pPr>
            <w:r w:rsidRPr="00873941">
              <w:t>NBRST (Whitworth 2022)</w:t>
            </w:r>
          </w:p>
        </w:tc>
        <w:tc>
          <w:tcPr>
            <w:tcW w:w="368" w:type="pct"/>
          </w:tcPr>
          <w:p w14:paraId="5C41231A" w14:textId="77777777" w:rsidR="00937714" w:rsidRPr="00873941" w:rsidRDefault="00937714" w:rsidP="00937714">
            <w:pPr>
              <w:pStyle w:val="TableText0"/>
              <w:keepNext w:val="0"/>
              <w:jc w:val="center"/>
            </w:pPr>
            <w:r w:rsidRPr="00873941">
              <w:t>295</w:t>
            </w:r>
          </w:p>
        </w:tc>
        <w:tc>
          <w:tcPr>
            <w:tcW w:w="686" w:type="pct"/>
          </w:tcPr>
          <w:p w14:paraId="49EC77DC" w14:textId="77777777" w:rsidR="00937714" w:rsidRPr="00873941" w:rsidRDefault="00937714" w:rsidP="00937714">
            <w:pPr>
              <w:pStyle w:val="TableText0"/>
              <w:keepNext w:val="0"/>
            </w:pPr>
            <w:r w:rsidRPr="00873941">
              <w:t>Prospective, observational, MC</w:t>
            </w:r>
          </w:p>
        </w:tc>
        <w:tc>
          <w:tcPr>
            <w:tcW w:w="899" w:type="pct"/>
          </w:tcPr>
          <w:p w14:paraId="0FBF147B" w14:textId="4F50BD6B" w:rsidR="00937714" w:rsidRPr="00873941" w:rsidRDefault="00937714" w:rsidP="00937714">
            <w:pPr>
              <w:pStyle w:val="TableText0"/>
              <w:keepNext w:val="0"/>
            </w:pPr>
            <w:r w:rsidRPr="00873941">
              <w:t xml:space="preserve">24.4% AC + </w:t>
            </w:r>
            <w:proofErr w:type="spellStart"/>
            <w:r w:rsidRPr="00873941">
              <w:t>taxane</w:t>
            </w:r>
            <w:proofErr w:type="spellEnd"/>
            <w:r w:rsidRPr="00873941">
              <w:t xml:space="preserve">, 69.2% </w:t>
            </w:r>
            <w:proofErr w:type="spellStart"/>
            <w:r w:rsidRPr="00873941">
              <w:t>taxane</w:t>
            </w:r>
            <w:proofErr w:type="spellEnd"/>
            <w:r w:rsidRPr="00873941">
              <w:t>, 6.4% other</w:t>
            </w:r>
          </w:p>
        </w:tc>
        <w:tc>
          <w:tcPr>
            <w:tcW w:w="429" w:type="pct"/>
          </w:tcPr>
          <w:p w14:paraId="30817931" w14:textId="677F8BC8" w:rsidR="00937714" w:rsidRPr="00873941" w:rsidRDefault="00937714" w:rsidP="00937714">
            <w:pPr>
              <w:pStyle w:val="TableText0"/>
              <w:keepNext w:val="0"/>
            </w:pPr>
            <w:r w:rsidRPr="00873941">
              <w:t>Critical</w:t>
            </w:r>
          </w:p>
        </w:tc>
        <w:tc>
          <w:tcPr>
            <w:tcW w:w="1176" w:type="pct"/>
          </w:tcPr>
          <w:p w14:paraId="721323B7" w14:textId="1F5698CF" w:rsidR="00937714" w:rsidRPr="00873941" w:rsidRDefault="00937714" w:rsidP="00937714">
            <w:pPr>
              <w:pStyle w:val="TableText0"/>
              <w:keepNext w:val="0"/>
            </w:pPr>
            <w:r w:rsidRPr="00873941">
              <w:t xml:space="preserve">Participants aged 18-90 years with </w:t>
            </w:r>
            <w:proofErr w:type="spellStart"/>
            <w:r w:rsidRPr="00873941">
              <w:t>eBC</w:t>
            </w:r>
            <w:proofErr w:type="spellEnd"/>
            <w:r w:rsidRPr="00873941">
              <w:t xml:space="preserve"> without metastatic disease.</w:t>
            </w:r>
          </w:p>
        </w:tc>
        <w:tc>
          <w:tcPr>
            <w:tcW w:w="752" w:type="pct"/>
          </w:tcPr>
          <w:p w14:paraId="634E184B" w14:textId="77777777" w:rsidR="00937714" w:rsidRPr="00873941" w:rsidRDefault="00937714" w:rsidP="00937714">
            <w:pPr>
              <w:pStyle w:val="TableText0"/>
              <w:keepNext w:val="0"/>
            </w:pPr>
            <w:proofErr w:type="spellStart"/>
            <w:r w:rsidRPr="00873941">
              <w:t>tpCR</w:t>
            </w:r>
            <w:proofErr w:type="spellEnd"/>
            <w:r w:rsidRPr="00873941">
              <w:t>, DMFS, OS</w:t>
            </w:r>
          </w:p>
        </w:tc>
      </w:tr>
    </w:tbl>
    <w:p w14:paraId="0F4BC4C5" w14:textId="77777777" w:rsidR="006D60FB" w:rsidRPr="00873941" w:rsidRDefault="006D60FB" w:rsidP="006D60FB">
      <w:pPr>
        <w:pStyle w:val="TableFigureFooter"/>
      </w:pPr>
      <w:r w:rsidRPr="00873941">
        <w:t>Source: Tables 2-4, 2-5, 2-16 &amp; 2-54, pp44, 51-52, 73-77 &amp; 122-126 of the resubmission.</w:t>
      </w:r>
    </w:p>
    <w:p w14:paraId="4647BC20" w14:textId="05E68A83" w:rsidR="00722939" w:rsidRPr="00873941" w:rsidRDefault="006D60FB" w:rsidP="006D60FB">
      <w:pPr>
        <w:pStyle w:val="TableFigureFooter"/>
      </w:pPr>
      <w:r w:rsidRPr="00873941">
        <w:t xml:space="preserve">AEs=adverse events; AR=adaptive randomisation; BC=breast cancer; BCSS=breast cancer specific survival; </w:t>
      </w:r>
      <w:proofErr w:type="spellStart"/>
      <w:r w:rsidRPr="00873941">
        <w:t>bpCR</w:t>
      </w:r>
      <w:proofErr w:type="spellEnd"/>
      <w:r w:rsidRPr="00873941">
        <w:t xml:space="preserve">=breast pathological complete response; DB=double blind; DDFS=distant disease free survival; DFS=disease free survival; DMFS= distant metastases free survival; DRFS=distant relapse free survival; </w:t>
      </w:r>
      <w:proofErr w:type="spellStart"/>
      <w:r w:rsidRPr="00873941">
        <w:t>eBC</w:t>
      </w:r>
      <w:proofErr w:type="spellEnd"/>
      <w:r w:rsidRPr="00873941">
        <w:t xml:space="preserve">=early breast cancer; EFS=event free survival; </w:t>
      </w:r>
      <w:r w:rsidR="00E84153" w:rsidRPr="00873941">
        <w:t xml:space="preserve">HER2 = human epidermal growth factor receptor 2; </w:t>
      </w:r>
      <w:r w:rsidRPr="00873941">
        <w:t xml:space="preserve">IHC=immunohistochemistry; ISH=in situ hybridisation; MC=multicentre; Mod.=moderate; OL=open label; OS=overall survival; </w:t>
      </w:r>
      <w:proofErr w:type="spellStart"/>
      <w:r w:rsidR="00E84153" w:rsidRPr="00873941">
        <w:t>P+T+Chemo</w:t>
      </w:r>
      <w:proofErr w:type="spellEnd"/>
      <w:r w:rsidR="00E84153" w:rsidRPr="00873941">
        <w:t xml:space="preserve"> = pertuzumab + trastuzumab + chemotherapy; </w:t>
      </w:r>
      <w:r w:rsidRPr="00873941">
        <w:t xml:space="preserve">PFS=progression free survival; R=randomised; Retro=retrospective; </w:t>
      </w:r>
      <w:proofErr w:type="spellStart"/>
      <w:r w:rsidRPr="00873941">
        <w:t>tpCR</w:t>
      </w:r>
      <w:proofErr w:type="spellEnd"/>
      <w:r w:rsidRPr="00873941">
        <w:t xml:space="preserve">=total pathological complete response; </w:t>
      </w:r>
      <w:proofErr w:type="spellStart"/>
      <w:r w:rsidR="00E84153" w:rsidRPr="00873941">
        <w:t>T+Chemo</w:t>
      </w:r>
      <w:proofErr w:type="spellEnd"/>
      <w:r w:rsidR="00E84153" w:rsidRPr="00873941">
        <w:t xml:space="preserve"> = trastuzumab + chemotherapy; </w:t>
      </w:r>
      <w:r w:rsidRPr="00873941">
        <w:t>yrs=years.</w:t>
      </w:r>
      <w:r w:rsidR="00722939" w:rsidRPr="00873941">
        <w:t xml:space="preserve"> </w:t>
      </w:r>
    </w:p>
    <w:p w14:paraId="163C9E8C" w14:textId="1E2A07C3" w:rsidR="00722939" w:rsidRPr="00873941" w:rsidRDefault="00722939" w:rsidP="00722939">
      <w:pPr>
        <w:pStyle w:val="TableFigureFooter"/>
      </w:pPr>
      <w:r w:rsidRPr="00873941">
        <w:rPr>
          <w:vertAlign w:val="superscript"/>
        </w:rPr>
        <w:t>a</w:t>
      </w:r>
      <w:r w:rsidRPr="00873941">
        <w:t xml:space="preserve"> Number of participants in arms relevant to the resubmission.</w:t>
      </w:r>
    </w:p>
    <w:p w14:paraId="6AC65ACA" w14:textId="2B690998" w:rsidR="006D60FB" w:rsidRPr="00873941" w:rsidRDefault="00722939" w:rsidP="00930908">
      <w:pPr>
        <w:pStyle w:val="TableFigureFooter"/>
      </w:pPr>
      <w:r w:rsidRPr="00873941">
        <w:rPr>
          <w:vertAlign w:val="superscript"/>
        </w:rPr>
        <w:t>b</w:t>
      </w:r>
      <w:r w:rsidRPr="00873941">
        <w:t xml:space="preserve"> </w:t>
      </w:r>
      <w:r w:rsidR="006D60FB" w:rsidRPr="00873941">
        <w:t xml:space="preserve">The NEOSPHERE, PEONY, and TRYPHAENA trials </w:t>
      </w:r>
      <w:r w:rsidRPr="00873941">
        <w:t xml:space="preserve">were </w:t>
      </w:r>
      <w:r w:rsidR="006D60FB" w:rsidRPr="00873941">
        <w:t xml:space="preserve">previously considered by the PBAC. A claim of superior comparative efficacy for </w:t>
      </w:r>
      <w:proofErr w:type="spellStart"/>
      <w:r w:rsidR="006D60FB" w:rsidRPr="00873941">
        <w:t>P+T+Chemo</w:t>
      </w:r>
      <w:proofErr w:type="spellEnd"/>
      <w:r w:rsidR="006D60FB" w:rsidRPr="00873941">
        <w:t xml:space="preserve"> vs </w:t>
      </w:r>
      <w:proofErr w:type="spellStart"/>
      <w:r w:rsidR="006D60FB" w:rsidRPr="00873941">
        <w:t>T+Chemo</w:t>
      </w:r>
      <w:proofErr w:type="spellEnd"/>
      <w:r w:rsidR="006D60FB" w:rsidRPr="00873941">
        <w:t xml:space="preserve"> was made on the outcome of pCR (based on the evidence presented in the 4 RCTs and 14 observational studies). A claim of inferior, yet manageable, comparative safety for </w:t>
      </w:r>
      <w:proofErr w:type="spellStart"/>
      <w:r w:rsidR="006D60FB" w:rsidRPr="00873941">
        <w:t>P+T+Chemo</w:t>
      </w:r>
      <w:proofErr w:type="spellEnd"/>
      <w:r w:rsidR="006D60FB" w:rsidRPr="00873941">
        <w:t xml:space="preserve"> vs </w:t>
      </w:r>
      <w:proofErr w:type="spellStart"/>
      <w:r w:rsidR="006D60FB" w:rsidRPr="00873941">
        <w:t>T+Chemo</w:t>
      </w:r>
      <w:proofErr w:type="spellEnd"/>
      <w:r w:rsidR="006D60FB" w:rsidRPr="00873941">
        <w:t xml:space="preserve"> was made based on the safety outcomes presented in the 4 RCTs and 14 observational studies).</w:t>
      </w:r>
    </w:p>
    <w:p w14:paraId="3729D2EB" w14:textId="77A1DC2A" w:rsidR="00317D77" w:rsidRPr="00873941" w:rsidRDefault="00317D77" w:rsidP="006139B4">
      <w:pPr>
        <w:pStyle w:val="3-BodyText"/>
      </w:pPr>
      <w:r w:rsidRPr="00873941">
        <w:t>In the previous PBAC submission, the ESC considered that the risk of bias in the NEOSPHERE and TRYPHAENA trials was moderate and the risk of bias in the PEONY trial was low (para. 6.10, pertuzumab PSD, March 2020 PBAC meeting). Similar to the NEOSPHERE and TRYPHAENA trials, the I-SPY2 trial was open-</w:t>
      </w:r>
      <w:r w:rsidR="000D3EDD" w:rsidRPr="00873941">
        <w:t>label,</w:t>
      </w:r>
      <w:r w:rsidRPr="00873941">
        <w:t xml:space="preserve"> and the primary endpoint (pCR) was assessed using resected tumours by local pathologists trained in the residual cancer burden method. T</w:t>
      </w:r>
      <w:r w:rsidR="00AC3EEF" w:rsidRPr="00873941">
        <w:t>herefore, t</w:t>
      </w:r>
      <w:r w:rsidRPr="00873941">
        <w:t xml:space="preserve">he resubmission proposed that the risk of bias in the I-SPY2 trial was moderate. The </w:t>
      </w:r>
      <w:r w:rsidR="00482D26" w:rsidRPr="00002E82">
        <w:t>evaluation considered</w:t>
      </w:r>
      <w:r w:rsidR="00482D26" w:rsidRPr="00873941">
        <w:t xml:space="preserve"> </w:t>
      </w:r>
      <w:r w:rsidRPr="00873941">
        <w:t>assessments of moderate risk of bias for the NEOSPHERE, I-SPY2, and TRYPHAENA trials and low risk of bias for the PEONY trial were reasonable.</w:t>
      </w:r>
    </w:p>
    <w:p w14:paraId="4B8E146E" w14:textId="37B59F89" w:rsidR="00317D77" w:rsidRPr="00873941" w:rsidRDefault="00317D77" w:rsidP="006139B4">
      <w:pPr>
        <w:pStyle w:val="3-BodyText"/>
      </w:pPr>
      <w:r w:rsidRPr="00873941">
        <w:t>The resubmission did not assess the risk of bias in the observational studies. The risk of bias in the observational studies was assess</w:t>
      </w:r>
      <w:r w:rsidR="00FD7C24" w:rsidRPr="00873941">
        <w:t>ed</w:t>
      </w:r>
      <w:r w:rsidRPr="00873941">
        <w:t xml:space="preserve"> during the evaluation and is presented in </w:t>
      </w:r>
      <w:r w:rsidRPr="00873941">
        <w:fldChar w:fldCharType="begin"/>
      </w:r>
      <w:r w:rsidRPr="00873941">
        <w:instrText xml:space="preserve"> REF _Ref184766834 \h  \* MERGEFORMAT </w:instrText>
      </w:r>
      <w:r w:rsidRPr="00873941">
        <w:fldChar w:fldCharType="separate"/>
      </w:r>
      <w:r w:rsidR="000B094B" w:rsidRPr="00873941">
        <w:t xml:space="preserve">Table </w:t>
      </w:r>
      <w:r w:rsidR="000B094B">
        <w:t>4</w:t>
      </w:r>
      <w:r w:rsidRPr="00873941">
        <w:fldChar w:fldCharType="end"/>
      </w:r>
      <w:r w:rsidRPr="00873941">
        <w:t>.</w:t>
      </w:r>
    </w:p>
    <w:p w14:paraId="03DD20C6" w14:textId="145AD4CD" w:rsidR="00CE2026" w:rsidRPr="00873941" w:rsidRDefault="00CE2026" w:rsidP="006139B4">
      <w:pPr>
        <w:pStyle w:val="3-BodyText"/>
      </w:pPr>
      <w:bookmarkStart w:id="28" w:name="_Ref184808301"/>
      <w:r w:rsidRPr="00873941">
        <w:t>Key differences in the RCT eligibility criteria were:</w:t>
      </w:r>
      <w:bookmarkEnd w:id="28"/>
    </w:p>
    <w:p w14:paraId="6E929261" w14:textId="7044A9CE" w:rsidR="00CE2026" w:rsidRPr="00873941" w:rsidRDefault="00AC3EEF" w:rsidP="00AD5A17">
      <w:pPr>
        <w:pStyle w:val="ListParagraph"/>
        <w:jc w:val="both"/>
      </w:pPr>
      <w:r w:rsidRPr="00873941">
        <w:rPr>
          <w:b/>
          <w:bCs/>
        </w:rPr>
        <w:lastRenderedPageBreak/>
        <w:t>Eastern Cooperative Oncology Group (</w:t>
      </w:r>
      <w:r w:rsidR="00CE2026" w:rsidRPr="00873941">
        <w:rPr>
          <w:b/>
          <w:bCs/>
        </w:rPr>
        <w:t>ECOG</w:t>
      </w:r>
      <w:r w:rsidRPr="00873941">
        <w:rPr>
          <w:b/>
          <w:bCs/>
        </w:rPr>
        <w:t>) performance</w:t>
      </w:r>
      <w:r w:rsidR="00CE2026" w:rsidRPr="00873941">
        <w:rPr>
          <w:b/>
          <w:bCs/>
        </w:rPr>
        <w:t xml:space="preserve"> status:</w:t>
      </w:r>
      <w:r w:rsidR="00CE2026" w:rsidRPr="00873941">
        <w:t xml:space="preserve"> The NEOSPHERE, PEONY and TRYPHAENA trials required participants to have an ECOG score of 0 or 1. The I-SPY2 trial did not restrict participants by ECOG status. </w:t>
      </w:r>
    </w:p>
    <w:p w14:paraId="08068595" w14:textId="77777777" w:rsidR="00CE2026" w:rsidRPr="00873941" w:rsidRDefault="00CE2026" w:rsidP="00AD5A17">
      <w:pPr>
        <w:pStyle w:val="ListParagraph"/>
        <w:jc w:val="both"/>
      </w:pPr>
      <w:r w:rsidRPr="00873941">
        <w:rPr>
          <w:b/>
          <w:bCs/>
        </w:rPr>
        <w:t>LVEF:</w:t>
      </w:r>
      <w:r w:rsidRPr="00873941">
        <w:t xml:space="preserve"> The NEOSPHERE, PEONY and TRYPHAENA trials required participants to have an LVEF ≥55. The I-SPY2 trial did not restrict participants by LVEF.</w:t>
      </w:r>
    </w:p>
    <w:p w14:paraId="5F2AA6B6" w14:textId="10EC8B69" w:rsidR="00CE2026" w:rsidRPr="00873941" w:rsidRDefault="00CE2026" w:rsidP="006139B4">
      <w:pPr>
        <w:pStyle w:val="3-BodyText"/>
      </w:pPr>
      <w:bookmarkStart w:id="29" w:name="_Ref184808307"/>
      <w:r w:rsidRPr="00873941">
        <w:t>Key differences in the RCT participant characteristics were:</w:t>
      </w:r>
      <w:bookmarkEnd w:id="29"/>
      <w:r w:rsidRPr="00873941">
        <w:t xml:space="preserve"> </w:t>
      </w:r>
    </w:p>
    <w:p w14:paraId="5C125339" w14:textId="77777777" w:rsidR="00CE2026" w:rsidRPr="00873941" w:rsidRDefault="00CE2026" w:rsidP="00AD5A17">
      <w:pPr>
        <w:pStyle w:val="ListParagraph"/>
        <w:jc w:val="both"/>
      </w:pPr>
      <w:r w:rsidRPr="00873941">
        <w:rPr>
          <w:b/>
          <w:bCs/>
        </w:rPr>
        <w:t>Race:</w:t>
      </w:r>
      <w:r w:rsidRPr="00873941">
        <w:t xml:space="preserve"> Participants in the NEOSPHERE, I-SPY2 and TRYPHAENA trials were predominantly Caucasian (≥72%) whereas all participants in the PEONY trial were Asian.</w:t>
      </w:r>
    </w:p>
    <w:p w14:paraId="228107DC" w14:textId="77777777" w:rsidR="0083568C" w:rsidRPr="00873941" w:rsidRDefault="0083568C" w:rsidP="0083568C">
      <w:pPr>
        <w:pStyle w:val="ListParagraph"/>
        <w:jc w:val="both"/>
      </w:pPr>
      <w:r w:rsidRPr="00873941">
        <w:rPr>
          <w:b/>
          <w:bCs/>
        </w:rPr>
        <w:t>Operable breast cancer:</w:t>
      </w:r>
      <w:r w:rsidRPr="00873941">
        <w:t xml:space="preserve"> Approximately 60% of participants in relevant arms of the NEOSPHERE trial had operable breast cancer, compared to approximately 70% in both arms of the PEONY trial, and between 64% and 73% of participants in relevant arms of the TRYPHAENA trial. The I-SPY2 trial did not report on this characteristic.</w:t>
      </w:r>
    </w:p>
    <w:p w14:paraId="460F9729" w14:textId="3129D3F9" w:rsidR="00CE2026" w:rsidRPr="00873941" w:rsidRDefault="00CE2026" w:rsidP="00AD5A17">
      <w:pPr>
        <w:pStyle w:val="ListParagraph"/>
        <w:jc w:val="both"/>
      </w:pPr>
      <w:r w:rsidRPr="00873941">
        <w:rPr>
          <w:b/>
          <w:bCs/>
        </w:rPr>
        <w:t>Inflammatory breast cancer</w:t>
      </w:r>
      <w:r w:rsidRPr="00873941">
        <w:t>: Between 7% and 9% of participants in relevant arms of the NEOSPHERE trial had inflammatory breast cancer, compared to 5% to 7% in relevant arms of the TRYPHAENA trials. The PEONY trial excluded participants with inflammatory breast cancer and the I-SPY2 trial did not report on this characteristic.</w:t>
      </w:r>
    </w:p>
    <w:p w14:paraId="6A548610" w14:textId="77777777" w:rsidR="00AC3EEF" w:rsidRPr="00873941" w:rsidRDefault="00AC3EEF" w:rsidP="00AD5A17">
      <w:pPr>
        <w:pStyle w:val="ListParagraph"/>
        <w:jc w:val="both"/>
      </w:pPr>
      <w:r w:rsidRPr="00873941">
        <w:rPr>
          <w:b/>
          <w:bCs/>
        </w:rPr>
        <w:t>Median tumour size:</w:t>
      </w:r>
      <w:r w:rsidRPr="00873941">
        <w:t xml:space="preserve"> The median tumour size at clinical breast examination ranged from 50-55 mm in relevant arms of the NEOSPHERE and TRYPHAENA trials, and 34-35 mm in the I-SPY2 trial. The PEONY trial did not report on this characteristic.</w:t>
      </w:r>
    </w:p>
    <w:p w14:paraId="3AEBA1AD" w14:textId="0319B82A" w:rsidR="0083568C" w:rsidRPr="00873941" w:rsidRDefault="0083568C" w:rsidP="0083568C">
      <w:pPr>
        <w:pStyle w:val="ListParagraph"/>
        <w:jc w:val="both"/>
      </w:pPr>
      <w:r w:rsidRPr="00873941">
        <w:rPr>
          <w:b/>
          <w:bCs/>
        </w:rPr>
        <w:t>Hormone receptor status:</w:t>
      </w:r>
      <w:r w:rsidRPr="00873941">
        <w:t xml:space="preserve"> Approximately 50% of participants were hormone (oestrogen or progesterone) receptor positive in the NEOSPHERE, PEONY, and TRYPHAENA trials. The rate was slightly higher in the I-SPY2 trial (63%). </w:t>
      </w:r>
    </w:p>
    <w:p w14:paraId="4FB26B44" w14:textId="1FF70CA8" w:rsidR="00CE2026" w:rsidRPr="00873941" w:rsidRDefault="00CE2026" w:rsidP="006139B4">
      <w:pPr>
        <w:pStyle w:val="3-BodyText"/>
      </w:pPr>
      <w:r w:rsidRPr="00873941">
        <w:t>There were differences in the number of neoadjuvant treatment cycles and the chemotherapy provided across the RCTs and observational studies</w:t>
      </w:r>
      <w:r w:rsidR="00C72653" w:rsidRPr="00873941">
        <w:t xml:space="preserve"> (</w:t>
      </w:r>
      <w:r w:rsidR="00C72653" w:rsidRPr="00873941">
        <w:fldChar w:fldCharType="begin"/>
      </w:r>
      <w:r w:rsidR="00C72653" w:rsidRPr="00873941">
        <w:instrText xml:space="preserve"> REF _Ref184766834 \h  \* MERGEFORMAT </w:instrText>
      </w:r>
      <w:r w:rsidR="00C72653" w:rsidRPr="00873941">
        <w:fldChar w:fldCharType="separate"/>
      </w:r>
      <w:r w:rsidR="000B094B" w:rsidRPr="00873941">
        <w:t xml:space="preserve">Table </w:t>
      </w:r>
      <w:r w:rsidR="000B094B">
        <w:t>4</w:t>
      </w:r>
      <w:r w:rsidR="00C72653" w:rsidRPr="00873941">
        <w:fldChar w:fldCharType="end"/>
      </w:r>
      <w:r w:rsidR="00C72653" w:rsidRPr="00873941">
        <w:t>)</w:t>
      </w:r>
      <w:r w:rsidRPr="00873941">
        <w:t>.</w:t>
      </w:r>
    </w:p>
    <w:p w14:paraId="6FB53ABB" w14:textId="27E3A3FF" w:rsidR="00CE2026" w:rsidRPr="00873941" w:rsidRDefault="00CE2026" w:rsidP="006139B4">
      <w:pPr>
        <w:pStyle w:val="3-BodyText"/>
      </w:pPr>
      <w:r w:rsidRPr="00873941">
        <w:t>There were differences in the definition of pCR across the RCTs and observational studies</w:t>
      </w:r>
      <w:r w:rsidR="009B50A0" w:rsidRPr="00873941">
        <w:t xml:space="preserve">. The different ways to define pCR are summarised in </w:t>
      </w:r>
      <w:r w:rsidR="009B50A0" w:rsidRPr="00873941">
        <w:fldChar w:fldCharType="begin"/>
      </w:r>
      <w:r w:rsidR="009B50A0" w:rsidRPr="00873941">
        <w:instrText xml:space="preserve"> REF _Ref184765852 \h </w:instrText>
      </w:r>
      <w:r w:rsidR="009B50A0" w:rsidRPr="00873941">
        <w:fldChar w:fldCharType="separate"/>
      </w:r>
      <w:r w:rsidR="000B094B" w:rsidRPr="00873941">
        <w:t xml:space="preserve">Table </w:t>
      </w:r>
      <w:r w:rsidR="000B094B">
        <w:rPr>
          <w:noProof/>
        </w:rPr>
        <w:t>5</w:t>
      </w:r>
      <w:r w:rsidR="009B50A0" w:rsidRPr="00873941">
        <w:fldChar w:fldCharType="end"/>
      </w:r>
      <w:r w:rsidRPr="00873941">
        <w:t xml:space="preserve">. </w:t>
      </w:r>
      <w:r w:rsidR="00902B89" w:rsidRPr="00873941">
        <w:t>Breast pathological complete response (</w:t>
      </w:r>
      <w:proofErr w:type="spellStart"/>
      <w:r w:rsidR="00902B89" w:rsidRPr="00873941">
        <w:t>bpCR</w:t>
      </w:r>
      <w:proofErr w:type="spellEnd"/>
      <w:r w:rsidR="00902B89" w:rsidRPr="00873941">
        <w:t xml:space="preserve">) was the primary outcome in the NEOSPHERE trial and the primary efficacy outcome in the TRYPHAENA trial. </w:t>
      </w:r>
      <w:r w:rsidR="009B50A0" w:rsidRPr="00873941">
        <w:t>Total pathological complete response (</w:t>
      </w:r>
      <w:proofErr w:type="spellStart"/>
      <w:r w:rsidR="009B50A0" w:rsidRPr="00873941">
        <w:t>tpCR</w:t>
      </w:r>
      <w:proofErr w:type="spellEnd"/>
      <w:r w:rsidR="009B50A0" w:rsidRPr="00873941">
        <w:t>) was the primary outcome in the PEONY and I-SPY2 trials and a secondary outcome in the NEOSPHERE and TRYPHAENA trials</w:t>
      </w:r>
      <w:r w:rsidR="00583230" w:rsidRPr="00873941">
        <w:t>, and</w:t>
      </w:r>
      <w:r w:rsidR="009B50A0" w:rsidRPr="00873941">
        <w:t xml:space="preserve"> was the outcome reported for the 14 observational studies.</w:t>
      </w:r>
    </w:p>
    <w:p w14:paraId="623EB79D" w14:textId="3A76FBCD" w:rsidR="009B50A0" w:rsidRPr="00873941" w:rsidRDefault="009B50A0" w:rsidP="009B50A0">
      <w:pPr>
        <w:pStyle w:val="Caption"/>
      </w:pPr>
      <w:bookmarkStart w:id="30" w:name="_Ref184765852"/>
      <w:r w:rsidRPr="00873941">
        <w:lastRenderedPageBreak/>
        <w:t xml:space="preserve">Table </w:t>
      </w:r>
      <w:r w:rsidR="00435D6D">
        <w:fldChar w:fldCharType="begin"/>
      </w:r>
      <w:r w:rsidR="00435D6D">
        <w:instrText xml:space="preserve"> SEQ Table \* ARABIC </w:instrText>
      </w:r>
      <w:r w:rsidR="00435D6D">
        <w:fldChar w:fldCharType="separate"/>
      </w:r>
      <w:r w:rsidR="000B094B">
        <w:rPr>
          <w:noProof/>
        </w:rPr>
        <w:t>5</w:t>
      </w:r>
      <w:r w:rsidR="00435D6D">
        <w:fldChar w:fldCharType="end"/>
      </w:r>
      <w:bookmarkEnd w:id="30"/>
      <w:r w:rsidRPr="00873941">
        <w:t>: Definitions of pCR</w:t>
      </w:r>
    </w:p>
    <w:tbl>
      <w:tblPr>
        <w:tblStyle w:val="TableGrid"/>
        <w:tblW w:w="5000" w:type="pct"/>
        <w:tblLook w:val="04A0" w:firstRow="1" w:lastRow="0" w:firstColumn="1" w:lastColumn="0" w:noHBand="0" w:noVBand="1"/>
        <w:tblCaption w:val="Table 5: Definitions of pCR"/>
      </w:tblPr>
      <w:tblGrid>
        <w:gridCol w:w="1951"/>
        <w:gridCol w:w="1219"/>
        <w:gridCol w:w="1219"/>
        <w:gridCol w:w="4628"/>
      </w:tblGrid>
      <w:tr w:rsidR="009B50A0" w:rsidRPr="00873941" w14:paraId="4934DE21" w14:textId="77777777" w:rsidTr="00357E0A">
        <w:tc>
          <w:tcPr>
            <w:tcW w:w="1082" w:type="pct"/>
            <w:vAlign w:val="center"/>
          </w:tcPr>
          <w:p w14:paraId="5B7790CB" w14:textId="77777777" w:rsidR="009B50A0" w:rsidRPr="00873941" w:rsidRDefault="009B50A0" w:rsidP="00357E0A">
            <w:pPr>
              <w:pStyle w:val="In-tableHeading"/>
              <w:rPr>
                <w:lang w:val="en-AU"/>
              </w:rPr>
            </w:pPr>
            <w:r w:rsidRPr="00873941">
              <w:rPr>
                <w:lang w:val="en-AU"/>
              </w:rPr>
              <w:t>Common name</w:t>
            </w:r>
          </w:p>
        </w:tc>
        <w:tc>
          <w:tcPr>
            <w:tcW w:w="676" w:type="pct"/>
          </w:tcPr>
          <w:p w14:paraId="14FAA3D3" w14:textId="77777777" w:rsidR="009B50A0" w:rsidRPr="00873941" w:rsidRDefault="009B50A0" w:rsidP="00357E0A">
            <w:pPr>
              <w:pStyle w:val="In-tableHeading"/>
              <w:rPr>
                <w:lang w:val="en-AU"/>
              </w:rPr>
            </w:pPr>
            <w:r w:rsidRPr="00873941">
              <w:rPr>
                <w:lang w:val="en-AU"/>
              </w:rPr>
              <w:t>Abbreviation</w:t>
            </w:r>
          </w:p>
        </w:tc>
        <w:tc>
          <w:tcPr>
            <w:tcW w:w="676" w:type="pct"/>
            <w:vAlign w:val="center"/>
          </w:tcPr>
          <w:p w14:paraId="6E6B9497" w14:textId="77777777" w:rsidR="009B50A0" w:rsidRPr="00873941" w:rsidRDefault="009B50A0" w:rsidP="00357E0A">
            <w:pPr>
              <w:pStyle w:val="In-tableHeading"/>
              <w:rPr>
                <w:lang w:val="en-AU"/>
              </w:rPr>
            </w:pPr>
            <w:r w:rsidRPr="00873941">
              <w:rPr>
                <w:lang w:val="en-AU"/>
              </w:rPr>
              <w:t>TMN code</w:t>
            </w:r>
          </w:p>
        </w:tc>
        <w:tc>
          <w:tcPr>
            <w:tcW w:w="2566" w:type="pct"/>
            <w:vAlign w:val="center"/>
          </w:tcPr>
          <w:p w14:paraId="303054E0" w14:textId="77777777" w:rsidR="009B50A0" w:rsidRPr="00873941" w:rsidRDefault="009B50A0" w:rsidP="00357E0A">
            <w:pPr>
              <w:pStyle w:val="In-tableHeading"/>
              <w:rPr>
                <w:lang w:val="en-AU"/>
              </w:rPr>
            </w:pPr>
            <w:r w:rsidRPr="00873941">
              <w:rPr>
                <w:lang w:val="en-AU"/>
              </w:rPr>
              <w:t>Definition</w:t>
            </w:r>
          </w:p>
        </w:tc>
      </w:tr>
      <w:tr w:rsidR="009B50A0" w:rsidRPr="00873941" w14:paraId="16583855" w14:textId="77777777" w:rsidTr="00357E0A">
        <w:tc>
          <w:tcPr>
            <w:tcW w:w="1082" w:type="pct"/>
          </w:tcPr>
          <w:p w14:paraId="0C3A8024" w14:textId="77777777" w:rsidR="009B50A0" w:rsidRPr="00873941" w:rsidRDefault="009B50A0" w:rsidP="00357E0A">
            <w:pPr>
              <w:pStyle w:val="TableText0"/>
            </w:pPr>
            <w:r w:rsidRPr="00873941">
              <w:t>Breast pathological complete response</w:t>
            </w:r>
          </w:p>
        </w:tc>
        <w:tc>
          <w:tcPr>
            <w:tcW w:w="676" w:type="pct"/>
          </w:tcPr>
          <w:p w14:paraId="3B52AAFD" w14:textId="77777777" w:rsidR="009B50A0" w:rsidRPr="00873941" w:rsidRDefault="009B50A0" w:rsidP="00357E0A">
            <w:pPr>
              <w:pStyle w:val="TableText0"/>
            </w:pPr>
            <w:proofErr w:type="spellStart"/>
            <w:r w:rsidRPr="00873941">
              <w:t>bpCR</w:t>
            </w:r>
            <w:proofErr w:type="spellEnd"/>
          </w:p>
        </w:tc>
        <w:tc>
          <w:tcPr>
            <w:tcW w:w="676" w:type="pct"/>
            <w:shd w:val="clear" w:color="auto" w:fill="auto"/>
          </w:tcPr>
          <w:p w14:paraId="6D767171" w14:textId="77777777" w:rsidR="009B50A0" w:rsidRPr="00873941" w:rsidRDefault="009B50A0" w:rsidP="00357E0A">
            <w:pPr>
              <w:pStyle w:val="TableText0"/>
            </w:pPr>
            <w:r w:rsidRPr="00873941">
              <w:t xml:space="preserve">ypT0/is </w:t>
            </w:r>
          </w:p>
        </w:tc>
        <w:tc>
          <w:tcPr>
            <w:tcW w:w="2566" w:type="pct"/>
            <w:shd w:val="clear" w:color="auto" w:fill="auto"/>
          </w:tcPr>
          <w:p w14:paraId="73EAEB77" w14:textId="77777777" w:rsidR="009B50A0" w:rsidRPr="00873941" w:rsidRDefault="009B50A0" w:rsidP="00357E0A">
            <w:pPr>
              <w:pStyle w:val="TableText0"/>
            </w:pPr>
            <w:r w:rsidRPr="00873941">
              <w:t>Absence of invasive cancer in breast (irrespective of carcinoma in situ). Invasive disease in lymph nodes is permitted.</w:t>
            </w:r>
          </w:p>
        </w:tc>
      </w:tr>
      <w:tr w:rsidR="009B50A0" w:rsidRPr="00873941" w14:paraId="615E7245" w14:textId="77777777" w:rsidTr="00357E0A">
        <w:tc>
          <w:tcPr>
            <w:tcW w:w="1082" w:type="pct"/>
          </w:tcPr>
          <w:p w14:paraId="5175D158" w14:textId="77777777" w:rsidR="009B50A0" w:rsidRPr="00873941" w:rsidRDefault="009B50A0" w:rsidP="00357E0A">
            <w:pPr>
              <w:pStyle w:val="TableText0"/>
            </w:pPr>
            <w:r w:rsidRPr="00873941">
              <w:t>Total pathological complete response</w:t>
            </w:r>
          </w:p>
        </w:tc>
        <w:tc>
          <w:tcPr>
            <w:tcW w:w="676" w:type="pct"/>
          </w:tcPr>
          <w:p w14:paraId="2FED0D36" w14:textId="77777777" w:rsidR="009B50A0" w:rsidRPr="00873941" w:rsidRDefault="009B50A0" w:rsidP="00357E0A">
            <w:pPr>
              <w:pStyle w:val="TableText0"/>
            </w:pPr>
            <w:proofErr w:type="spellStart"/>
            <w:r w:rsidRPr="00873941">
              <w:t>tpCR</w:t>
            </w:r>
            <w:proofErr w:type="spellEnd"/>
          </w:p>
        </w:tc>
        <w:tc>
          <w:tcPr>
            <w:tcW w:w="676" w:type="pct"/>
            <w:shd w:val="clear" w:color="auto" w:fill="auto"/>
          </w:tcPr>
          <w:p w14:paraId="3420AE34" w14:textId="77777777" w:rsidR="009B50A0" w:rsidRPr="00873941" w:rsidRDefault="009B50A0" w:rsidP="00357E0A">
            <w:pPr>
              <w:pStyle w:val="TableText0"/>
            </w:pPr>
            <w:r w:rsidRPr="00873941">
              <w:t>ypT0/is ypN0</w:t>
            </w:r>
          </w:p>
        </w:tc>
        <w:tc>
          <w:tcPr>
            <w:tcW w:w="2566" w:type="pct"/>
            <w:shd w:val="clear" w:color="auto" w:fill="auto"/>
          </w:tcPr>
          <w:p w14:paraId="64C7D5B5" w14:textId="77777777" w:rsidR="009B50A0" w:rsidRPr="00873941" w:rsidRDefault="009B50A0" w:rsidP="00357E0A">
            <w:pPr>
              <w:pStyle w:val="TableText0"/>
            </w:pPr>
            <w:r w:rsidRPr="00873941">
              <w:t>Absence of invasive cancer in breast and axillary nodes (irrespective of ductal carcinoma in situ).</w:t>
            </w:r>
          </w:p>
        </w:tc>
      </w:tr>
      <w:tr w:rsidR="009B50A0" w:rsidRPr="00873941" w14:paraId="440E740D" w14:textId="77777777" w:rsidTr="00357E0A">
        <w:tc>
          <w:tcPr>
            <w:tcW w:w="1082" w:type="pct"/>
          </w:tcPr>
          <w:p w14:paraId="7F52A205" w14:textId="77777777" w:rsidR="009B50A0" w:rsidRPr="00873941" w:rsidRDefault="009B50A0" w:rsidP="00357E0A">
            <w:pPr>
              <w:pStyle w:val="TableText0"/>
            </w:pPr>
            <w:r w:rsidRPr="00873941">
              <w:t>German Breast Group pathological complete response</w:t>
            </w:r>
          </w:p>
        </w:tc>
        <w:tc>
          <w:tcPr>
            <w:tcW w:w="676" w:type="pct"/>
          </w:tcPr>
          <w:p w14:paraId="201E9BAB" w14:textId="77777777" w:rsidR="009B50A0" w:rsidRPr="00873941" w:rsidRDefault="009B50A0" w:rsidP="00357E0A">
            <w:pPr>
              <w:pStyle w:val="TableText0"/>
            </w:pPr>
            <w:r w:rsidRPr="00873941">
              <w:t>GBG pCR</w:t>
            </w:r>
          </w:p>
        </w:tc>
        <w:tc>
          <w:tcPr>
            <w:tcW w:w="676" w:type="pct"/>
            <w:shd w:val="clear" w:color="auto" w:fill="auto"/>
          </w:tcPr>
          <w:p w14:paraId="5146C0B8" w14:textId="77777777" w:rsidR="009B50A0" w:rsidRPr="00873941" w:rsidRDefault="009B50A0" w:rsidP="00357E0A">
            <w:pPr>
              <w:pStyle w:val="TableText0"/>
            </w:pPr>
            <w:r w:rsidRPr="00873941">
              <w:t>ypT0 ypN0</w:t>
            </w:r>
          </w:p>
        </w:tc>
        <w:tc>
          <w:tcPr>
            <w:tcW w:w="2566" w:type="pct"/>
            <w:shd w:val="clear" w:color="auto" w:fill="auto"/>
          </w:tcPr>
          <w:p w14:paraId="225C2544" w14:textId="77777777" w:rsidR="009B50A0" w:rsidRPr="00873941" w:rsidRDefault="009B50A0" w:rsidP="00357E0A">
            <w:pPr>
              <w:pStyle w:val="TableText0"/>
            </w:pPr>
            <w:r w:rsidRPr="00873941">
              <w:t>Absence of invasive cancer and ductal carcinoma in situ in breast and axillary nodes.</w:t>
            </w:r>
          </w:p>
        </w:tc>
      </w:tr>
    </w:tbl>
    <w:p w14:paraId="7986E219" w14:textId="77777777" w:rsidR="009B50A0" w:rsidRPr="00873941" w:rsidRDefault="009B50A0" w:rsidP="009B50A0">
      <w:pPr>
        <w:pStyle w:val="TableFigureFooter"/>
      </w:pPr>
      <w:r w:rsidRPr="00873941">
        <w:t>Source: Table 2-17, p78 of the resubmission.</w:t>
      </w:r>
    </w:p>
    <w:p w14:paraId="469CCEF2" w14:textId="77777777" w:rsidR="009B50A0" w:rsidRPr="00873941" w:rsidRDefault="009B50A0" w:rsidP="009B50A0">
      <w:pPr>
        <w:pStyle w:val="TableFigureFooter"/>
      </w:pPr>
      <w:proofErr w:type="spellStart"/>
      <w:r w:rsidRPr="00873941">
        <w:t>bpCR</w:t>
      </w:r>
      <w:proofErr w:type="spellEnd"/>
      <w:r w:rsidRPr="00873941">
        <w:t xml:space="preserve">=breast pathological complete response; GBG=German Breast Group; pCR=pathological complete response; </w:t>
      </w:r>
      <w:proofErr w:type="spellStart"/>
      <w:r w:rsidRPr="00873941">
        <w:t>tpCR</w:t>
      </w:r>
      <w:proofErr w:type="spellEnd"/>
      <w:r w:rsidRPr="00873941">
        <w:t>=total pathological complete response.</w:t>
      </w:r>
    </w:p>
    <w:p w14:paraId="3473050D" w14:textId="77777777" w:rsidR="0083568C" w:rsidRPr="00873941" w:rsidRDefault="0083568C" w:rsidP="0083568C">
      <w:pPr>
        <w:rPr>
          <w:u w:val="single"/>
        </w:rPr>
      </w:pPr>
      <w:r w:rsidRPr="00873941">
        <w:rPr>
          <w:u w:val="single"/>
        </w:rPr>
        <w:t xml:space="preserve">Minimal clinically important difference (MCID) </w:t>
      </w:r>
    </w:p>
    <w:p w14:paraId="3B95843D" w14:textId="321311A8" w:rsidR="0083568C" w:rsidRPr="00873941" w:rsidRDefault="0083568C" w:rsidP="6C8D02EE">
      <w:pPr>
        <w:pStyle w:val="3-BodyText"/>
        <w:rPr>
          <w:i/>
          <w:iCs/>
        </w:rPr>
      </w:pPr>
      <w:bookmarkStart w:id="31" w:name="_Ref184808214"/>
      <w:bookmarkStart w:id="32" w:name="_Ref187427918"/>
      <w:r w:rsidRPr="00873941">
        <w:t xml:space="preserve">The resubmission proposed a minimal clinically important difference (MCID) for </w:t>
      </w:r>
      <w:proofErr w:type="spellStart"/>
      <w:r w:rsidRPr="00873941">
        <w:t>bpCR</w:t>
      </w:r>
      <w:proofErr w:type="spellEnd"/>
      <w:r w:rsidRPr="00873941">
        <w:t xml:space="preserve"> and </w:t>
      </w:r>
      <w:proofErr w:type="spellStart"/>
      <w:r w:rsidRPr="00873941">
        <w:t>tpCR</w:t>
      </w:r>
      <w:proofErr w:type="spellEnd"/>
      <w:r w:rsidRPr="00873941">
        <w:t xml:space="preserve"> of 15%</w:t>
      </w:r>
      <w:r w:rsidR="005B0119" w:rsidRPr="00873941">
        <w:t xml:space="preserve">. The 15% treatment difference </w:t>
      </w:r>
      <w:r w:rsidRPr="00873941">
        <w:t>was</w:t>
      </w:r>
      <w:r w:rsidR="005B0119" w:rsidRPr="00873941">
        <w:t xml:space="preserve"> originally</w:t>
      </w:r>
      <w:r w:rsidRPr="00873941">
        <w:t xml:space="preserve"> used to </w:t>
      </w:r>
      <w:r w:rsidR="00117574" w:rsidRPr="00873941">
        <w:t xml:space="preserve">determine </w:t>
      </w:r>
      <w:r w:rsidRPr="00873941">
        <w:t xml:space="preserve">the sample size </w:t>
      </w:r>
      <w:r w:rsidR="00117574" w:rsidRPr="00873941">
        <w:t>of</w:t>
      </w:r>
      <w:r w:rsidRPr="00873941">
        <w:t xml:space="preserve"> the NEOSPHERE and PEONY trials. The resubmission noted that the FDA and EMA considered that a marked difference in pCR is clinically significant. The resubmission claimed that the regulatory approval for pertuzumab (FDA and EMA) as well as health technology assessment (HTA) approvals were based on the statistically significant improvement in </w:t>
      </w:r>
      <w:proofErr w:type="spellStart"/>
      <w:r w:rsidRPr="00873941">
        <w:t>tpCR</w:t>
      </w:r>
      <w:proofErr w:type="spellEnd"/>
      <w:r w:rsidRPr="00873941">
        <w:t xml:space="preserve"> for </w:t>
      </w:r>
      <w:proofErr w:type="spellStart"/>
      <w:r w:rsidRPr="00873941">
        <w:t>P+T+Chemo</w:t>
      </w:r>
      <w:proofErr w:type="spellEnd"/>
      <w:r w:rsidRPr="00873941">
        <w:t xml:space="preserve"> (docetaxel) vs </w:t>
      </w:r>
      <w:proofErr w:type="spellStart"/>
      <w:r w:rsidRPr="00873941">
        <w:t>T+Chemo</w:t>
      </w:r>
      <w:proofErr w:type="spellEnd"/>
      <w:r w:rsidRPr="00873941">
        <w:t xml:space="preserve"> (docetaxel) in the NEOSPHERE trial; implying that this statistically significant difference was also clinically meaningful.</w:t>
      </w:r>
      <w:bookmarkEnd w:id="31"/>
      <w:r w:rsidRPr="00873941">
        <w:t xml:space="preserve"> </w:t>
      </w:r>
      <w:r w:rsidR="00C30983" w:rsidRPr="00873941">
        <w:t xml:space="preserve">The PBAC previously considered </w:t>
      </w:r>
      <w:r w:rsidR="000C7F5D" w:rsidRPr="00873941">
        <w:t xml:space="preserve">that </w:t>
      </w:r>
      <w:r w:rsidR="00C30983" w:rsidRPr="00873941">
        <w:t xml:space="preserve">the MCID of 15% was not adequately justified, noting the role of </w:t>
      </w:r>
      <w:proofErr w:type="spellStart"/>
      <w:r w:rsidR="00C30983" w:rsidRPr="00873941">
        <w:t>tpCR</w:t>
      </w:r>
      <w:proofErr w:type="spellEnd"/>
      <w:r w:rsidR="00C30983" w:rsidRPr="00873941">
        <w:t xml:space="preserve"> as a surrogate measure for patient relevant outcomes was unclear (para. 7.5, pertuzumab, March 2020 PBAC meeting).</w:t>
      </w:r>
      <w:bookmarkEnd w:id="32"/>
      <w:r w:rsidRPr="00873941">
        <w:rPr>
          <w:i/>
          <w:iCs/>
        </w:rPr>
        <w:t xml:space="preserve"> </w:t>
      </w:r>
    </w:p>
    <w:p w14:paraId="782296AD" w14:textId="74246658" w:rsidR="004C6DF4" w:rsidRPr="00873941" w:rsidRDefault="004C6DF4" w:rsidP="004C6DF4">
      <w:pPr>
        <w:rPr>
          <w:u w:val="single"/>
        </w:rPr>
      </w:pPr>
      <w:r w:rsidRPr="00873941">
        <w:rPr>
          <w:u w:val="single"/>
        </w:rPr>
        <w:t>Surrogate outcomes</w:t>
      </w:r>
    </w:p>
    <w:p w14:paraId="38F744F3" w14:textId="25BD7D41" w:rsidR="00C90B63" w:rsidRPr="00A3343C" w:rsidRDefault="00C90B63" w:rsidP="00BA297F">
      <w:pPr>
        <w:pStyle w:val="3-BodyText"/>
      </w:pPr>
      <w:r w:rsidRPr="00A3343C">
        <w:t xml:space="preserve">Appendix A assessed the clinical relevance of pCR as a surrogate measure for prevention of disease recurrence in patients with HER2 positive </w:t>
      </w:r>
      <w:proofErr w:type="spellStart"/>
      <w:r w:rsidRPr="00A3343C">
        <w:t>eBC</w:t>
      </w:r>
      <w:proofErr w:type="spellEnd"/>
      <w:r w:rsidRPr="00A3343C">
        <w:t xml:space="preserve"> who are being treated with HER2-targeted therapy in the neoadjuvant and adjuvant settings against the PBAC Framework (Appendix 5 of the PBAC guidelines). </w:t>
      </w:r>
      <w:r w:rsidR="003451F8" w:rsidRPr="00A3343C">
        <w:t>The document</w:t>
      </w:r>
      <w:r w:rsidRPr="00A3343C">
        <w:t xml:space="preserve"> included responses to the 4 sub-sections recommended in Appendix 5 of the PBAC guideline</w:t>
      </w:r>
      <w:r w:rsidR="00196230" w:rsidRPr="00A3343C">
        <w:t>:</w:t>
      </w:r>
    </w:p>
    <w:p w14:paraId="302B89E5" w14:textId="77777777" w:rsidR="00CF75E1" w:rsidRPr="00A3343C" w:rsidRDefault="00C90B63" w:rsidP="0007276C">
      <w:pPr>
        <w:pStyle w:val="ListParagraph"/>
        <w:ind w:left="1134"/>
        <w:jc w:val="both"/>
      </w:pPr>
      <w:r w:rsidRPr="00A3343C">
        <w:t>A5.1 - Define the proposed surrogate measure (PSM) and the target clinical outcome (TCO).</w:t>
      </w:r>
    </w:p>
    <w:p w14:paraId="5F3A6FDC" w14:textId="1C9D9BD3" w:rsidR="00C90B63" w:rsidRPr="00A3343C" w:rsidRDefault="00C90B63" w:rsidP="0007276C">
      <w:pPr>
        <w:pStyle w:val="ListParagraph"/>
        <w:numPr>
          <w:ilvl w:val="0"/>
          <w:numId w:val="0"/>
        </w:numPr>
        <w:ind w:left="1134"/>
        <w:jc w:val="both"/>
      </w:pPr>
      <w:r w:rsidRPr="00A3343C">
        <w:t>The PSM was described as pCR and was defined as the absence of residual invasive cancer in the resected breast specimen and in the axillary lymph nodes (ypT0/Tis ypN0). The definition of the PSM was consistent with the definition of total pathological complete response (</w:t>
      </w:r>
      <w:proofErr w:type="spellStart"/>
      <w:r w:rsidRPr="00A3343C">
        <w:t>tpCR</w:t>
      </w:r>
      <w:proofErr w:type="spellEnd"/>
      <w:r w:rsidRPr="00A3343C">
        <w:t xml:space="preserve">) used in the resubmission. The TCO was described as risk of recurrence, which was defined as a composite outcome of disease recurrence, disease free survival (DFS), event free survival (EFS), progression, or death due to any cause. DFS and EFS are surrogate outcomes for overall survival. </w:t>
      </w:r>
    </w:p>
    <w:p w14:paraId="40FA6497" w14:textId="77777777" w:rsidR="0007276C" w:rsidRPr="00A3343C" w:rsidRDefault="00C90B63" w:rsidP="0007276C">
      <w:pPr>
        <w:pStyle w:val="ListParagraph"/>
        <w:ind w:left="1134" w:hanging="357"/>
        <w:jc w:val="both"/>
      </w:pPr>
      <w:r w:rsidRPr="00A3343C">
        <w:t>A5.2 – Establish the biological reasoning for the link between the PSM and the TCO, including how pivotal the PSM is to the causation pathway of the TCO, and present epidemiological evidence to support this.</w:t>
      </w:r>
    </w:p>
    <w:p w14:paraId="6791C063" w14:textId="452913AA" w:rsidR="00C90B63" w:rsidRPr="00A3343C" w:rsidRDefault="00C90B63" w:rsidP="0007276C">
      <w:pPr>
        <w:pStyle w:val="ListParagraph"/>
        <w:numPr>
          <w:ilvl w:val="0"/>
          <w:numId w:val="0"/>
        </w:numPr>
        <w:ind w:left="1134"/>
        <w:jc w:val="both"/>
      </w:pPr>
      <w:r w:rsidRPr="00A3343C">
        <w:lastRenderedPageBreak/>
        <w:t xml:space="preserve">Appendix A concluded it was biologically plausible that patients known to have residual disease will face a higher risk that disease will manifest into invasive disease, and provided several references (Bonadonna 1993, Cameron 1997, Liedtke 2008, </w:t>
      </w:r>
      <w:proofErr w:type="spellStart"/>
      <w:r w:rsidRPr="00A3343C">
        <w:t>Mieog</w:t>
      </w:r>
      <w:proofErr w:type="spellEnd"/>
      <w:r w:rsidRPr="00A3343C">
        <w:t xml:space="preserve"> 2007). These references supported a link between residual disease following neoadjuvant treatment + surgery and survival.</w:t>
      </w:r>
    </w:p>
    <w:p w14:paraId="3D023366" w14:textId="3792EA5B" w:rsidR="00C90B63" w:rsidRPr="00A3343C" w:rsidRDefault="00C90B63" w:rsidP="009F71A8">
      <w:pPr>
        <w:pStyle w:val="ListParagraph"/>
        <w:numPr>
          <w:ilvl w:val="0"/>
          <w:numId w:val="0"/>
        </w:numPr>
        <w:ind w:left="1134"/>
        <w:jc w:val="both"/>
        <w:rPr>
          <w:snapToGrid/>
        </w:rPr>
      </w:pPr>
      <w:r w:rsidRPr="00A3343C">
        <w:rPr>
          <w:snapToGrid/>
        </w:rPr>
        <w:t xml:space="preserve">Appendix A conducted a pragmatic search of information to justify the relationship between pCR and the risk of disease recurrence specifically relating to pertuzumab and trastuzumab as neoadjuvant treatment for HER2+ </w:t>
      </w:r>
      <w:proofErr w:type="spellStart"/>
      <w:r w:rsidRPr="00A3343C">
        <w:rPr>
          <w:snapToGrid/>
        </w:rPr>
        <w:t>eBC</w:t>
      </w:r>
      <w:proofErr w:type="spellEnd"/>
      <w:r w:rsidRPr="00A3343C">
        <w:rPr>
          <w:snapToGrid/>
        </w:rPr>
        <w:t xml:space="preserve">. Swain 2020 (abstract) and Swain 2022 (journal article) were the only relevant results. </w:t>
      </w:r>
      <w:r w:rsidR="00CB03D0">
        <w:rPr>
          <w:snapToGrid/>
        </w:rPr>
        <w:t>R</w:t>
      </w:r>
      <w:r w:rsidRPr="00A3343C">
        <w:rPr>
          <w:snapToGrid/>
        </w:rPr>
        <w:t xml:space="preserve">esults from 3 economic models which </w:t>
      </w:r>
      <w:r w:rsidR="009F71A8" w:rsidRPr="00A3343C">
        <w:rPr>
          <w:snapToGrid/>
        </w:rPr>
        <w:t xml:space="preserve">reported </w:t>
      </w:r>
      <w:r w:rsidRPr="00A3343C">
        <w:rPr>
          <w:snapToGrid/>
        </w:rPr>
        <w:t xml:space="preserve">the relationship between pCR and disease recurrence following neoadjuvant treatment of </w:t>
      </w:r>
      <w:proofErr w:type="spellStart"/>
      <w:r w:rsidRPr="00A3343C">
        <w:rPr>
          <w:snapToGrid/>
        </w:rPr>
        <w:t>eBC</w:t>
      </w:r>
      <w:proofErr w:type="spellEnd"/>
      <w:r w:rsidRPr="00A3343C">
        <w:rPr>
          <w:snapToGrid/>
        </w:rPr>
        <w:t xml:space="preserve"> (not limited to pertuzumab and/or trastuzumab)</w:t>
      </w:r>
      <w:r w:rsidR="00CB03D0">
        <w:rPr>
          <w:snapToGrid/>
        </w:rPr>
        <w:t xml:space="preserve"> were also included</w:t>
      </w:r>
      <w:r w:rsidRPr="00A3343C">
        <w:rPr>
          <w:snapToGrid/>
        </w:rPr>
        <w:t xml:space="preserve">. </w:t>
      </w:r>
    </w:p>
    <w:p w14:paraId="187AA3E7" w14:textId="77777777" w:rsidR="00C90B63" w:rsidRPr="00A3343C" w:rsidRDefault="00C90B63" w:rsidP="009F71A8">
      <w:pPr>
        <w:pStyle w:val="ListParagraph"/>
        <w:ind w:left="1134"/>
      </w:pPr>
      <w:r w:rsidRPr="00A3343C">
        <w:t>A5.3 – Present randomised trial evidence to support the nature of the PSM-TCO comparative treatment effect relationship.</w:t>
      </w:r>
    </w:p>
    <w:p w14:paraId="33EE9236" w14:textId="5C7B54C2" w:rsidR="00C90B63" w:rsidRPr="00A3343C" w:rsidRDefault="00C90B63" w:rsidP="00BB5389">
      <w:pPr>
        <w:pStyle w:val="3-BodyText"/>
        <w:numPr>
          <w:ilvl w:val="0"/>
          <w:numId w:val="0"/>
        </w:numPr>
        <w:spacing w:after="240"/>
        <w:ind w:left="1134"/>
      </w:pPr>
      <w:r w:rsidRPr="00A3343C">
        <w:t xml:space="preserve">Table 1 summarises the results from the PSM-TCO relationship across Swain 2022 and the 3 </w:t>
      </w:r>
      <w:r w:rsidR="009F319F" w:rsidRPr="00A3343C">
        <w:t>other references</w:t>
      </w:r>
      <w:r w:rsidRPr="00A3343C">
        <w:t>. All the included evidence appears to support the claim that achieving pCR reduces the risk of disease recurrence, although the magnitude of benefit differs across studies.</w:t>
      </w:r>
    </w:p>
    <w:p w14:paraId="613364DA" w14:textId="15F3EBD6" w:rsidR="00C90B63" w:rsidRPr="00A3343C" w:rsidRDefault="00597E63" w:rsidP="00C90B63">
      <w:pPr>
        <w:pStyle w:val="Caption"/>
      </w:pPr>
      <w:r w:rsidRPr="00A3343C">
        <w:t xml:space="preserve">Table </w:t>
      </w:r>
      <w:r>
        <w:fldChar w:fldCharType="begin"/>
      </w:r>
      <w:r>
        <w:instrText xml:space="preserve"> SEQ Table \* ARABIC </w:instrText>
      </w:r>
      <w:r>
        <w:fldChar w:fldCharType="separate"/>
      </w:r>
      <w:r w:rsidR="000B094B">
        <w:rPr>
          <w:noProof/>
        </w:rPr>
        <w:t>6</w:t>
      </w:r>
      <w:r>
        <w:fldChar w:fldCharType="end"/>
      </w:r>
      <w:r w:rsidRPr="00A3343C">
        <w:t xml:space="preserve">: </w:t>
      </w:r>
      <w:r w:rsidR="00C90B63" w:rsidRPr="00A3343C">
        <w:t>Summary of available evidence reported the risk of disease recurrence in patients with pCR at the neoadjuvant setting, irrespective of treatments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available evidence reported the risk of disease recurrence in patients with pCR at the neoadjuvant setting, irrespective of treatments received"/>
      </w:tblPr>
      <w:tblGrid>
        <w:gridCol w:w="958"/>
        <w:gridCol w:w="3708"/>
        <w:gridCol w:w="1992"/>
        <w:gridCol w:w="2359"/>
      </w:tblGrid>
      <w:tr w:rsidR="00C90B63" w:rsidRPr="00A3343C" w14:paraId="011E05A0" w14:textId="77777777" w:rsidTr="009F319F">
        <w:tc>
          <w:tcPr>
            <w:tcW w:w="958" w:type="dxa"/>
            <w:shd w:val="clear" w:color="auto" w:fill="auto"/>
          </w:tcPr>
          <w:p w14:paraId="0BB0D824" w14:textId="77777777" w:rsidR="00C90B63" w:rsidRPr="00A3343C" w:rsidRDefault="00C90B63" w:rsidP="00EF13AB">
            <w:pPr>
              <w:pStyle w:val="Subtitle"/>
              <w:jc w:val="left"/>
              <w:rPr>
                <w:rFonts w:ascii="Arial Narrow" w:hAnsi="Arial Narrow"/>
                <w:b/>
              </w:rPr>
            </w:pPr>
            <w:r w:rsidRPr="00A3343C">
              <w:rPr>
                <w:rFonts w:ascii="Arial Narrow" w:hAnsi="Arial Narrow"/>
                <w:b/>
              </w:rPr>
              <w:t>Study</w:t>
            </w:r>
          </w:p>
        </w:tc>
        <w:tc>
          <w:tcPr>
            <w:tcW w:w="3708" w:type="dxa"/>
            <w:shd w:val="clear" w:color="auto" w:fill="auto"/>
          </w:tcPr>
          <w:p w14:paraId="1A60817F" w14:textId="77777777" w:rsidR="00C90B63" w:rsidRPr="00A3343C" w:rsidRDefault="00C90B63" w:rsidP="00EF13AB">
            <w:pPr>
              <w:pStyle w:val="Subtitle"/>
              <w:jc w:val="left"/>
              <w:rPr>
                <w:rFonts w:ascii="Arial Narrow" w:hAnsi="Arial Narrow"/>
                <w:b/>
              </w:rPr>
            </w:pPr>
            <w:r w:rsidRPr="00A3343C">
              <w:rPr>
                <w:rFonts w:ascii="Arial Narrow" w:hAnsi="Arial Narrow"/>
                <w:b/>
              </w:rPr>
              <w:t>Study Features</w:t>
            </w:r>
          </w:p>
        </w:tc>
        <w:tc>
          <w:tcPr>
            <w:tcW w:w="1992" w:type="dxa"/>
            <w:shd w:val="clear" w:color="auto" w:fill="auto"/>
          </w:tcPr>
          <w:p w14:paraId="0354A342" w14:textId="77777777" w:rsidR="00C90B63" w:rsidRPr="00A3343C" w:rsidRDefault="00C90B63" w:rsidP="00EF13AB">
            <w:pPr>
              <w:pStyle w:val="Subtitle"/>
              <w:jc w:val="left"/>
              <w:rPr>
                <w:rFonts w:ascii="Arial Narrow" w:hAnsi="Arial Narrow"/>
                <w:b/>
              </w:rPr>
            </w:pPr>
            <w:r w:rsidRPr="00A3343C">
              <w:rPr>
                <w:rFonts w:ascii="Arial Narrow" w:hAnsi="Arial Narrow"/>
                <w:b/>
              </w:rPr>
              <w:t>HR for disease recurrence with pCR</w:t>
            </w:r>
          </w:p>
        </w:tc>
        <w:tc>
          <w:tcPr>
            <w:tcW w:w="2359" w:type="dxa"/>
            <w:shd w:val="clear" w:color="auto" w:fill="auto"/>
          </w:tcPr>
          <w:p w14:paraId="6107BE57" w14:textId="77777777" w:rsidR="00C90B63" w:rsidRPr="00A3343C" w:rsidRDefault="00C90B63" w:rsidP="00EF13AB">
            <w:pPr>
              <w:pStyle w:val="Subtitle"/>
              <w:jc w:val="left"/>
              <w:rPr>
                <w:rFonts w:ascii="Arial Narrow" w:hAnsi="Arial Narrow"/>
                <w:b/>
              </w:rPr>
            </w:pPr>
            <w:r w:rsidRPr="00A3343C">
              <w:rPr>
                <w:rFonts w:ascii="Arial Narrow" w:hAnsi="Arial Narrow"/>
                <w:b/>
              </w:rPr>
              <w:t>Source</w:t>
            </w:r>
          </w:p>
        </w:tc>
      </w:tr>
      <w:tr w:rsidR="00C90B63" w:rsidRPr="00A3343C" w14:paraId="1A6909D0" w14:textId="77777777" w:rsidTr="009F319F">
        <w:tc>
          <w:tcPr>
            <w:tcW w:w="958" w:type="dxa"/>
            <w:shd w:val="clear" w:color="auto" w:fill="auto"/>
          </w:tcPr>
          <w:p w14:paraId="77CA7276" w14:textId="77777777" w:rsidR="00C90B63" w:rsidRPr="00A3343C" w:rsidRDefault="00C90B63" w:rsidP="00EF13AB">
            <w:pPr>
              <w:pStyle w:val="Subtitle"/>
              <w:jc w:val="left"/>
              <w:rPr>
                <w:rFonts w:ascii="Arial Narrow" w:hAnsi="Arial Narrow"/>
                <w:bCs/>
              </w:rPr>
            </w:pPr>
            <w:r w:rsidRPr="00A3343C">
              <w:rPr>
                <w:rFonts w:ascii="Arial Narrow" w:hAnsi="Arial Narrow"/>
                <w:bCs/>
              </w:rPr>
              <w:t>Swain 2022</w:t>
            </w:r>
          </w:p>
        </w:tc>
        <w:tc>
          <w:tcPr>
            <w:tcW w:w="3708" w:type="dxa"/>
            <w:shd w:val="clear" w:color="auto" w:fill="auto"/>
          </w:tcPr>
          <w:p w14:paraId="2C960092" w14:textId="77777777" w:rsidR="00C90B63" w:rsidRPr="00A3343C" w:rsidRDefault="00C90B63" w:rsidP="00EF13AB">
            <w:pPr>
              <w:pStyle w:val="Subtitle"/>
              <w:jc w:val="left"/>
              <w:rPr>
                <w:rFonts w:ascii="Arial Narrow" w:hAnsi="Arial Narrow"/>
                <w:bCs/>
              </w:rPr>
            </w:pPr>
            <w:r w:rsidRPr="00A3343C">
              <w:rPr>
                <w:rFonts w:ascii="Arial Narrow" w:hAnsi="Arial Narrow"/>
                <w:bCs/>
              </w:rPr>
              <w:t>Five RCTs including 1763 patients with HER2+ EBC patients who received pertuzumab, trastuzumab or both in the neoadjuvant setting.</w:t>
            </w:r>
          </w:p>
        </w:tc>
        <w:tc>
          <w:tcPr>
            <w:tcW w:w="1992" w:type="dxa"/>
            <w:shd w:val="clear" w:color="auto" w:fill="auto"/>
          </w:tcPr>
          <w:p w14:paraId="11A0AF0B" w14:textId="77777777" w:rsidR="00C90B63" w:rsidRPr="00A3343C" w:rsidRDefault="00C90B63" w:rsidP="00EF13AB">
            <w:pPr>
              <w:pStyle w:val="Subtitle"/>
              <w:jc w:val="left"/>
              <w:rPr>
                <w:rFonts w:ascii="Arial Narrow" w:hAnsi="Arial Narrow"/>
                <w:bCs/>
              </w:rPr>
            </w:pPr>
            <w:r w:rsidRPr="00A3343C">
              <w:rPr>
                <w:rFonts w:ascii="Arial Narrow" w:hAnsi="Arial Narrow"/>
                <w:bCs/>
              </w:rPr>
              <w:t>0.35 (0.27–0.46)</w:t>
            </w:r>
          </w:p>
        </w:tc>
        <w:tc>
          <w:tcPr>
            <w:tcW w:w="2359" w:type="dxa"/>
            <w:shd w:val="clear" w:color="auto" w:fill="auto"/>
          </w:tcPr>
          <w:p w14:paraId="5C67EFD8" w14:textId="77777777" w:rsidR="00C90B63" w:rsidRPr="00A3343C" w:rsidRDefault="00C90B63" w:rsidP="00EF13AB">
            <w:pPr>
              <w:pStyle w:val="Subtitle"/>
              <w:jc w:val="left"/>
              <w:rPr>
                <w:rFonts w:ascii="Arial Narrow" w:hAnsi="Arial Narrow"/>
                <w:bCs/>
              </w:rPr>
            </w:pPr>
            <w:r w:rsidRPr="00A3343C">
              <w:rPr>
                <w:rFonts w:ascii="Arial Narrow" w:hAnsi="Arial Narrow"/>
                <w:bCs/>
              </w:rPr>
              <w:t>Swain 2022, Figure 1A</w:t>
            </w:r>
          </w:p>
        </w:tc>
      </w:tr>
      <w:tr w:rsidR="00C90B63" w:rsidRPr="00A3343C" w14:paraId="4FB14FDF" w14:textId="77777777" w:rsidTr="009F319F">
        <w:tc>
          <w:tcPr>
            <w:tcW w:w="958" w:type="dxa"/>
            <w:shd w:val="clear" w:color="auto" w:fill="auto"/>
          </w:tcPr>
          <w:p w14:paraId="4AAA29F5" w14:textId="77777777" w:rsidR="00C90B63" w:rsidRPr="00A3343C" w:rsidRDefault="00C90B63" w:rsidP="00EF13AB">
            <w:pPr>
              <w:pStyle w:val="Subtitle"/>
              <w:jc w:val="left"/>
              <w:rPr>
                <w:rFonts w:ascii="Arial Narrow" w:hAnsi="Arial Narrow"/>
                <w:bCs/>
              </w:rPr>
            </w:pPr>
            <w:proofErr w:type="spellStart"/>
            <w:r w:rsidRPr="00A3343C">
              <w:rPr>
                <w:rFonts w:ascii="Arial Narrow" w:hAnsi="Arial Narrow"/>
                <w:bCs/>
              </w:rPr>
              <w:t>Symmans</w:t>
            </w:r>
            <w:proofErr w:type="spellEnd"/>
            <w:r w:rsidRPr="00A3343C">
              <w:rPr>
                <w:rFonts w:ascii="Arial Narrow" w:hAnsi="Arial Narrow"/>
                <w:bCs/>
              </w:rPr>
              <w:t xml:space="preserve"> 2017</w:t>
            </w:r>
          </w:p>
        </w:tc>
        <w:tc>
          <w:tcPr>
            <w:tcW w:w="3708" w:type="dxa"/>
            <w:shd w:val="clear" w:color="auto" w:fill="auto"/>
          </w:tcPr>
          <w:p w14:paraId="7D187B16" w14:textId="77777777" w:rsidR="00C90B63" w:rsidRPr="00A3343C" w:rsidRDefault="00C90B63" w:rsidP="00EF13AB">
            <w:pPr>
              <w:pStyle w:val="Subtitle"/>
              <w:jc w:val="left"/>
              <w:rPr>
                <w:rFonts w:ascii="Arial Narrow" w:hAnsi="Arial Narrow"/>
                <w:bCs/>
              </w:rPr>
            </w:pPr>
            <w:r w:rsidRPr="00A3343C">
              <w:rPr>
                <w:rFonts w:ascii="Arial Narrow" w:hAnsi="Arial Narrow"/>
                <w:bCs/>
              </w:rPr>
              <w:t>Cohort study with prospective follow-up of patients to test the long-term prognostic performance of residual cancer burden after neoadjuvant chemotherapy</w:t>
            </w:r>
          </w:p>
        </w:tc>
        <w:tc>
          <w:tcPr>
            <w:tcW w:w="1992" w:type="dxa"/>
            <w:shd w:val="clear" w:color="auto" w:fill="auto"/>
          </w:tcPr>
          <w:p w14:paraId="2F36E817" w14:textId="77777777" w:rsidR="00C90B63" w:rsidRPr="00A3343C" w:rsidRDefault="00C90B63" w:rsidP="00EF13AB">
            <w:pPr>
              <w:keepNext/>
              <w:keepLines/>
              <w:pBdr>
                <w:top w:val="nil"/>
                <w:left w:val="nil"/>
                <w:bottom w:val="nil"/>
                <w:right w:val="nil"/>
                <w:between w:val="nil"/>
              </w:pBdr>
              <w:spacing w:after="20"/>
              <w:rPr>
                <w:rFonts w:ascii="Arial Narrow" w:hAnsi="Arial Narrow"/>
                <w:bCs/>
                <w:sz w:val="20"/>
              </w:rPr>
            </w:pPr>
            <w:r w:rsidRPr="00A3343C">
              <w:rPr>
                <w:rFonts w:ascii="Arial Narrow" w:hAnsi="Arial Narrow"/>
                <w:bCs/>
                <w:sz w:val="20"/>
              </w:rPr>
              <w:t>0.44 (0.34 to 0.58)</w:t>
            </w:r>
          </w:p>
          <w:p w14:paraId="68727FD0" w14:textId="77777777" w:rsidR="00C90B63" w:rsidRPr="00A3343C" w:rsidRDefault="00C90B63" w:rsidP="00EF13AB">
            <w:pPr>
              <w:pStyle w:val="Subtitle"/>
              <w:jc w:val="left"/>
              <w:rPr>
                <w:rFonts w:ascii="Arial Narrow" w:hAnsi="Arial Narrow"/>
                <w:bCs/>
              </w:rPr>
            </w:pPr>
            <w:r w:rsidRPr="00A3343C">
              <w:rPr>
                <w:rFonts w:ascii="Arial Narrow" w:hAnsi="Arial Narrow"/>
                <w:bCs/>
              </w:rPr>
              <w:t>0.52 (0.40 to 0.69)</w:t>
            </w:r>
          </w:p>
        </w:tc>
        <w:tc>
          <w:tcPr>
            <w:tcW w:w="2359" w:type="dxa"/>
            <w:shd w:val="clear" w:color="auto" w:fill="auto"/>
          </w:tcPr>
          <w:p w14:paraId="0B9E3704" w14:textId="77777777" w:rsidR="00C90B63" w:rsidRPr="00A3343C" w:rsidRDefault="00C90B63" w:rsidP="00EF13AB">
            <w:pPr>
              <w:pStyle w:val="Subtitle"/>
              <w:jc w:val="left"/>
              <w:rPr>
                <w:rFonts w:ascii="Arial Narrow" w:hAnsi="Arial Narrow"/>
                <w:bCs/>
              </w:rPr>
            </w:pPr>
            <w:r w:rsidRPr="00A3343C">
              <w:rPr>
                <w:rFonts w:ascii="Arial Narrow" w:hAnsi="Arial Narrow"/>
                <w:bCs/>
              </w:rPr>
              <w:t xml:space="preserve">Table 2 (HER2 populations) Hazard ratios reported for the residual disease population have been inverted i.e. (1/1.91) to (1/2.25) </w:t>
            </w:r>
          </w:p>
        </w:tc>
      </w:tr>
      <w:tr w:rsidR="00C90B63" w:rsidRPr="00A3343C" w14:paraId="216A086D" w14:textId="77777777" w:rsidTr="009F319F">
        <w:tc>
          <w:tcPr>
            <w:tcW w:w="958" w:type="dxa"/>
            <w:shd w:val="clear" w:color="auto" w:fill="auto"/>
          </w:tcPr>
          <w:p w14:paraId="6051F96C" w14:textId="77777777" w:rsidR="00C90B63" w:rsidRPr="00A3343C" w:rsidRDefault="00C90B63" w:rsidP="00EF13AB">
            <w:pPr>
              <w:pStyle w:val="Subtitle"/>
              <w:jc w:val="left"/>
              <w:rPr>
                <w:rFonts w:ascii="Arial Narrow" w:hAnsi="Arial Narrow"/>
                <w:bCs/>
              </w:rPr>
            </w:pPr>
            <w:r w:rsidRPr="00A3343C">
              <w:rPr>
                <w:rFonts w:ascii="Arial Narrow" w:hAnsi="Arial Narrow"/>
                <w:bCs/>
              </w:rPr>
              <w:t>Broglio 2016</w:t>
            </w:r>
          </w:p>
        </w:tc>
        <w:tc>
          <w:tcPr>
            <w:tcW w:w="3708" w:type="dxa"/>
            <w:shd w:val="clear" w:color="auto" w:fill="auto"/>
          </w:tcPr>
          <w:p w14:paraId="43DA9527" w14:textId="77777777" w:rsidR="00C90B63" w:rsidRPr="00A3343C" w:rsidRDefault="00C90B63" w:rsidP="00EF13AB">
            <w:pPr>
              <w:pStyle w:val="Subtitle"/>
              <w:jc w:val="left"/>
              <w:rPr>
                <w:rFonts w:ascii="Arial Narrow" w:hAnsi="Arial Narrow"/>
                <w:bCs/>
              </w:rPr>
            </w:pPr>
            <w:r w:rsidRPr="00A3343C">
              <w:rPr>
                <w:rFonts w:ascii="Arial Narrow" w:hAnsi="Arial Narrow"/>
                <w:bCs/>
              </w:rPr>
              <w:t>36 studies with EFS by pCR status representing 5768 patients with HER2-positive breast cancer were included in the patient-level analysis</w:t>
            </w:r>
          </w:p>
        </w:tc>
        <w:tc>
          <w:tcPr>
            <w:tcW w:w="1992" w:type="dxa"/>
            <w:shd w:val="clear" w:color="auto" w:fill="auto"/>
          </w:tcPr>
          <w:p w14:paraId="3398C8BE" w14:textId="77777777" w:rsidR="00C90B63" w:rsidRPr="00A3343C" w:rsidRDefault="00C90B63" w:rsidP="00EF13AB">
            <w:pPr>
              <w:pStyle w:val="Subtitle"/>
              <w:jc w:val="left"/>
              <w:rPr>
                <w:rFonts w:ascii="Arial Narrow" w:hAnsi="Arial Narrow"/>
                <w:bCs/>
              </w:rPr>
            </w:pPr>
            <w:r w:rsidRPr="00A3343C">
              <w:rPr>
                <w:rFonts w:ascii="Arial Narrow" w:hAnsi="Arial Narrow"/>
                <w:bCs/>
              </w:rPr>
              <w:t>0.37 (0.32-0.43)</w:t>
            </w:r>
          </w:p>
        </w:tc>
        <w:tc>
          <w:tcPr>
            <w:tcW w:w="2359" w:type="dxa"/>
            <w:shd w:val="clear" w:color="auto" w:fill="auto"/>
          </w:tcPr>
          <w:p w14:paraId="0759F71F" w14:textId="77777777" w:rsidR="00C90B63" w:rsidRPr="00A3343C" w:rsidRDefault="00C90B63" w:rsidP="00EF13AB">
            <w:pPr>
              <w:pStyle w:val="Subtitle"/>
              <w:jc w:val="left"/>
              <w:rPr>
                <w:rFonts w:ascii="Arial Narrow" w:hAnsi="Arial Narrow"/>
                <w:bCs/>
              </w:rPr>
            </w:pPr>
            <w:r w:rsidRPr="00A3343C">
              <w:rPr>
                <w:rFonts w:ascii="Arial Narrow" w:hAnsi="Arial Narrow"/>
                <w:bCs/>
              </w:rPr>
              <w:t>Broglio 2016, Table 2</w:t>
            </w:r>
          </w:p>
        </w:tc>
      </w:tr>
      <w:tr w:rsidR="00C90B63" w:rsidRPr="00A3343C" w14:paraId="42C063E3" w14:textId="77777777" w:rsidTr="009F319F">
        <w:tc>
          <w:tcPr>
            <w:tcW w:w="958" w:type="dxa"/>
            <w:shd w:val="clear" w:color="auto" w:fill="auto"/>
          </w:tcPr>
          <w:p w14:paraId="7BD1FEDB" w14:textId="77777777" w:rsidR="00C90B63" w:rsidRPr="00A3343C" w:rsidRDefault="00C90B63" w:rsidP="00EF13AB">
            <w:pPr>
              <w:pStyle w:val="Subtitle"/>
              <w:jc w:val="left"/>
              <w:rPr>
                <w:rFonts w:ascii="Arial Narrow" w:hAnsi="Arial Narrow"/>
                <w:bCs/>
              </w:rPr>
            </w:pPr>
            <w:r w:rsidRPr="00A3343C">
              <w:rPr>
                <w:rFonts w:ascii="Arial Narrow" w:hAnsi="Arial Narrow"/>
                <w:bCs/>
              </w:rPr>
              <w:t>Cortazar 2014</w:t>
            </w:r>
          </w:p>
        </w:tc>
        <w:tc>
          <w:tcPr>
            <w:tcW w:w="3708" w:type="dxa"/>
            <w:shd w:val="clear" w:color="auto" w:fill="auto"/>
          </w:tcPr>
          <w:p w14:paraId="422B1FC7" w14:textId="77777777" w:rsidR="00C90B63" w:rsidRPr="00A3343C" w:rsidRDefault="00C90B63" w:rsidP="00EF13AB">
            <w:pPr>
              <w:pStyle w:val="Subtitle"/>
              <w:jc w:val="left"/>
              <w:rPr>
                <w:rFonts w:ascii="Arial Narrow" w:hAnsi="Arial Narrow"/>
                <w:bCs/>
              </w:rPr>
            </w:pPr>
            <w:r w:rsidRPr="00A3343C">
              <w:rPr>
                <w:rFonts w:ascii="Arial Narrow" w:hAnsi="Arial Narrow"/>
                <w:bCs/>
              </w:rPr>
              <w:t>12 international trials of patients who had neoadjuvant treatment of EBC, with the aim to investigate the potential of pCR as a surrogate endpoint for long-term outcomes</w:t>
            </w:r>
          </w:p>
        </w:tc>
        <w:tc>
          <w:tcPr>
            <w:tcW w:w="1992" w:type="dxa"/>
            <w:shd w:val="clear" w:color="auto" w:fill="auto"/>
          </w:tcPr>
          <w:p w14:paraId="0B6EF7D4" w14:textId="77777777" w:rsidR="00C90B63" w:rsidRPr="00A3343C" w:rsidRDefault="00C90B63" w:rsidP="00EF13AB">
            <w:pPr>
              <w:pStyle w:val="Subtitle"/>
              <w:jc w:val="left"/>
              <w:rPr>
                <w:rFonts w:ascii="Arial Narrow" w:hAnsi="Arial Narrow"/>
                <w:bCs/>
              </w:rPr>
            </w:pPr>
            <w:r w:rsidRPr="00A3343C">
              <w:rPr>
                <w:rFonts w:ascii="Arial Narrow" w:hAnsi="Arial Narrow"/>
                <w:bCs/>
              </w:rPr>
              <w:t>0.39 (0·31–0·50)</w:t>
            </w:r>
          </w:p>
        </w:tc>
        <w:tc>
          <w:tcPr>
            <w:tcW w:w="2359" w:type="dxa"/>
            <w:shd w:val="clear" w:color="auto" w:fill="auto"/>
          </w:tcPr>
          <w:p w14:paraId="3B262E06" w14:textId="77777777" w:rsidR="00C90B63" w:rsidRPr="00A3343C" w:rsidRDefault="00C90B63" w:rsidP="00EF13AB">
            <w:pPr>
              <w:pStyle w:val="Subtitle"/>
              <w:jc w:val="left"/>
              <w:rPr>
                <w:rFonts w:ascii="Arial Narrow" w:hAnsi="Arial Narrow"/>
                <w:bCs/>
              </w:rPr>
            </w:pPr>
            <w:r w:rsidRPr="00A3343C">
              <w:rPr>
                <w:rFonts w:ascii="Arial Narrow" w:hAnsi="Arial Narrow"/>
                <w:bCs/>
              </w:rPr>
              <w:t>Cortazar 2014, Figure 5</w:t>
            </w:r>
          </w:p>
        </w:tc>
      </w:tr>
    </w:tbl>
    <w:p w14:paraId="69C4CEC8" w14:textId="77777777" w:rsidR="00C90B63" w:rsidRPr="00A3343C" w:rsidRDefault="00C90B63" w:rsidP="00C90B63">
      <w:pPr>
        <w:pStyle w:val="Subtitle"/>
        <w:rPr>
          <w:rFonts w:ascii="Arial Narrow" w:hAnsi="Arial Narrow"/>
          <w:bCs/>
          <w:sz w:val="18"/>
          <w:szCs w:val="18"/>
        </w:rPr>
      </w:pPr>
      <w:r w:rsidRPr="00A3343C">
        <w:rPr>
          <w:rFonts w:ascii="Arial Narrow" w:hAnsi="Arial Narrow"/>
          <w:bCs/>
          <w:sz w:val="18"/>
          <w:szCs w:val="18"/>
        </w:rPr>
        <w:t>Source: Table 6, Appendix A.</w:t>
      </w:r>
    </w:p>
    <w:p w14:paraId="3E3DCE42" w14:textId="77777777" w:rsidR="00C90B63" w:rsidRPr="00A3343C" w:rsidRDefault="00C90B63" w:rsidP="00C90B63">
      <w:pPr>
        <w:pStyle w:val="Subtitle"/>
        <w:rPr>
          <w:rFonts w:ascii="Arial Narrow" w:hAnsi="Arial Narrow"/>
          <w:bCs/>
          <w:sz w:val="18"/>
          <w:szCs w:val="18"/>
        </w:rPr>
      </w:pPr>
      <w:r w:rsidRPr="00A3343C">
        <w:rPr>
          <w:rFonts w:ascii="Arial Narrow" w:hAnsi="Arial Narrow"/>
          <w:bCs/>
          <w:sz w:val="18"/>
          <w:szCs w:val="18"/>
        </w:rPr>
        <w:t>EBC = early breast cancer; EFS = event free survival; HER2 = human epidermal growth factor receptor 2; HR = hazard ratio; pCR = pathological complete response; RCT = randomised controlled trial.</w:t>
      </w:r>
    </w:p>
    <w:p w14:paraId="641EA0A0" w14:textId="77777777" w:rsidR="00C90B63" w:rsidRPr="00A3343C" w:rsidRDefault="00C90B63" w:rsidP="00C90B63">
      <w:pPr>
        <w:pStyle w:val="Subtitle"/>
        <w:rPr>
          <w:b/>
          <w:sz w:val="22"/>
          <w:szCs w:val="22"/>
        </w:rPr>
      </w:pPr>
    </w:p>
    <w:p w14:paraId="0605147D" w14:textId="77777777" w:rsidR="00C90B63" w:rsidRPr="00A3343C" w:rsidRDefault="00C90B63" w:rsidP="00BB5389">
      <w:pPr>
        <w:pStyle w:val="ListParagraph"/>
        <w:ind w:left="1134"/>
      </w:pPr>
      <w:r w:rsidRPr="00A3343C">
        <w:t>A5.4 – Translate the comparative treatment effect on the PSM from the studies included in Part A, Subsection 2.2, to an estimate of the comparative treatment effect for the TCO.</w:t>
      </w:r>
    </w:p>
    <w:p w14:paraId="0BEFA447" w14:textId="6F79A219" w:rsidR="00C90B63" w:rsidRPr="00A3343C" w:rsidRDefault="00C90B63" w:rsidP="00BB5389">
      <w:pPr>
        <w:pStyle w:val="ListParagraph"/>
        <w:numPr>
          <w:ilvl w:val="0"/>
          <w:numId w:val="0"/>
        </w:numPr>
        <w:ind w:left="1134"/>
      </w:pPr>
      <w:r w:rsidRPr="00A3343C">
        <w:lastRenderedPageBreak/>
        <w:t xml:space="preserve">Appendix A applied the hazard ratio from Swain 2022 in the economic model to translate the treatment effect of </w:t>
      </w:r>
      <w:proofErr w:type="spellStart"/>
      <w:r w:rsidRPr="00A3343C">
        <w:t>P+T+Chemo</w:t>
      </w:r>
      <w:proofErr w:type="spellEnd"/>
      <w:r w:rsidRPr="00A3343C">
        <w:t xml:space="preserve"> vs </w:t>
      </w:r>
      <w:proofErr w:type="spellStart"/>
      <w:r w:rsidRPr="00A3343C">
        <w:t>T+Chemo</w:t>
      </w:r>
      <w:proofErr w:type="spellEnd"/>
      <w:r w:rsidRPr="00A3343C">
        <w:t xml:space="preserve"> in terms of </w:t>
      </w:r>
      <w:proofErr w:type="spellStart"/>
      <w:r w:rsidRPr="00A3343C">
        <w:t>tpCR</w:t>
      </w:r>
      <w:proofErr w:type="spellEnd"/>
      <w:r w:rsidRPr="00A3343C">
        <w:t xml:space="preserve"> into invasive disease free survival (</w:t>
      </w:r>
      <w:proofErr w:type="spellStart"/>
      <w:r w:rsidRPr="00A3343C">
        <w:t>iDFS</w:t>
      </w:r>
      <w:proofErr w:type="spellEnd"/>
      <w:r w:rsidRPr="00A3343C">
        <w:t xml:space="preserve">). </w:t>
      </w:r>
    </w:p>
    <w:p w14:paraId="2E1F75E2" w14:textId="0B8DDC89" w:rsidR="009B50A0" w:rsidRPr="00873941" w:rsidRDefault="009B50A0" w:rsidP="006139B4">
      <w:pPr>
        <w:pStyle w:val="3-BodyText"/>
      </w:pPr>
      <w:bookmarkStart w:id="33" w:name="_Ref187427838"/>
      <w:r w:rsidRPr="00873941">
        <w:t>The resubmission noted that the</w:t>
      </w:r>
      <w:r w:rsidR="00213AF1" w:rsidRPr="00873941">
        <w:t xml:space="preserve"> US</w:t>
      </w:r>
      <w:r w:rsidRPr="00873941">
        <w:t xml:space="preserve"> </w:t>
      </w:r>
      <w:r w:rsidR="00E227F8" w:rsidRPr="00873941">
        <w:t>Food and Drugs Administration (</w:t>
      </w:r>
      <w:r w:rsidRPr="00873941">
        <w:t>FDA</w:t>
      </w:r>
      <w:r w:rsidR="00E227F8" w:rsidRPr="00873941">
        <w:t>)</w:t>
      </w:r>
      <w:r w:rsidRPr="00873941">
        <w:t xml:space="preserve"> established an international working group called Collaborative Trials in Neoadjuvant Breast Cancer (</w:t>
      </w:r>
      <w:proofErr w:type="spellStart"/>
      <w:r w:rsidRPr="00873941">
        <w:t>CTNeoBC</w:t>
      </w:r>
      <w:proofErr w:type="spellEnd"/>
      <w:r w:rsidRPr="00873941">
        <w:t xml:space="preserve">), which concluded that eradication of tumour from both breast and lymph nodes (i.e., </w:t>
      </w:r>
      <w:proofErr w:type="spellStart"/>
      <w:r w:rsidRPr="00873941">
        <w:t>tpCR</w:t>
      </w:r>
      <w:proofErr w:type="spellEnd"/>
      <w:r w:rsidRPr="00873941">
        <w:t xml:space="preserve">) was strongly associated with improved survival. The resubmission also noted FDA and </w:t>
      </w:r>
      <w:r w:rsidR="00E227F8" w:rsidRPr="00873941">
        <w:t>European Medicines Agency (</w:t>
      </w:r>
      <w:r w:rsidRPr="00873941">
        <w:t>EMA</w:t>
      </w:r>
      <w:r w:rsidR="00E227F8" w:rsidRPr="00873941">
        <w:t>)</w:t>
      </w:r>
      <w:r w:rsidRPr="00873941">
        <w:t xml:space="preserve"> guidance on the use of pCR in breast cancer studies that both conclude that it is reasonably likely that pCR is associated with improved survival outcomes, especially if the improvement in pCR rates is substantial.</w:t>
      </w:r>
      <w:bookmarkEnd w:id="33"/>
    </w:p>
    <w:p w14:paraId="0BDF495A" w14:textId="60CE8D7D" w:rsidR="009B50A0" w:rsidRPr="00873941" w:rsidRDefault="009B50A0" w:rsidP="009B50A0">
      <w:pPr>
        <w:pStyle w:val="3-BodyText"/>
      </w:pPr>
      <w:bookmarkStart w:id="34" w:name="_Ref187427840"/>
      <w:r w:rsidRPr="00873941">
        <w:t xml:space="preserve">The PBAC previously noted that a meta-analysis of trials assessing neoadjuvant chemotherapy as treatment for </w:t>
      </w:r>
      <w:proofErr w:type="spellStart"/>
      <w:r w:rsidRPr="00873941">
        <w:t>eBC</w:t>
      </w:r>
      <w:proofErr w:type="spellEnd"/>
      <w:r w:rsidRPr="00873941">
        <w:t xml:space="preserve"> reported the prognostic importance of pCR, which correlate</w:t>
      </w:r>
      <w:r w:rsidR="004C6DF4" w:rsidRPr="00873941">
        <w:t>d</w:t>
      </w:r>
      <w:r w:rsidRPr="00873941">
        <w:t xml:space="preserve"> with </w:t>
      </w:r>
      <w:r w:rsidR="006E760E" w:rsidRPr="00873941">
        <w:t xml:space="preserve">EFS </w:t>
      </w:r>
      <w:r w:rsidRPr="00873941">
        <w:t>and OS (para 4.3, pertuzumab PSD, March 2019 PBAC meeting).</w:t>
      </w:r>
      <w:r w:rsidR="00317D77" w:rsidRPr="00873941">
        <w:rPr>
          <w:rStyle w:val="FootnoteReference"/>
        </w:rPr>
        <w:footnoteReference w:id="10"/>
      </w:r>
      <w:r w:rsidRPr="00873941">
        <w:t xml:space="preserve"> The abstract provided with the March 2019 PBAC submission for pertuzumab as adjuvant treatment for </w:t>
      </w:r>
      <w:proofErr w:type="spellStart"/>
      <w:r w:rsidRPr="00873941">
        <w:t>eBC</w:t>
      </w:r>
      <w:proofErr w:type="spellEnd"/>
      <w:r w:rsidRPr="00873941">
        <w:t xml:space="preserve"> was subsequently published as a complete journal article (Spring 2020).</w:t>
      </w:r>
      <w:r w:rsidR="00317D77" w:rsidRPr="00873941">
        <w:rPr>
          <w:rStyle w:val="FootnoteReference"/>
        </w:rPr>
        <w:footnoteReference w:id="11"/>
      </w:r>
      <w:r w:rsidRPr="00873941">
        <w:t xml:space="preserve"> Spring </w:t>
      </w:r>
      <w:r w:rsidR="006E760E" w:rsidRPr="00873941">
        <w:t>(</w:t>
      </w:r>
      <w:r w:rsidRPr="00873941">
        <w:t>2020</w:t>
      </w:r>
      <w:r w:rsidR="006E760E" w:rsidRPr="00873941">
        <w:t>)</w:t>
      </w:r>
      <w:r w:rsidRPr="00873941">
        <w:t xml:space="preserve"> defined pCR as either ypT0 ypN0 (no invasive or non-invasive residual in breast or nodes) [GBG pCR] or ypT0/is ypN0 (no invasive residual in breast or nodes; non-invasive breast residuals allowed) [</w:t>
      </w:r>
      <w:proofErr w:type="spellStart"/>
      <w:r w:rsidRPr="00873941">
        <w:t>tpCR</w:t>
      </w:r>
      <w:proofErr w:type="spellEnd"/>
      <w:r w:rsidRPr="00873941">
        <w:t xml:space="preserve">], as suggested by FDA guidelines. If results were available for both definitions, </w:t>
      </w:r>
      <w:proofErr w:type="spellStart"/>
      <w:r w:rsidRPr="00873941">
        <w:t>tpCR</w:t>
      </w:r>
      <w:proofErr w:type="spellEnd"/>
      <w:r w:rsidRPr="00873941">
        <w:t xml:space="preserve"> was utilised.</w:t>
      </w:r>
      <w:r w:rsidR="00AF2A3E" w:rsidRPr="00873941">
        <w:t xml:space="preserve"> </w:t>
      </w:r>
      <w:bookmarkStart w:id="35" w:name="_Hlk185280108"/>
      <w:r w:rsidR="00AF2A3E" w:rsidRPr="00873941">
        <w:t>Spring (2020) found that HER2+ participants with pCR following neoadjuvant treatment had significantly better EFS than those with residual disease (HR: 0.32, 95% Probability Interval: 0.15, 0.30).</w:t>
      </w:r>
      <w:bookmarkEnd w:id="34"/>
      <w:r w:rsidR="00AF2A3E" w:rsidRPr="00873941">
        <w:rPr>
          <w:i/>
          <w:iCs/>
        </w:rPr>
        <w:t xml:space="preserve"> </w:t>
      </w:r>
      <w:bookmarkEnd w:id="35"/>
    </w:p>
    <w:p w14:paraId="3E627CDD" w14:textId="7084B003" w:rsidR="00FD6063" w:rsidRPr="00873941" w:rsidRDefault="00512515" w:rsidP="0083568C">
      <w:pPr>
        <w:pStyle w:val="3-BodyText"/>
      </w:pPr>
      <w:bookmarkStart w:id="36" w:name="_Hlk185280402"/>
      <w:bookmarkStart w:id="37" w:name="_Ref187427844"/>
      <w:bookmarkStart w:id="38" w:name="_Ref184846824"/>
      <w:r w:rsidRPr="00873941">
        <w:t>Swain (2022) analysed patient-level data from 5 RCTs evaluating trastuzumab, pertuzumab, or both as part of systemic neoadjuvant and adjuvant therapy for HER2-positive early breast cancer and assessed EFS in 1</w:t>
      </w:r>
      <w:r w:rsidR="00AD6715" w:rsidRPr="00873941">
        <w:t>,</w:t>
      </w:r>
      <w:r w:rsidRPr="00873941">
        <w:t xml:space="preserve">763 participants. </w:t>
      </w:r>
      <w:bookmarkEnd w:id="36"/>
      <w:r w:rsidR="00FD6063" w:rsidRPr="00873941">
        <w:t xml:space="preserve">However, </w:t>
      </w:r>
      <w:r w:rsidR="00FD6063" w:rsidRPr="00873941">
        <w:rPr>
          <w:color w:val="000000" w:themeColor="text1"/>
        </w:rPr>
        <w:t>Swain (2022) did not describe how relevant studies were identified, selected, and abstracted; thus, it was unknown whether the authors identified and considered all relevant studies. There were imbalances in baseline characteristics and treatment modalities in the included studies of Swain (2022). A multi-trial meta-regression was not possible given the small number of RCTs (N=5).</w:t>
      </w:r>
      <w:bookmarkEnd w:id="37"/>
    </w:p>
    <w:p w14:paraId="4A2375BF" w14:textId="35E403F2" w:rsidR="00512515" w:rsidRPr="00B66841" w:rsidRDefault="00C26339" w:rsidP="00501F88">
      <w:pPr>
        <w:pStyle w:val="3-BodyText"/>
        <w:spacing w:after="240"/>
      </w:pPr>
      <w:bookmarkStart w:id="39" w:name="_Ref190260730"/>
      <w:bookmarkEnd w:id="38"/>
      <w:r w:rsidRPr="00B66841">
        <w:t xml:space="preserve">The ESC considered the evidence available supported the claim that pCR is likely to be associated with decreased risk of disease recurrence and improved survival outcomes, however noted that the quantification of the surrogate relationship was uncertain. </w:t>
      </w:r>
      <w:r w:rsidR="00955A50" w:rsidRPr="00B66841">
        <w:t xml:space="preserve">The ESC also noted that </w:t>
      </w:r>
      <w:r w:rsidR="00501F88" w:rsidRPr="00B66841">
        <w:t>the</w:t>
      </w:r>
      <w:r w:rsidR="00955A50" w:rsidRPr="00B66841">
        <w:t xml:space="preserve"> evidence reported HRs that ranged from 0.3</w:t>
      </w:r>
      <w:r w:rsidR="00501F88" w:rsidRPr="00B66841">
        <w:t>2</w:t>
      </w:r>
      <w:r w:rsidR="00955A50" w:rsidRPr="00B66841">
        <w:t xml:space="preserve"> to 0.</w:t>
      </w:r>
      <w:r w:rsidR="00501F88" w:rsidRPr="00B66841">
        <w:t>52</w:t>
      </w:r>
      <w:r w:rsidR="00955A50" w:rsidRPr="00B66841">
        <w:rPr>
          <w:rFonts w:eastAsia="Calibri"/>
        </w:rPr>
        <w:t xml:space="preserve"> for disease recurrence with pCR.</w:t>
      </w:r>
      <w:bookmarkEnd w:id="39"/>
      <w:r w:rsidR="00C063D7">
        <w:rPr>
          <w:rFonts w:eastAsia="Calibri"/>
        </w:rPr>
        <w:t xml:space="preserve"> The pre-PBAC response </w:t>
      </w:r>
      <w:r w:rsidR="00BB29F8">
        <w:rPr>
          <w:rFonts w:eastAsia="Calibri"/>
        </w:rPr>
        <w:t xml:space="preserve">acknowledged that there is a </w:t>
      </w:r>
      <w:r w:rsidR="00BB29F8">
        <w:rPr>
          <w:rFonts w:eastAsia="Calibri"/>
        </w:rPr>
        <w:lastRenderedPageBreak/>
        <w:t xml:space="preserve">level of uncertainty but </w:t>
      </w:r>
      <w:r w:rsidR="00C063D7">
        <w:rPr>
          <w:rFonts w:eastAsia="Calibri"/>
        </w:rPr>
        <w:t xml:space="preserve">argued that </w:t>
      </w:r>
      <w:r w:rsidR="006F1E23">
        <w:rPr>
          <w:rFonts w:eastAsia="Calibri"/>
        </w:rPr>
        <w:t xml:space="preserve">the level of uncertainty may be overstated given that the surrogate relationship is supported by </w:t>
      </w:r>
      <w:r w:rsidR="00B57C23">
        <w:rPr>
          <w:rFonts w:eastAsia="Calibri"/>
        </w:rPr>
        <w:t xml:space="preserve">data from nearly 50 studies, across more than 8,000 HER2+ </w:t>
      </w:r>
      <w:proofErr w:type="spellStart"/>
      <w:r w:rsidR="00B57C23">
        <w:rPr>
          <w:rFonts w:eastAsia="Calibri"/>
        </w:rPr>
        <w:t>eBC</w:t>
      </w:r>
      <w:proofErr w:type="spellEnd"/>
      <w:r w:rsidR="00B57C23">
        <w:rPr>
          <w:rFonts w:eastAsia="Calibri"/>
        </w:rPr>
        <w:t xml:space="preserve"> patients. </w:t>
      </w:r>
      <w:r w:rsidR="00DF0F7C">
        <w:rPr>
          <w:rFonts w:eastAsia="Calibri"/>
        </w:rPr>
        <w:t>The pre-PBAC response also noted</w:t>
      </w:r>
      <w:r w:rsidR="00DF0F7C" w:rsidRPr="003630FC">
        <w:t xml:space="preserve"> </w:t>
      </w:r>
      <w:r w:rsidR="00DF0F7C">
        <w:t xml:space="preserve">the </w:t>
      </w:r>
      <w:r w:rsidR="008A6539">
        <w:t>HR</w:t>
      </w:r>
      <w:r w:rsidR="00DF0F7C">
        <w:t xml:space="preserve"> at the upper end of the range (0.52) was reported in a single study of only 103 HER2+ patients (</w:t>
      </w:r>
      <w:proofErr w:type="spellStart"/>
      <w:r w:rsidR="00DF0F7C">
        <w:t>Symmans</w:t>
      </w:r>
      <w:proofErr w:type="spellEnd"/>
      <w:r w:rsidR="00DF0F7C">
        <w:t xml:space="preserve"> 2017)</w:t>
      </w:r>
      <w:r w:rsidR="00994733">
        <w:t xml:space="preserve">, and Swain (2022) was the most </w:t>
      </w:r>
      <w:r w:rsidR="008A6539">
        <w:t>applicable and high quality study</w:t>
      </w:r>
      <w:r w:rsidR="00DF0F7C">
        <w:t xml:space="preserve">. </w:t>
      </w:r>
    </w:p>
    <w:p w14:paraId="4E9BA568" w14:textId="683ABF9B" w:rsidR="0083568C" w:rsidRPr="00873941" w:rsidRDefault="0083568C" w:rsidP="0083568C">
      <w:pPr>
        <w:rPr>
          <w:u w:val="single"/>
        </w:rPr>
      </w:pPr>
      <w:r w:rsidRPr="00873941">
        <w:rPr>
          <w:u w:val="single"/>
        </w:rPr>
        <w:t>Inputs to the economic model and financial estimates</w:t>
      </w:r>
    </w:p>
    <w:p w14:paraId="5B321BB6" w14:textId="3C9E352B" w:rsidR="0083568C" w:rsidRPr="00873941" w:rsidRDefault="0083568C" w:rsidP="0083568C">
      <w:pPr>
        <w:pStyle w:val="3-BodyText"/>
      </w:pPr>
      <w:bookmarkStart w:id="40" w:name="_Hlk185280549"/>
      <w:r w:rsidRPr="00873941">
        <w:t>The economic evaluation and budget impact model used the proportion of participants achieving pCR in the 14 observational studies that included anthracycline chemotherapy to estimate the proportion of ‘responders’ who would not require adjuvant therapy with T-DM1. The economic model used the hazard ratio from Swain (2022) to estimate disease recurrence for participants achieving pCR following neoadjuvant treatment. Data from the NEOSPHERE, PEONY, I-SPY2, and TRYPHAENA trials were not extensively used in the economic evaluation or budget impact model. The economic model included the percentage of patients experiencing diarrhoea from the PEONY trial</w:t>
      </w:r>
      <w:r w:rsidR="00AD6715" w:rsidRPr="00873941">
        <w:t xml:space="preserve"> to estimate QALY losses due to adverse events</w:t>
      </w:r>
      <w:r w:rsidRPr="00873941">
        <w:t>, and the percentage of patients achieving pCR in the NEOSPHERE trial was used in sensitivity analysis.</w:t>
      </w:r>
    </w:p>
    <w:p w14:paraId="17D7F4E0" w14:textId="58863CC6" w:rsidR="004A29D1" w:rsidRPr="00873941" w:rsidRDefault="004A29D1" w:rsidP="004A29D1">
      <w:pPr>
        <w:pStyle w:val="4-SubsectionHeading"/>
        <w:rPr>
          <w:lang w:eastAsia="en-AU"/>
        </w:rPr>
      </w:pPr>
      <w:bookmarkStart w:id="41" w:name="_Toc22897641"/>
      <w:bookmarkStart w:id="42" w:name="_Toc188444270"/>
      <w:bookmarkEnd w:id="40"/>
      <w:r w:rsidRPr="00873941">
        <w:rPr>
          <w:lang w:eastAsia="en-AU"/>
        </w:rPr>
        <w:t>Comparative effectiveness</w:t>
      </w:r>
      <w:bookmarkEnd w:id="41"/>
      <w:bookmarkEnd w:id="42"/>
    </w:p>
    <w:p w14:paraId="1E1DBDF0" w14:textId="35735C21" w:rsidR="00902B89" w:rsidRPr="00873941" w:rsidRDefault="00902B89" w:rsidP="0088158A">
      <w:pPr>
        <w:pStyle w:val="5-SubsectionSubheading"/>
      </w:pPr>
      <w:bookmarkStart w:id="43" w:name="_Toc188444271"/>
      <w:r w:rsidRPr="00873941">
        <w:t>RCTs</w:t>
      </w:r>
      <w:bookmarkEnd w:id="43"/>
    </w:p>
    <w:p w14:paraId="3F5C0463" w14:textId="3FF2DEEB" w:rsidR="00902B89" w:rsidRPr="00873941" w:rsidRDefault="00902B89" w:rsidP="00F07FA6">
      <w:pPr>
        <w:pStyle w:val="3-BodyText"/>
        <w:spacing w:after="120"/>
      </w:pPr>
      <w:r w:rsidRPr="00873941">
        <w:fldChar w:fldCharType="begin"/>
      </w:r>
      <w:r w:rsidRPr="00873941">
        <w:instrText xml:space="preserve"> REF _Ref184767791 \h </w:instrText>
      </w:r>
      <w:r w:rsidRPr="00873941">
        <w:fldChar w:fldCharType="separate"/>
      </w:r>
      <w:r w:rsidR="000B094B" w:rsidRPr="00873941">
        <w:t xml:space="preserve">Table </w:t>
      </w:r>
      <w:r w:rsidR="000B094B">
        <w:rPr>
          <w:noProof/>
        </w:rPr>
        <w:t>7</w:t>
      </w:r>
      <w:r w:rsidRPr="00873941">
        <w:fldChar w:fldCharType="end"/>
      </w:r>
      <w:r w:rsidRPr="00873941">
        <w:t xml:space="preserve"> presents the results for </w:t>
      </w:r>
      <w:proofErr w:type="spellStart"/>
      <w:r w:rsidRPr="00873941">
        <w:t>bpCR</w:t>
      </w:r>
      <w:proofErr w:type="spellEnd"/>
      <w:r w:rsidRPr="00873941">
        <w:t xml:space="preserve"> in the RCTs that collected this outcome. </w:t>
      </w:r>
    </w:p>
    <w:p w14:paraId="790D6C72" w14:textId="6E34D79F" w:rsidR="00902B89" w:rsidRPr="00873941" w:rsidRDefault="00902B89" w:rsidP="00902B89">
      <w:pPr>
        <w:pStyle w:val="Caption"/>
      </w:pPr>
      <w:bookmarkStart w:id="44" w:name="_Ref184767791"/>
      <w:r w:rsidRPr="00873941">
        <w:t xml:space="preserve">Table </w:t>
      </w:r>
      <w:r w:rsidR="00C06CD6">
        <w:fldChar w:fldCharType="begin"/>
      </w:r>
      <w:r w:rsidR="00C06CD6">
        <w:instrText xml:space="preserve"> SEQ Table \* ARABIC </w:instrText>
      </w:r>
      <w:r w:rsidR="00C06CD6">
        <w:fldChar w:fldCharType="separate"/>
      </w:r>
      <w:r w:rsidR="000B094B">
        <w:rPr>
          <w:noProof/>
        </w:rPr>
        <w:t>7</w:t>
      </w:r>
      <w:r w:rsidR="00C06CD6">
        <w:fldChar w:fldCharType="end"/>
      </w:r>
      <w:bookmarkEnd w:id="44"/>
      <w:r w:rsidRPr="00873941">
        <w:t>:</w:t>
      </w:r>
      <w:r w:rsidRPr="00873941">
        <w:rPr>
          <w:rStyle w:val="CommentReference"/>
          <w:b/>
          <w:szCs w:val="24"/>
        </w:rPr>
        <w:t xml:space="preserve"> Results of </w:t>
      </w:r>
      <w:proofErr w:type="spellStart"/>
      <w:r w:rsidRPr="00873941">
        <w:rPr>
          <w:rStyle w:val="CommentReference"/>
          <w:b/>
          <w:szCs w:val="24"/>
        </w:rPr>
        <w:t>bpCR</w:t>
      </w:r>
      <w:proofErr w:type="spellEnd"/>
      <w:r w:rsidRPr="00873941">
        <w:rPr>
          <w:rStyle w:val="CommentReference"/>
          <w:b/>
          <w:szCs w:val="24"/>
        </w:rPr>
        <w:t xml:space="preserve">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Results of bpCR across the trials"/>
      </w:tblPr>
      <w:tblGrid>
        <w:gridCol w:w="1246"/>
        <w:gridCol w:w="1206"/>
        <w:gridCol w:w="52"/>
        <w:gridCol w:w="1259"/>
        <w:gridCol w:w="1335"/>
        <w:gridCol w:w="1325"/>
        <w:gridCol w:w="1315"/>
        <w:gridCol w:w="1279"/>
      </w:tblGrid>
      <w:tr w:rsidR="00902B89" w:rsidRPr="00873941" w14:paraId="0C4DE17B" w14:textId="77777777" w:rsidTr="00357E0A">
        <w:trPr>
          <w:tblHeader/>
        </w:trPr>
        <w:tc>
          <w:tcPr>
            <w:tcW w:w="691" w:type="pct"/>
            <w:vMerge w:val="restart"/>
            <w:vAlign w:val="center"/>
          </w:tcPr>
          <w:p w14:paraId="576064A9" w14:textId="77777777" w:rsidR="00902B89" w:rsidRPr="00873941" w:rsidRDefault="00902B89" w:rsidP="00357E0A">
            <w:pPr>
              <w:pStyle w:val="In-tableHeading"/>
              <w:rPr>
                <w:lang w:val="en-AU"/>
              </w:rPr>
            </w:pPr>
            <w:r w:rsidRPr="00873941">
              <w:rPr>
                <w:lang w:val="en-AU"/>
              </w:rPr>
              <w:t>Trial ID</w:t>
            </w:r>
          </w:p>
        </w:tc>
        <w:tc>
          <w:tcPr>
            <w:tcW w:w="1396" w:type="pct"/>
            <w:gridSpan w:val="3"/>
            <w:vAlign w:val="center"/>
          </w:tcPr>
          <w:p w14:paraId="28029684" w14:textId="77777777" w:rsidR="00902B89" w:rsidRPr="00873941" w:rsidRDefault="00902B89" w:rsidP="00357E0A">
            <w:pPr>
              <w:pStyle w:val="In-tableHeading"/>
              <w:rPr>
                <w:lang w:val="en-AU"/>
              </w:rPr>
            </w:pPr>
            <w:r w:rsidRPr="00873941">
              <w:rPr>
                <w:lang w:val="en-AU"/>
              </w:rPr>
              <w:t>Intervention</w:t>
            </w:r>
          </w:p>
        </w:tc>
        <w:tc>
          <w:tcPr>
            <w:tcW w:w="1469" w:type="pct"/>
            <w:gridSpan w:val="2"/>
            <w:vAlign w:val="center"/>
          </w:tcPr>
          <w:p w14:paraId="065507BE" w14:textId="77777777" w:rsidR="00902B89" w:rsidRPr="00873941" w:rsidRDefault="00902B89" w:rsidP="00357E0A">
            <w:pPr>
              <w:pStyle w:val="In-tableHeading"/>
              <w:rPr>
                <w:lang w:val="en-AU"/>
              </w:rPr>
            </w:pPr>
            <w:r w:rsidRPr="00873941">
              <w:rPr>
                <w:lang w:val="en-AU"/>
              </w:rPr>
              <w:t>Comparator</w:t>
            </w:r>
          </w:p>
        </w:tc>
        <w:tc>
          <w:tcPr>
            <w:tcW w:w="729" w:type="pct"/>
            <w:vMerge w:val="restart"/>
            <w:vAlign w:val="center"/>
          </w:tcPr>
          <w:p w14:paraId="0716C9EF" w14:textId="77777777" w:rsidR="00902B89" w:rsidRPr="00873941" w:rsidRDefault="00902B89" w:rsidP="00357E0A">
            <w:pPr>
              <w:pStyle w:val="In-tableHeading"/>
              <w:rPr>
                <w:lang w:val="en-AU"/>
              </w:rPr>
            </w:pPr>
            <w:r w:rsidRPr="00873941">
              <w:rPr>
                <w:lang w:val="en-AU"/>
              </w:rPr>
              <w:t>Difference (95% CI)</w:t>
            </w:r>
          </w:p>
        </w:tc>
        <w:tc>
          <w:tcPr>
            <w:tcW w:w="714" w:type="pct"/>
            <w:vMerge w:val="restart"/>
            <w:vAlign w:val="center"/>
          </w:tcPr>
          <w:p w14:paraId="104D9B5C" w14:textId="77777777" w:rsidR="00902B89" w:rsidRPr="00873941" w:rsidRDefault="00902B89" w:rsidP="00357E0A">
            <w:pPr>
              <w:pStyle w:val="In-tableHeading"/>
              <w:rPr>
                <w:lang w:val="en-AU"/>
              </w:rPr>
            </w:pPr>
            <w:r w:rsidRPr="00873941">
              <w:rPr>
                <w:lang w:val="en-AU"/>
              </w:rPr>
              <w:t>p value</w:t>
            </w:r>
          </w:p>
        </w:tc>
      </w:tr>
      <w:tr w:rsidR="00902B89" w:rsidRPr="00873941" w14:paraId="510769A1" w14:textId="77777777" w:rsidTr="00357E0A">
        <w:trPr>
          <w:tblHeader/>
        </w:trPr>
        <w:tc>
          <w:tcPr>
            <w:tcW w:w="691" w:type="pct"/>
            <w:vMerge/>
            <w:vAlign w:val="center"/>
          </w:tcPr>
          <w:p w14:paraId="22CFE2FC" w14:textId="77777777" w:rsidR="00902B89" w:rsidRPr="00873941" w:rsidRDefault="00902B89" w:rsidP="00357E0A">
            <w:pPr>
              <w:pStyle w:val="In-tableHeading"/>
              <w:rPr>
                <w:lang w:val="en-AU"/>
              </w:rPr>
            </w:pPr>
          </w:p>
        </w:tc>
        <w:tc>
          <w:tcPr>
            <w:tcW w:w="698" w:type="pct"/>
            <w:gridSpan w:val="2"/>
            <w:vAlign w:val="center"/>
          </w:tcPr>
          <w:p w14:paraId="1C4392F9" w14:textId="77777777" w:rsidR="00902B89" w:rsidRPr="00873941" w:rsidRDefault="00902B89" w:rsidP="00357E0A">
            <w:pPr>
              <w:pStyle w:val="In-tableHeading"/>
              <w:rPr>
                <w:lang w:val="en-AU"/>
              </w:rPr>
            </w:pPr>
            <w:r w:rsidRPr="00873941">
              <w:rPr>
                <w:lang w:val="en-AU"/>
              </w:rPr>
              <w:t>n/N (%)</w:t>
            </w:r>
          </w:p>
        </w:tc>
        <w:tc>
          <w:tcPr>
            <w:tcW w:w="698" w:type="pct"/>
            <w:vAlign w:val="center"/>
          </w:tcPr>
          <w:p w14:paraId="676A217D" w14:textId="77777777" w:rsidR="00902B89" w:rsidRPr="00873941" w:rsidRDefault="00902B89" w:rsidP="00357E0A">
            <w:pPr>
              <w:pStyle w:val="In-tableHeading"/>
              <w:rPr>
                <w:lang w:val="en-AU"/>
              </w:rPr>
            </w:pPr>
            <w:r w:rsidRPr="00873941">
              <w:rPr>
                <w:lang w:val="en-AU"/>
              </w:rPr>
              <w:t>95% CI</w:t>
            </w:r>
          </w:p>
        </w:tc>
        <w:tc>
          <w:tcPr>
            <w:tcW w:w="735" w:type="pct"/>
            <w:vAlign w:val="center"/>
          </w:tcPr>
          <w:p w14:paraId="6D9399BD" w14:textId="77777777" w:rsidR="00902B89" w:rsidRPr="00873941" w:rsidRDefault="00902B89" w:rsidP="00357E0A">
            <w:pPr>
              <w:pStyle w:val="In-tableHeading"/>
              <w:rPr>
                <w:lang w:val="en-AU"/>
              </w:rPr>
            </w:pPr>
            <w:r w:rsidRPr="00873941">
              <w:rPr>
                <w:lang w:val="en-AU"/>
              </w:rPr>
              <w:t>n/N (%)</w:t>
            </w:r>
          </w:p>
        </w:tc>
        <w:tc>
          <w:tcPr>
            <w:tcW w:w="735" w:type="pct"/>
            <w:vAlign w:val="center"/>
          </w:tcPr>
          <w:p w14:paraId="527DE5FD" w14:textId="77777777" w:rsidR="00902B89" w:rsidRPr="00873941" w:rsidRDefault="00902B89" w:rsidP="00357E0A">
            <w:pPr>
              <w:pStyle w:val="In-tableHeading"/>
              <w:rPr>
                <w:lang w:val="en-AU"/>
              </w:rPr>
            </w:pPr>
            <w:r w:rsidRPr="00873941">
              <w:rPr>
                <w:lang w:val="en-AU"/>
              </w:rPr>
              <w:t>95% CI</w:t>
            </w:r>
          </w:p>
        </w:tc>
        <w:tc>
          <w:tcPr>
            <w:tcW w:w="729" w:type="pct"/>
            <w:vMerge/>
            <w:vAlign w:val="center"/>
          </w:tcPr>
          <w:p w14:paraId="42ECFE57" w14:textId="77777777" w:rsidR="00902B89" w:rsidRPr="00873941" w:rsidRDefault="00902B89" w:rsidP="00357E0A">
            <w:pPr>
              <w:pStyle w:val="In-tableHeading"/>
              <w:rPr>
                <w:lang w:val="en-AU"/>
              </w:rPr>
            </w:pPr>
          </w:p>
        </w:tc>
        <w:tc>
          <w:tcPr>
            <w:tcW w:w="714" w:type="pct"/>
            <w:vMerge/>
            <w:vAlign w:val="center"/>
          </w:tcPr>
          <w:p w14:paraId="18E62ADF" w14:textId="77777777" w:rsidR="00902B89" w:rsidRPr="00873941" w:rsidRDefault="00902B89" w:rsidP="00357E0A">
            <w:pPr>
              <w:pStyle w:val="In-tableHeading"/>
              <w:rPr>
                <w:lang w:val="en-AU"/>
              </w:rPr>
            </w:pPr>
          </w:p>
        </w:tc>
      </w:tr>
      <w:tr w:rsidR="00902B89" w:rsidRPr="00873941" w14:paraId="62AD0EAD" w14:textId="77777777" w:rsidTr="00357E0A">
        <w:trPr>
          <w:tblHeader/>
        </w:trPr>
        <w:tc>
          <w:tcPr>
            <w:tcW w:w="5000" w:type="pct"/>
            <w:gridSpan w:val="8"/>
          </w:tcPr>
          <w:p w14:paraId="246C1D4E" w14:textId="0001432F" w:rsidR="00902B89" w:rsidRPr="00873941" w:rsidRDefault="00902B89" w:rsidP="00357E0A">
            <w:pPr>
              <w:pStyle w:val="In-tableHeading"/>
              <w:rPr>
                <w:lang w:val="en-AU"/>
              </w:rPr>
            </w:pPr>
            <w:proofErr w:type="spellStart"/>
            <w:r w:rsidRPr="00873941">
              <w:rPr>
                <w:lang w:val="en-AU"/>
              </w:rPr>
              <w:t>P+T+Chemo</w:t>
            </w:r>
            <w:proofErr w:type="spellEnd"/>
            <w:r w:rsidR="00AD6715" w:rsidRPr="00873941">
              <w:rPr>
                <w:lang w:val="en-AU"/>
              </w:rPr>
              <w:t xml:space="preserve"> (docetaxel)</w:t>
            </w:r>
            <w:r w:rsidRPr="00873941">
              <w:rPr>
                <w:lang w:val="en-AU"/>
              </w:rPr>
              <w:t xml:space="preserve"> vs </w:t>
            </w:r>
            <w:proofErr w:type="spellStart"/>
            <w:r w:rsidRPr="00873941">
              <w:rPr>
                <w:lang w:val="en-AU"/>
              </w:rPr>
              <w:t>T+Chemo</w:t>
            </w:r>
            <w:proofErr w:type="spellEnd"/>
            <w:r w:rsidR="00AD6715" w:rsidRPr="00873941">
              <w:rPr>
                <w:lang w:val="en-AU"/>
              </w:rPr>
              <w:t xml:space="preserve"> (docetaxel)</w:t>
            </w:r>
            <w:r w:rsidRPr="00873941">
              <w:rPr>
                <w:lang w:val="en-AU"/>
              </w:rPr>
              <w:t xml:space="preserve">, 4 neoadjuvant </w:t>
            </w:r>
            <w:r w:rsidR="00427658" w:rsidRPr="00873941">
              <w:rPr>
                <w:lang w:val="en-AU"/>
              </w:rPr>
              <w:t xml:space="preserve">HER2 therapy </w:t>
            </w:r>
            <w:r w:rsidRPr="00873941">
              <w:rPr>
                <w:lang w:val="en-AU"/>
              </w:rPr>
              <w:t>cycles</w:t>
            </w:r>
          </w:p>
        </w:tc>
      </w:tr>
      <w:tr w:rsidR="00902B89" w:rsidRPr="00873941" w14:paraId="497DC3A3" w14:textId="77777777" w:rsidTr="00357E0A">
        <w:tc>
          <w:tcPr>
            <w:tcW w:w="691" w:type="pct"/>
            <w:shd w:val="clear" w:color="auto" w:fill="B8CCE4" w:themeFill="accent1" w:themeFillTint="66"/>
            <w:vAlign w:val="center"/>
          </w:tcPr>
          <w:p w14:paraId="2418FEC8" w14:textId="77777777" w:rsidR="00902B89" w:rsidRPr="00873941" w:rsidRDefault="00902B89" w:rsidP="006139B4">
            <w:pPr>
              <w:pStyle w:val="TableText0"/>
            </w:pPr>
            <w:r w:rsidRPr="00873941">
              <w:t>NEOSPHERE</w:t>
            </w:r>
          </w:p>
        </w:tc>
        <w:tc>
          <w:tcPr>
            <w:tcW w:w="669" w:type="pct"/>
            <w:tcBorders>
              <w:top w:val="single" w:sz="4" w:space="0" w:color="auto"/>
              <w:left w:val="single" w:sz="4" w:space="0" w:color="auto"/>
              <w:bottom w:val="single" w:sz="4" w:space="0" w:color="auto"/>
            </w:tcBorders>
            <w:shd w:val="clear" w:color="auto" w:fill="B8CCE4" w:themeFill="accent1" w:themeFillTint="66"/>
            <w:vAlign w:val="center"/>
          </w:tcPr>
          <w:p w14:paraId="6DF302C3" w14:textId="1DB8CCCA" w:rsidR="00902B89" w:rsidRPr="00873941" w:rsidRDefault="00902B89" w:rsidP="006139B4">
            <w:pPr>
              <w:pStyle w:val="TableText0"/>
              <w:jc w:val="center"/>
            </w:pPr>
            <w:r w:rsidRPr="00873941">
              <w:t>49</w:t>
            </w:r>
            <w:r w:rsidR="00630F61" w:rsidRPr="00873941">
              <w:t>/107</w:t>
            </w:r>
            <w:r w:rsidRPr="00873941">
              <w:t xml:space="preserve"> (45.8)</w:t>
            </w:r>
          </w:p>
        </w:tc>
        <w:tc>
          <w:tcPr>
            <w:tcW w:w="727" w:type="pct"/>
            <w:gridSpan w:val="2"/>
            <w:tcBorders>
              <w:top w:val="single" w:sz="4" w:space="0" w:color="auto"/>
              <w:bottom w:val="single" w:sz="4" w:space="0" w:color="auto"/>
              <w:right w:val="single" w:sz="4" w:space="0" w:color="auto"/>
            </w:tcBorders>
            <w:shd w:val="clear" w:color="auto" w:fill="B8CCE4" w:themeFill="accent1" w:themeFillTint="66"/>
            <w:vAlign w:val="center"/>
          </w:tcPr>
          <w:p w14:paraId="1EBDF751" w14:textId="77777777" w:rsidR="00902B89" w:rsidRPr="00873941" w:rsidRDefault="00902B89" w:rsidP="006139B4">
            <w:pPr>
              <w:pStyle w:val="TableText0"/>
              <w:jc w:val="center"/>
            </w:pPr>
            <w:r w:rsidRPr="00873941">
              <w:t>36.1, 55.7</w:t>
            </w:r>
          </w:p>
        </w:tc>
        <w:tc>
          <w:tcPr>
            <w:tcW w:w="740" w:type="pct"/>
            <w:tcBorders>
              <w:top w:val="single" w:sz="4" w:space="0" w:color="auto"/>
              <w:left w:val="single" w:sz="4" w:space="0" w:color="auto"/>
              <w:bottom w:val="single" w:sz="4" w:space="0" w:color="auto"/>
            </w:tcBorders>
            <w:shd w:val="clear" w:color="auto" w:fill="B8CCE4" w:themeFill="accent1" w:themeFillTint="66"/>
            <w:vAlign w:val="center"/>
          </w:tcPr>
          <w:p w14:paraId="78C5974B" w14:textId="3D5656A0" w:rsidR="00902B89" w:rsidRPr="00873941" w:rsidRDefault="00902B89" w:rsidP="006139B4">
            <w:pPr>
              <w:pStyle w:val="TableText0"/>
              <w:jc w:val="center"/>
            </w:pPr>
            <w:r w:rsidRPr="00873941">
              <w:t>31</w:t>
            </w:r>
            <w:r w:rsidR="00630F61" w:rsidRPr="00873941">
              <w:t>/107</w:t>
            </w:r>
            <w:r w:rsidRPr="00873941">
              <w:t xml:space="preserve"> (29.0)</w:t>
            </w:r>
          </w:p>
        </w:tc>
        <w:tc>
          <w:tcPr>
            <w:tcW w:w="730" w:type="pct"/>
            <w:tcBorders>
              <w:top w:val="single" w:sz="4" w:space="0" w:color="auto"/>
              <w:bottom w:val="single" w:sz="4" w:space="0" w:color="auto"/>
              <w:right w:val="single" w:sz="4" w:space="0" w:color="auto"/>
            </w:tcBorders>
            <w:shd w:val="clear" w:color="auto" w:fill="B8CCE4" w:themeFill="accent1" w:themeFillTint="66"/>
            <w:vAlign w:val="center"/>
          </w:tcPr>
          <w:p w14:paraId="4F4A1347" w14:textId="77777777" w:rsidR="00902B89" w:rsidRPr="00873941" w:rsidRDefault="00902B89" w:rsidP="006139B4">
            <w:pPr>
              <w:pStyle w:val="TableText0"/>
              <w:jc w:val="center"/>
            </w:pPr>
            <w:r w:rsidRPr="00873941">
              <w:t>20.6, 38.5</w:t>
            </w:r>
          </w:p>
        </w:tc>
        <w:tc>
          <w:tcPr>
            <w:tcW w:w="7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D26E85" w14:textId="77777777" w:rsidR="00902B89" w:rsidRPr="00873941" w:rsidRDefault="00902B89" w:rsidP="006139B4">
            <w:pPr>
              <w:pStyle w:val="TableText0"/>
              <w:jc w:val="center"/>
              <w:rPr>
                <w:b/>
                <w:bCs w:val="0"/>
              </w:rPr>
            </w:pPr>
            <w:r w:rsidRPr="00873941">
              <w:rPr>
                <w:b/>
                <w:bCs w:val="0"/>
              </w:rPr>
              <w:t xml:space="preserve">16.8% </w:t>
            </w:r>
            <w:r w:rsidRPr="00873941">
              <w:rPr>
                <w:b/>
                <w:bCs w:val="0"/>
              </w:rPr>
              <w:br/>
              <w:t>(3.5, 30.1)</w:t>
            </w:r>
          </w:p>
        </w:tc>
        <w:tc>
          <w:tcPr>
            <w:tcW w:w="7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EE6DB75" w14:textId="77777777" w:rsidR="00902B89" w:rsidRPr="00873941" w:rsidRDefault="00902B89" w:rsidP="006139B4">
            <w:pPr>
              <w:pStyle w:val="TableText0"/>
              <w:jc w:val="center"/>
              <w:rPr>
                <w:b/>
                <w:bCs w:val="0"/>
              </w:rPr>
            </w:pPr>
            <w:r w:rsidRPr="00873941">
              <w:rPr>
                <w:b/>
                <w:bCs w:val="0"/>
              </w:rPr>
              <w:t>0.0141</w:t>
            </w:r>
          </w:p>
        </w:tc>
      </w:tr>
      <w:tr w:rsidR="00902B89" w:rsidRPr="00873941" w14:paraId="5A0BD2AB" w14:textId="77777777" w:rsidTr="00357E0A">
        <w:tc>
          <w:tcPr>
            <w:tcW w:w="691" w:type="pct"/>
            <w:vAlign w:val="center"/>
          </w:tcPr>
          <w:p w14:paraId="78C71D87" w14:textId="77777777" w:rsidR="00902B89" w:rsidRPr="00873941" w:rsidRDefault="00902B89" w:rsidP="006139B4">
            <w:pPr>
              <w:pStyle w:val="TableText0"/>
            </w:pPr>
            <w:r w:rsidRPr="00873941">
              <w:t>PEONY (IRC assessed)</w:t>
            </w:r>
          </w:p>
        </w:tc>
        <w:tc>
          <w:tcPr>
            <w:tcW w:w="669" w:type="pct"/>
            <w:tcBorders>
              <w:top w:val="single" w:sz="4" w:space="0" w:color="auto"/>
              <w:left w:val="single" w:sz="4" w:space="0" w:color="auto"/>
              <w:bottom w:val="single" w:sz="4" w:space="0" w:color="auto"/>
            </w:tcBorders>
            <w:vAlign w:val="center"/>
          </w:tcPr>
          <w:p w14:paraId="09C4B1AB" w14:textId="217A9EE4" w:rsidR="00902B89" w:rsidRPr="00873941" w:rsidRDefault="00902B89" w:rsidP="006139B4">
            <w:pPr>
              <w:pStyle w:val="TableText0"/>
              <w:jc w:val="center"/>
            </w:pPr>
            <w:r w:rsidRPr="00873941">
              <w:t>92</w:t>
            </w:r>
            <w:r w:rsidR="00630F61" w:rsidRPr="00873941">
              <w:t>/219</w:t>
            </w:r>
            <w:r w:rsidRPr="00873941">
              <w:t xml:space="preserve"> (42.0)</w:t>
            </w:r>
          </w:p>
        </w:tc>
        <w:tc>
          <w:tcPr>
            <w:tcW w:w="727" w:type="pct"/>
            <w:gridSpan w:val="2"/>
            <w:tcBorders>
              <w:top w:val="single" w:sz="4" w:space="0" w:color="auto"/>
              <w:bottom w:val="single" w:sz="4" w:space="0" w:color="auto"/>
              <w:right w:val="single" w:sz="4" w:space="0" w:color="auto"/>
            </w:tcBorders>
            <w:vAlign w:val="center"/>
          </w:tcPr>
          <w:p w14:paraId="59E096B4" w14:textId="77777777" w:rsidR="00902B89" w:rsidRPr="00873941" w:rsidRDefault="00902B89" w:rsidP="006139B4">
            <w:pPr>
              <w:pStyle w:val="TableText0"/>
              <w:jc w:val="center"/>
            </w:pPr>
            <w:r w:rsidRPr="00873941">
              <w:t>35.39, 48.85</w:t>
            </w:r>
          </w:p>
        </w:tc>
        <w:tc>
          <w:tcPr>
            <w:tcW w:w="740" w:type="pct"/>
            <w:tcBorders>
              <w:top w:val="single" w:sz="4" w:space="0" w:color="auto"/>
              <w:left w:val="single" w:sz="4" w:space="0" w:color="auto"/>
              <w:bottom w:val="single" w:sz="4" w:space="0" w:color="auto"/>
            </w:tcBorders>
            <w:vAlign w:val="center"/>
          </w:tcPr>
          <w:p w14:paraId="18027054" w14:textId="2B5675E2" w:rsidR="00902B89" w:rsidRPr="00873941" w:rsidRDefault="00902B89" w:rsidP="006139B4">
            <w:pPr>
              <w:pStyle w:val="TableText0"/>
              <w:jc w:val="center"/>
            </w:pPr>
            <w:r w:rsidRPr="00873941">
              <w:t>26</w:t>
            </w:r>
            <w:r w:rsidR="00630F61" w:rsidRPr="00873941">
              <w:t>/110</w:t>
            </w:r>
            <w:r w:rsidRPr="00873941">
              <w:t xml:space="preserve"> (23.6)</w:t>
            </w:r>
          </w:p>
        </w:tc>
        <w:tc>
          <w:tcPr>
            <w:tcW w:w="730" w:type="pct"/>
            <w:tcBorders>
              <w:top w:val="single" w:sz="4" w:space="0" w:color="auto"/>
              <w:bottom w:val="single" w:sz="4" w:space="0" w:color="auto"/>
              <w:right w:val="single" w:sz="4" w:space="0" w:color="auto"/>
            </w:tcBorders>
            <w:vAlign w:val="center"/>
          </w:tcPr>
          <w:p w14:paraId="309C0070" w14:textId="77777777" w:rsidR="00902B89" w:rsidRPr="00873941" w:rsidRDefault="00902B89" w:rsidP="006139B4">
            <w:pPr>
              <w:pStyle w:val="TableText0"/>
              <w:jc w:val="center"/>
            </w:pPr>
            <w:r w:rsidRPr="00873941">
              <w:t>16.06, 32.68</w:t>
            </w:r>
          </w:p>
        </w:tc>
        <w:tc>
          <w:tcPr>
            <w:tcW w:w="729" w:type="pct"/>
            <w:tcBorders>
              <w:top w:val="single" w:sz="4" w:space="0" w:color="auto"/>
              <w:bottom w:val="single" w:sz="4" w:space="0" w:color="auto"/>
              <w:right w:val="single" w:sz="4" w:space="0" w:color="auto"/>
            </w:tcBorders>
            <w:vAlign w:val="center"/>
          </w:tcPr>
          <w:p w14:paraId="6BC98BD2" w14:textId="77777777" w:rsidR="00902B89" w:rsidRPr="00873941" w:rsidRDefault="00902B89" w:rsidP="006139B4">
            <w:pPr>
              <w:pStyle w:val="TableText0"/>
              <w:jc w:val="center"/>
              <w:rPr>
                <w:b/>
                <w:bCs w:val="0"/>
              </w:rPr>
            </w:pPr>
            <w:r w:rsidRPr="00873941">
              <w:rPr>
                <w:b/>
                <w:bCs w:val="0"/>
              </w:rPr>
              <w:t xml:space="preserve">18.37% </w:t>
            </w:r>
          </w:p>
          <w:p w14:paraId="2E05EDE7" w14:textId="77777777" w:rsidR="00902B89" w:rsidRPr="00873941" w:rsidRDefault="00902B89" w:rsidP="006139B4">
            <w:pPr>
              <w:pStyle w:val="TableText0"/>
              <w:jc w:val="center"/>
              <w:rPr>
                <w:b/>
                <w:bCs w:val="0"/>
              </w:rPr>
            </w:pPr>
            <w:r w:rsidRPr="00873941">
              <w:rPr>
                <w:b/>
                <w:bCs w:val="0"/>
              </w:rPr>
              <w:t>(7.60, 29.15)</w:t>
            </w:r>
          </w:p>
        </w:tc>
        <w:tc>
          <w:tcPr>
            <w:tcW w:w="714" w:type="pct"/>
            <w:vAlign w:val="center"/>
          </w:tcPr>
          <w:p w14:paraId="34847F13" w14:textId="77777777" w:rsidR="00902B89" w:rsidRPr="00873941" w:rsidRDefault="00902B89" w:rsidP="006139B4">
            <w:pPr>
              <w:pStyle w:val="TableText0"/>
              <w:jc w:val="center"/>
              <w:rPr>
                <w:b/>
                <w:bCs w:val="0"/>
              </w:rPr>
            </w:pPr>
            <w:r w:rsidRPr="00873941">
              <w:rPr>
                <w:b/>
                <w:bCs w:val="0"/>
              </w:rPr>
              <w:t>0.0010</w:t>
            </w:r>
          </w:p>
        </w:tc>
      </w:tr>
      <w:tr w:rsidR="00902B89" w:rsidRPr="00873941" w14:paraId="4B67AF89" w14:textId="77777777" w:rsidTr="00357E0A">
        <w:tc>
          <w:tcPr>
            <w:tcW w:w="5000" w:type="pct"/>
            <w:gridSpan w:val="8"/>
          </w:tcPr>
          <w:p w14:paraId="129DD100" w14:textId="2D7A84F3" w:rsidR="00902B89" w:rsidRPr="00873941" w:rsidRDefault="00902B89" w:rsidP="006139B4">
            <w:pPr>
              <w:pStyle w:val="In-tableHeading"/>
              <w:rPr>
                <w:lang w:val="en-AU"/>
              </w:rPr>
            </w:pPr>
            <w:proofErr w:type="spellStart"/>
            <w:r w:rsidRPr="00873941">
              <w:rPr>
                <w:lang w:val="en-AU"/>
              </w:rPr>
              <w:t>P+T+Chemo</w:t>
            </w:r>
            <w:proofErr w:type="spellEnd"/>
            <w:r w:rsidRPr="00873941">
              <w:rPr>
                <w:lang w:val="en-AU"/>
              </w:rPr>
              <w:t xml:space="preserve"> (</w:t>
            </w:r>
            <w:r w:rsidR="00512515" w:rsidRPr="00873941">
              <w:rPr>
                <w:lang w:val="en-AU"/>
              </w:rPr>
              <w:t>3+3</w:t>
            </w:r>
            <w:r w:rsidRPr="00873941">
              <w:rPr>
                <w:lang w:val="en-AU"/>
              </w:rPr>
              <w:t xml:space="preserve">) vs </w:t>
            </w:r>
            <w:proofErr w:type="spellStart"/>
            <w:r w:rsidRPr="00873941">
              <w:rPr>
                <w:lang w:val="en-AU"/>
              </w:rPr>
              <w:t>P+T+</w:t>
            </w:r>
            <w:r w:rsidR="000D3EDD" w:rsidRPr="00873941">
              <w:rPr>
                <w:lang w:val="en-AU"/>
              </w:rPr>
              <w:t>Chemo</w:t>
            </w:r>
            <w:proofErr w:type="spellEnd"/>
            <w:r w:rsidR="000D3EDD" w:rsidRPr="00873941">
              <w:rPr>
                <w:lang w:val="en-AU"/>
              </w:rPr>
              <w:t xml:space="preserve"> (</w:t>
            </w:r>
            <w:r w:rsidRPr="00873941">
              <w:rPr>
                <w:lang w:val="en-AU"/>
              </w:rPr>
              <w:t xml:space="preserve">6), 6 neoadjuvant </w:t>
            </w:r>
            <w:r w:rsidR="00427658" w:rsidRPr="00873941">
              <w:rPr>
                <w:lang w:val="en-AU"/>
              </w:rPr>
              <w:t xml:space="preserve">HER2 therapy </w:t>
            </w:r>
            <w:r w:rsidRPr="00873941">
              <w:rPr>
                <w:lang w:val="en-AU"/>
              </w:rPr>
              <w:t>cycles</w:t>
            </w:r>
          </w:p>
        </w:tc>
      </w:tr>
      <w:tr w:rsidR="00902B89" w:rsidRPr="00873941" w14:paraId="7AF80E96" w14:textId="77777777" w:rsidTr="00357E0A">
        <w:tc>
          <w:tcPr>
            <w:tcW w:w="691" w:type="pct"/>
            <w:shd w:val="clear" w:color="auto" w:fill="B8CCE4" w:themeFill="accent1" w:themeFillTint="66"/>
            <w:vAlign w:val="center"/>
          </w:tcPr>
          <w:p w14:paraId="63C5FFFF" w14:textId="77777777" w:rsidR="00902B89" w:rsidRPr="00873941" w:rsidRDefault="00902B89" w:rsidP="006139B4">
            <w:pPr>
              <w:pStyle w:val="TableText0"/>
            </w:pPr>
            <w:r w:rsidRPr="00873941">
              <w:t>TRYPHAENA</w:t>
            </w:r>
          </w:p>
        </w:tc>
        <w:tc>
          <w:tcPr>
            <w:tcW w:w="669" w:type="pct"/>
            <w:tcBorders>
              <w:top w:val="single" w:sz="4" w:space="0" w:color="auto"/>
              <w:left w:val="single" w:sz="4" w:space="0" w:color="auto"/>
              <w:bottom w:val="single" w:sz="4" w:space="0" w:color="auto"/>
            </w:tcBorders>
            <w:shd w:val="clear" w:color="auto" w:fill="B8CCE4" w:themeFill="accent1" w:themeFillTint="66"/>
          </w:tcPr>
          <w:p w14:paraId="3DFAC2B0" w14:textId="30677D64" w:rsidR="00902B89" w:rsidRPr="00873941" w:rsidRDefault="00902B89" w:rsidP="006139B4">
            <w:pPr>
              <w:pStyle w:val="TableText0"/>
              <w:jc w:val="center"/>
            </w:pPr>
            <w:r w:rsidRPr="00873941">
              <w:t>45</w:t>
            </w:r>
            <w:r w:rsidR="00E921B1" w:rsidRPr="00873941">
              <w:t>/73</w:t>
            </w:r>
            <w:r w:rsidRPr="00873941">
              <w:t xml:space="preserve"> (61.6)</w:t>
            </w:r>
          </w:p>
        </w:tc>
        <w:tc>
          <w:tcPr>
            <w:tcW w:w="727" w:type="pct"/>
            <w:gridSpan w:val="2"/>
            <w:tcBorders>
              <w:top w:val="single" w:sz="4" w:space="0" w:color="auto"/>
              <w:bottom w:val="single" w:sz="4" w:space="0" w:color="auto"/>
              <w:right w:val="single" w:sz="4" w:space="0" w:color="auto"/>
            </w:tcBorders>
            <w:shd w:val="clear" w:color="auto" w:fill="B8CCE4" w:themeFill="accent1" w:themeFillTint="66"/>
          </w:tcPr>
          <w:p w14:paraId="580BA6BD" w14:textId="77777777" w:rsidR="00902B89" w:rsidRPr="00873941" w:rsidRDefault="00902B89" w:rsidP="006139B4">
            <w:pPr>
              <w:pStyle w:val="TableText0"/>
              <w:jc w:val="center"/>
            </w:pPr>
            <w:r w:rsidRPr="00873941">
              <w:t>49.5, 72.8</w:t>
            </w:r>
          </w:p>
        </w:tc>
        <w:tc>
          <w:tcPr>
            <w:tcW w:w="740" w:type="pct"/>
            <w:tcBorders>
              <w:top w:val="single" w:sz="4" w:space="0" w:color="auto"/>
              <w:left w:val="single" w:sz="4" w:space="0" w:color="auto"/>
              <w:bottom w:val="single" w:sz="4" w:space="0" w:color="auto"/>
            </w:tcBorders>
            <w:shd w:val="clear" w:color="auto" w:fill="B8CCE4" w:themeFill="accent1" w:themeFillTint="66"/>
          </w:tcPr>
          <w:p w14:paraId="52088177" w14:textId="74506BE8" w:rsidR="00902B89" w:rsidRPr="00873941" w:rsidRDefault="00902B89" w:rsidP="006139B4">
            <w:pPr>
              <w:pStyle w:val="TableText0"/>
              <w:jc w:val="center"/>
            </w:pPr>
            <w:r w:rsidRPr="00873941">
              <w:t>51</w:t>
            </w:r>
            <w:r w:rsidR="00E921B1" w:rsidRPr="00873941">
              <w:t>/77</w:t>
            </w:r>
            <w:r w:rsidRPr="00873941">
              <w:t xml:space="preserve"> (66.2)</w:t>
            </w:r>
          </w:p>
        </w:tc>
        <w:tc>
          <w:tcPr>
            <w:tcW w:w="730" w:type="pct"/>
            <w:tcBorders>
              <w:top w:val="single" w:sz="4" w:space="0" w:color="auto"/>
              <w:bottom w:val="single" w:sz="4" w:space="0" w:color="auto"/>
              <w:right w:val="single" w:sz="4" w:space="0" w:color="auto"/>
            </w:tcBorders>
            <w:shd w:val="clear" w:color="auto" w:fill="B8CCE4" w:themeFill="accent1" w:themeFillTint="66"/>
          </w:tcPr>
          <w:p w14:paraId="2B5BA625" w14:textId="77777777" w:rsidR="00902B89" w:rsidRPr="00873941" w:rsidRDefault="00902B89" w:rsidP="006139B4">
            <w:pPr>
              <w:pStyle w:val="TableText0"/>
              <w:jc w:val="center"/>
            </w:pPr>
            <w:r w:rsidRPr="00873941">
              <w:t>54.6, 76.6</w:t>
            </w:r>
          </w:p>
        </w:tc>
        <w:tc>
          <w:tcPr>
            <w:tcW w:w="729" w:type="pct"/>
            <w:shd w:val="clear" w:color="auto" w:fill="B8CCE4" w:themeFill="accent1" w:themeFillTint="66"/>
            <w:vAlign w:val="center"/>
          </w:tcPr>
          <w:p w14:paraId="7601B334" w14:textId="77777777" w:rsidR="00902B89" w:rsidRPr="00873941" w:rsidRDefault="00902B89" w:rsidP="006139B4">
            <w:pPr>
              <w:pStyle w:val="TableText0"/>
              <w:jc w:val="center"/>
            </w:pPr>
            <w:r w:rsidRPr="00873941">
              <w:t>N/A</w:t>
            </w:r>
          </w:p>
        </w:tc>
        <w:tc>
          <w:tcPr>
            <w:tcW w:w="714" w:type="pct"/>
            <w:shd w:val="clear" w:color="auto" w:fill="B8CCE4" w:themeFill="accent1" w:themeFillTint="66"/>
            <w:vAlign w:val="center"/>
          </w:tcPr>
          <w:p w14:paraId="3A44C2F5" w14:textId="77777777" w:rsidR="00902B89" w:rsidRPr="00873941" w:rsidRDefault="00902B89" w:rsidP="006139B4">
            <w:pPr>
              <w:pStyle w:val="TableText0"/>
              <w:jc w:val="center"/>
            </w:pPr>
            <w:r w:rsidRPr="00873941">
              <w:t>N/A</w:t>
            </w:r>
          </w:p>
        </w:tc>
      </w:tr>
    </w:tbl>
    <w:p w14:paraId="19548BAD" w14:textId="0228BCCA" w:rsidR="00902B89" w:rsidRPr="00873941" w:rsidRDefault="00902B89" w:rsidP="00902B89">
      <w:pPr>
        <w:pStyle w:val="TableFigureFooter"/>
        <w:rPr>
          <w:sz w:val="20"/>
        </w:rPr>
      </w:pPr>
      <w:r w:rsidRPr="00873941">
        <w:t>Source: Tables 2-19, 2-26 &amp; 2-33, pp82, 88 &amp; 92 of the resubmission.</w:t>
      </w:r>
      <w:r w:rsidR="00AD6715" w:rsidRPr="00873941">
        <w:rPr>
          <w:rFonts w:eastAsia="Calibri"/>
          <w:b/>
        </w:rPr>
        <w:t xml:space="preserve"> Bold</w:t>
      </w:r>
      <w:r w:rsidR="00AD6715" w:rsidRPr="00873941">
        <w:rPr>
          <w:rFonts w:eastAsia="Calibri"/>
        </w:rPr>
        <w:t xml:space="preserve"> indicates statistically significant results.</w:t>
      </w:r>
    </w:p>
    <w:p w14:paraId="3A6DDBF5" w14:textId="55A4F6F1" w:rsidR="00902B89" w:rsidRPr="00873941" w:rsidRDefault="00E921B1" w:rsidP="00902B89">
      <w:pPr>
        <w:pStyle w:val="TableFigureFooter"/>
        <w:rPr>
          <w:rFonts w:eastAsia="Calibri"/>
        </w:rPr>
      </w:pPr>
      <w:r w:rsidRPr="00873941">
        <w:rPr>
          <w:rFonts w:eastAsia="Calibri"/>
        </w:rPr>
        <w:t>3+3=3 x (5</w:t>
      </w:r>
      <w:r w:rsidR="00AD6715" w:rsidRPr="00873941">
        <w:rPr>
          <w:rFonts w:eastAsia="Calibri"/>
        </w:rPr>
        <w:t>-fluorouracil</w:t>
      </w:r>
      <w:r w:rsidRPr="00873941">
        <w:rPr>
          <w:rFonts w:eastAsia="Calibri"/>
        </w:rPr>
        <w:t xml:space="preserve"> + </w:t>
      </w:r>
      <w:proofErr w:type="spellStart"/>
      <w:r w:rsidRPr="00873941">
        <w:rPr>
          <w:rFonts w:eastAsia="Calibri"/>
        </w:rPr>
        <w:t>epirubicin</w:t>
      </w:r>
      <w:proofErr w:type="spellEnd"/>
      <w:r w:rsidRPr="00873941">
        <w:rPr>
          <w:rFonts w:eastAsia="Calibri"/>
        </w:rPr>
        <w:t xml:space="preserve"> + cyclophosphamide) cycles then 3 x docetaxel cycles; 6=6 x docetaxel + carboplatin cycles; </w:t>
      </w:r>
      <w:proofErr w:type="spellStart"/>
      <w:r w:rsidR="00882DB9" w:rsidRPr="00873941">
        <w:rPr>
          <w:rFonts w:eastAsia="Calibri"/>
        </w:rPr>
        <w:t>bpCR</w:t>
      </w:r>
      <w:proofErr w:type="spellEnd"/>
      <w:r w:rsidR="00882DB9" w:rsidRPr="00873941">
        <w:rPr>
          <w:rFonts w:eastAsia="Calibri"/>
        </w:rPr>
        <w:t xml:space="preserve"> = breast pathological complete response; </w:t>
      </w:r>
      <w:r w:rsidR="00902B89" w:rsidRPr="00873941">
        <w:rPr>
          <w:rFonts w:eastAsia="Calibri"/>
        </w:rPr>
        <w:t>CI = confidence interval;</w:t>
      </w:r>
      <w:r w:rsidR="00AC3EEF" w:rsidRPr="00873941">
        <w:t xml:space="preserve"> I</w:t>
      </w:r>
      <w:r w:rsidR="00AC3EEF" w:rsidRPr="00873941">
        <w:rPr>
          <w:rFonts w:eastAsia="Calibri"/>
        </w:rPr>
        <w:t>RC</w:t>
      </w:r>
      <w:r w:rsidR="00E84153" w:rsidRPr="00873941">
        <w:rPr>
          <w:rFonts w:eastAsia="Calibri"/>
        </w:rPr>
        <w:t xml:space="preserve"> </w:t>
      </w:r>
      <w:r w:rsidR="00AC3EEF" w:rsidRPr="00873941">
        <w:rPr>
          <w:rFonts w:eastAsia="Calibri"/>
        </w:rPr>
        <w:t>=</w:t>
      </w:r>
      <w:r w:rsidR="00E84153" w:rsidRPr="00873941">
        <w:rPr>
          <w:rFonts w:eastAsia="Calibri"/>
        </w:rPr>
        <w:t xml:space="preserve"> </w:t>
      </w:r>
      <w:r w:rsidR="00AC3EEF" w:rsidRPr="00873941">
        <w:rPr>
          <w:rFonts w:eastAsia="Calibri"/>
        </w:rPr>
        <w:t>Independent Review Committee;</w:t>
      </w:r>
      <w:r w:rsidR="00902B89" w:rsidRPr="00873941">
        <w:rPr>
          <w:rFonts w:eastAsia="Calibri"/>
        </w:rPr>
        <w:t xml:space="preserve"> n = number of participants with event; N = total participants in group</w:t>
      </w:r>
      <w:r w:rsidR="00E84153" w:rsidRPr="00873941">
        <w:rPr>
          <w:rFonts w:eastAsia="Calibri"/>
        </w:rPr>
        <w:t xml:space="preserve">; </w:t>
      </w:r>
      <w:proofErr w:type="spellStart"/>
      <w:r w:rsidR="00E84153" w:rsidRPr="00873941">
        <w:t>P+T+Chemo</w:t>
      </w:r>
      <w:proofErr w:type="spellEnd"/>
      <w:r w:rsidR="00E84153" w:rsidRPr="00873941">
        <w:t xml:space="preserve"> = pertuzumab + trastuzumab + chemotherapy; </w:t>
      </w:r>
      <w:proofErr w:type="spellStart"/>
      <w:r w:rsidR="00E84153" w:rsidRPr="00873941">
        <w:t>T+Chemo</w:t>
      </w:r>
      <w:proofErr w:type="spellEnd"/>
      <w:r w:rsidR="00E84153" w:rsidRPr="00873941">
        <w:t xml:space="preserve"> = trastuzumab + chemotherapy</w:t>
      </w:r>
      <w:r w:rsidR="00902B89" w:rsidRPr="00873941">
        <w:rPr>
          <w:rFonts w:eastAsia="Calibri"/>
        </w:rPr>
        <w:t xml:space="preserve">. </w:t>
      </w:r>
    </w:p>
    <w:p w14:paraId="0799632C" w14:textId="77D67167" w:rsidR="00F01B5B" w:rsidRPr="00873941" w:rsidRDefault="00F01B5B" w:rsidP="00902B89">
      <w:pPr>
        <w:pStyle w:val="3-BodyText"/>
      </w:pPr>
      <w:r w:rsidRPr="00873941">
        <w:t xml:space="preserve">In the NEOSPHERE trial, participants receiving </w:t>
      </w:r>
      <w:proofErr w:type="spellStart"/>
      <w:r w:rsidRPr="00873941">
        <w:t>P+T+Chemo</w:t>
      </w:r>
      <w:proofErr w:type="spellEnd"/>
      <w:r w:rsidRPr="00873941">
        <w:t xml:space="preserve"> had a </w:t>
      </w:r>
      <w:proofErr w:type="spellStart"/>
      <w:r w:rsidRPr="00873941">
        <w:t>bpCR</w:t>
      </w:r>
      <w:proofErr w:type="spellEnd"/>
      <w:r w:rsidRPr="00873941">
        <w:t xml:space="preserve"> rate of 45.8% compared to 29.0% in participants receiving </w:t>
      </w:r>
      <w:proofErr w:type="spellStart"/>
      <w:r w:rsidRPr="00873941">
        <w:t>T+Chemo</w:t>
      </w:r>
      <w:proofErr w:type="spellEnd"/>
      <w:r w:rsidRPr="00873941">
        <w:t>, a statistically significant difference of 16.8% (95%CI: 3.5, 30.1)</w:t>
      </w:r>
      <w:r w:rsidR="006822A2" w:rsidRPr="00873941">
        <w:t>.</w:t>
      </w:r>
      <w:r w:rsidR="00DB4B3E" w:rsidRPr="00873941">
        <w:t xml:space="preserve"> In the PEONY trial, a significantly greater proportion of pa</w:t>
      </w:r>
      <w:r w:rsidR="00357E0A" w:rsidRPr="00873941">
        <w:t>rticipa</w:t>
      </w:r>
      <w:r w:rsidR="00DB4B3E" w:rsidRPr="00873941">
        <w:t xml:space="preserve">nts in the </w:t>
      </w:r>
      <w:proofErr w:type="spellStart"/>
      <w:r w:rsidR="00DB4B3E" w:rsidRPr="00873941">
        <w:t>P+T+Chemo</w:t>
      </w:r>
      <w:proofErr w:type="spellEnd"/>
      <w:r w:rsidR="00DB4B3E" w:rsidRPr="00873941">
        <w:t xml:space="preserve"> arm achieved the secondary endpoint of </w:t>
      </w:r>
      <w:proofErr w:type="spellStart"/>
      <w:r w:rsidR="00DB4B3E" w:rsidRPr="00873941">
        <w:t>bpCR</w:t>
      </w:r>
      <w:proofErr w:type="spellEnd"/>
      <w:r w:rsidR="00DB4B3E" w:rsidRPr="00873941">
        <w:t xml:space="preserve"> responder (as assessed by </w:t>
      </w:r>
      <w:r w:rsidR="00AC3EEF" w:rsidRPr="00873941">
        <w:t>an independent review committee</w:t>
      </w:r>
      <w:r w:rsidR="00DB4B3E" w:rsidRPr="00873941">
        <w:t>) compared to pa</w:t>
      </w:r>
      <w:r w:rsidR="00357E0A" w:rsidRPr="00873941">
        <w:t>rticipa</w:t>
      </w:r>
      <w:r w:rsidR="00DB4B3E" w:rsidRPr="00873941">
        <w:t xml:space="preserve">nts in the </w:t>
      </w:r>
      <w:proofErr w:type="spellStart"/>
      <w:r w:rsidR="00DB4B3E" w:rsidRPr="00873941">
        <w:t>T+Chemo</w:t>
      </w:r>
      <w:proofErr w:type="spellEnd"/>
      <w:r w:rsidR="00DB4B3E" w:rsidRPr="00873941">
        <w:t xml:space="preserve"> arm (42.0% vs 23.6%; difference in response rates of 18.37%, p=0.0010). </w:t>
      </w:r>
      <w:bookmarkStart w:id="45" w:name="_Hlk185185829"/>
      <w:r w:rsidR="00DB4B3E" w:rsidRPr="00873941">
        <w:t xml:space="preserve">The </w:t>
      </w:r>
      <w:proofErr w:type="spellStart"/>
      <w:r w:rsidR="00DB4B3E" w:rsidRPr="00873941">
        <w:t>bpCR</w:t>
      </w:r>
      <w:proofErr w:type="spellEnd"/>
      <w:r w:rsidR="00DB4B3E" w:rsidRPr="00873941">
        <w:t xml:space="preserve"> responder rate in the TRYPHAENA trial, where both treatment arms presented received 6 cycles of </w:t>
      </w:r>
      <w:proofErr w:type="spellStart"/>
      <w:r w:rsidR="00DB4B3E" w:rsidRPr="00873941">
        <w:t>P+T+Chemo</w:t>
      </w:r>
      <w:proofErr w:type="spellEnd"/>
      <w:r w:rsidR="00DB4B3E" w:rsidRPr="00873941">
        <w:t>, was over 60%.</w:t>
      </w:r>
      <w:bookmarkEnd w:id="45"/>
    </w:p>
    <w:p w14:paraId="37BDB04C" w14:textId="367B9063" w:rsidR="00902B89" w:rsidRPr="00873941" w:rsidRDefault="00902B89" w:rsidP="00902B89">
      <w:pPr>
        <w:pStyle w:val="3-BodyText"/>
      </w:pPr>
      <w:r w:rsidRPr="00873941">
        <w:lastRenderedPageBreak/>
        <w:fldChar w:fldCharType="begin"/>
      </w:r>
      <w:r w:rsidRPr="00873941">
        <w:instrText xml:space="preserve"> REF _Ref184767826 \h </w:instrText>
      </w:r>
      <w:r w:rsidRPr="00873941">
        <w:fldChar w:fldCharType="separate"/>
      </w:r>
      <w:r w:rsidR="000B094B" w:rsidRPr="00873941">
        <w:t xml:space="preserve">Table </w:t>
      </w:r>
      <w:r w:rsidR="000B094B">
        <w:rPr>
          <w:noProof/>
        </w:rPr>
        <w:t>8</w:t>
      </w:r>
      <w:r w:rsidRPr="00873941">
        <w:fldChar w:fldCharType="end"/>
      </w:r>
      <w:r w:rsidRPr="00873941">
        <w:t xml:space="preserve"> presents the results for </w:t>
      </w:r>
      <w:proofErr w:type="spellStart"/>
      <w:r w:rsidRPr="00873941">
        <w:t>tpCR</w:t>
      </w:r>
      <w:proofErr w:type="spellEnd"/>
      <w:r w:rsidRPr="00873941">
        <w:t xml:space="preserve"> in the RCTs that collected this outcome.</w:t>
      </w:r>
    </w:p>
    <w:p w14:paraId="0C97F4BD" w14:textId="2C75E3FF" w:rsidR="00902B89" w:rsidRPr="00873941" w:rsidRDefault="00902B89" w:rsidP="0088158A">
      <w:pPr>
        <w:pStyle w:val="Caption"/>
      </w:pPr>
      <w:bookmarkStart w:id="46" w:name="_Ref184767826"/>
      <w:r w:rsidRPr="00873941">
        <w:t xml:space="preserve">Table </w:t>
      </w:r>
      <w:r w:rsidR="00C06CD6">
        <w:fldChar w:fldCharType="begin"/>
      </w:r>
      <w:r w:rsidR="00C06CD6">
        <w:instrText xml:space="preserve"> SEQ Table \* ARABIC </w:instrText>
      </w:r>
      <w:r w:rsidR="00C06CD6">
        <w:fldChar w:fldCharType="separate"/>
      </w:r>
      <w:r w:rsidR="000B094B">
        <w:rPr>
          <w:noProof/>
        </w:rPr>
        <w:t>8</w:t>
      </w:r>
      <w:r w:rsidR="00C06CD6">
        <w:fldChar w:fldCharType="end"/>
      </w:r>
      <w:bookmarkEnd w:id="46"/>
      <w:r w:rsidRPr="00873941">
        <w:t>:</w:t>
      </w:r>
      <w:r w:rsidRPr="00873941">
        <w:rPr>
          <w:rStyle w:val="CommentReference"/>
          <w:b/>
          <w:szCs w:val="24"/>
        </w:rPr>
        <w:t xml:space="preserve"> Results of </w:t>
      </w:r>
      <w:proofErr w:type="spellStart"/>
      <w:r w:rsidRPr="00873941">
        <w:rPr>
          <w:rStyle w:val="CommentReference"/>
          <w:b/>
          <w:szCs w:val="24"/>
        </w:rPr>
        <w:t>tpCR</w:t>
      </w:r>
      <w:proofErr w:type="spellEnd"/>
      <w:r w:rsidRPr="00873941">
        <w:rPr>
          <w:rStyle w:val="CommentReference"/>
          <w:b/>
          <w:szCs w:val="24"/>
        </w:rPr>
        <w:t xml:space="preserve">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ults of tpCR across the trials"/>
      </w:tblPr>
      <w:tblGrid>
        <w:gridCol w:w="1246"/>
        <w:gridCol w:w="1139"/>
        <w:gridCol w:w="1140"/>
        <w:gridCol w:w="1140"/>
        <w:gridCol w:w="1142"/>
        <w:gridCol w:w="1922"/>
        <w:gridCol w:w="1288"/>
      </w:tblGrid>
      <w:tr w:rsidR="00902B89" w:rsidRPr="00873941" w14:paraId="54B0F912" w14:textId="77777777" w:rsidTr="0088158A">
        <w:trPr>
          <w:tblHeader/>
        </w:trPr>
        <w:tc>
          <w:tcPr>
            <w:tcW w:w="691" w:type="pct"/>
            <w:vMerge w:val="restart"/>
            <w:vAlign w:val="center"/>
          </w:tcPr>
          <w:p w14:paraId="28B17F48" w14:textId="77777777" w:rsidR="00902B89" w:rsidRPr="00873941" w:rsidRDefault="00902B89" w:rsidP="0088158A">
            <w:pPr>
              <w:pStyle w:val="In-tableHeading"/>
              <w:rPr>
                <w:lang w:val="en-AU"/>
              </w:rPr>
            </w:pPr>
            <w:r w:rsidRPr="00873941">
              <w:rPr>
                <w:lang w:val="en-AU"/>
              </w:rPr>
              <w:t>Trial ID</w:t>
            </w:r>
          </w:p>
        </w:tc>
        <w:tc>
          <w:tcPr>
            <w:tcW w:w="1264" w:type="pct"/>
            <w:gridSpan w:val="2"/>
            <w:vAlign w:val="center"/>
          </w:tcPr>
          <w:p w14:paraId="3C6CB82A" w14:textId="77777777" w:rsidR="00902B89" w:rsidRPr="00873941" w:rsidRDefault="00902B89" w:rsidP="0088158A">
            <w:pPr>
              <w:pStyle w:val="In-tableHeading"/>
              <w:rPr>
                <w:lang w:val="en-AU"/>
              </w:rPr>
            </w:pPr>
            <w:r w:rsidRPr="00873941">
              <w:rPr>
                <w:lang w:val="en-AU"/>
              </w:rPr>
              <w:t>Intervention</w:t>
            </w:r>
          </w:p>
        </w:tc>
        <w:tc>
          <w:tcPr>
            <w:tcW w:w="1265" w:type="pct"/>
            <w:gridSpan w:val="2"/>
            <w:vAlign w:val="center"/>
          </w:tcPr>
          <w:p w14:paraId="31E1E6EB" w14:textId="77777777" w:rsidR="00902B89" w:rsidRPr="00873941" w:rsidRDefault="00902B89" w:rsidP="0088158A">
            <w:pPr>
              <w:pStyle w:val="In-tableHeading"/>
              <w:rPr>
                <w:lang w:val="en-AU"/>
              </w:rPr>
            </w:pPr>
            <w:r w:rsidRPr="00873941">
              <w:rPr>
                <w:lang w:val="en-AU"/>
              </w:rPr>
              <w:t>Comparator</w:t>
            </w:r>
          </w:p>
        </w:tc>
        <w:tc>
          <w:tcPr>
            <w:tcW w:w="1066" w:type="pct"/>
            <w:vMerge w:val="restart"/>
            <w:vAlign w:val="center"/>
          </w:tcPr>
          <w:p w14:paraId="4264A009" w14:textId="77777777" w:rsidR="00902B89" w:rsidRPr="00873941" w:rsidRDefault="00902B89" w:rsidP="0088158A">
            <w:pPr>
              <w:pStyle w:val="In-tableHeading"/>
              <w:rPr>
                <w:lang w:val="en-AU"/>
              </w:rPr>
            </w:pPr>
            <w:r w:rsidRPr="00873941">
              <w:rPr>
                <w:lang w:val="en-AU"/>
              </w:rPr>
              <w:t>Difference (95% CI)</w:t>
            </w:r>
          </w:p>
        </w:tc>
        <w:tc>
          <w:tcPr>
            <w:tcW w:w="714" w:type="pct"/>
            <w:vMerge w:val="restart"/>
            <w:vAlign w:val="center"/>
          </w:tcPr>
          <w:p w14:paraId="295C4ADE" w14:textId="77777777" w:rsidR="00902B89" w:rsidRPr="00873941" w:rsidRDefault="00902B89" w:rsidP="0088158A">
            <w:pPr>
              <w:pStyle w:val="In-tableHeading"/>
              <w:rPr>
                <w:lang w:val="en-AU"/>
              </w:rPr>
            </w:pPr>
            <w:r w:rsidRPr="00873941">
              <w:rPr>
                <w:lang w:val="en-AU"/>
              </w:rPr>
              <w:t>p value</w:t>
            </w:r>
          </w:p>
        </w:tc>
      </w:tr>
      <w:tr w:rsidR="00902B89" w:rsidRPr="00873941" w14:paraId="5A9416F1" w14:textId="77777777" w:rsidTr="0088158A">
        <w:trPr>
          <w:tblHeader/>
        </w:trPr>
        <w:tc>
          <w:tcPr>
            <w:tcW w:w="691" w:type="pct"/>
            <w:vMerge/>
            <w:vAlign w:val="center"/>
          </w:tcPr>
          <w:p w14:paraId="244FF9E3" w14:textId="77777777" w:rsidR="00902B89" w:rsidRPr="00873941" w:rsidRDefault="00902B89" w:rsidP="0088158A">
            <w:pPr>
              <w:pStyle w:val="In-tableHeading"/>
              <w:rPr>
                <w:lang w:val="en-AU"/>
              </w:rPr>
            </w:pPr>
          </w:p>
        </w:tc>
        <w:tc>
          <w:tcPr>
            <w:tcW w:w="632" w:type="pct"/>
            <w:vAlign w:val="center"/>
          </w:tcPr>
          <w:p w14:paraId="2B3244D8" w14:textId="77777777" w:rsidR="00902B89" w:rsidRPr="00873941" w:rsidRDefault="00902B89" w:rsidP="0088158A">
            <w:pPr>
              <w:pStyle w:val="In-tableHeading"/>
              <w:rPr>
                <w:lang w:val="en-AU"/>
              </w:rPr>
            </w:pPr>
            <w:r w:rsidRPr="00873941">
              <w:rPr>
                <w:lang w:val="en-AU"/>
              </w:rPr>
              <w:t>n/N (%)</w:t>
            </w:r>
          </w:p>
        </w:tc>
        <w:tc>
          <w:tcPr>
            <w:tcW w:w="632" w:type="pct"/>
            <w:vAlign w:val="center"/>
          </w:tcPr>
          <w:p w14:paraId="4287E1F8" w14:textId="77777777" w:rsidR="00902B89" w:rsidRPr="00873941" w:rsidRDefault="00902B89" w:rsidP="0088158A">
            <w:pPr>
              <w:pStyle w:val="In-tableHeading"/>
              <w:rPr>
                <w:lang w:val="en-AU"/>
              </w:rPr>
            </w:pPr>
            <w:r w:rsidRPr="00873941">
              <w:rPr>
                <w:lang w:val="en-AU"/>
              </w:rPr>
              <w:t>95% CI</w:t>
            </w:r>
          </w:p>
        </w:tc>
        <w:tc>
          <w:tcPr>
            <w:tcW w:w="632" w:type="pct"/>
            <w:vAlign w:val="center"/>
          </w:tcPr>
          <w:p w14:paraId="71F4B637" w14:textId="77777777" w:rsidR="00902B89" w:rsidRPr="00873941" w:rsidRDefault="00902B89" w:rsidP="0088158A">
            <w:pPr>
              <w:pStyle w:val="In-tableHeading"/>
              <w:rPr>
                <w:lang w:val="en-AU"/>
              </w:rPr>
            </w:pPr>
            <w:r w:rsidRPr="00873941">
              <w:rPr>
                <w:lang w:val="en-AU"/>
              </w:rPr>
              <w:t>n/N (%)</w:t>
            </w:r>
          </w:p>
        </w:tc>
        <w:tc>
          <w:tcPr>
            <w:tcW w:w="633" w:type="pct"/>
            <w:vAlign w:val="center"/>
          </w:tcPr>
          <w:p w14:paraId="53FF54FD" w14:textId="77777777" w:rsidR="00902B89" w:rsidRPr="00873941" w:rsidRDefault="00902B89" w:rsidP="0088158A">
            <w:pPr>
              <w:pStyle w:val="In-tableHeading"/>
              <w:rPr>
                <w:lang w:val="en-AU"/>
              </w:rPr>
            </w:pPr>
            <w:r w:rsidRPr="00873941">
              <w:rPr>
                <w:lang w:val="en-AU"/>
              </w:rPr>
              <w:t>95% CI</w:t>
            </w:r>
          </w:p>
        </w:tc>
        <w:tc>
          <w:tcPr>
            <w:tcW w:w="1066" w:type="pct"/>
            <w:vMerge/>
            <w:vAlign w:val="center"/>
          </w:tcPr>
          <w:p w14:paraId="056C553D" w14:textId="77777777" w:rsidR="00902B89" w:rsidRPr="00873941" w:rsidRDefault="00902B89" w:rsidP="0088158A">
            <w:pPr>
              <w:pStyle w:val="In-tableHeading"/>
              <w:rPr>
                <w:lang w:val="en-AU"/>
              </w:rPr>
            </w:pPr>
          </w:p>
        </w:tc>
        <w:tc>
          <w:tcPr>
            <w:tcW w:w="714" w:type="pct"/>
            <w:vMerge/>
            <w:vAlign w:val="center"/>
          </w:tcPr>
          <w:p w14:paraId="280ECB25" w14:textId="77777777" w:rsidR="00902B89" w:rsidRPr="00873941" w:rsidRDefault="00902B89" w:rsidP="0088158A">
            <w:pPr>
              <w:pStyle w:val="In-tableHeading"/>
              <w:rPr>
                <w:lang w:val="en-AU"/>
              </w:rPr>
            </w:pPr>
          </w:p>
        </w:tc>
      </w:tr>
      <w:tr w:rsidR="00902B89" w:rsidRPr="00873941" w14:paraId="1FB090DF" w14:textId="77777777" w:rsidTr="0088158A">
        <w:trPr>
          <w:tblHeader/>
        </w:trPr>
        <w:tc>
          <w:tcPr>
            <w:tcW w:w="5000" w:type="pct"/>
            <w:gridSpan w:val="7"/>
          </w:tcPr>
          <w:p w14:paraId="7E4106D8" w14:textId="5148CF3E" w:rsidR="00902B89" w:rsidRPr="00873941" w:rsidRDefault="00902B89" w:rsidP="0088158A">
            <w:pPr>
              <w:pStyle w:val="In-tableHeading"/>
              <w:rPr>
                <w:lang w:val="en-AU"/>
              </w:rPr>
            </w:pPr>
            <w:proofErr w:type="spellStart"/>
            <w:r w:rsidRPr="00873941">
              <w:rPr>
                <w:lang w:val="en-AU"/>
              </w:rPr>
              <w:t>P+T+Chemo</w:t>
            </w:r>
            <w:proofErr w:type="spellEnd"/>
            <w:r w:rsidRPr="00873941">
              <w:rPr>
                <w:lang w:val="en-AU"/>
              </w:rPr>
              <w:t xml:space="preserve"> vs </w:t>
            </w:r>
            <w:proofErr w:type="spellStart"/>
            <w:r w:rsidRPr="00873941">
              <w:rPr>
                <w:lang w:val="en-AU"/>
              </w:rPr>
              <w:t>T+Chemo</w:t>
            </w:r>
            <w:proofErr w:type="spellEnd"/>
            <w:r w:rsidRPr="00873941">
              <w:rPr>
                <w:lang w:val="en-AU"/>
              </w:rPr>
              <w:t xml:space="preserve">, 4 neoadjuvant </w:t>
            </w:r>
            <w:r w:rsidR="00427658" w:rsidRPr="00873941">
              <w:rPr>
                <w:lang w:val="en-AU"/>
              </w:rPr>
              <w:t xml:space="preserve">HER2 therapy </w:t>
            </w:r>
            <w:proofErr w:type="spellStart"/>
            <w:r w:rsidRPr="00873941">
              <w:rPr>
                <w:lang w:val="en-AU"/>
              </w:rPr>
              <w:t>cycles</w:t>
            </w:r>
            <w:r w:rsidR="00AD6715" w:rsidRPr="00873941">
              <w:rPr>
                <w:vertAlign w:val="superscript"/>
                <w:lang w:val="en-AU"/>
              </w:rPr>
              <w:t>a</w:t>
            </w:r>
            <w:proofErr w:type="spellEnd"/>
          </w:p>
        </w:tc>
      </w:tr>
      <w:tr w:rsidR="00902B89" w:rsidRPr="00873941" w14:paraId="3493311B" w14:textId="77777777" w:rsidTr="0088158A">
        <w:tc>
          <w:tcPr>
            <w:tcW w:w="691" w:type="pct"/>
            <w:shd w:val="clear" w:color="auto" w:fill="B8CCE4" w:themeFill="accent1" w:themeFillTint="66"/>
            <w:vAlign w:val="center"/>
          </w:tcPr>
          <w:p w14:paraId="53B26CFD" w14:textId="77777777" w:rsidR="00902B89" w:rsidRPr="00873941" w:rsidRDefault="00902B89" w:rsidP="0088158A">
            <w:pPr>
              <w:pStyle w:val="TableText0"/>
            </w:pPr>
            <w:r w:rsidRPr="00873941">
              <w:t>NEOSPHERE</w:t>
            </w:r>
          </w:p>
        </w:tc>
        <w:tc>
          <w:tcPr>
            <w:tcW w:w="632" w:type="pct"/>
            <w:tcBorders>
              <w:top w:val="single" w:sz="4" w:space="0" w:color="auto"/>
              <w:left w:val="single" w:sz="4" w:space="0" w:color="auto"/>
              <w:bottom w:val="single" w:sz="4" w:space="0" w:color="auto"/>
            </w:tcBorders>
            <w:shd w:val="clear" w:color="auto" w:fill="B8CCE4" w:themeFill="accent1" w:themeFillTint="66"/>
            <w:vAlign w:val="center"/>
          </w:tcPr>
          <w:p w14:paraId="7F0C05AA" w14:textId="3974D12E" w:rsidR="00902B89" w:rsidRPr="00873941" w:rsidRDefault="00902B89" w:rsidP="0088158A">
            <w:pPr>
              <w:pStyle w:val="TableText0"/>
              <w:jc w:val="center"/>
            </w:pPr>
            <w:r w:rsidRPr="00873941">
              <w:t>42</w:t>
            </w:r>
            <w:r w:rsidR="00630F61" w:rsidRPr="00873941">
              <w:t>/107</w:t>
            </w:r>
            <w:r w:rsidRPr="00873941">
              <w:t xml:space="preserve"> (39.3)</w:t>
            </w:r>
          </w:p>
        </w:tc>
        <w:tc>
          <w:tcPr>
            <w:tcW w:w="632" w:type="pct"/>
            <w:tcBorders>
              <w:top w:val="single" w:sz="4" w:space="0" w:color="auto"/>
              <w:bottom w:val="single" w:sz="4" w:space="0" w:color="auto"/>
              <w:right w:val="single" w:sz="4" w:space="0" w:color="auto"/>
            </w:tcBorders>
            <w:shd w:val="clear" w:color="auto" w:fill="B8CCE4" w:themeFill="accent1" w:themeFillTint="66"/>
            <w:vAlign w:val="center"/>
          </w:tcPr>
          <w:p w14:paraId="0B425035" w14:textId="77777777" w:rsidR="00902B89" w:rsidRPr="00873941" w:rsidRDefault="00902B89" w:rsidP="0088158A">
            <w:pPr>
              <w:pStyle w:val="TableText0"/>
              <w:jc w:val="center"/>
            </w:pPr>
            <w:r w:rsidRPr="00873941">
              <w:t>30.0, 49.2</w:t>
            </w:r>
          </w:p>
        </w:tc>
        <w:tc>
          <w:tcPr>
            <w:tcW w:w="632" w:type="pct"/>
            <w:tcBorders>
              <w:top w:val="single" w:sz="4" w:space="0" w:color="auto"/>
              <w:left w:val="single" w:sz="4" w:space="0" w:color="auto"/>
              <w:bottom w:val="single" w:sz="4" w:space="0" w:color="auto"/>
            </w:tcBorders>
            <w:shd w:val="clear" w:color="auto" w:fill="B8CCE4" w:themeFill="accent1" w:themeFillTint="66"/>
            <w:vAlign w:val="center"/>
          </w:tcPr>
          <w:p w14:paraId="0A0BC811" w14:textId="7C058633" w:rsidR="00902B89" w:rsidRPr="00873941" w:rsidRDefault="00902B89" w:rsidP="0088158A">
            <w:pPr>
              <w:pStyle w:val="TableText0"/>
              <w:jc w:val="center"/>
            </w:pPr>
            <w:r w:rsidRPr="00873941">
              <w:t>23</w:t>
            </w:r>
            <w:r w:rsidR="00630F61" w:rsidRPr="00873941">
              <w:t>/107</w:t>
            </w:r>
            <w:r w:rsidRPr="00873941">
              <w:t xml:space="preserve"> (21.5)</w:t>
            </w:r>
          </w:p>
        </w:tc>
        <w:tc>
          <w:tcPr>
            <w:tcW w:w="633" w:type="pct"/>
            <w:tcBorders>
              <w:top w:val="single" w:sz="4" w:space="0" w:color="auto"/>
              <w:bottom w:val="single" w:sz="4" w:space="0" w:color="auto"/>
              <w:right w:val="single" w:sz="4" w:space="0" w:color="auto"/>
            </w:tcBorders>
            <w:shd w:val="clear" w:color="auto" w:fill="B8CCE4" w:themeFill="accent1" w:themeFillTint="66"/>
            <w:vAlign w:val="center"/>
          </w:tcPr>
          <w:p w14:paraId="0106DA3E" w14:textId="77777777" w:rsidR="00902B89" w:rsidRPr="00873941" w:rsidRDefault="00902B89" w:rsidP="0088158A">
            <w:pPr>
              <w:pStyle w:val="TableText0"/>
              <w:jc w:val="center"/>
            </w:pPr>
            <w:r w:rsidRPr="00873941">
              <w:t>14.1, 30.5</w:t>
            </w:r>
          </w:p>
        </w:tc>
        <w:tc>
          <w:tcPr>
            <w:tcW w:w="106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EEF3A7C" w14:textId="34A26F8A" w:rsidR="00902B89" w:rsidRPr="00873941" w:rsidRDefault="00902B89" w:rsidP="0088158A">
            <w:pPr>
              <w:pStyle w:val="TableText0"/>
              <w:jc w:val="center"/>
            </w:pPr>
            <w:r w:rsidRPr="00873941">
              <w:t>17.8%</w:t>
            </w:r>
            <w:r w:rsidR="00AD6715" w:rsidRPr="00873941">
              <w:rPr>
                <w:vertAlign w:val="superscript"/>
              </w:rPr>
              <w:t>b</w:t>
            </w:r>
            <w:r w:rsidRPr="00873941">
              <w:rPr>
                <w:vertAlign w:val="superscript"/>
              </w:rPr>
              <w:br/>
            </w:r>
            <w:r w:rsidRPr="00873941">
              <w:t>(4.6, 31.0)</w:t>
            </w:r>
          </w:p>
        </w:tc>
        <w:tc>
          <w:tcPr>
            <w:tcW w:w="7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A3AF91" w14:textId="771F2DE0" w:rsidR="00902B89" w:rsidRPr="00873941" w:rsidRDefault="00902B89" w:rsidP="0088158A">
            <w:pPr>
              <w:pStyle w:val="TableText0"/>
              <w:jc w:val="center"/>
            </w:pPr>
            <w:r w:rsidRPr="00873941">
              <w:t>0.</w:t>
            </w:r>
            <w:r w:rsidR="00AD6715" w:rsidRPr="00873941">
              <w:t>008</w:t>
            </w:r>
            <w:r w:rsidR="00AD6715" w:rsidRPr="00873941">
              <w:rPr>
                <w:vertAlign w:val="superscript"/>
              </w:rPr>
              <w:t>b</w:t>
            </w:r>
          </w:p>
        </w:tc>
      </w:tr>
      <w:tr w:rsidR="00902B89" w:rsidRPr="00873941" w14:paraId="61013CFB" w14:textId="77777777" w:rsidTr="0088158A">
        <w:tc>
          <w:tcPr>
            <w:tcW w:w="691" w:type="pct"/>
            <w:shd w:val="clear" w:color="auto" w:fill="B8CCE4" w:themeFill="accent1" w:themeFillTint="66"/>
            <w:vAlign w:val="center"/>
          </w:tcPr>
          <w:p w14:paraId="0DCFB413" w14:textId="77777777" w:rsidR="00902B89" w:rsidRPr="00873941" w:rsidRDefault="00902B89" w:rsidP="0088158A">
            <w:pPr>
              <w:pStyle w:val="TableText0"/>
            </w:pPr>
            <w:r w:rsidRPr="00873941">
              <w:t xml:space="preserve">PEONY </w:t>
            </w:r>
          </w:p>
        </w:tc>
        <w:tc>
          <w:tcPr>
            <w:tcW w:w="632" w:type="pct"/>
            <w:tcBorders>
              <w:top w:val="single" w:sz="4" w:space="0" w:color="auto"/>
              <w:left w:val="single" w:sz="4" w:space="0" w:color="auto"/>
              <w:bottom w:val="single" w:sz="4" w:space="0" w:color="auto"/>
            </w:tcBorders>
            <w:shd w:val="clear" w:color="auto" w:fill="B8CCE4" w:themeFill="accent1" w:themeFillTint="66"/>
            <w:vAlign w:val="center"/>
          </w:tcPr>
          <w:p w14:paraId="743BF984" w14:textId="1072FA71" w:rsidR="00902B89" w:rsidRPr="00873941" w:rsidRDefault="00902B89" w:rsidP="0088158A">
            <w:pPr>
              <w:pStyle w:val="TableText0"/>
              <w:jc w:val="center"/>
            </w:pPr>
            <w:r w:rsidRPr="00873941">
              <w:t>86</w:t>
            </w:r>
            <w:r w:rsidR="00630F61" w:rsidRPr="00873941">
              <w:t>/219</w:t>
            </w:r>
            <w:r w:rsidRPr="00873941">
              <w:t xml:space="preserve"> (39.3)</w:t>
            </w:r>
          </w:p>
        </w:tc>
        <w:tc>
          <w:tcPr>
            <w:tcW w:w="632" w:type="pct"/>
            <w:tcBorders>
              <w:top w:val="single" w:sz="4" w:space="0" w:color="auto"/>
              <w:bottom w:val="single" w:sz="4" w:space="0" w:color="auto"/>
              <w:right w:val="single" w:sz="4" w:space="0" w:color="auto"/>
            </w:tcBorders>
            <w:shd w:val="clear" w:color="auto" w:fill="B8CCE4" w:themeFill="accent1" w:themeFillTint="66"/>
            <w:vAlign w:val="center"/>
          </w:tcPr>
          <w:p w14:paraId="3BE03B22" w14:textId="77777777" w:rsidR="00902B89" w:rsidRPr="00873941" w:rsidRDefault="00902B89" w:rsidP="0088158A">
            <w:pPr>
              <w:pStyle w:val="TableText0"/>
              <w:jc w:val="center"/>
            </w:pPr>
            <w:r w:rsidRPr="00873941">
              <w:t>32.76, 46.08</w:t>
            </w:r>
          </w:p>
        </w:tc>
        <w:tc>
          <w:tcPr>
            <w:tcW w:w="632" w:type="pct"/>
            <w:tcBorders>
              <w:top w:val="single" w:sz="4" w:space="0" w:color="auto"/>
              <w:left w:val="single" w:sz="4" w:space="0" w:color="auto"/>
              <w:bottom w:val="single" w:sz="4" w:space="0" w:color="auto"/>
            </w:tcBorders>
            <w:shd w:val="clear" w:color="auto" w:fill="B8CCE4" w:themeFill="accent1" w:themeFillTint="66"/>
            <w:vAlign w:val="center"/>
          </w:tcPr>
          <w:p w14:paraId="24495CB2" w14:textId="4EC65296" w:rsidR="00902B89" w:rsidRPr="00873941" w:rsidRDefault="00902B89" w:rsidP="0088158A">
            <w:pPr>
              <w:pStyle w:val="TableText0"/>
              <w:jc w:val="center"/>
            </w:pPr>
            <w:r w:rsidRPr="00873941">
              <w:t>24</w:t>
            </w:r>
            <w:r w:rsidR="00630F61" w:rsidRPr="00873941">
              <w:t>/110</w:t>
            </w:r>
            <w:r w:rsidRPr="00873941">
              <w:t xml:space="preserve"> (21.8)</w:t>
            </w:r>
          </w:p>
        </w:tc>
        <w:tc>
          <w:tcPr>
            <w:tcW w:w="633" w:type="pct"/>
            <w:tcBorders>
              <w:top w:val="single" w:sz="4" w:space="0" w:color="auto"/>
              <w:bottom w:val="single" w:sz="4" w:space="0" w:color="auto"/>
              <w:right w:val="single" w:sz="4" w:space="0" w:color="auto"/>
            </w:tcBorders>
            <w:shd w:val="clear" w:color="auto" w:fill="B8CCE4" w:themeFill="accent1" w:themeFillTint="66"/>
            <w:vAlign w:val="center"/>
          </w:tcPr>
          <w:p w14:paraId="2D75EE3C" w14:textId="77777777" w:rsidR="00902B89" w:rsidRPr="00873941" w:rsidRDefault="00902B89" w:rsidP="0088158A">
            <w:pPr>
              <w:pStyle w:val="TableText0"/>
              <w:jc w:val="center"/>
            </w:pPr>
            <w:r w:rsidRPr="00873941">
              <w:t>14.51, 30.70</w:t>
            </w:r>
          </w:p>
        </w:tc>
        <w:tc>
          <w:tcPr>
            <w:tcW w:w="1066" w:type="pct"/>
            <w:tcBorders>
              <w:top w:val="single" w:sz="4" w:space="0" w:color="auto"/>
              <w:bottom w:val="single" w:sz="4" w:space="0" w:color="auto"/>
              <w:right w:val="single" w:sz="4" w:space="0" w:color="auto"/>
            </w:tcBorders>
            <w:shd w:val="clear" w:color="auto" w:fill="B8CCE4" w:themeFill="accent1" w:themeFillTint="66"/>
            <w:vAlign w:val="center"/>
          </w:tcPr>
          <w:p w14:paraId="204137E9" w14:textId="5286C815" w:rsidR="00902B89" w:rsidRPr="00873941" w:rsidRDefault="00902B89" w:rsidP="0088158A">
            <w:pPr>
              <w:pStyle w:val="TableText0"/>
              <w:jc w:val="center"/>
              <w:rPr>
                <w:b/>
                <w:bCs w:val="0"/>
              </w:rPr>
            </w:pPr>
            <w:r w:rsidRPr="00873941">
              <w:rPr>
                <w:b/>
                <w:bCs w:val="0"/>
              </w:rPr>
              <w:t>17.45%</w:t>
            </w:r>
          </w:p>
          <w:p w14:paraId="010A9D65" w14:textId="77777777" w:rsidR="00902B89" w:rsidRPr="00873941" w:rsidRDefault="00902B89" w:rsidP="0088158A">
            <w:pPr>
              <w:pStyle w:val="TableText0"/>
              <w:jc w:val="center"/>
              <w:rPr>
                <w:b/>
                <w:bCs w:val="0"/>
              </w:rPr>
            </w:pPr>
            <w:r w:rsidRPr="00873941">
              <w:rPr>
                <w:b/>
                <w:bCs w:val="0"/>
              </w:rPr>
              <w:t>(6.89, 28.01)</w:t>
            </w:r>
          </w:p>
        </w:tc>
        <w:tc>
          <w:tcPr>
            <w:tcW w:w="714" w:type="pct"/>
            <w:shd w:val="clear" w:color="auto" w:fill="B8CCE4" w:themeFill="accent1" w:themeFillTint="66"/>
            <w:vAlign w:val="center"/>
          </w:tcPr>
          <w:p w14:paraId="0F44E491" w14:textId="77777777" w:rsidR="00902B89" w:rsidRPr="00873941" w:rsidRDefault="00902B89" w:rsidP="0088158A">
            <w:pPr>
              <w:pStyle w:val="TableText0"/>
              <w:jc w:val="center"/>
              <w:rPr>
                <w:b/>
                <w:bCs w:val="0"/>
              </w:rPr>
            </w:pPr>
            <w:r w:rsidRPr="00873941">
              <w:rPr>
                <w:b/>
                <w:bCs w:val="0"/>
              </w:rPr>
              <w:t>0.0014</w:t>
            </w:r>
          </w:p>
        </w:tc>
      </w:tr>
      <w:tr w:rsidR="00902B89" w:rsidRPr="00873941" w14:paraId="3AE240F2" w14:textId="77777777" w:rsidTr="0088158A">
        <w:tc>
          <w:tcPr>
            <w:tcW w:w="691" w:type="pct"/>
            <w:vAlign w:val="center"/>
          </w:tcPr>
          <w:p w14:paraId="078D5845" w14:textId="77777777" w:rsidR="00902B89" w:rsidRPr="00873941" w:rsidRDefault="00902B89" w:rsidP="0088158A">
            <w:pPr>
              <w:pStyle w:val="TableText0"/>
            </w:pPr>
            <w:r w:rsidRPr="00873941">
              <w:t>I-SPY2</w:t>
            </w:r>
          </w:p>
        </w:tc>
        <w:tc>
          <w:tcPr>
            <w:tcW w:w="632" w:type="pct"/>
            <w:tcBorders>
              <w:top w:val="single" w:sz="4" w:space="0" w:color="auto"/>
              <w:left w:val="single" w:sz="4" w:space="0" w:color="auto"/>
              <w:bottom w:val="single" w:sz="4" w:space="0" w:color="auto"/>
            </w:tcBorders>
            <w:vAlign w:val="center"/>
          </w:tcPr>
          <w:p w14:paraId="547FFA39" w14:textId="77777777" w:rsidR="00902B89" w:rsidRPr="00873941" w:rsidRDefault="00902B89" w:rsidP="0088158A">
            <w:pPr>
              <w:pStyle w:val="TableText0"/>
              <w:jc w:val="center"/>
            </w:pPr>
            <w:r w:rsidRPr="00873941">
              <w:t>56%</w:t>
            </w:r>
          </w:p>
        </w:tc>
        <w:tc>
          <w:tcPr>
            <w:tcW w:w="632" w:type="pct"/>
            <w:tcBorders>
              <w:top w:val="single" w:sz="4" w:space="0" w:color="auto"/>
              <w:bottom w:val="single" w:sz="4" w:space="0" w:color="auto"/>
              <w:right w:val="single" w:sz="4" w:space="0" w:color="auto"/>
            </w:tcBorders>
            <w:vAlign w:val="center"/>
          </w:tcPr>
          <w:p w14:paraId="4CAF4E86" w14:textId="77777777" w:rsidR="00902B89" w:rsidRPr="00873941" w:rsidRDefault="00902B89" w:rsidP="0088158A">
            <w:pPr>
              <w:pStyle w:val="TableText0"/>
              <w:jc w:val="center"/>
            </w:pPr>
            <w:r w:rsidRPr="00873941">
              <w:t>42, 70</w:t>
            </w:r>
          </w:p>
        </w:tc>
        <w:tc>
          <w:tcPr>
            <w:tcW w:w="632" w:type="pct"/>
            <w:tcBorders>
              <w:top w:val="single" w:sz="4" w:space="0" w:color="auto"/>
              <w:left w:val="single" w:sz="4" w:space="0" w:color="auto"/>
              <w:bottom w:val="single" w:sz="4" w:space="0" w:color="auto"/>
            </w:tcBorders>
            <w:vAlign w:val="center"/>
          </w:tcPr>
          <w:p w14:paraId="7C644125" w14:textId="77777777" w:rsidR="00902B89" w:rsidRPr="00873941" w:rsidRDefault="00902B89" w:rsidP="0088158A">
            <w:pPr>
              <w:pStyle w:val="TableText0"/>
              <w:jc w:val="center"/>
            </w:pPr>
            <w:r w:rsidRPr="00873941">
              <w:t>25%</w:t>
            </w:r>
          </w:p>
        </w:tc>
        <w:tc>
          <w:tcPr>
            <w:tcW w:w="633" w:type="pct"/>
            <w:tcBorders>
              <w:top w:val="single" w:sz="4" w:space="0" w:color="auto"/>
              <w:bottom w:val="single" w:sz="4" w:space="0" w:color="auto"/>
              <w:right w:val="single" w:sz="4" w:space="0" w:color="auto"/>
            </w:tcBorders>
            <w:vAlign w:val="center"/>
          </w:tcPr>
          <w:p w14:paraId="2D2419CF" w14:textId="77777777" w:rsidR="00902B89" w:rsidRPr="00873941" w:rsidRDefault="00902B89" w:rsidP="0088158A">
            <w:pPr>
              <w:pStyle w:val="TableText0"/>
              <w:jc w:val="center"/>
            </w:pPr>
            <w:r w:rsidRPr="00873941">
              <w:t>11, 38</w:t>
            </w:r>
          </w:p>
        </w:tc>
        <w:tc>
          <w:tcPr>
            <w:tcW w:w="1780" w:type="pct"/>
            <w:gridSpan w:val="2"/>
            <w:tcBorders>
              <w:top w:val="single" w:sz="4" w:space="0" w:color="auto"/>
              <w:bottom w:val="single" w:sz="4" w:space="0" w:color="auto"/>
            </w:tcBorders>
            <w:vAlign w:val="center"/>
          </w:tcPr>
          <w:p w14:paraId="5CFEED4B" w14:textId="1108CDEF" w:rsidR="00902B89" w:rsidRPr="00873941" w:rsidRDefault="00902B89" w:rsidP="0088158A">
            <w:pPr>
              <w:pStyle w:val="TableText0"/>
              <w:rPr>
                <w:b/>
                <w:bCs w:val="0"/>
              </w:rPr>
            </w:pPr>
            <w:r w:rsidRPr="00873941">
              <w:rPr>
                <w:b/>
                <w:bCs w:val="0"/>
              </w:rPr>
              <w:t xml:space="preserve">99.9% </w:t>
            </w:r>
            <w:r w:rsidRPr="00873941">
              <w:t xml:space="preserve">probability that </w:t>
            </w:r>
            <w:proofErr w:type="spellStart"/>
            <w:r w:rsidRPr="00873941">
              <w:t>P+T+Chemo</w:t>
            </w:r>
            <w:proofErr w:type="spellEnd"/>
            <w:r w:rsidRPr="00873941">
              <w:t xml:space="preserve"> was superior to </w:t>
            </w:r>
            <w:proofErr w:type="spellStart"/>
            <w:r w:rsidRPr="00873941">
              <w:t>H+Chemo</w:t>
            </w:r>
            <w:proofErr w:type="spellEnd"/>
            <w:r w:rsidRPr="00873941">
              <w:t xml:space="preserve"> and a </w:t>
            </w:r>
            <w:r w:rsidRPr="00873941">
              <w:rPr>
                <w:b/>
                <w:bCs w:val="0"/>
              </w:rPr>
              <w:t>97%</w:t>
            </w:r>
            <w:r w:rsidRPr="00873941">
              <w:t xml:space="preserve"> predictive probability of superiority in a 300-pa</w:t>
            </w:r>
            <w:r w:rsidR="00357E0A" w:rsidRPr="00873941">
              <w:t>rticipant</w:t>
            </w:r>
            <w:r w:rsidRPr="00873941">
              <w:t xml:space="preserve"> Phase 3 trial.</w:t>
            </w:r>
          </w:p>
        </w:tc>
      </w:tr>
      <w:tr w:rsidR="00902B89" w:rsidRPr="00873941" w14:paraId="49399D8C" w14:textId="77777777" w:rsidTr="0088158A">
        <w:tc>
          <w:tcPr>
            <w:tcW w:w="5000" w:type="pct"/>
            <w:gridSpan w:val="7"/>
          </w:tcPr>
          <w:p w14:paraId="14E25092" w14:textId="405299B9" w:rsidR="00902B89" w:rsidRPr="00873941" w:rsidRDefault="00902B89" w:rsidP="0088158A">
            <w:pPr>
              <w:pStyle w:val="In-tableHeading"/>
              <w:rPr>
                <w:lang w:val="en-AU"/>
              </w:rPr>
            </w:pPr>
            <w:proofErr w:type="spellStart"/>
            <w:r w:rsidRPr="00873941">
              <w:rPr>
                <w:lang w:val="en-AU"/>
              </w:rPr>
              <w:t>P+T+Chemo</w:t>
            </w:r>
            <w:proofErr w:type="spellEnd"/>
            <w:r w:rsidRPr="00873941">
              <w:rPr>
                <w:lang w:val="en-AU"/>
              </w:rPr>
              <w:t xml:space="preserve"> (</w:t>
            </w:r>
            <w:r w:rsidR="00512515" w:rsidRPr="00873941">
              <w:rPr>
                <w:lang w:val="en-AU"/>
              </w:rPr>
              <w:t>3+3</w:t>
            </w:r>
            <w:r w:rsidRPr="00873941">
              <w:rPr>
                <w:lang w:val="en-AU"/>
              </w:rPr>
              <w:t xml:space="preserve">) vs </w:t>
            </w:r>
            <w:proofErr w:type="spellStart"/>
            <w:r w:rsidRPr="00873941">
              <w:rPr>
                <w:lang w:val="en-AU"/>
              </w:rPr>
              <w:t>P+T+</w:t>
            </w:r>
            <w:r w:rsidR="000D3EDD" w:rsidRPr="00873941">
              <w:rPr>
                <w:lang w:val="en-AU"/>
              </w:rPr>
              <w:t>Chemo</w:t>
            </w:r>
            <w:proofErr w:type="spellEnd"/>
            <w:r w:rsidR="000D3EDD" w:rsidRPr="00873941">
              <w:rPr>
                <w:lang w:val="en-AU"/>
              </w:rPr>
              <w:t xml:space="preserve"> (</w:t>
            </w:r>
            <w:r w:rsidRPr="00873941">
              <w:rPr>
                <w:lang w:val="en-AU"/>
              </w:rPr>
              <w:t xml:space="preserve">6), 6 neoadjuvant </w:t>
            </w:r>
            <w:r w:rsidR="00427658" w:rsidRPr="00873941">
              <w:rPr>
                <w:lang w:val="en-AU"/>
              </w:rPr>
              <w:t xml:space="preserve">HER2 therapy </w:t>
            </w:r>
            <w:r w:rsidRPr="00873941">
              <w:rPr>
                <w:lang w:val="en-AU"/>
              </w:rPr>
              <w:t>cycles</w:t>
            </w:r>
          </w:p>
        </w:tc>
      </w:tr>
      <w:tr w:rsidR="00902B89" w:rsidRPr="00873941" w14:paraId="723F203D" w14:textId="77777777" w:rsidTr="0088158A">
        <w:tc>
          <w:tcPr>
            <w:tcW w:w="691" w:type="pct"/>
            <w:shd w:val="clear" w:color="auto" w:fill="B8CCE4" w:themeFill="accent1" w:themeFillTint="66"/>
            <w:vAlign w:val="center"/>
          </w:tcPr>
          <w:p w14:paraId="425DD9A7" w14:textId="77777777" w:rsidR="00902B89" w:rsidRPr="00873941" w:rsidRDefault="00902B89" w:rsidP="0088158A">
            <w:pPr>
              <w:pStyle w:val="TableText0"/>
            </w:pPr>
            <w:r w:rsidRPr="00873941">
              <w:t>TRYPHAENA</w:t>
            </w:r>
          </w:p>
        </w:tc>
        <w:tc>
          <w:tcPr>
            <w:tcW w:w="632" w:type="pct"/>
            <w:tcBorders>
              <w:top w:val="single" w:sz="4" w:space="0" w:color="auto"/>
              <w:left w:val="single" w:sz="4" w:space="0" w:color="auto"/>
              <w:bottom w:val="single" w:sz="4" w:space="0" w:color="auto"/>
            </w:tcBorders>
            <w:shd w:val="clear" w:color="auto" w:fill="B8CCE4" w:themeFill="accent1" w:themeFillTint="66"/>
          </w:tcPr>
          <w:p w14:paraId="2573B4AF" w14:textId="1B533819" w:rsidR="00902B89" w:rsidRPr="00873941" w:rsidRDefault="00902B89" w:rsidP="0088158A">
            <w:pPr>
              <w:pStyle w:val="TableText0"/>
              <w:jc w:val="center"/>
            </w:pPr>
            <w:r w:rsidRPr="00873941">
              <w:t>41</w:t>
            </w:r>
            <w:r w:rsidR="00E921B1" w:rsidRPr="00873941">
              <w:t>/73</w:t>
            </w:r>
            <w:r w:rsidRPr="00873941">
              <w:t xml:space="preserve"> (56.2)</w:t>
            </w:r>
          </w:p>
        </w:tc>
        <w:tc>
          <w:tcPr>
            <w:tcW w:w="632" w:type="pct"/>
            <w:tcBorders>
              <w:top w:val="single" w:sz="4" w:space="0" w:color="auto"/>
              <w:bottom w:val="single" w:sz="4" w:space="0" w:color="auto"/>
              <w:right w:val="single" w:sz="4" w:space="0" w:color="auto"/>
            </w:tcBorders>
            <w:shd w:val="clear" w:color="auto" w:fill="B8CCE4" w:themeFill="accent1" w:themeFillTint="66"/>
          </w:tcPr>
          <w:p w14:paraId="62E76F52" w14:textId="77777777" w:rsidR="00902B89" w:rsidRPr="00873941" w:rsidRDefault="00902B89" w:rsidP="0088158A">
            <w:pPr>
              <w:pStyle w:val="TableText0"/>
              <w:jc w:val="center"/>
            </w:pPr>
            <w:r w:rsidRPr="00873941">
              <w:t>NR</w:t>
            </w:r>
          </w:p>
        </w:tc>
        <w:tc>
          <w:tcPr>
            <w:tcW w:w="632" w:type="pct"/>
            <w:tcBorders>
              <w:top w:val="single" w:sz="4" w:space="0" w:color="auto"/>
              <w:left w:val="single" w:sz="4" w:space="0" w:color="auto"/>
              <w:bottom w:val="single" w:sz="4" w:space="0" w:color="auto"/>
            </w:tcBorders>
            <w:shd w:val="clear" w:color="auto" w:fill="B8CCE4" w:themeFill="accent1" w:themeFillTint="66"/>
          </w:tcPr>
          <w:p w14:paraId="63A67D25" w14:textId="26AEE2D3" w:rsidR="00902B89" w:rsidRPr="00873941" w:rsidRDefault="00902B89" w:rsidP="0088158A">
            <w:pPr>
              <w:pStyle w:val="TableText0"/>
              <w:jc w:val="center"/>
            </w:pPr>
            <w:r w:rsidRPr="00873941">
              <w:t>49</w:t>
            </w:r>
            <w:r w:rsidR="00E921B1" w:rsidRPr="00873941">
              <w:t>/77</w:t>
            </w:r>
            <w:r w:rsidRPr="00873941">
              <w:t xml:space="preserve"> (63.6)</w:t>
            </w:r>
          </w:p>
        </w:tc>
        <w:tc>
          <w:tcPr>
            <w:tcW w:w="633" w:type="pct"/>
            <w:tcBorders>
              <w:top w:val="single" w:sz="4" w:space="0" w:color="auto"/>
              <w:bottom w:val="single" w:sz="4" w:space="0" w:color="auto"/>
              <w:right w:val="single" w:sz="4" w:space="0" w:color="auto"/>
            </w:tcBorders>
            <w:shd w:val="clear" w:color="auto" w:fill="B8CCE4" w:themeFill="accent1" w:themeFillTint="66"/>
          </w:tcPr>
          <w:p w14:paraId="051BE4EA" w14:textId="77777777" w:rsidR="00902B89" w:rsidRPr="00873941" w:rsidRDefault="00902B89" w:rsidP="0088158A">
            <w:pPr>
              <w:pStyle w:val="TableText0"/>
              <w:jc w:val="center"/>
            </w:pPr>
            <w:r w:rsidRPr="00873941">
              <w:t>NR</w:t>
            </w:r>
          </w:p>
        </w:tc>
        <w:tc>
          <w:tcPr>
            <w:tcW w:w="1066" w:type="pct"/>
            <w:shd w:val="clear" w:color="auto" w:fill="B8CCE4" w:themeFill="accent1" w:themeFillTint="66"/>
            <w:vAlign w:val="center"/>
          </w:tcPr>
          <w:p w14:paraId="1A298AC6" w14:textId="678449AF" w:rsidR="00902B89" w:rsidRPr="00873941" w:rsidRDefault="00902B89" w:rsidP="0088158A">
            <w:pPr>
              <w:pStyle w:val="TableText0"/>
              <w:jc w:val="center"/>
            </w:pPr>
            <w:r w:rsidRPr="00873941">
              <w:t>NA</w:t>
            </w:r>
          </w:p>
        </w:tc>
        <w:tc>
          <w:tcPr>
            <w:tcW w:w="714" w:type="pct"/>
            <w:shd w:val="clear" w:color="auto" w:fill="B8CCE4" w:themeFill="accent1" w:themeFillTint="66"/>
            <w:vAlign w:val="center"/>
          </w:tcPr>
          <w:p w14:paraId="46BD9663" w14:textId="46190436" w:rsidR="00902B89" w:rsidRPr="00873941" w:rsidRDefault="00902B89" w:rsidP="0088158A">
            <w:pPr>
              <w:pStyle w:val="TableText0"/>
              <w:jc w:val="center"/>
            </w:pPr>
            <w:r w:rsidRPr="00873941">
              <w:t>NA</w:t>
            </w:r>
          </w:p>
        </w:tc>
      </w:tr>
    </w:tbl>
    <w:p w14:paraId="7AC4C0EA" w14:textId="7D148F72" w:rsidR="00902B89" w:rsidRPr="00873941" w:rsidRDefault="00902B89" w:rsidP="0088158A">
      <w:pPr>
        <w:pStyle w:val="TableFigureFooter"/>
        <w:keepNext/>
        <w:rPr>
          <w:sz w:val="20"/>
        </w:rPr>
      </w:pPr>
      <w:r w:rsidRPr="00873941">
        <w:t>Source: Tables</w:t>
      </w:r>
      <w:r w:rsidR="00AD6715" w:rsidRPr="00873941">
        <w:t xml:space="preserve"> 2-19,</w:t>
      </w:r>
      <w:r w:rsidRPr="00873941">
        <w:t xml:space="preserve"> 2-26, 2-32 &amp; 2-35, pp</w:t>
      </w:r>
      <w:r w:rsidR="00AD6715" w:rsidRPr="00873941">
        <w:t xml:space="preserve">82, </w:t>
      </w:r>
      <w:r w:rsidRPr="00873941">
        <w:t>88, 92 &amp;93 of the resubmission; p93 of the resubmission.</w:t>
      </w:r>
      <w:r w:rsidR="00DC0EF1" w:rsidRPr="00873941">
        <w:rPr>
          <w:rFonts w:eastAsia="Calibri"/>
          <w:b/>
        </w:rPr>
        <w:t xml:space="preserve"> Bold</w:t>
      </w:r>
      <w:r w:rsidR="00DC0EF1" w:rsidRPr="00873941">
        <w:rPr>
          <w:rFonts w:eastAsia="Calibri"/>
        </w:rPr>
        <w:t xml:space="preserve"> indicates statistically significant results.</w:t>
      </w:r>
    </w:p>
    <w:p w14:paraId="6929BB7B" w14:textId="5B265C15" w:rsidR="00902B89" w:rsidRPr="00873941" w:rsidRDefault="00E921B1" w:rsidP="0088158A">
      <w:pPr>
        <w:pStyle w:val="TableFigureFooter"/>
        <w:keepNext/>
        <w:rPr>
          <w:rFonts w:eastAsia="Calibri"/>
        </w:rPr>
      </w:pPr>
      <w:r w:rsidRPr="00873941">
        <w:rPr>
          <w:rFonts w:eastAsia="Calibri"/>
        </w:rPr>
        <w:t>3+3=3 x (5</w:t>
      </w:r>
      <w:r w:rsidR="00AD6715" w:rsidRPr="00873941">
        <w:rPr>
          <w:rFonts w:eastAsia="Calibri"/>
        </w:rPr>
        <w:t>-fluorouracil</w:t>
      </w:r>
      <w:r w:rsidRPr="00873941">
        <w:rPr>
          <w:rFonts w:eastAsia="Calibri"/>
        </w:rPr>
        <w:t xml:space="preserve"> + </w:t>
      </w:r>
      <w:proofErr w:type="spellStart"/>
      <w:r w:rsidRPr="00873941">
        <w:rPr>
          <w:rFonts w:eastAsia="Calibri"/>
        </w:rPr>
        <w:t>epirubicin</w:t>
      </w:r>
      <w:proofErr w:type="spellEnd"/>
      <w:r w:rsidRPr="00873941">
        <w:rPr>
          <w:rFonts w:eastAsia="Calibri"/>
        </w:rPr>
        <w:t xml:space="preserve"> + cyclophosphamide) cycles then 3 x docetaxel cycles; 6=6 x docetaxel + carboplatin cycles; </w:t>
      </w:r>
      <w:r w:rsidR="00902B89" w:rsidRPr="00873941">
        <w:rPr>
          <w:rFonts w:eastAsia="Calibri"/>
        </w:rPr>
        <w:t xml:space="preserve">CI = confidence interval; </w:t>
      </w:r>
      <w:r w:rsidR="002B57D0" w:rsidRPr="00873941">
        <w:rPr>
          <w:rFonts w:eastAsia="Calibri"/>
        </w:rPr>
        <w:t xml:space="preserve">HER2= human epidermal growth factor receptor 2; </w:t>
      </w:r>
      <w:r w:rsidR="00902B89" w:rsidRPr="00873941">
        <w:rPr>
          <w:rFonts w:eastAsia="Calibri"/>
        </w:rPr>
        <w:t>n = number of participants with event; N = total participants in group</w:t>
      </w:r>
      <w:r w:rsidR="00882DB9" w:rsidRPr="00873941">
        <w:rPr>
          <w:rFonts w:eastAsia="Calibri"/>
        </w:rPr>
        <w:t xml:space="preserve">; </w:t>
      </w:r>
      <w:r w:rsidR="002B57D0" w:rsidRPr="00873941">
        <w:rPr>
          <w:rFonts w:eastAsia="Calibri"/>
        </w:rPr>
        <w:t xml:space="preserve">NA=not applicable; NR=not reported; </w:t>
      </w:r>
      <w:proofErr w:type="spellStart"/>
      <w:r w:rsidR="00E84153" w:rsidRPr="00873941">
        <w:t>P+T+Chemo</w:t>
      </w:r>
      <w:proofErr w:type="spellEnd"/>
      <w:r w:rsidR="00E84153" w:rsidRPr="00873941">
        <w:t>=</w:t>
      </w:r>
      <w:r w:rsidR="002B57D0" w:rsidRPr="00873941">
        <w:t xml:space="preserve"> </w:t>
      </w:r>
      <w:r w:rsidR="00E84153" w:rsidRPr="00873941">
        <w:t xml:space="preserve">pertuzumab + trastuzumab + chemotherapy; </w:t>
      </w:r>
      <w:proofErr w:type="spellStart"/>
      <w:r w:rsidR="00E84153" w:rsidRPr="00873941">
        <w:t>T+Chemo</w:t>
      </w:r>
      <w:proofErr w:type="spellEnd"/>
      <w:r w:rsidR="00E84153" w:rsidRPr="00873941">
        <w:t xml:space="preserve">=trastuzumab + chemotherapy; </w:t>
      </w:r>
      <w:proofErr w:type="spellStart"/>
      <w:r w:rsidR="00882DB9" w:rsidRPr="00873941">
        <w:rPr>
          <w:rFonts w:eastAsia="Calibri"/>
        </w:rPr>
        <w:t>tpCR</w:t>
      </w:r>
      <w:proofErr w:type="spellEnd"/>
      <w:r w:rsidR="00882DB9" w:rsidRPr="00873941">
        <w:rPr>
          <w:rFonts w:eastAsia="Calibri"/>
        </w:rPr>
        <w:t xml:space="preserve">= total </w:t>
      </w:r>
      <w:r w:rsidR="00882DB9" w:rsidRPr="00873941">
        <w:t>pathological complete response</w:t>
      </w:r>
      <w:r w:rsidR="00902B89" w:rsidRPr="00873941">
        <w:rPr>
          <w:rFonts w:eastAsia="Calibri"/>
        </w:rPr>
        <w:t xml:space="preserve">. </w:t>
      </w:r>
    </w:p>
    <w:p w14:paraId="0EDDA851" w14:textId="2AE6ADC8" w:rsidR="00AD6715" w:rsidRPr="00873941" w:rsidRDefault="00902B89" w:rsidP="0088158A">
      <w:pPr>
        <w:pStyle w:val="TableFigureFooter"/>
        <w:keepNext/>
        <w:rPr>
          <w:rFonts w:eastAsia="Calibri"/>
        </w:rPr>
      </w:pPr>
      <w:r w:rsidRPr="00873941">
        <w:rPr>
          <w:rFonts w:eastAsia="Calibri"/>
          <w:vertAlign w:val="superscript"/>
        </w:rPr>
        <w:t>a</w:t>
      </w:r>
      <w:r w:rsidRPr="00873941">
        <w:rPr>
          <w:rFonts w:eastAsia="Calibri"/>
        </w:rPr>
        <w:t xml:space="preserve"> </w:t>
      </w:r>
      <w:r w:rsidR="00AD6715" w:rsidRPr="00873941">
        <w:rPr>
          <w:rFonts w:eastAsia="Calibri"/>
        </w:rPr>
        <w:t>Chemotherapy in the NEOSPHERE and PEONY trials was docetaxel; chemotherapy in the I-SPY2 trial was weekly paclitaxel + 4 x 3-weekly trastuzumab [+/-pertuzumab]], followed by 3 4 cycles of doxorubicin + cyclophosphamide</w:t>
      </w:r>
    </w:p>
    <w:p w14:paraId="010A3BDF" w14:textId="6B3FEFC1" w:rsidR="00902B89" w:rsidRPr="00873941" w:rsidRDefault="00AD6715" w:rsidP="0088158A">
      <w:pPr>
        <w:pStyle w:val="TableFigureFooter"/>
        <w:keepNext/>
        <w:rPr>
          <w:rFonts w:eastAsia="Calibri"/>
        </w:rPr>
      </w:pPr>
      <w:r w:rsidRPr="00873941">
        <w:rPr>
          <w:rFonts w:eastAsia="Calibri"/>
          <w:vertAlign w:val="superscript"/>
        </w:rPr>
        <w:t>b</w:t>
      </w:r>
      <w:r w:rsidRPr="00873941">
        <w:rPr>
          <w:rFonts w:eastAsia="Calibri"/>
        </w:rPr>
        <w:t xml:space="preserve"> </w:t>
      </w:r>
      <w:r w:rsidR="00902B89" w:rsidRPr="00873941">
        <w:rPr>
          <w:rFonts w:eastAsia="Calibri"/>
        </w:rPr>
        <w:t xml:space="preserve">Calculated post-hoc using </w:t>
      </w:r>
      <w:proofErr w:type="spellStart"/>
      <w:r w:rsidR="00902B89" w:rsidRPr="00873941">
        <w:rPr>
          <w:rFonts w:eastAsia="Calibri"/>
        </w:rPr>
        <w:t>RevMan</w:t>
      </w:r>
      <w:proofErr w:type="spellEnd"/>
      <w:r w:rsidR="00902B89" w:rsidRPr="00873941">
        <w:rPr>
          <w:rFonts w:eastAsia="Calibri"/>
        </w:rPr>
        <w:t>, not adjusted for multiplicity.</w:t>
      </w:r>
    </w:p>
    <w:p w14:paraId="25C68B0F" w14:textId="170B003B" w:rsidR="00902B89" w:rsidRPr="00873941" w:rsidRDefault="00DB4B3E" w:rsidP="00EC5836">
      <w:pPr>
        <w:pStyle w:val="3-BodyText"/>
      </w:pPr>
      <w:r w:rsidRPr="00873941">
        <w:t xml:space="preserve">In the NEOSPHERE trial, the </w:t>
      </w:r>
      <w:proofErr w:type="spellStart"/>
      <w:r w:rsidRPr="00873941">
        <w:t>P+T+Chemo</w:t>
      </w:r>
      <w:proofErr w:type="spellEnd"/>
      <w:r w:rsidRPr="00873941">
        <w:t xml:space="preserve"> arm had a higher rate of </w:t>
      </w:r>
      <w:proofErr w:type="spellStart"/>
      <w:r w:rsidRPr="00873941">
        <w:t>tpCR</w:t>
      </w:r>
      <w:proofErr w:type="spellEnd"/>
      <w:r w:rsidRPr="00873941">
        <w:t xml:space="preserve"> than the </w:t>
      </w:r>
      <w:proofErr w:type="spellStart"/>
      <w:r w:rsidRPr="00873941">
        <w:t>T+Chemo</w:t>
      </w:r>
      <w:proofErr w:type="spellEnd"/>
      <w:r w:rsidRPr="00873941">
        <w:t xml:space="preserve"> arm (difference of 17.8%; 95%CI: 4.6, 31.0; p=0.008); however, these results were calculated post-hoc and not adjusted for multiplicity. In the PEONY trial, a significantly greater proportion of pa</w:t>
      </w:r>
      <w:r w:rsidR="00357E0A" w:rsidRPr="00873941">
        <w:t>rticipan</w:t>
      </w:r>
      <w:r w:rsidRPr="00873941">
        <w:t xml:space="preserve">ts in the </w:t>
      </w:r>
      <w:proofErr w:type="spellStart"/>
      <w:r w:rsidRPr="00873941">
        <w:t>P+T+Chemo</w:t>
      </w:r>
      <w:proofErr w:type="spellEnd"/>
      <w:r w:rsidRPr="00873941">
        <w:t xml:space="preserve"> arm achieved the primary endpoint of </w:t>
      </w:r>
      <w:proofErr w:type="spellStart"/>
      <w:r w:rsidRPr="00873941">
        <w:t>tpCR</w:t>
      </w:r>
      <w:proofErr w:type="spellEnd"/>
      <w:r w:rsidRPr="00873941">
        <w:t xml:space="preserve"> response (as assessed by IRC) compared to pa</w:t>
      </w:r>
      <w:r w:rsidR="00357E0A" w:rsidRPr="00873941">
        <w:t>rticipan</w:t>
      </w:r>
      <w:r w:rsidRPr="00873941">
        <w:t xml:space="preserve">ts in the </w:t>
      </w:r>
      <w:proofErr w:type="spellStart"/>
      <w:r w:rsidRPr="00873941">
        <w:t>T+Chemo</w:t>
      </w:r>
      <w:proofErr w:type="spellEnd"/>
      <w:r w:rsidRPr="00873941">
        <w:t xml:space="preserve"> arm (39.3% vs 21.8%; difference in response rates of 17.45%, p=0.0014). In the I-SPY2 adaptive-randomisation trial, 56% of participants receiving </w:t>
      </w:r>
      <w:proofErr w:type="spellStart"/>
      <w:r w:rsidRPr="00873941">
        <w:t>P+T+Chemo</w:t>
      </w:r>
      <w:proofErr w:type="spellEnd"/>
      <w:r w:rsidRPr="00873941">
        <w:t xml:space="preserve"> achieved </w:t>
      </w:r>
      <w:proofErr w:type="spellStart"/>
      <w:r w:rsidRPr="00873941">
        <w:t>tpCR</w:t>
      </w:r>
      <w:proofErr w:type="spellEnd"/>
      <w:r w:rsidRPr="00873941">
        <w:t xml:space="preserve"> compared to 25% of participants who received </w:t>
      </w:r>
      <w:proofErr w:type="spellStart"/>
      <w:r w:rsidRPr="00873941">
        <w:t>T+Chemo</w:t>
      </w:r>
      <w:proofErr w:type="spellEnd"/>
      <w:r w:rsidRPr="00873941">
        <w:t xml:space="preserve">. </w:t>
      </w:r>
      <w:r w:rsidR="00A931FF" w:rsidRPr="00873941">
        <w:t xml:space="preserve">The </w:t>
      </w:r>
      <w:r w:rsidR="00317ED3" w:rsidRPr="00873941">
        <w:t xml:space="preserve">mean </w:t>
      </w:r>
      <w:r w:rsidR="00A931FF" w:rsidRPr="00873941">
        <w:t>differences exceeded the stated MCID of 15%, although t</w:t>
      </w:r>
      <w:r w:rsidR="00A931FF" w:rsidRPr="00873941">
        <w:rPr>
          <w:rFonts w:eastAsia="Calibri"/>
        </w:rPr>
        <w:t xml:space="preserve">he lower 95% confidence intervals (CIs) for </w:t>
      </w:r>
      <w:proofErr w:type="spellStart"/>
      <w:r w:rsidR="00A931FF" w:rsidRPr="00873941">
        <w:rPr>
          <w:rFonts w:eastAsia="Calibri"/>
        </w:rPr>
        <w:t>tpCR</w:t>
      </w:r>
      <w:proofErr w:type="spellEnd"/>
      <w:r w:rsidR="00A931FF" w:rsidRPr="00873941">
        <w:rPr>
          <w:rFonts w:eastAsia="Calibri"/>
        </w:rPr>
        <w:t xml:space="preserve"> of 6.9% in PEONY and 4.6% in NEOSPHERE were substantially lower than the MCID of 15%</w:t>
      </w:r>
      <w:r w:rsidR="00A931FF" w:rsidRPr="00873941">
        <w:t xml:space="preserve">. </w:t>
      </w:r>
      <w:bookmarkStart w:id="47" w:name="_Hlk185185981"/>
      <w:r w:rsidRPr="00873941">
        <w:t>Over 55% of participants in</w:t>
      </w:r>
      <w:r w:rsidR="00AC3EEF" w:rsidRPr="00873941">
        <w:t xml:space="preserve"> relevant arms of</w:t>
      </w:r>
      <w:r w:rsidRPr="00873941">
        <w:t xml:space="preserve"> the TRYPHAENA trial achieved </w:t>
      </w:r>
      <w:proofErr w:type="spellStart"/>
      <w:r w:rsidRPr="00873941">
        <w:t>tpCR</w:t>
      </w:r>
      <w:proofErr w:type="spellEnd"/>
      <w:r w:rsidRPr="00873941">
        <w:t>.</w:t>
      </w:r>
      <w:bookmarkEnd w:id="47"/>
    </w:p>
    <w:p w14:paraId="162DACC9" w14:textId="22DCE15F" w:rsidR="00435D6D" w:rsidRPr="00873941" w:rsidRDefault="00435D6D" w:rsidP="006B4C9B">
      <w:pPr>
        <w:pStyle w:val="3-BodyText"/>
        <w:spacing w:after="240"/>
      </w:pPr>
      <w:r w:rsidRPr="00873941">
        <w:fldChar w:fldCharType="begin"/>
      </w:r>
      <w:r w:rsidRPr="00873941">
        <w:instrText xml:space="preserve"> REF _Ref187425350 \h </w:instrText>
      </w:r>
      <w:r w:rsidR="006D45AE" w:rsidRPr="00873941">
        <w:instrText xml:space="preserve"> \* MERGEFORMAT </w:instrText>
      </w:r>
      <w:r w:rsidRPr="00873941">
        <w:fldChar w:fldCharType="separate"/>
      </w:r>
      <w:r w:rsidR="000B094B" w:rsidRPr="00873941">
        <w:t xml:space="preserve">Table </w:t>
      </w:r>
      <w:r w:rsidR="000B094B">
        <w:t>9</w:t>
      </w:r>
      <w:r w:rsidRPr="00873941">
        <w:fldChar w:fldCharType="end"/>
      </w:r>
      <w:r w:rsidRPr="00873941">
        <w:t xml:space="preserve"> presents PFS and DFS by </w:t>
      </w:r>
      <w:proofErr w:type="spellStart"/>
      <w:r w:rsidRPr="00873941">
        <w:t>tpCR</w:t>
      </w:r>
      <w:proofErr w:type="spellEnd"/>
      <w:r w:rsidRPr="00873941">
        <w:t xml:space="preserve"> status (achieved vs not achieved) in the NEOSPHERE trial. </w:t>
      </w:r>
      <w:r w:rsidR="006B4C9B" w:rsidRPr="00873941">
        <w:t>Although</w:t>
      </w:r>
      <w:r w:rsidRPr="00873941">
        <w:t xml:space="preserve"> </w:t>
      </w:r>
      <w:proofErr w:type="spellStart"/>
      <w:r w:rsidRPr="00873941">
        <w:t>iDFS</w:t>
      </w:r>
      <w:proofErr w:type="spellEnd"/>
      <w:r w:rsidRPr="00873941">
        <w:t xml:space="preserve"> based on </w:t>
      </w:r>
      <w:proofErr w:type="spellStart"/>
      <w:r w:rsidRPr="00873941">
        <w:t>tpCR</w:t>
      </w:r>
      <w:proofErr w:type="spellEnd"/>
      <w:r w:rsidRPr="00873941">
        <w:t xml:space="preserve"> status was a key input in the economic model</w:t>
      </w:r>
      <w:r w:rsidR="006B4C9B" w:rsidRPr="00873941">
        <w:t xml:space="preserve">, </w:t>
      </w:r>
      <w:r w:rsidRPr="00873941">
        <w:t xml:space="preserve">these NEOSPHERE data were not used in the economic model. Instead, the hazard ratio from Swain (2022) was used to estimate DFS based on </w:t>
      </w:r>
      <w:proofErr w:type="spellStart"/>
      <w:r w:rsidRPr="00873941">
        <w:t>tpCR</w:t>
      </w:r>
      <w:proofErr w:type="spellEnd"/>
      <w:r w:rsidRPr="00873941">
        <w:t>.</w:t>
      </w:r>
    </w:p>
    <w:p w14:paraId="48880809" w14:textId="762EBF4F" w:rsidR="00435D6D" w:rsidRPr="00873941" w:rsidRDefault="00435D6D" w:rsidP="00435D6D">
      <w:pPr>
        <w:pStyle w:val="Caption"/>
      </w:pPr>
      <w:bookmarkStart w:id="48" w:name="_Ref187425350"/>
      <w:r w:rsidRPr="00873941">
        <w:lastRenderedPageBreak/>
        <w:t xml:space="preserve">Table </w:t>
      </w:r>
      <w:r w:rsidR="00C06CD6">
        <w:fldChar w:fldCharType="begin"/>
      </w:r>
      <w:r w:rsidR="00C06CD6">
        <w:instrText xml:space="preserve"> SEQ Table \* ARABIC </w:instrText>
      </w:r>
      <w:r w:rsidR="00C06CD6">
        <w:fldChar w:fldCharType="separate"/>
      </w:r>
      <w:r w:rsidR="000B094B">
        <w:rPr>
          <w:noProof/>
        </w:rPr>
        <w:t>9</w:t>
      </w:r>
      <w:r w:rsidR="00C06CD6">
        <w:fldChar w:fldCharType="end"/>
      </w:r>
      <w:bookmarkEnd w:id="48"/>
      <w:r w:rsidRPr="00873941">
        <w:t xml:space="preserve">: Results of PFS and DFS in the NEOSPHERE trial by </w:t>
      </w:r>
      <w:proofErr w:type="spellStart"/>
      <w:r w:rsidRPr="00873941">
        <w:t>tpCR</w:t>
      </w:r>
      <w:proofErr w:type="spellEnd"/>
      <w:r w:rsidRPr="00873941">
        <w:t xml:space="preserve">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PFS and DFS in the NEOSPHERE trial by tpCR status"/>
      </w:tblPr>
      <w:tblGrid>
        <w:gridCol w:w="1247"/>
        <w:gridCol w:w="1107"/>
        <w:gridCol w:w="1107"/>
        <w:gridCol w:w="967"/>
        <w:gridCol w:w="1105"/>
        <w:gridCol w:w="1246"/>
        <w:gridCol w:w="830"/>
        <w:gridCol w:w="1408"/>
      </w:tblGrid>
      <w:tr w:rsidR="00435D6D" w:rsidRPr="00873941" w14:paraId="344ECA54" w14:textId="77777777" w:rsidTr="00435D6D">
        <w:trPr>
          <w:tblHeader/>
        </w:trPr>
        <w:tc>
          <w:tcPr>
            <w:tcW w:w="691" w:type="pct"/>
            <w:vMerge w:val="restart"/>
            <w:vAlign w:val="center"/>
          </w:tcPr>
          <w:p w14:paraId="5FDC935F" w14:textId="77777777" w:rsidR="00435D6D" w:rsidRPr="00873941" w:rsidRDefault="00435D6D" w:rsidP="00EF13AB">
            <w:pPr>
              <w:pStyle w:val="TableFigureHeading"/>
            </w:pPr>
            <w:r w:rsidRPr="00873941">
              <w:t>Trial ID</w:t>
            </w:r>
          </w:p>
        </w:tc>
        <w:tc>
          <w:tcPr>
            <w:tcW w:w="1228" w:type="pct"/>
            <w:gridSpan w:val="2"/>
            <w:vAlign w:val="center"/>
          </w:tcPr>
          <w:p w14:paraId="2C0E8A2A" w14:textId="77777777" w:rsidR="00435D6D" w:rsidRPr="00873941" w:rsidRDefault="00435D6D" w:rsidP="00EF13AB">
            <w:pPr>
              <w:pStyle w:val="In-tableHeading"/>
              <w:rPr>
                <w:lang w:val="en-AU"/>
              </w:rPr>
            </w:pPr>
            <w:r w:rsidRPr="00873941">
              <w:rPr>
                <w:lang w:val="en-AU"/>
              </w:rPr>
              <w:t xml:space="preserve">Achieved </w:t>
            </w:r>
            <w:proofErr w:type="spellStart"/>
            <w:r w:rsidRPr="00873941">
              <w:rPr>
                <w:lang w:val="en-AU"/>
              </w:rPr>
              <w:t>tpCR</w:t>
            </w:r>
            <w:proofErr w:type="spellEnd"/>
          </w:p>
        </w:tc>
        <w:tc>
          <w:tcPr>
            <w:tcW w:w="1149" w:type="pct"/>
            <w:gridSpan w:val="2"/>
            <w:vAlign w:val="center"/>
          </w:tcPr>
          <w:p w14:paraId="44D74141" w14:textId="77777777" w:rsidR="00435D6D" w:rsidRPr="00873941" w:rsidRDefault="00435D6D" w:rsidP="00EF13AB">
            <w:pPr>
              <w:pStyle w:val="In-tableHeading"/>
              <w:rPr>
                <w:lang w:val="en-AU"/>
              </w:rPr>
            </w:pPr>
            <w:r w:rsidRPr="00873941">
              <w:rPr>
                <w:lang w:val="en-AU"/>
              </w:rPr>
              <w:t xml:space="preserve">Did not achieve </w:t>
            </w:r>
            <w:proofErr w:type="spellStart"/>
            <w:r w:rsidRPr="00873941">
              <w:rPr>
                <w:lang w:val="en-AU"/>
              </w:rPr>
              <w:t>tpCR</w:t>
            </w:r>
            <w:proofErr w:type="spellEnd"/>
          </w:p>
        </w:tc>
        <w:tc>
          <w:tcPr>
            <w:tcW w:w="691" w:type="pct"/>
            <w:vMerge w:val="restart"/>
            <w:vAlign w:val="center"/>
          </w:tcPr>
          <w:p w14:paraId="10EF25D8" w14:textId="77777777" w:rsidR="00435D6D" w:rsidRPr="00873941" w:rsidRDefault="00435D6D" w:rsidP="00EF13AB">
            <w:pPr>
              <w:pStyle w:val="In-tableHeading"/>
              <w:rPr>
                <w:lang w:val="en-AU"/>
              </w:rPr>
            </w:pPr>
            <w:r w:rsidRPr="00873941">
              <w:rPr>
                <w:lang w:val="en-AU"/>
              </w:rPr>
              <w:t>Difference in median</w:t>
            </w:r>
          </w:p>
        </w:tc>
        <w:tc>
          <w:tcPr>
            <w:tcW w:w="460" w:type="pct"/>
            <w:vMerge w:val="restart"/>
            <w:vAlign w:val="center"/>
          </w:tcPr>
          <w:p w14:paraId="418B9108" w14:textId="77777777" w:rsidR="00435D6D" w:rsidRPr="00873941" w:rsidRDefault="00435D6D" w:rsidP="00EF13AB">
            <w:pPr>
              <w:pStyle w:val="In-tableHeading"/>
              <w:rPr>
                <w:lang w:val="en-AU"/>
              </w:rPr>
            </w:pPr>
            <w:r w:rsidRPr="00873941">
              <w:rPr>
                <w:lang w:val="en-AU"/>
              </w:rPr>
              <w:t>P value</w:t>
            </w:r>
          </w:p>
        </w:tc>
        <w:tc>
          <w:tcPr>
            <w:tcW w:w="780" w:type="pct"/>
            <w:vMerge w:val="restart"/>
            <w:vAlign w:val="center"/>
          </w:tcPr>
          <w:p w14:paraId="2247B746" w14:textId="77777777" w:rsidR="00435D6D" w:rsidRPr="00873941" w:rsidRDefault="00435D6D" w:rsidP="00EF13AB">
            <w:pPr>
              <w:pStyle w:val="In-tableHeading"/>
              <w:rPr>
                <w:lang w:val="en-AU"/>
              </w:rPr>
            </w:pPr>
            <w:r w:rsidRPr="00873941">
              <w:rPr>
                <w:lang w:val="en-AU"/>
              </w:rPr>
              <w:t>Hazard ratio (95% CI)</w:t>
            </w:r>
          </w:p>
        </w:tc>
      </w:tr>
      <w:tr w:rsidR="00435D6D" w:rsidRPr="00873941" w14:paraId="3991DAB2" w14:textId="77777777" w:rsidTr="00435D6D">
        <w:trPr>
          <w:tblHeader/>
        </w:trPr>
        <w:tc>
          <w:tcPr>
            <w:tcW w:w="691" w:type="pct"/>
            <w:vMerge/>
            <w:vAlign w:val="center"/>
          </w:tcPr>
          <w:p w14:paraId="4DB4C072" w14:textId="77777777" w:rsidR="00435D6D" w:rsidRPr="00873941" w:rsidRDefault="00435D6D" w:rsidP="00EF13AB">
            <w:pPr>
              <w:pStyle w:val="TableFigureHeading"/>
            </w:pPr>
          </w:p>
        </w:tc>
        <w:tc>
          <w:tcPr>
            <w:tcW w:w="614" w:type="pct"/>
            <w:vAlign w:val="center"/>
          </w:tcPr>
          <w:p w14:paraId="2A47BDA4" w14:textId="77777777" w:rsidR="00435D6D" w:rsidRPr="00873941" w:rsidRDefault="00435D6D" w:rsidP="00EF13AB">
            <w:pPr>
              <w:pStyle w:val="In-tableHeading"/>
              <w:rPr>
                <w:lang w:val="en-AU"/>
              </w:rPr>
            </w:pPr>
            <w:r w:rsidRPr="00873941">
              <w:rPr>
                <w:lang w:val="en-AU"/>
              </w:rPr>
              <w:t>n/N (%)</w:t>
            </w:r>
          </w:p>
        </w:tc>
        <w:tc>
          <w:tcPr>
            <w:tcW w:w="613" w:type="pct"/>
            <w:vAlign w:val="center"/>
          </w:tcPr>
          <w:p w14:paraId="1D430975" w14:textId="77777777" w:rsidR="00435D6D" w:rsidRPr="00873941" w:rsidRDefault="00435D6D" w:rsidP="00EF13AB">
            <w:pPr>
              <w:pStyle w:val="In-tableHeading"/>
              <w:rPr>
                <w:lang w:val="en-AU"/>
              </w:rPr>
            </w:pPr>
            <w:r w:rsidRPr="00873941">
              <w:rPr>
                <w:lang w:val="en-AU"/>
              </w:rPr>
              <w:t xml:space="preserve">Median time to event </w:t>
            </w:r>
          </w:p>
          <w:p w14:paraId="2FCE8EEB" w14:textId="77777777" w:rsidR="00435D6D" w:rsidRPr="00873941" w:rsidRDefault="00435D6D" w:rsidP="00EF13AB">
            <w:pPr>
              <w:pStyle w:val="In-tableHeading"/>
              <w:rPr>
                <w:lang w:val="en-AU"/>
              </w:rPr>
            </w:pPr>
            <w:r w:rsidRPr="00873941">
              <w:rPr>
                <w:lang w:val="en-AU"/>
              </w:rPr>
              <w:t>(95% CI)</w:t>
            </w:r>
          </w:p>
        </w:tc>
        <w:tc>
          <w:tcPr>
            <w:tcW w:w="536" w:type="pct"/>
            <w:vAlign w:val="center"/>
          </w:tcPr>
          <w:p w14:paraId="224D96CE" w14:textId="77777777" w:rsidR="00435D6D" w:rsidRPr="00873941" w:rsidRDefault="00435D6D" w:rsidP="00EF13AB">
            <w:pPr>
              <w:pStyle w:val="In-tableHeading"/>
              <w:rPr>
                <w:lang w:val="en-AU"/>
              </w:rPr>
            </w:pPr>
            <w:r w:rsidRPr="00873941">
              <w:rPr>
                <w:lang w:val="en-AU"/>
              </w:rPr>
              <w:t>n/N (%)</w:t>
            </w:r>
          </w:p>
        </w:tc>
        <w:tc>
          <w:tcPr>
            <w:tcW w:w="613" w:type="pct"/>
            <w:vAlign w:val="center"/>
          </w:tcPr>
          <w:p w14:paraId="159F109D" w14:textId="77777777" w:rsidR="00435D6D" w:rsidRPr="00873941" w:rsidRDefault="00435D6D" w:rsidP="00EF13AB">
            <w:pPr>
              <w:pStyle w:val="In-tableHeading"/>
              <w:rPr>
                <w:lang w:val="en-AU"/>
              </w:rPr>
            </w:pPr>
            <w:r w:rsidRPr="00873941">
              <w:rPr>
                <w:lang w:val="en-AU"/>
              </w:rPr>
              <w:t xml:space="preserve">Median time to event </w:t>
            </w:r>
          </w:p>
          <w:p w14:paraId="124D1E38" w14:textId="77777777" w:rsidR="00435D6D" w:rsidRPr="00873941" w:rsidRDefault="00435D6D" w:rsidP="00EF13AB">
            <w:pPr>
              <w:pStyle w:val="In-tableHeading"/>
              <w:rPr>
                <w:lang w:val="en-AU"/>
              </w:rPr>
            </w:pPr>
            <w:r w:rsidRPr="00873941">
              <w:rPr>
                <w:lang w:val="en-AU"/>
              </w:rPr>
              <w:t>(95% CI)</w:t>
            </w:r>
          </w:p>
        </w:tc>
        <w:tc>
          <w:tcPr>
            <w:tcW w:w="691" w:type="pct"/>
            <w:vMerge/>
            <w:vAlign w:val="center"/>
          </w:tcPr>
          <w:p w14:paraId="338D1340" w14:textId="77777777" w:rsidR="00435D6D" w:rsidRPr="00873941" w:rsidRDefault="00435D6D" w:rsidP="00EF13AB">
            <w:pPr>
              <w:pStyle w:val="In-tableHeading"/>
              <w:rPr>
                <w:lang w:val="en-AU"/>
              </w:rPr>
            </w:pPr>
          </w:p>
        </w:tc>
        <w:tc>
          <w:tcPr>
            <w:tcW w:w="460" w:type="pct"/>
            <w:vMerge/>
            <w:vAlign w:val="center"/>
          </w:tcPr>
          <w:p w14:paraId="46284DF9" w14:textId="77777777" w:rsidR="00435D6D" w:rsidRPr="00873941" w:rsidRDefault="00435D6D" w:rsidP="00EF13AB">
            <w:pPr>
              <w:pStyle w:val="In-tableHeading"/>
              <w:rPr>
                <w:lang w:val="en-AU"/>
              </w:rPr>
            </w:pPr>
          </w:p>
        </w:tc>
        <w:tc>
          <w:tcPr>
            <w:tcW w:w="780" w:type="pct"/>
            <w:vMerge/>
            <w:vAlign w:val="center"/>
          </w:tcPr>
          <w:p w14:paraId="13442D7D" w14:textId="77777777" w:rsidR="00435D6D" w:rsidRPr="00873941" w:rsidRDefault="00435D6D" w:rsidP="00EF13AB">
            <w:pPr>
              <w:pStyle w:val="In-tableHeading"/>
              <w:rPr>
                <w:lang w:val="en-AU"/>
              </w:rPr>
            </w:pPr>
          </w:p>
        </w:tc>
      </w:tr>
      <w:tr w:rsidR="00435D6D" w:rsidRPr="00873941" w14:paraId="5A43E7A9" w14:textId="77777777" w:rsidTr="00EF13AB">
        <w:trPr>
          <w:tblHeader/>
        </w:trPr>
        <w:tc>
          <w:tcPr>
            <w:tcW w:w="5000" w:type="pct"/>
            <w:gridSpan w:val="8"/>
            <w:vAlign w:val="center"/>
          </w:tcPr>
          <w:p w14:paraId="2B7FA0AD" w14:textId="77777777" w:rsidR="00435D6D" w:rsidRPr="00873941" w:rsidRDefault="00435D6D" w:rsidP="00EF13AB">
            <w:pPr>
              <w:pStyle w:val="TableFigureHeading"/>
            </w:pPr>
            <w:proofErr w:type="spellStart"/>
            <w:r w:rsidRPr="00873941">
              <w:t>P+T+Chemo</w:t>
            </w:r>
            <w:proofErr w:type="spellEnd"/>
            <w:r w:rsidRPr="00873941">
              <w:t xml:space="preserve"> (docetaxel) vs </w:t>
            </w:r>
            <w:proofErr w:type="spellStart"/>
            <w:r w:rsidRPr="00873941">
              <w:t>T+Chemo</w:t>
            </w:r>
            <w:proofErr w:type="spellEnd"/>
            <w:r w:rsidRPr="00873941">
              <w:t xml:space="preserve"> (docetaxel), 4 neoadjuvant HER2 therapy cycles</w:t>
            </w:r>
          </w:p>
        </w:tc>
      </w:tr>
      <w:tr w:rsidR="00435D6D" w:rsidRPr="00873941" w14:paraId="7D57FDA3" w14:textId="77777777" w:rsidTr="00EF13AB">
        <w:trPr>
          <w:tblHeader/>
        </w:trPr>
        <w:tc>
          <w:tcPr>
            <w:tcW w:w="5000" w:type="pct"/>
            <w:gridSpan w:val="8"/>
            <w:vAlign w:val="center"/>
          </w:tcPr>
          <w:p w14:paraId="7A1B1DED" w14:textId="77777777" w:rsidR="00435D6D" w:rsidRPr="00873941" w:rsidRDefault="00435D6D" w:rsidP="00EF13AB">
            <w:pPr>
              <w:pStyle w:val="TableFigureHeading"/>
            </w:pPr>
            <w:r w:rsidRPr="00873941">
              <w:t>PFS</w:t>
            </w:r>
          </w:p>
        </w:tc>
      </w:tr>
      <w:tr w:rsidR="00435D6D" w:rsidRPr="00873941" w14:paraId="1069146F" w14:textId="77777777" w:rsidTr="00435D6D">
        <w:tc>
          <w:tcPr>
            <w:tcW w:w="691" w:type="pct"/>
            <w:shd w:val="clear" w:color="auto" w:fill="B8CCE4" w:themeFill="accent1" w:themeFillTint="66"/>
            <w:vAlign w:val="center"/>
          </w:tcPr>
          <w:p w14:paraId="33AA4FD3" w14:textId="77777777" w:rsidR="00435D6D" w:rsidRPr="00873941" w:rsidRDefault="00435D6D" w:rsidP="00EF13AB">
            <w:pPr>
              <w:pStyle w:val="TableText0"/>
            </w:pPr>
            <w:r w:rsidRPr="00873941">
              <w:t>NEOSPHERE</w:t>
            </w:r>
          </w:p>
        </w:tc>
        <w:tc>
          <w:tcPr>
            <w:tcW w:w="614" w:type="pct"/>
            <w:shd w:val="clear" w:color="auto" w:fill="B8CCE4" w:themeFill="accent1" w:themeFillTint="66"/>
            <w:vAlign w:val="center"/>
          </w:tcPr>
          <w:p w14:paraId="27C52400" w14:textId="77777777" w:rsidR="00435D6D" w:rsidRPr="00873941" w:rsidRDefault="00435D6D" w:rsidP="00EF13AB">
            <w:pPr>
              <w:pStyle w:val="TableText0"/>
              <w:jc w:val="center"/>
            </w:pPr>
            <w:r w:rsidRPr="00873941">
              <w:t>14/94 (14.9)</w:t>
            </w:r>
          </w:p>
        </w:tc>
        <w:tc>
          <w:tcPr>
            <w:tcW w:w="613" w:type="pct"/>
            <w:shd w:val="clear" w:color="auto" w:fill="B8CCE4" w:themeFill="accent1" w:themeFillTint="66"/>
            <w:vAlign w:val="center"/>
          </w:tcPr>
          <w:p w14:paraId="5102DF61" w14:textId="77777777" w:rsidR="00435D6D" w:rsidRPr="00873941" w:rsidRDefault="00435D6D" w:rsidP="00EF13AB">
            <w:pPr>
              <w:pStyle w:val="TableText0"/>
              <w:jc w:val="center"/>
            </w:pPr>
            <w:r w:rsidRPr="00873941">
              <w:t>Not reached</w:t>
            </w:r>
          </w:p>
        </w:tc>
        <w:tc>
          <w:tcPr>
            <w:tcW w:w="536" w:type="pct"/>
            <w:shd w:val="clear" w:color="auto" w:fill="B8CCE4" w:themeFill="accent1" w:themeFillTint="66"/>
            <w:vAlign w:val="center"/>
          </w:tcPr>
          <w:p w14:paraId="76405BBC" w14:textId="77777777" w:rsidR="00435D6D" w:rsidRPr="00873941" w:rsidRDefault="00435D6D" w:rsidP="00EF13AB">
            <w:pPr>
              <w:pStyle w:val="TableText0"/>
              <w:jc w:val="center"/>
            </w:pPr>
            <w:r w:rsidRPr="00873941">
              <w:t>73/323 (22.6)</w:t>
            </w:r>
          </w:p>
        </w:tc>
        <w:tc>
          <w:tcPr>
            <w:tcW w:w="613" w:type="pct"/>
            <w:shd w:val="clear" w:color="auto" w:fill="B8CCE4" w:themeFill="accent1" w:themeFillTint="66"/>
            <w:vAlign w:val="center"/>
          </w:tcPr>
          <w:p w14:paraId="1E0C30C9" w14:textId="77777777" w:rsidR="00435D6D" w:rsidRPr="00873941" w:rsidRDefault="00435D6D" w:rsidP="00EF13AB">
            <w:pPr>
              <w:pStyle w:val="TableText0"/>
              <w:jc w:val="center"/>
            </w:pPr>
            <w:r w:rsidRPr="00873941">
              <w:t>Not reached</w:t>
            </w:r>
          </w:p>
        </w:tc>
        <w:tc>
          <w:tcPr>
            <w:tcW w:w="691" w:type="pct"/>
            <w:shd w:val="clear" w:color="auto" w:fill="B8CCE4" w:themeFill="accent1" w:themeFillTint="66"/>
            <w:vAlign w:val="center"/>
          </w:tcPr>
          <w:p w14:paraId="54B861AA" w14:textId="77777777" w:rsidR="00435D6D" w:rsidRPr="00873941" w:rsidRDefault="00435D6D" w:rsidP="00EF13AB">
            <w:pPr>
              <w:pStyle w:val="TableText0"/>
              <w:jc w:val="center"/>
            </w:pPr>
            <w:r w:rsidRPr="00873941">
              <w:t>Not estimable</w:t>
            </w:r>
          </w:p>
        </w:tc>
        <w:tc>
          <w:tcPr>
            <w:tcW w:w="460" w:type="pct"/>
            <w:shd w:val="clear" w:color="auto" w:fill="B8CCE4" w:themeFill="accent1" w:themeFillTint="66"/>
            <w:vAlign w:val="center"/>
          </w:tcPr>
          <w:p w14:paraId="40879E02" w14:textId="77777777" w:rsidR="00435D6D" w:rsidRPr="00873941" w:rsidRDefault="00435D6D" w:rsidP="00EF13AB">
            <w:pPr>
              <w:pStyle w:val="TableText0"/>
              <w:jc w:val="center"/>
            </w:pPr>
            <w:r w:rsidRPr="00873941">
              <w:t>0.046</w:t>
            </w:r>
          </w:p>
        </w:tc>
        <w:tc>
          <w:tcPr>
            <w:tcW w:w="780" w:type="pct"/>
            <w:shd w:val="clear" w:color="auto" w:fill="B8CCE4" w:themeFill="accent1" w:themeFillTint="66"/>
            <w:vAlign w:val="center"/>
          </w:tcPr>
          <w:p w14:paraId="2DC5981B" w14:textId="77777777" w:rsidR="00435D6D" w:rsidRPr="00873941" w:rsidRDefault="00435D6D" w:rsidP="00EF13AB">
            <w:pPr>
              <w:pStyle w:val="TableText0"/>
              <w:jc w:val="center"/>
            </w:pPr>
            <w:r w:rsidRPr="00873941">
              <w:t>0.54 (0.29, 1.00)</w:t>
            </w:r>
          </w:p>
        </w:tc>
      </w:tr>
      <w:tr w:rsidR="00435D6D" w:rsidRPr="00873941" w14:paraId="344581A9" w14:textId="77777777" w:rsidTr="00EF13AB">
        <w:tc>
          <w:tcPr>
            <w:tcW w:w="5000" w:type="pct"/>
            <w:gridSpan w:val="8"/>
            <w:vAlign w:val="center"/>
          </w:tcPr>
          <w:p w14:paraId="2A41AAE3" w14:textId="77777777" w:rsidR="00435D6D" w:rsidRPr="00873941" w:rsidRDefault="00435D6D" w:rsidP="00EF13AB">
            <w:pPr>
              <w:pStyle w:val="In-tableHeading"/>
              <w:rPr>
                <w:lang w:val="en-AU"/>
              </w:rPr>
            </w:pPr>
            <w:r w:rsidRPr="00873941">
              <w:rPr>
                <w:lang w:val="en-AU"/>
              </w:rPr>
              <w:t>DFS</w:t>
            </w:r>
          </w:p>
        </w:tc>
      </w:tr>
      <w:tr w:rsidR="00435D6D" w:rsidRPr="00873941" w14:paraId="3CFC3C52" w14:textId="77777777" w:rsidTr="00435D6D">
        <w:tc>
          <w:tcPr>
            <w:tcW w:w="691" w:type="pct"/>
            <w:shd w:val="clear" w:color="auto" w:fill="B8CCE4" w:themeFill="accent1" w:themeFillTint="66"/>
            <w:vAlign w:val="center"/>
          </w:tcPr>
          <w:p w14:paraId="698BF6E6" w14:textId="77777777" w:rsidR="00435D6D" w:rsidRPr="00873941" w:rsidRDefault="00435D6D" w:rsidP="00EF13AB">
            <w:pPr>
              <w:pStyle w:val="TableText0"/>
            </w:pPr>
            <w:r w:rsidRPr="00873941">
              <w:t>NEOSPHERE</w:t>
            </w:r>
          </w:p>
        </w:tc>
        <w:tc>
          <w:tcPr>
            <w:tcW w:w="614" w:type="pct"/>
            <w:shd w:val="clear" w:color="auto" w:fill="B8CCE4" w:themeFill="accent1" w:themeFillTint="66"/>
            <w:vAlign w:val="center"/>
          </w:tcPr>
          <w:p w14:paraId="398BD2D6" w14:textId="77777777" w:rsidR="00435D6D" w:rsidRPr="00873941" w:rsidRDefault="00435D6D" w:rsidP="00EF13AB">
            <w:pPr>
              <w:pStyle w:val="TableText0"/>
              <w:jc w:val="center"/>
            </w:pPr>
            <w:r w:rsidRPr="00873941">
              <w:t>14/94 (14.9)</w:t>
            </w:r>
          </w:p>
        </w:tc>
        <w:tc>
          <w:tcPr>
            <w:tcW w:w="613" w:type="pct"/>
            <w:shd w:val="clear" w:color="auto" w:fill="B8CCE4" w:themeFill="accent1" w:themeFillTint="66"/>
            <w:vAlign w:val="center"/>
          </w:tcPr>
          <w:p w14:paraId="44242A31" w14:textId="77777777" w:rsidR="00435D6D" w:rsidRPr="00873941" w:rsidRDefault="00435D6D" w:rsidP="00EF13AB">
            <w:pPr>
              <w:pStyle w:val="TableText0"/>
              <w:jc w:val="center"/>
            </w:pPr>
            <w:r w:rsidRPr="00873941">
              <w:t>Not reached</w:t>
            </w:r>
          </w:p>
        </w:tc>
        <w:tc>
          <w:tcPr>
            <w:tcW w:w="536" w:type="pct"/>
            <w:shd w:val="clear" w:color="auto" w:fill="B8CCE4" w:themeFill="accent1" w:themeFillTint="66"/>
            <w:vAlign w:val="center"/>
          </w:tcPr>
          <w:p w14:paraId="3A737A75" w14:textId="77777777" w:rsidR="00435D6D" w:rsidRPr="00873941" w:rsidRDefault="00435D6D" w:rsidP="00EF13AB">
            <w:pPr>
              <w:pStyle w:val="TableText0"/>
              <w:jc w:val="center"/>
            </w:pPr>
            <w:r w:rsidRPr="00873941">
              <w:t>60/298 (20.1)</w:t>
            </w:r>
          </w:p>
        </w:tc>
        <w:tc>
          <w:tcPr>
            <w:tcW w:w="613" w:type="pct"/>
            <w:shd w:val="clear" w:color="auto" w:fill="B8CCE4" w:themeFill="accent1" w:themeFillTint="66"/>
            <w:vAlign w:val="center"/>
          </w:tcPr>
          <w:p w14:paraId="7B2DC07A" w14:textId="77777777" w:rsidR="00435D6D" w:rsidRPr="00873941" w:rsidRDefault="00435D6D" w:rsidP="00EF13AB">
            <w:pPr>
              <w:pStyle w:val="TableText0"/>
              <w:jc w:val="center"/>
            </w:pPr>
            <w:r w:rsidRPr="00873941">
              <w:t>Not reached</w:t>
            </w:r>
          </w:p>
        </w:tc>
        <w:tc>
          <w:tcPr>
            <w:tcW w:w="691" w:type="pct"/>
            <w:shd w:val="clear" w:color="auto" w:fill="B8CCE4" w:themeFill="accent1" w:themeFillTint="66"/>
            <w:vAlign w:val="center"/>
          </w:tcPr>
          <w:p w14:paraId="253E10B1" w14:textId="77777777" w:rsidR="00435D6D" w:rsidRPr="00873941" w:rsidRDefault="00435D6D" w:rsidP="00EF13AB">
            <w:pPr>
              <w:pStyle w:val="TableText0"/>
              <w:jc w:val="center"/>
            </w:pPr>
            <w:r w:rsidRPr="00873941">
              <w:t>Not estimable</w:t>
            </w:r>
          </w:p>
        </w:tc>
        <w:tc>
          <w:tcPr>
            <w:tcW w:w="460" w:type="pct"/>
            <w:shd w:val="clear" w:color="auto" w:fill="B8CCE4" w:themeFill="accent1" w:themeFillTint="66"/>
            <w:vAlign w:val="center"/>
          </w:tcPr>
          <w:p w14:paraId="59132041" w14:textId="77777777" w:rsidR="00435D6D" w:rsidRPr="00873941" w:rsidRDefault="00435D6D" w:rsidP="00EF13AB">
            <w:pPr>
              <w:pStyle w:val="TableText0"/>
              <w:jc w:val="center"/>
            </w:pPr>
            <w:r w:rsidRPr="00873941">
              <w:t>0.218</w:t>
            </w:r>
          </w:p>
        </w:tc>
        <w:tc>
          <w:tcPr>
            <w:tcW w:w="780" w:type="pct"/>
            <w:shd w:val="clear" w:color="auto" w:fill="B8CCE4" w:themeFill="accent1" w:themeFillTint="66"/>
            <w:vAlign w:val="center"/>
          </w:tcPr>
          <w:p w14:paraId="4DC9422B" w14:textId="77777777" w:rsidR="00435D6D" w:rsidRPr="00873941" w:rsidRDefault="00435D6D" w:rsidP="00EF13AB">
            <w:pPr>
              <w:pStyle w:val="TableText0"/>
              <w:jc w:val="center"/>
            </w:pPr>
            <w:r w:rsidRPr="00873941">
              <w:t>0.68 (0.36, 1.26)</w:t>
            </w:r>
          </w:p>
        </w:tc>
      </w:tr>
    </w:tbl>
    <w:p w14:paraId="33A2E151" w14:textId="77777777" w:rsidR="00435D6D" w:rsidRPr="00873941" w:rsidRDefault="00435D6D" w:rsidP="00435D6D">
      <w:pPr>
        <w:pStyle w:val="TableFigureFooter"/>
      </w:pPr>
      <w:r w:rsidRPr="00873941">
        <w:t>Source: Table 2-23, p85 of the resubmission; t_ttev2_dfs_tpcrvs_i, p166 of the NEOSPHERE CSR Feb 2015.</w:t>
      </w:r>
    </w:p>
    <w:p w14:paraId="0AAABDDD" w14:textId="77777777" w:rsidR="00435D6D" w:rsidRPr="00873941" w:rsidRDefault="00435D6D" w:rsidP="00435D6D">
      <w:pPr>
        <w:pStyle w:val="TableFigureFooter"/>
        <w:rPr>
          <w:sz w:val="20"/>
        </w:rPr>
      </w:pPr>
      <w:r w:rsidRPr="00873941">
        <w:rPr>
          <w:rFonts w:eastAsia="Calibri"/>
        </w:rPr>
        <w:t xml:space="preserve">CI=confidence interval; DFS=disease free survival; HER2=human epidermal growth factor receptor 2; n=number with event; N=total participants in group; PFS=progression free survival; </w:t>
      </w:r>
      <w:proofErr w:type="spellStart"/>
      <w:r w:rsidRPr="00873941">
        <w:rPr>
          <w:rFonts w:eastAsia="Calibri"/>
        </w:rPr>
        <w:t>P+T+Chemo</w:t>
      </w:r>
      <w:proofErr w:type="spellEnd"/>
      <w:r w:rsidRPr="00873941">
        <w:rPr>
          <w:rFonts w:eastAsia="Calibri"/>
        </w:rPr>
        <w:t xml:space="preserve">=pertuzumab + trastuzumab + chemotherapy; </w:t>
      </w:r>
      <w:proofErr w:type="spellStart"/>
      <w:r w:rsidRPr="00873941">
        <w:rPr>
          <w:rFonts w:eastAsia="Calibri"/>
        </w:rPr>
        <w:t>T+Chemo</w:t>
      </w:r>
      <w:proofErr w:type="spellEnd"/>
      <w:r w:rsidRPr="00873941">
        <w:rPr>
          <w:rFonts w:eastAsia="Calibri"/>
        </w:rPr>
        <w:t xml:space="preserve">=trastuzumab + chemotherapy; </w:t>
      </w:r>
      <w:proofErr w:type="spellStart"/>
      <w:r w:rsidRPr="00873941">
        <w:rPr>
          <w:rFonts w:eastAsia="Calibri"/>
        </w:rPr>
        <w:t>tpCR</w:t>
      </w:r>
      <w:proofErr w:type="spellEnd"/>
      <w:r w:rsidRPr="00873941">
        <w:rPr>
          <w:rFonts w:eastAsia="Calibri"/>
        </w:rPr>
        <w:t>=total pathological complete response.</w:t>
      </w:r>
    </w:p>
    <w:p w14:paraId="53428E2B" w14:textId="0085F7F0" w:rsidR="00435D6D" w:rsidRPr="00873941" w:rsidRDefault="00A14150" w:rsidP="00C06CD6">
      <w:pPr>
        <w:pStyle w:val="3-BodyText"/>
        <w:spacing w:after="240"/>
      </w:pPr>
      <w:r w:rsidRPr="00873941">
        <w:fldChar w:fldCharType="begin"/>
      </w:r>
      <w:r w:rsidRPr="00873941">
        <w:instrText xml:space="preserve"> REF _Ref187426856 \h </w:instrText>
      </w:r>
      <w:r w:rsidRPr="00873941">
        <w:fldChar w:fldCharType="separate"/>
      </w:r>
      <w:r w:rsidR="000B094B" w:rsidRPr="00873941">
        <w:t xml:space="preserve">Figure </w:t>
      </w:r>
      <w:r w:rsidR="000B094B">
        <w:rPr>
          <w:noProof/>
        </w:rPr>
        <w:t>1</w:t>
      </w:r>
      <w:r w:rsidRPr="00873941">
        <w:fldChar w:fldCharType="end"/>
      </w:r>
      <w:r w:rsidRPr="00873941">
        <w:t xml:space="preserve"> </w:t>
      </w:r>
      <w:r w:rsidR="00435D6D" w:rsidRPr="00873941">
        <w:t xml:space="preserve">presents PFS by </w:t>
      </w:r>
      <w:proofErr w:type="spellStart"/>
      <w:r w:rsidR="00435D6D" w:rsidRPr="00873941">
        <w:t>tpCR</w:t>
      </w:r>
      <w:proofErr w:type="spellEnd"/>
      <w:r w:rsidR="00435D6D" w:rsidRPr="00873941">
        <w:t xml:space="preserve"> status (achieved vs not achieved) in the NEOSPHERE trial. The NEOSPHERE CSR did not include a Kaplan Meier figure for DFS by </w:t>
      </w:r>
      <w:proofErr w:type="spellStart"/>
      <w:r w:rsidR="00435D6D" w:rsidRPr="00873941">
        <w:t>tpCR</w:t>
      </w:r>
      <w:proofErr w:type="spellEnd"/>
      <w:r w:rsidR="00435D6D" w:rsidRPr="00873941">
        <w:t xml:space="preserve"> status.</w:t>
      </w:r>
    </w:p>
    <w:p w14:paraId="39B5B336" w14:textId="64DDA2E7" w:rsidR="00A14150" w:rsidRPr="00873941" w:rsidRDefault="00A14150" w:rsidP="00A14150">
      <w:pPr>
        <w:pStyle w:val="Caption"/>
      </w:pPr>
      <w:bookmarkStart w:id="49" w:name="_Ref187426856"/>
      <w:r w:rsidRPr="00873941">
        <w:t xml:space="preserve">Figure </w:t>
      </w:r>
      <w:r w:rsidR="00AC6442">
        <w:fldChar w:fldCharType="begin"/>
      </w:r>
      <w:r w:rsidR="00AC6442">
        <w:instrText xml:space="preserve"> SEQ Figure \* ARABIC </w:instrText>
      </w:r>
      <w:r w:rsidR="00AC6442">
        <w:fldChar w:fldCharType="separate"/>
      </w:r>
      <w:r w:rsidR="000B094B">
        <w:rPr>
          <w:noProof/>
        </w:rPr>
        <w:t>1</w:t>
      </w:r>
      <w:r w:rsidR="00AC6442">
        <w:fldChar w:fldCharType="end"/>
      </w:r>
      <w:bookmarkEnd w:id="49"/>
      <w:r w:rsidRPr="00873941">
        <w:t xml:space="preserve">: Progression free survival by </w:t>
      </w:r>
      <w:proofErr w:type="spellStart"/>
      <w:r w:rsidRPr="00873941">
        <w:t>tpCR</w:t>
      </w:r>
      <w:proofErr w:type="spellEnd"/>
      <w:r w:rsidRPr="00873941">
        <w:t xml:space="preserve"> status in the NEOSPHERE trial</w:t>
      </w:r>
    </w:p>
    <w:p w14:paraId="0F501DEE" w14:textId="77777777" w:rsidR="00435D6D" w:rsidRPr="00873941" w:rsidRDefault="00435D6D" w:rsidP="00435D6D">
      <w:pPr>
        <w:pStyle w:val="3-BodyText"/>
        <w:numPr>
          <w:ilvl w:val="0"/>
          <w:numId w:val="0"/>
        </w:numPr>
        <w:ind w:left="720" w:hanging="720"/>
      </w:pPr>
      <w:r w:rsidRPr="00873941">
        <w:rPr>
          <w:noProof/>
        </w:rPr>
        <w:drawing>
          <wp:inline distT="0" distB="0" distL="0" distR="0" wp14:anchorId="3FA25F7C" wp14:editId="668114E0">
            <wp:extent cx="5392824" cy="3590925"/>
            <wp:effectExtent l="0" t="0" r="0" b="0"/>
            <wp:docPr id="201058593" name="Picture 201058593" descr="Figure 1: Progression free survival by tpCR status in the NEOSPHERE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58593" name="Picture 201058593" descr="Figure 1: Progression free survival by tpCR status in the NEOSPHERE trial"/>
                    <pic:cNvPicPr/>
                  </pic:nvPicPr>
                  <pic:blipFill>
                    <a:blip r:embed="rId11">
                      <a:extLst>
                        <a:ext uri="{28A0092B-C50C-407E-A947-70E740481C1C}">
                          <a14:useLocalDpi xmlns:a14="http://schemas.microsoft.com/office/drawing/2010/main" val="0"/>
                        </a:ext>
                      </a:extLst>
                    </a:blip>
                    <a:stretch>
                      <a:fillRect/>
                    </a:stretch>
                  </pic:blipFill>
                  <pic:spPr>
                    <a:xfrm>
                      <a:off x="0" y="0"/>
                      <a:ext cx="5431360" cy="3616585"/>
                    </a:xfrm>
                    <a:prstGeom prst="rect">
                      <a:avLst/>
                    </a:prstGeom>
                  </pic:spPr>
                </pic:pic>
              </a:graphicData>
            </a:graphic>
          </wp:inline>
        </w:drawing>
      </w:r>
    </w:p>
    <w:p w14:paraId="0F98E178" w14:textId="77777777" w:rsidR="00435D6D" w:rsidRPr="00873941" w:rsidRDefault="00435D6D" w:rsidP="00435D6D">
      <w:pPr>
        <w:pStyle w:val="TableFigureFooter"/>
      </w:pPr>
      <w:r w:rsidRPr="00873941">
        <w:t>Source: Figure 2-7, p86 of the resubmission.</w:t>
      </w:r>
    </w:p>
    <w:p w14:paraId="770E804C" w14:textId="77777777" w:rsidR="00435D6D" w:rsidRPr="00873941" w:rsidRDefault="00435D6D" w:rsidP="00435D6D">
      <w:pPr>
        <w:pStyle w:val="TableFigureFooter"/>
      </w:pPr>
      <w:r w:rsidRPr="00873941">
        <w:t>CI=confidence interval; H=trastuzumab; ITT=intent to treat; P=pertuzumab; PFS=progression-free survival; T=docetaxel</w:t>
      </w:r>
    </w:p>
    <w:p w14:paraId="4962702E" w14:textId="30F5D28E" w:rsidR="00A14150" w:rsidRPr="00873941" w:rsidRDefault="00435D6D" w:rsidP="00435D6D">
      <w:pPr>
        <w:pStyle w:val="3-BodyText"/>
        <w:rPr>
          <w:i/>
          <w:iCs/>
        </w:rPr>
      </w:pPr>
      <w:r w:rsidRPr="00873941">
        <w:t xml:space="preserve">Swain (2022) </w:t>
      </w:r>
      <w:r w:rsidR="00A14150" w:rsidRPr="00873941">
        <w:t>found that participants with pCR had decreased risk of an EFS event versus those with residual disease (HR: 0.35, 95% CI: 0.27-0.4</w:t>
      </w:r>
      <w:r w:rsidR="000D67D3" w:rsidRPr="00873941">
        <w:t>6</w:t>
      </w:r>
      <w:r w:rsidR="00A14150" w:rsidRPr="00873941">
        <w:t>)</w:t>
      </w:r>
      <w:r w:rsidRPr="00873941">
        <w:t xml:space="preserve">. Swain 2022 defined pCR as the absence of residual invasive cancer in the resected breast specimen and in </w:t>
      </w:r>
      <w:r w:rsidRPr="00873941">
        <w:lastRenderedPageBreak/>
        <w:t xml:space="preserve">the axillary lymph nodes (ypT0/Tis ypN0) after neoadjuvant systemic therapy (i.e., </w:t>
      </w:r>
      <w:proofErr w:type="spellStart"/>
      <w:r w:rsidRPr="00873941">
        <w:t>tpCR</w:t>
      </w:r>
      <w:proofErr w:type="spellEnd"/>
      <w:r w:rsidRPr="00873941">
        <w:t xml:space="preserve">). </w:t>
      </w:r>
    </w:p>
    <w:p w14:paraId="025CDD4C" w14:textId="48180219" w:rsidR="00435D6D" w:rsidRPr="00873941" w:rsidRDefault="00435D6D" w:rsidP="00782E48">
      <w:pPr>
        <w:pStyle w:val="3-BodyText"/>
        <w:spacing w:after="240"/>
        <w:rPr>
          <w:i/>
          <w:iCs/>
        </w:rPr>
      </w:pPr>
      <w:r w:rsidRPr="00873941">
        <w:fldChar w:fldCharType="begin"/>
      </w:r>
      <w:r w:rsidRPr="00873941">
        <w:instrText xml:space="preserve"> REF _Ref187424062 \h </w:instrText>
      </w:r>
      <w:r w:rsidRPr="00873941">
        <w:fldChar w:fldCharType="separate"/>
      </w:r>
      <w:r w:rsidR="000B094B" w:rsidRPr="00873941">
        <w:t xml:space="preserve">Figure </w:t>
      </w:r>
      <w:r w:rsidR="000B094B">
        <w:rPr>
          <w:noProof/>
        </w:rPr>
        <w:t>2</w:t>
      </w:r>
      <w:r w:rsidRPr="00873941">
        <w:fldChar w:fldCharType="end"/>
      </w:r>
      <w:r w:rsidRPr="00873941">
        <w:t xml:space="preserve"> shows EFS for participants included from the 5 RCTs</w:t>
      </w:r>
      <w:r w:rsidR="00117574" w:rsidRPr="00873941">
        <w:t xml:space="preserve"> in Swain (2022)</w:t>
      </w:r>
      <w:r w:rsidRPr="00873941">
        <w:t xml:space="preserve"> based on pCR status. Similar results were observed for subgroup analyses based on disease stage (II or III), lymph node status (positive or negative), hormone receptor status (positive or negative), or HER2 treatment types (neoadjuvant and adjuvant trastuzumab, neoadjuvant pertuzumab and adjuvant trastuzumab, or neoadjuvant and adjuvant pertuzumab).</w:t>
      </w:r>
      <w:r w:rsidR="00070B49" w:rsidRPr="00873941">
        <w:rPr>
          <w:rStyle w:val="FootnoteReference"/>
        </w:rPr>
        <w:footnoteReference w:id="12"/>
      </w:r>
      <w:r w:rsidRPr="00873941">
        <w:t xml:space="preserve"> Swain (2022) stated that the number of overall survival events was too low to perform a robust analysis of that outcome.</w:t>
      </w:r>
    </w:p>
    <w:p w14:paraId="1F2F46E5" w14:textId="299F1765" w:rsidR="00435D6D" w:rsidRPr="00873941" w:rsidRDefault="00435D6D" w:rsidP="00435D6D">
      <w:pPr>
        <w:pStyle w:val="TableFigureHeading"/>
      </w:pPr>
      <w:bookmarkStart w:id="50" w:name="_Ref187424062"/>
      <w:r w:rsidRPr="00873941">
        <w:t xml:space="preserve">Figure </w:t>
      </w:r>
      <w:r w:rsidR="00AC6442">
        <w:fldChar w:fldCharType="begin"/>
      </w:r>
      <w:r w:rsidR="00AC6442">
        <w:instrText xml:space="preserve"> SEQ Figure \* ARABIC </w:instrText>
      </w:r>
      <w:r w:rsidR="00AC6442">
        <w:fldChar w:fldCharType="separate"/>
      </w:r>
      <w:r w:rsidR="000B094B">
        <w:rPr>
          <w:noProof/>
        </w:rPr>
        <w:t>2</w:t>
      </w:r>
      <w:r w:rsidR="00AC6442">
        <w:fldChar w:fldCharType="end"/>
      </w:r>
      <w:bookmarkEnd w:id="50"/>
      <w:r w:rsidRPr="00873941">
        <w:t>: Event-free survival in patients with pCR after neoadjuvant systemic HER2-targeted therapy</w:t>
      </w:r>
    </w:p>
    <w:p w14:paraId="73BF75F6" w14:textId="77777777" w:rsidR="00435D6D" w:rsidRPr="00873941" w:rsidRDefault="00435D6D" w:rsidP="00435D6D">
      <w:pPr>
        <w:pStyle w:val="3-BodyText"/>
        <w:numPr>
          <w:ilvl w:val="0"/>
          <w:numId w:val="0"/>
        </w:numPr>
        <w:ind w:left="720" w:hanging="720"/>
      </w:pPr>
      <w:r w:rsidRPr="00873941">
        <w:rPr>
          <w:noProof/>
        </w:rPr>
        <w:drawing>
          <wp:inline distT="0" distB="0" distL="0" distR="0" wp14:anchorId="4294999A" wp14:editId="7A32E666">
            <wp:extent cx="4782217" cy="3801005"/>
            <wp:effectExtent l="0" t="0" r="0" b="9525"/>
            <wp:docPr id="792282664" name="Picture 1" descr="Figure 2: Event-free survival in patients with pCR after neoadjuvant systemic HER2-targeted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82664" name="Picture 1" descr="Figure 2: Event-free survival in patients with pCR after neoadjuvant systemic HER2-targeted therapy"/>
                    <pic:cNvPicPr/>
                  </pic:nvPicPr>
                  <pic:blipFill>
                    <a:blip r:embed="rId12"/>
                    <a:stretch>
                      <a:fillRect/>
                    </a:stretch>
                  </pic:blipFill>
                  <pic:spPr>
                    <a:xfrm>
                      <a:off x="0" y="0"/>
                      <a:ext cx="4782217" cy="3801005"/>
                    </a:xfrm>
                    <a:prstGeom prst="rect">
                      <a:avLst/>
                    </a:prstGeom>
                  </pic:spPr>
                </pic:pic>
              </a:graphicData>
            </a:graphic>
          </wp:inline>
        </w:drawing>
      </w:r>
      <w:r w:rsidRPr="00873941">
        <w:t xml:space="preserve"> </w:t>
      </w:r>
    </w:p>
    <w:p w14:paraId="131D561B" w14:textId="77777777" w:rsidR="00435D6D" w:rsidRPr="00873941" w:rsidRDefault="00435D6D" w:rsidP="00435D6D">
      <w:pPr>
        <w:pStyle w:val="TableFigureFooter"/>
      </w:pPr>
      <w:r w:rsidRPr="00873941">
        <w:t>Source: Figure 1A, Swain 2022.</w:t>
      </w:r>
    </w:p>
    <w:p w14:paraId="52C7CE0E" w14:textId="677D0779" w:rsidR="00401E9C" w:rsidRPr="00873941" w:rsidRDefault="00435D6D" w:rsidP="00435D6D">
      <w:pPr>
        <w:pStyle w:val="TableFigureFooter"/>
      </w:pPr>
      <w:r w:rsidRPr="00873941">
        <w:t>HER2=Human Epidermal Growth Factor Receptor 2; HR=hazard ratio; pCR= pathological complete response; RD=residual disease.</w:t>
      </w:r>
    </w:p>
    <w:p w14:paraId="04929F7A" w14:textId="77777777" w:rsidR="00DF55F2" w:rsidRDefault="00DF55F2" w:rsidP="00530893">
      <w:pPr>
        <w:pStyle w:val="3-BodyText"/>
        <w:numPr>
          <w:ilvl w:val="0"/>
          <w:numId w:val="0"/>
        </w:numPr>
        <w:ind w:left="720"/>
      </w:pPr>
      <w:bookmarkStart w:id="51" w:name="_Toc188444272"/>
    </w:p>
    <w:p w14:paraId="5E2BDE91" w14:textId="142FB07E" w:rsidR="00902B89" w:rsidRPr="00873941" w:rsidRDefault="00DB4B3E" w:rsidP="0088158A">
      <w:pPr>
        <w:pStyle w:val="5-SubsectionSubheading"/>
      </w:pPr>
      <w:r w:rsidRPr="00873941">
        <w:t>Observational studies</w:t>
      </w:r>
      <w:bookmarkEnd w:id="51"/>
    </w:p>
    <w:p w14:paraId="61E0C602" w14:textId="08E9AA85" w:rsidR="00247925" w:rsidRPr="00873941" w:rsidRDefault="0040384E" w:rsidP="00EC5836">
      <w:pPr>
        <w:pStyle w:val="3-BodyText"/>
      </w:pPr>
      <w:r w:rsidRPr="00873941">
        <w:fldChar w:fldCharType="begin"/>
      </w:r>
      <w:r w:rsidRPr="00873941">
        <w:instrText xml:space="preserve"> REF _Ref187424447 \h </w:instrText>
      </w:r>
      <w:r w:rsidRPr="00873941">
        <w:fldChar w:fldCharType="separate"/>
      </w:r>
      <w:r w:rsidR="000B094B" w:rsidRPr="00873941">
        <w:t xml:space="preserve">Figure </w:t>
      </w:r>
      <w:r w:rsidR="000B094B">
        <w:rPr>
          <w:noProof/>
        </w:rPr>
        <w:t>3</w:t>
      </w:r>
      <w:r w:rsidRPr="00873941">
        <w:fldChar w:fldCharType="end"/>
      </w:r>
      <w:r w:rsidR="00401E9C" w:rsidRPr="00873941">
        <w:t xml:space="preserve"> </w:t>
      </w:r>
      <w:r w:rsidR="00C37544" w:rsidRPr="00873941">
        <w:t>presents the response rates (</w:t>
      </w:r>
      <w:proofErr w:type="spellStart"/>
      <w:r w:rsidR="00C37544" w:rsidRPr="00873941">
        <w:t>tpCR</w:t>
      </w:r>
      <w:proofErr w:type="spellEnd"/>
      <w:r w:rsidR="00C37544" w:rsidRPr="00873941">
        <w:t xml:space="preserve">) from the </w:t>
      </w:r>
      <w:r w:rsidR="00BB321C" w:rsidRPr="00873941">
        <w:t xml:space="preserve">I-SPY RCT and 14 </w:t>
      </w:r>
      <w:r w:rsidR="00C37544" w:rsidRPr="00873941">
        <w:t xml:space="preserve">comparative studies of </w:t>
      </w:r>
      <w:proofErr w:type="spellStart"/>
      <w:r w:rsidR="00C37544" w:rsidRPr="00873941">
        <w:t>P+T+Chemo</w:t>
      </w:r>
      <w:proofErr w:type="spellEnd"/>
      <w:r w:rsidR="00C37544" w:rsidRPr="00873941">
        <w:t xml:space="preserve"> vs </w:t>
      </w:r>
      <w:proofErr w:type="spellStart"/>
      <w:r w:rsidR="00C37544" w:rsidRPr="00873941">
        <w:t>T+Chemo</w:t>
      </w:r>
      <w:proofErr w:type="spellEnd"/>
      <w:r w:rsidR="00C37544" w:rsidRPr="00873941">
        <w:t xml:space="preserve"> (including anthracyclines).</w:t>
      </w:r>
      <w:r w:rsidR="00401E9C" w:rsidRPr="00873941">
        <w:t xml:space="preserve"> Out of 2,742 </w:t>
      </w:r>
      <w:r w:rsidR="00401E9C" w:rsidRPr="00873941">
        <w:lastRenderedPageBreak/>
        <w:t xml:space="preserve">participants receiving neoadjuvant </w:t>
      </w:r>
      <w:proofErr w:type="spellStart"/>
      <w:r w:rsidR="00401E9C" w:rsidRPr="00873941">
        <w:t>P+T+Chemo</w:t>
      </w:r>
      <w:proofErr w:type="spellEnd"/>
      <w:r w:rsidR="00401E9C" w:rsidRPr="00873941">
        <w:t>,</w:t>
      </w:r>
      <w:r w:rsidR="00BB321C" w:rsidRPr="00873941">
        <w:t xml:space="preserve"> </w:t>
      </w:r>
      <w:r w:rsidR="00401E9C" w:rsidRPr="00873941">
        <w:t xml:space="preserve">1,622 (59.2%) achieved </w:t>
      </w:r>
      <w:proofErr w:type="spellStart"/>
      <w:r w:rsidR="00401E9C" w:rsidRPr="00873941">
        <w:t>tpCR</w:t>
      </w:r>
      <w:proofErr w:type="spellEnd"/>
      <w:r w:rsidR="00401E9C" w:rsidRPr="00873941">
        <w:t xml:space="preserve">, compared with 1,806/4,218 (41.8%) of participants receiving neoadjuvant </w:t>
      </w:r>
      <w:proofErr w:type="spellStart"/>
      <w:r w:rsidR="00401E9C" w:rsidRPr="00873941">
        <w:t>T+Chemo</w:t>
      </w:r>
      <w:proofErr w:type="spellEnd"/>
      <w:r w:rsidR="00401E9C" w:rsidRPr="00873941">
        <w:t>.</w:t>
      </w:r>
    </w:p>
    <w:p w14:paraId="09C0CDBE" w14:textId="77777777" w:rsidR="00F95DDC" w:rsidRPr="00873941" w:rsidRDefault="00F95DDC" w:rsidP="00F95DDC">
      <w:pPr>
        <w:pStyle w:val="3-BodyText"/>
        <w:numPr>
          <w:ilvl w:val="0"/>
          <w:numId w:val="0"/>
        </w:numPr>
        <w:ind w:left="720"/>
      </w:pPr>
    </w:p>
    <w:p w14:paraId="2B1B1B85" w14:textId="2E1A20C1" w:rsidR="0040384E" w:rsidRPr="00873941" w:rsidRDefault="0040384E" w:rsidP="0040384E">
      <w:pPr>
        <w:pStyle w:val="Caption"/>
      </w:pPr>
      <w:bookmarkStart w:id="52" w:name="_Ref187424447"/>
      <w:bookmarkStart w:id="53" w:name="_Hlk185286566"/>
      <w:r w:rsidRPr="00873941">
        <w:t xml:space="preserve">Figure </w:t>
      </w:r>
      <w:r w:rsidR="00AC6442">
        <w:fldChar w:fldCharType="begin"/>
      </w:r>
      <w:r w:rsidR="00AC6442">
        <w:instrText xml:space="preserve"> SEQ Figure \* ARABIC </w:instrText>
      </w:r>
      <w:r w:rsidR="00AC6442">
        <w:fldChar w:fldCharType="separate"/>
      </w:r>
      <w:r w:rsidR="000B094B">
        <w:rPr>
          <w:noProof/>
        </w:rPr>
        <w:t>3</w:t>
      </w:r>
      <w:r w:rsidR="00AC6442">
        <w:fldChar w:fldCharType="end"/>
      </w:r>
      <w:bookmarkEnd w:id="52"/>
      <w:r w:rsidRPr="00873941">
        <w:t xml:space="preserve">: Forest plot of </w:t>
      </w:r>
      <w:proofErr w:type="spellStart"/>
      <w:r w:rsidRPr="00873941">
        <w:t>tpCR</w:t>
      </w:r>
      <w:proofErr w:type="spellEnd"/>
      <w:r w:rsidRPr="00873941">
        <w:t xml:space="preserve"> rates from the comparative studies of </w:t>
      </w:r>
      <w:proofErr w:type="spellStart"/>
      <w:r w:rsidRPr="00873941">
        <w:t>P+H+Chemo</w:t>
      </w:r>
      <w:proofErr w:type="spellEnd"/>
      <w:r w:rsidRPr="00873941">
        <w:t xml:space="preserve"> vs </w:t>
      </w:r>
      <w:proofErr w:type="spellStart"/>
      <w:r w:rsidRPr="00873941">
        <w:t>H+Chemo</w:t>
      </w:r>
      <w:proofErr w:type="spellEnd"/>
      <w:r w:rsidRPr="00873941">
        <w:t xml:space="preserve"> (including anthracyclines)</w:t>
      </w:r>
    </w:p>
    <w:p w14:paraId="7F3F2536" w14:textId="77777777" w:rsidR="0040384E" w:rsidRPr="00873941" w:rsidRDefault="0040384E" w:rsidP="0040384E">
      <w:r w:rsidRPr="00873941">
        <w:rPr>
          <w:noProof/>
        </w:rPr>
        <w:drawing>
          <wp:inline distT="0" distB="0" distL="0" distR="0" wp14:anchorId="18945658" wp14:editId="1EAE787A">
            <wp:extent cx="5696338" cy="2000250"/>
            <wp:effectExtent l="0" t="0" r="0" b="0"/>
            <wp:docPr id="494899796" name="Picture 1" descr="Figure 3: Forest plot of tpCR rates from the comparative studies of P+H+Chemo vs H+Chemo (including anthracyc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899796" name="Picture 1" descr="Figure 3: Forest plot of tpCR rates from the comparative studies of P+H+Chemo vs H+Chemo (including anthracyclines)"/>
                    <pic:cNvPicPr/>
                  </pic:nvPicPr>
                  <pic:blipFill>
                    <a:blip r:embed="rId13"/>
                    <a:stretch>
                      <a:fillRect/>
                    </a:stretch>
                  </pic:blipFill>
                  <pic:spPr>
                    <a:xfrm>
                      <a:off x="0" y="0"/>
                      <a:ext cx="5698253" cy="2000922"/>
                    </a:xfrm>
                    <a:prstGeom prst="rect">
                      <a:avLst/>
                    </a:prstGeom>
                  </pic:spPr>
                </pic:pic>
              </a:graphicData>
            </a:graphic>
          </wp:inline>
        </w:drawing>
      </w:r>
    </w:p>
    <w:p w14:paraId="34839363" w14:textId="77777777" w:rsidR="0040384E" w:rsidRPr="00873941" w:rsidRDefault="0040384E" w:rsidP="0040384E">
      <w:pPr>
        <w:pStyle w:val="TableFigureFooter"/>
      </w:pPr>
      <w:r w:rsidRPr="00873941">
        <w:t>Source: Figure 2-10, p133 of the resubmission.</w:t>
      </w:r>
    </w:p>
    <w:p w14:paraId="36B9FFBA" w14:textId="77777777" w:rsidR="0040384E" w:rsidRPr="00873941" w:rsidRDefault="0040384E" w:rsidP="0040384E">
      <w:pPr>
        <w:pStyle w:val="TableFigureFooter"/>
      </w:pPr>
      <w:r w:rsidRPr="00873941">
        <w:t>CI=confidence interval; M-H=Mantel-Haenszel.</w:t>
      </w:r>
    </w:p>
    <w:bookmarkEnd w:id="53"/>
    <w:p w14:paraId="71F5160A" w14:textId="025EFB71" w:rsidR="00A85E70" w:rsidRPr="00873941" w:rsidRDefault="00DC36C7" w:rsidP="00DC36C7">
      <w:pPr>
        <w:pStyle w:val="3-BodyText"/>
      </w:pPr>
      <w:r w:rsidRPr="00873941">
        <w:t xml:space="preserve">The </w:t>
      </w:r>
      <w:r w:rsidR="00A85E70" w:rsidRPr="00873941">
        <w:t xml:space="preserve">random </w:t>
      </w:r>
      <w:r w:rsidR="002A2B70" w:rsidRPr="00873941">
        <w:t>effects</w:t>
      </w:r>
      <w:r w:rsidRPr="00873941">
        <w:t xml:space="preserve"> meta-analysis of pCR rates from the 15 studies resulted in a weighted proportion of responders in the </w:t>
      </w:r>
      <w:proofErr w:type="spellStart"/>
      <w:r w:rsidRPr="00873941">
        <w:t>P+T+Chemo</w:t>
      </w:r>
      <w:proofErr w:type="spellEnd"/>
      <w:r w:rsidRPr="00873941">
        <w:t xml:space="preserve"> and </w:t>
      </w:r>
      <w:proofErr w:type="spellStart"/>
      <w:r w:rsidRPr="00873941">
        <w:t>T+Chemo</w:t>
      </w:r>
      <w:proofErr w:type="spellEnd"/>
      <w:r w:rsidRPr="00873941">
        <w:t xml:space="preserve"> arms of 59.2% and 41.8%, respectively.</w:t>
      </w:r>
      <w:r w:rsidR="00A85E70" w:rsidRPr="00873941">
        <w:t xml:space="preserve"> The test for heterogeneity found no significant difference across the trials (P=0.12).</w:t>
      </w:r>
    </w:p>
    <w:p w14:paraId="1E6A3FCC" w14:textId="6A255D1F" w:rsidR="008D4571" w:rsidRPr="00A859A4" w:rsidRDefault="00DC36C7" w:rsidP="00EF13AB">
      <w:pPr>
        <w:pStyle w:val="3-BodyText"/>
        <w:rPr>
          <w:i/>
          <w:iCs/>
        </w:rPr>
      </w:pPr>
      <w:r w:rsidRPr="00873941">
        <w:t xml:space="preserve">The difference between </w:t>
      </w:r>
      <w:proofErr w:type="spellStart"/>
      <w:r w:rsidRPr="00873941">
        <w:t>P+T+Chemo</w:t>
      </w:r>
      <w:proofErr w:type="spellEnd"/>
      <w:r w:rsidRPr="00873941">
        <w:t xml:space="preserve"> vs </w:t>
      </w:r>
      <w:proofErr w:type="spellStart"/>
      <w:r w:rsidRPr="00873941">
        <w:t>T+Chemo</w:t>
      </w:r>
      <w:proofErr w:type="spellEnd"/>
      <w:r w:rsidRPr="00873941">
        <w:t xml:space="preserve"> among the observational studies involving a range of chemotherapies was similar to that in the NEOSPHERE and PEONY trials where docetaxel was administered</w:t>
      </w:r>
      <w:r w:rsidRPr="00B66841">
        <w:t xml:space="preserve">. </w:t>
      </w:r>
      <w:r w:rsidR="008D4571" w:rsidRPr="00B66841">
        <w:t xml:space="preserve">The ESC </w:t>
      </w:r>
      <w:r w:rsidR="00173360" w:rsidRPr="00B66841">
        <w:t xml:space="preserve">noted the limitations of the observational </w:t>
      </w:r>
      <w:r w:rsidR="00C359AF" w:rsidRPr="00B66841">
        <w:t>studies</w:t>
      </w:r>
      <w:r w:rsidR="00703A99" w:rsidRPr="00B66841">
        <w:t xml:space="preserve"> but</w:t>
      </w:r>
      <w:r w:rsidR="00173360" w:rsidRPr="00B66841">
        <w:t xml:space="preserve"> </w:t>
      </w:r>
      <w:r w:rsidR="008D4571" w:rsidRPr="00B66841">
        <w:t xml:space="preserve">considered the additional data presented helped to address the PBAC’s previous concern </w:t>
      </w:r>
      <w:r w:rsidR="00316820" w:rsidRPr="00B66841">
        <w:t>regarding the effectiveness of pertuzumab when used with anthracyclines.</w:t>
      </w:r>
    </w:p>
    <w:p w14:paraId="75BA3D4B" w14:textId="5FF16C89" w:rsidR="00A859A4" w:rsidRPr="00873941" w:rsidRDefault="00A859A4" w:rsidP="00A859A4">
      <w:pPr>
        <w:pStyle w:val="5-SubsectionSubheading"/>
      </w:pPr>
      <w:r>
        <w:t>Adjuvant</w:t>
      </w:r>
      <w:r w:rsidR="009404B9">
        <w:t xml:space="preserve"> pertuzumab</w:t>
      </w:r>
    </w:p>
    <w:p w14:paraId="663AF73A" w14:textId="2B073323" w:rsidR="00677538" w:rsidRPr="00677538" w:rsidRDefault="009404B9" w:rsidP="009404B9">
      <w:pPr>
        <w:pStyle w:val="3-BodyText"/>
        <w:rPr>
          <w:lang w:val="en-GB"/>
        </w:rPr>
      </w:pPr>
      <w:r>
        <w:rPr>
          <w:lang w:val="en-GB"/>
        </w:rPr>
        <w:t xml:space="preserve">The submission did not provide evidence for use of pertuzumab as adjuvant treatment as the submission request was for neoadjuvant treatment only. However, the PBAC </w:t>
      </w:r>
      <w:r w:rsidR="005E340B">
        <w:rPr>
          <w:lang w:val="en-GB"/>
        </w:rPr>
        <w:t>has</w:t>
      </w:r>
      <w:r>
        <w:rPr>
          <w:lang w:val="en-GB"/>
        </w:rPr>
        <w:t xml:space="preserve"> previously considered evidence from the APHINITY trial, an RCT comparing </w:t>
      </w:r>
      <w:proofErr w:type="spellStart"/>
      <w:r>
        <w:rPr>
          <w:lang w:val="en-GB"/>
        </w:rPr>
        <w:t>P+T+Chemo</w:t>
      </w:r>
      <w:proofErr w:type="spellEnd"/>
      <w:r>
        <w:rPr>
          <w:lang w:val="en-GB"/>
        </w:rPr>
        <w:t xml:space="preserve"> vs </w:t>
      </w:r>
      <w:proofErr w:type="spellStart"/>
      <w:r>
        <w:rPr>
          <w:lang w:val="en-GB"/>
        </w:rPr>
        <w:t>T+Chemo</w:t>
      </w:r>
      <w:proofErr w:type="spellEnd"/>
      <w:r>
        <w:rPr>
          <w:lang w:val="en-GB"/>
        </w:rPr>
        <w:t xml:space="preserve">, which showed </w:t>
      </w:r>
      <w:r>
        <w:rPr>
          <w:rFonts w:cs="Calibri"/>
          <w:szCs w:val="24"/>
        </w:rPr>
        <w:t xml:space="preserve">the </w:t>
      </w:r>
      <w:proofErr w:type="spellStart"/>
      <w:r>
        <w:rPr>
          <w:rFonts w:cs="Calibri"/>
          <w:szCs w:val="24"/>
        </w:rPr>
        <w:t>iDFS</w:t>
      </w:r>
      <w:proofErr w:type="spellEnd"/>
      <w:r>
        <w:rPr>
          <w:rFonts w:cs="Calibri"/>
          <w:szCs w:val="24"/>
        </w:rPr>
        <w:t xml:space="preserve"> event-free rates for node-positive patients were 89.88% vs. 86.68% at 4 years (difference of 3.2%), for </w:t>
      </w:r>
      <w:proofErr w:type="spellStart"/>
      <w:r>
        <w:rPr>
          <w:rFonts w:cs="Calibri"/>
          <w:szCs w:val="24"/>
        </w:rPr>
        <w:t>Ptz+T+Chemo</w:t>
      </w:r>
      <w:proofErr w:type="spellEnd"/>
      <w:r>
        <w:rPr>
          <w:rFonts w:cs="Calibri"/>
          <w:szCs w:val="24"/>
        </w:rPr>
        <w:t xml:space="preserve"> versus </w:t>
      </w:r>
      <w:proofErr w:type="spellStart"/>
      <w:r>
        <w:rPr>
          <w:rFonts w:cs="Calibri"/>
          <w:szCs w:val="24"/>
        </w:rPr>
        <w:t>T+Chemo</w:t>
      </w:r>
      <w:proofErr w:type="spellEnd"/>
      <w:r>
        <w:rPr>
          <w:rFonts w:cs="Calibri"/>
          <w:szCs w:val="24"/>
        </w:rPr>
        <w:t>, respectively.</w:t>
      </w:r>
      <w:r>
        <w:rPr>
          <w:lang w:val="en-GB"/>
        </w:rPr>
        <w:t xml:space="preserve"> </w:t>
      </w:r>
      <w:r w:rsidR="005E340B">
        <w:rPr>
          <w:lang w:val="en-GB"/>
        </w:rPr>
        <w:t>U</w:t>
      </w:r>
      <w:proofErr w:type="spellStart"/>
      <w:r>
        <w:t>pdated</w:t>
      </w:r>
      <w:proofErr w:type="spellEnd"/>
      <w:r>
        <w:t xml:space="preserve"> results of 8-year </w:t>
      </w:r>
      <w:proofErr w:type="spellStart"/>
      <w:r>
        <w:t>iDFS</w:t>
      </w:r>
      <w:proofErr w:type="spellEnd"/>
      <w:r>
        <w:t xml:space="preserve"> in the node-positive cohort showed an absolute improvement of 4.9% favouring pertuzumab (86.1% vs. 81.2%; HR</w:t>
      </w:r>
      <w:r w:rsidR="00EB4FBD">
        <w:t>:</w:t>
      </w:r>
      <w:r>
        <w:t xml:space="preserve"> 0.72</w:t>
      </w:r>
      <w:r w:rsidR="008A7CAE">
        <w:t>,</w:t>
      </w:r>
      <w:r>
        <w:t>95% CI</w:t>
      </w:r>
      <w:r w:rsidR="003A0A73">
        <w:t>:</w:t>
      </w:r>
      <w:r>
        <w:t xml:space="preserve"> 0.60</w:t>
      </w:r>
      <w:r w:rsidR="008A7CAE">
        <w:t>-</w:t>
      </w:r>
      <w:r>
        <w:t>0.87])</w:t>
      </w:r>
      <w:r w:rsidR="005E340B">
        <w:rPr>
          <w:rStyle w:val="FootnoteReference"/>
        </w:rPr>
        <w:footnoteReference w:id="13"/>
      </w:r>
      <w:r>
        <w:t xml:space="preserve">. The APHINITY trial did not include patients </w:t>
      </w:r>
      <w:r w:rsidR="00B0043D">
        <w:t xml:space="preserve">previously </w:t>
      </w:r>
      <w:r>
        <w:t xml:space="preserve">treated in the neoadjuvant setting, and therefore the outcomes </w:t>
      </w:r>
      <w:r>
        <w:lastRenderedPageBreak/>
        <w:t xml:space="preserve">are only directly relevant to patients initially considered node negative, or who elect not to undergo neoadjuvant treatment prior to surgery. </w:t>
      </w:r>
    </w:p>
    <w:p w14:paraId="25AD46D1" w14:textId="41A9D7C8" w:rsidR="009404B9" w:rsidRPr="00D6216E" w:rsidRDefault="009404B9" w:rsidP="00D6216E">
      <w:pPr>
        <w:pStyle w:val="3-BodyText"/>
      </w:pPr>
      <w:r>
        <w:t xml:space="preserve">The </w:t>
      </w:r>
      <w:r w:rsidR="00677538">
        <w:t xml:space="preserve">PEONY trial </w:t>
      </w:r>
      <w:r w:rsidR="00862FD0">
        <w:t xml:space="preserve">also included </w:t>
      </w:r>
      <w:r>
        <w:t xml:space="preserve">adjuvant treatment with P+T following neoadjuvant </w:t>
      </w:r>
      <w:proofErr w:type="spellStart"/>
      <w:r>
        <w:t>P+T+Chemo</w:t>
      </w:r>
      <w:proofErr w:type="spellEnd"/>
      <w:r>
        <w:t xml:space="preserve">. </w:t>
      </w:r>
      <w:r w:rsidR="00800BC0">
        <w:t>PEONY</w:t>
      </w:r>
      <w:r w:rsidR="00800BC0" w:rsidRPr="00491216">
        <w:t xml:space="preserve"> was similar to the NEOSPHERE study </w:t>
      </w:r>
      <w:r w:rsidR="00800BC0">
        <w:t>except that</w:t>
      </w:r>
      <w:r w:rsidR="00800BC0" w:rsidRPr="00491216">
        <w:t xml:space="preserve"> the randomised treatment allocation in the neoadjuvant setting continued in the</w:t>
      </w:r>
      <w:r w:rsidR="00800BC0">
        <w:t xml:space="preserve"> </w:t>
      </w:r>
      <w:r w:rsidR="00800BC0" w:rsidRPr="00491216">
        <w:t xml:space="preserve">adjuvant setting, regardless of pCR. </w:t>
      </w:r>
      <w:r>
        <w:t xml:space="preserve">However, </w:t>
      </w:r>
      <w:r w:rsidR="00E717CA">
        <w:t xml:space="preserve">the </w:t>
      </w:r>
      <w:r w:rsidR="00D6216E">
        <w:t>generalisability</w:t>
      </w:r>
      <w:r w:rsidR="00E717CA">
        <w:t xml:space="preserve"> of </w:t>
      </w:r>
      <w:r w:rsidR="0027420D">
        <w:t xml:space="preserve">PEONY was </w:t>
      </w:r>
      <w:r w:rsidR="00E717CA">
        <w:t xml:space="preserve">limited as it was </w:t>
      </w:r>
      <w:r w:rsidR="0027420D">
        <w:t xml:space="preserve">a relatively small trial in </w:t>
      </w:r>
      <w:r w:rsidR="00E717CA">
        <w:t xml:space="preserve">an </w:t>
      </w:r>
      <w:r w:rsidR="002A7073">
        <w:t xml:space="preserve">entirely </w:t>
      </w:r>
      <w:r w:rsidR="00E717CA">
        <w:t>Asian population.</w:t>
      </w:r>
      <w:r w:rsidR="00491216">
        <w:t xml:space="preserve"> </w:t>
      </w:r>
      <w:r w:rsidR="00800BC0">
        <w:t>In addition, n</w:t>
      </w:r>
      <w:r w:rsidR="00491216" w:rsidRPr="00491216">
        <w:t>o treatment decisions were made based on the pCR in</w:t>
      </w:r>
      <w:r w:rsidR="00491216">
        <w:t xml:space="preserve"> </w:t>
      </w:r>
      <w:r w:rsidR="00491216" w:rsidRPr="00491216">
        <w:t>either arm (</w:t>
      </w:r>
      <w:r w:rsidR="006A35BD" w:rsidRPr="00491216">
        <w:t>i.e.</w:t>
      </w:r>
      <w:r w:rsidR="00491216" w:rsidRPr="00491216">
        <w:t xml:space="preserve"> no patients switched to T-DM1)</w:t>
      </w:r>
      <w:r w:rsidR="002A7073">
        <w:t>.</w:t>
      </w:r>
      <w:r w:rsidR="00D6216E">
        <w:t xml:space="preserve"> </w:t>
      </w:r>
      <w:r w:rsidR="00B15467">
        <w:t>T</w:t>
      </w:r>
      <w:r w:rsidR="00D6216E" w:rsidRPr="00D6216E">
        <w:t>he longer term follow-up indicated an improvement in 5-year event-free survival (84.8% with</w:t>
      </w:r>
      <w:r w:rsidR="00D6216E">
        <w:t xml:space="preserve"> </w:t>
      </w:r>
      <w:r w:rsidR="00D6216E" w:rsidRPr="00D6216E">
        <w:t>pertuzumab and 73.7% with placebo [(HR</w:t>
      </w:r>
      <w:r w:rsidR="00436C6C">
        <w:t>:</w:t>
      </w:r>
      <w:r w:rsidR="00D6216E" w:rsidRPr="00D6216E">
        <w:t xml:space="preserve"> 0.53; 95% </w:t>
      </w:r>
      <w:r w:rsidR="00377D81">
        <w:t>CI</w:t>
      </w:r>
      <w:r w:rsidR="00436C6C">
        <w:t>:</w:t>
      </w:r>
      <w:r w:rsidR="00D6216E" w:rsidRPr="00D6216E">
        <w:t xml:space="preserve"> 0.32-0.89], while 5-year disease-free survival rates were 86.0% and 75.0%, respectively (</w:t>
      </w:r>
      <w:r w:rsidR="00DC1EC0">
        <w:t>HR</w:t>
      </w:r>
      <w:r w:rsidR="00436C6C">
        <w:t>:</w:t>
      </w:r>
      <w:r w:rsidR="00D6216E">
        <w:t xml:space="preserve"> </w:t>
      </w:r>
      <w:r w:rsidR="00D6216E" w:rsidRPr="00D6216E">
        <w:t xml:space="preserve">0.52; 95% </w:t>
      </w:r>
      <w:r w:rsidR="00DC1EC0">
        <w:t>CI</w:t>
      </w:r>
      <w:r w:rsidR="00436C6C">
        <w:t>:</w:t>
      </w:r>
      <w:r w:rsidR="00D6216E" w:rsidRPr="00D6216E">
        <w:t xml:space="preserve"> 0.30-0.88).</w:t>
      </w:r>
      <w:r w:rsidR="00B15467">
        <w:t xml:space="preserve"> However, the extent of benefit from pertuzumab treatment in the adjuvant setting is unclear from PEONY as patients in the control arm did not receive neoadjuvant pertuzumab.</w:t>
      </w:r>
    </w:p>
    <w:p w14:paraId="692210D0" w14:textId="77777777" w:rsidR="00A859A4" w:rsidRPr="00873941" w:rsidRDefault="00A859A4" w:rsidP="002D4AFF">
      <w:pPr>
        <w:pStyle w:val="3-BodyText"/>
        <w:numPr>
          <w:ilvl w:val="0"/>
          <w:numId w:val="0"/>
        </w:numPr>
        <w:ind w:left="720"/>
        <w:rPr>
          <w:i/>
          <w:iCs/>
        </w:rPr>
      </w:pPr>
    </w:p>
    <w:p w14:paraId="1452C351" w14:textId="0D19F1B0" w:rsidR="00B60939" w:rsidRPr="00873941" w:rsidRDefault="00B60939" w:rsidP="00D86231">
      <w:pPr>
        <w:pStyle w:val="4-SubsectionHeading"/>
      </w:pPr>
      <w:bookmarkStart w:id="54" w:name="_Toc22897642"/>
      <w:bookmarkStart w:id="55" w:name="_Toc188444273"/>
      <w:r w:rsidRPr="00873941">
        <w:t>Comparative harms</w:t>
      </w:r>
      <w:bookmarkEnd w:id="54"/>
      <w:bookmarkEnd w:id="55"/>
    </w:p>
    <w:p w14:paraId="625942E2" w14:textId="77777777" w:rsidR="0088158A" w:rsidRPr="00873941" w:rsidRDefault="0088158A" w:rsidP="0088158A">
      <w:pPr>
        <w:pStyle w:val="5-SubsectionSubheading"/>
      </w:pPr>
      <w:bookmarkStart w:id="56" w:name="_Toc188444274"/>
      <w:r w:rsidRPr="00873941">
        <w:t>RCTs</w:t>
      </w:r>
      <w:bookmarkEnd w:id="56"/>
    </w:p>
    <w:p w14:paraId="68DDEE1F" w14:textId="64DDD1BA" w:rsidR="00B42785" w:rsidRPr="00873941" w:rsidRDefault="00B42785" w:rsidP="00D86231">
      <w:pPr>
        <w:pStyle w:val="3-BodyText"/>
      </w:pPr>
      <w:r w:rsidRPr="00873941">
        <w:fldChar w:fldCharType="begin"/>
      </w:r>
      <w:r w:rsidRPr="00873941">
        <w:instrText xml:space="preserve"> REF _Ref184772303 \h </w:instrText>
      </w:r>
      <w:r w:rsidRPr="00873941">
        <w:fldChar w:fldCharType="separate"/>
      </w:r>
      <w:r w:rsidR="000B094B" w:rsidRPr="00873941">
        <w:t xml:space="preserve">Table </w:t>
      </w:r>
      <w:r w:rsidR="000B094B">
        <w:rPr>
          <w:noProof/>
        </w:rPr>
        <w:t>10</w:t>
      </w:r>
      <w:r w:rsidRPr="00873941">
        <w:fldChar w:fldCharType="end"/>
      </w:r>
      <w:r w:rsidRPr="00873941">
        <w:t xml:space="preserve"> presents key safety data from the neoadjuvant periods of each included trial; s</w:t>
      </w:r>
      <w:r w:rsidR="00870171" w:rsidRPr="00873941">
        <w:t>erious</w:t>
      </w:r>
      <w:r w:rsidRPr="00873941">
        <w:t xml:space="preserve"> adverse events, Grade ≥3 adverse events, </w:t>
      </w:r>
      <w:r w:rsidR="00AC3EEF" w:rsidRPr="00873941">
        <w:t xml:space="preserve">discontinuations, </w:t>
      </w:r>
      <w:r w:rsidRPr="00873941">
        <w:t>and event types highlighted previously by the PBAC in the March 2020 submission.</w:t>
      </w:r>
    </w:p>
    <w:p w14:paraId="28480408" w14:textId="1BFDA0A8" w:rsidR="00B42785" w:rsidRPr="00873941" w:rsidRDefault="00B42785" w:rsidP="00B42785">
      <w:pPr>
        <w:pStyle w:val="3-BodyText"/>
      </w:pPr>
      <w:r w:rsidRPr="00873941">
        <w:t xml:space="preserve">The PBAC previously noted a significant increase in left ventricular systolic dysfunction in the NEOSPHERE trial </w:t>
      </w:r>
      <w:r w:rsidR="00D07275" w:rsidRPr="00873941">
        <w:t xml:space="preserve">in </w:t>
      </w:r>
      <w:r w:rsidRPr="00873941">
        <w:t>the overall trial period (8.4% and 1.9% of pa</w:t>
      </w:r>
      <w:r w:rsidR="00357E0A" w:rsidRPr="00873941">
        <w:t>rticipan</w:t>
      </w:r>
      <w:r w:rsidRPr="00873941">
        <w:t xml:space="preserve">ts receiving </w:t>
      </w:r>
      <w:proofErr w:type="spellStart"/>
      <w:r w:rsidRPr="00873941">
        <w:t>P+T+Chemo</w:t>
      </w:r>
      <w:proofErr w:type="spellEnd"/>
      <w:r w:rsidRPr="00873941">
        <w:t xml:space="preserve"> and </w:t>
      </w:r>
      <w:proofErr w:type="spellStart"/>
      <w:r w:rsidRPr="00873941">
        <w:t>T+Chemo</w:t>
      </w:r>
      <w:proofErr w:type="spellEnd"/>
      <w:r w:rsidRPr="00873941">
        <w:t>, respectively) (para. 7.9, pertuzumab PSD, March 2020 PBAC meeting). However, there was not a significant increase in left ventricular systolic dysfunction over the neoadjuvant trial period (</w:t>
      </w:r>
      <w:r w:rsidRPr="00873941">
        <w:fldChar w:fldCharType="begin"/>
      </w:r>
      <w:r w:rsidRPr="00873941">
        <w:instrText xml:space="preserve"> REF _Ref184772303 \h </w:instrText>
      </w:r>
      <w:r w:rsidRPr="00873941">
        <w:fldChar w:fldCharType="separate"/>
      </w:r>
      <w:r w:rsidR="000B094B" w:rsidRPr="00873941">
        <w:t xml:space="preserve">Table </w:t>
      </w:r>
      <w:r w:rsidR="000B094B">
        <w:rPr>
          <w:noProof/>
        </w:rPr>
        <w:t>10</w:t>
      </w:r>
      <w:r w:rsidRPr="00873941">
        <w:fldChar w:fldCharType="end"/>
      </w:r>
      <w:r w:rsidRPr="00873941">
        <w:t>).</w:t>
      </w:r>
    </w:p>
    <w:p w14:paraId="37DDBA01" w14:textId="38A087E0" w:rsidR="00B42785" w:rsidRPr="00873941" w:rsidRDefault="00B42785" w:rsidP="0088158A">
      <w:pPr>
        <w:pStyle w:val="TableFigureHeading"/>
      </w:pPr>
      <w:bookmarkStart w:id="57" w:name="_Ref184772303"/>
      <w:r w:rsidRPr="00873941">
        <w:lastRenderedPageBreak/>
        <w:t xml:space="preserve">Table </w:t>
      </w:r>
      <w:r w:rsidR="00981D53">
        <w:fldChar w:fldCharType="begin"/>
      </w:r>
      <w:r w:rsidR="00981D53">
        <w:instrText xml:space="preserve"> SEQ Table \* ARABIC </w:instrText>
      </w:r>
      <w:r w:rsidR="00981D53">
        <w:fldChar w:fldCharType="separate"/>
      </w:r>
      <w:r w:rsidR="000B094B">
        <w:rPr>
          <w:noProof/>
        </w:rPr>
        <w:t>10</w:t>
      </w:r>
      <w:r w:rsidR="00981D53">
        <w:fldChar w:fldCharType="end"/>
      </w:r>
      <w:bookmarkEnd w:id="57"/>
      <w:r w:rsidRPr="00873941">
        <w:t>:</w:t>
      </w:r>
      <w:r w:rsidRPr="00873941">
        <w:rPr>
          <w:rStyle w:val="CommentReference"/>
          <w:b/>
          <w:szCs w:val="24"/>
        </w:rPr>
        <w:t xml:space="preserve"> Key safety data from the included trials (neoadjuvant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Key safety data from the included trials (neoadjuvant period)"/>
      </w:tblPr>
      <w:tblGrid>
        <w:gridCol w:w="2547"/>
        <w:gridCol w:w="1843"/>
        <w:gridCol w:w="1702"/>
        <w:gridCol w:w="1841"/>
        <w:gridCol w:w="1084"/>
      </w:tblGrid>
      <w:tr w:rsidR="009F50D4" w:rsidRPr="00873941" w14:paraId="36D194B5" w14:textId="77777777" w:rsidTr="00357E0A">
        <w:trPr>
          <w:tblHeader/>
        </w:trPr>
        <w:tc>
          <w:tcPr>
            <w:tcW w:w="1412" w:type="pct"/>
            <w:shd w:val="clear" w:color="auto" w:fill="auto"/>
            <w:vAlign w:val="center"/>
          </w:tcPr>
          <w:p w14:paraId="233DDCB5" w14:textId="77777777" w:rsidR="00A309A5" w:rsidRPr="00873941" w:rsidRDefault="00A309A5" w:rsidP="0088158A">
            <w:pPr>
              <w:pStyle w:val="TableText0"/>
            </w:pPr>
          </w:p>
        </w:tc>
        <w:tc>
          <w:tcPr>
            <w:tcW w:w="1022" w:type="pct"/>
            <w:shd w:val="clear" w:color="auto" w:fill="auto"/>
            <w:vAlign w:val="center"/>
          </w:tcPr>
          <w:p w14:paraId="1748BFFB" w14:textId="231A467F" w:rsidR="00A309A5" w:rsidRPr="00873941" w:rsidRDefault="00596C01" w:rsidP="0088158A">
            <w:pPr>
              <w:pStyle w:val="TableText0"/>
              <w:jc w:val="center"/>
              <w:rPr>
                <w:b/>
              </w:rPr>
            </w:pPr>
            <w:r w:rsidRPr="00873941">
              <w:rPr>
                <w:b/>
              </w:rPr>
              <w:t>Intervention</w:t>
            </w:r>
            <w:r w:rsidR="00A309A5" w:rsidRPr="00873941">
              <w:rPr>
                <w:b/>
              </w:rPr>
              <w:t>, N(%)</w:t>
            </w:r>
          </w:p>
        </w:tc>
        <w:tc>
          <w:tcPr>
            <w:tcW w:w="944" w:type="pct"/>
            <w:shd w:val="clear" w:color="auto" w:fill="auto"/>
            <w:vAlign w:val="center"/>
          </w:tcPr>
          <w:p w14:paraId="5CF9CAD0" w14:textId="6EE0DEF7" w:rsidR="00A309A5" w:rsidRPr="00873941" w:rsidRDefault="00596C01" w:rsidP="0088158A">
            <w:pPr>
              <w:pStyle w:val="TableText0"/>
              <w:jc w:val="center"/>
              <w:rPr>
                <w:b/>
              </w:rPr>
            </w:pPr>
            <w:r w:rsidRPr="00873941">
              <w:rPr>
                <w:b/>
              </w:rPr>
              <w:t>Comparator</w:t>
            </w:r>
            <w:r w:rsidR="00A309A5" w:rsidRPr="00873941">
              <w:rPr>
                <w:b/>
              </w:rPr>
              <w:t>, N(%)</w:t>
            </w:r>
          </w:p>
        </w:tc>
        <w:tc>
          <w:tcPr>
            <w:tcW w:w="1021" w:type="pct"/>
            <w:shd w:val="clear" w:color="auto" w:fill="auto"/>
            <w:vAlign w:val="center"/>
          </w:tcPr>
          <w:p w14:paraId="75E6641A" w14:textId="77777777" w:rsidR="00A309A5" w:rsidRPr="00873941" w:rsidRDefault="00A309A5" w:rsidP="0088158A">
            <w:pPr>
              <w:pStyle w:val="TableText0"/>
              <w:jc w:val="center"/>
              <w:rPr>
                <w:b/>
              </w:rPr>
            </w:pPr>
            <w:r w:rsidRPr="00873941">
              <w:rPr>
                <w:b/>
              </w:rPr>
              <w:t>Relative risk (95%CI)</w:t>
            </w:r>
          </w:p>
        </w:tc>
        <w:tc>
          <w:tcPr>
            <w:tcW w:w="601" w:type="pct"/>
            <w:shd w:val="clear" w:color="auto" w:fill="auto"/>
            <w:vAlign w:val="center"/>
          </w:tcPr>
          <w:p w14:paraId="229B31C8" w14:textId="77777777" w:rsidR="00A309A5" w:rsidRPr="00873941" w:rsidRDefault="00A309A5" w:rsidP="0088158A">
            <w:pPr>
              <w:pStyle w:val="TableText0"/>
              <w:jc w:val="center"/>
              <w:rPr>
                <w:b/>
              </w:rPr>
            </w:pPr>
            <w:r w:rsidRPr="00873941">
              <w:rPr>
                <w:b/>
              </w:rPr>
              <w:t>p-</w:t>
            </w:r>
            <w:proofErr w:type="spellStart"/>
            <w:r w:rsidRPr="00873941">
              <w:rPr>
                <w:b/>
              </w:rPr>
              <w:t>value</w:t>
            </w:r>
            <w:r w:rsidRPr="00873941">
              <w:rPr>
                <w:b/>
                <w:vertAlign w:val="superscript"/>
              </w:rPr>
              <w:t>a</w:t>
            </w:r>
            <w:proofErr w:type="spellEnd"/>
          </w:p>
        </w:tc>
      </w:tr>
      <w:tr w:rsidR="00596C01" w:rsidRPr="00873941" w14:paraId="29D9973F" w14:textId="77777777" w:rsidTr="00357E0A">
        <w:trPr>
          <w:tblHeader/>
        </w:trPr>
        <w:tc>
          <w:tcPr>
            <w:tcW w:w="5000" w:type="pct"/>
            <w:gridSpan w:val="5"/>
            <w:shd w:val="clear" w:color="auto" w:fill="auto"/>
            <w:vAlign w:val="center"/>
          </w:tcPr>
          <w:p w14:paraId="442A67B6" w14:textId="0F36D970" w:rsidR="00596C01" w:rsidRPr="00873941" w:rsidRDefault="00596C01" w:rsidP="0088158A">
            <w:pPr>
              <w:pStyle w:val="In-tableHeading"/>
              <w:rPr>
                <w:lang w:val="en-AU"/>
              </w:rPr>
            </w:pPr>
            <w:proofErr w:type="spellStart"/>
            <w:r w:rsidRPr="00873941">
              <w:rPr>
                <w:lang w:val="en-AU"/>
              </w:rPr>
              <w:t>P+T+Chemo</w:t>
            </w:r>
            <w:proofErr w:type="spellEnd"/>
            <w:r w:rsidRPr="00873941">
              <w:rPr>
                <w:lang w:val="en-AU"/>
              </w:rPr>
              <w:t xml:space="preserve"> vs </w:t>
            </w:r>
            <w:proofErr w:type="spellStart"/>
            <w:r w:rsidRPr="00873941">
              <w:rPr>
                <w:lang w:val="en-AU"/>
              </w:rPr>
              <w:t>T+Chemo</w:t>
            </w:r>
            <w:proofErr w:type="spellEnd"/>
            <w:r w:rsidRPr="00873941">
              <w:rPr>
                <w:lang w:val="en-AU"/>
              </w:rPr>
              <w:t xml:space="preserve">, 4 neoadjuvant HER2 therapy </w:t>
            </w:r>
            <w:proofErr w:type="spellStart"/>
            <w:r w:rsidRPr="00873941">
              <w:rPr>
                <w:lang w:val="en-AU"/>
              </w:rPr>
              <w:t>cycles</w:t>
            </w:r>
            <w:r w:rsidR="0070232F" w:rsidRPr="00873941">
              <w:rPr>
                <w:vertAlign w:val="superscript"/>
                <w:lang w:val="en-AU"/>
              </w:rPr>
              <w:t>b</w:t>
            </w:r>
            <w:proofErr w:type="spellEnd"/>
          </w:p>
        </w:tc>
      </w:tr>
      <w:tr w:rsidR="00A309A5" w:rsidRPr="00873941" w14:paraId="1650FA56" w14:textId="77777777" w:rsidTr="00357E0A">
        <w:tc>
          <w:tcPr>
            <w:tcW w:w="5000" w:type="pct"/>
            <w:gridSpan w:val="5"/>
            <w:shd w:val="clear" w:color="auto" w:fill="auto"/>
            <w:vAlign w:val="center"/>
          </w:tcPr>
          <w:p w14:paraId="2142AF6F" w14:textId="38D4B09E" w:rsidR="00A309A5" w:rsidRPr="00873941" w:rsidRDefault="00427658" w:rsidP="0088158A">
            <w:pPr>
              <w:pStyle w:val="TableText0"/>
              <w:rPr>
                <w:rFonts w:eastAsia="Calibri" w:cs="Arial"/>
                <w:kern w:val="24"/>
              </w:rPr>
            </w:pPr>
            <w:r w:rsidRPr="00873941">
              <w:rPr>
                <w:b/>
              </w:rPr>
              <w:t>NEOSPHERE</w:t>
            </w:r>
          </w:p>
        </w:tc>
      </w:tr>
      <w:tr w:rsidR="002526C8" w:rsidRPr="00873941" w14:paraId="665BD847" w14:textId="77777777" w:rsidTr="00357E0A">
        <w:tc>
          <w:tcPr>
            <w:tcW w:w="1412" w:type="pct"/>
            <w:shd w:val="clear" w:color="auto" w:fill="auto"/>
            <w:vAlign w:val="center"/>
          </w:tcPr>
          <w:p w14:paraId="3BA073E2" w14:textId="4B5841B7" w:rsidR="00A309A5" w:rsidRPr="00873941" w:rsidRDefault="00427658" w:rsidP="0088158A">
            <w:pPr>
              <w:pStyle w:val="TableText0"/>
              <w:rPr>
                <w:b/>
              </w:rPr>
            </w:pPr>
            <w:r w:rsidRPr="00873941">
              <w:t>SAEs</w:t>
            </w:r>
          </w:p>
        </w:tc>
        <w:tc>
          <w:tcPr>
            <w:tcW w:w="1022" w:type="pct"/>
            <w:shd w:val="clear" w:color="auto" w:fill="B8CCE4" w:themeFill="accent1" w:themeFillTint="66"/>
            <w:vAlign w:val="center"/>
          </w:tcPr>
          <w:p w14:paraId="158A7940" w14:textId="77777777" w:rsidR="00A309A5" w:rsidRPr="00873941" w:rsidRDefault="00A309A5" w:rsidP="0088158A">
            <w:pPr>
              <w:pStyle w:val="TableText0"/>
              <w:jc w:val="center"/>
              <w:rPr>
                <w:rFonts w:eastAsia="Calibri" w:cs="Arial"/>
                <w:kern w:val="24"/>
              </w:rPr>
            </w:pPr>
            <w:r w:rsidRPr="00873941">
              <w:rPr>
                <w:rFonts w:eastAsia="Calibri" w:cs="Arial"/>
                <w:kern w:val="24"/>
              </w:rPr>
              <w:t>12 (11.2)</w:t>
            </w:r>
          </w:p>
        </w:tc>
        <w:tc>
          <w:tcPr>
            <w:tcW w:w="944" w:type="pct"/>
            <w:shd w:val="clear" w:color="auto" w:fill="B8CCE4" w:themeFill="accent1" w:themeFillTint="66"/>
            <w:vAlign w:val="center"/>
          </w:tcPr>
          <w:p w14:paraId="7C5A3F0C" w14:textId="77777777" w:rsidR="00A309A5" w:rsidRPr="00873941" w:rsidRDefault="00A309A5" w:rsidP="0088158A">
            <w:pPr>
              <w:pStyle w:val="TableText0"/>
              <w:jc w:val="center"/>
              <w:rPr>
                <w:rFonts w:eastAsia="Calibri" w:cs="Arial"/>
                <w:kern w:val="24"/>
              </w:rPr>
            </w:pPr>
            <w:r w:rsidRPr="00873941">
              <w:rPr>
                <w:rFonts w:eastAsia="Calibri" w:cs="Arial"/>
                <w:kern w:val="24"/>
              </w:rPr>
              <w:t>18 (16.8)</w:t>
            </w:r>
          </w:p>
        </w:tc>
        <w:tc>
          <w:tcPr>
            <w:tcW w:w="1021" w:type="pct"/>
            <w:shd w:val="clear" w:color="auto" w:fill="FFFFFF"/>
            <w:vAlign w:val="center"/>
          </w:tcPr>
          <w:p w14:paraId="2D31B568" w14:textId="77777777" w:rsidR="00A309A5" w:rsidRPr="00873941" w:rsidRDefault="00A309A5" w:rsidP="0088158A">
            <w:pPr>
              <w:pStyle w:val="TableText0"/>
              <w:jc w:val="center"/>
              <w:rPr>
                <w:rFonts w:eastAsia="Calibri" w:cs="Arial"/>
                <w:kern w:val="24"/>
              </w:rPr>
            </w:pPr>
            <w:r w:rsidRPr="00873941">
              <w:rPr>
                <w:rFonts w:eastAsia="Calibri" w:cs="Arial"/>
                <w:kern w:val="24"/>
              </w:rPr>
              <w:t>0.67 (0.34, 1.32)</w:t>
            </w:r>
          </w:p>
        </w:tc>
        <w:tc>
          <w:tcPr>
            <w:tcW w:w="601" w:type="pct"/>
            <w:shd w:val="clear" w:color="auto" w:fill="FFFFFF"/>
            <w:vAlign w:val="center"/>
          </w:tcPr>
          <w:p w14:paraId="67092EF8" w14:textId="77777777" w:rsidR="00A309A5" w:rsidRPr="00873941" w:rsidRDefault="00A309A5" w:rsidP="0088158A">
            <w:pPr>
              <w:pStyle w:val="TableText0"/>
              <w:jc w:val="center"/>
              <w:rPr>
                <w:rFonts w:eastAsia="Calibri" w:cs="Arial"/>
                <w:kern w:val="24"/>
              </w:rPr>
            </w:pPr>
            <w:r w:rsidRPr="00873941">
              <w:rPr>
                <w:rFonts w:eastAsia="Calibri" w:cs="Arial"/>
                <w:kern w:val="24"/>
              </w:rPr>
              <w:t>0.24</w:t>
            </w:r>
          </w:p>
        </w:tc>
      </w:tr>
      <w:tr w:rsidR="009F50D4" w:rsidRPr="00873941" w14:paraId="36E646F2" w14:textId="77777777" w:rsidTr="00357E0A">
        <w:tc>
          <w:tcPr>
            <w:tcW w:w="1412" w:type="pct"/>
            <w:shd w:val="clear" w:color="auto" w:fill="auto"/>
            <w:vAlign w:val="center"/>
          </w:tcPr>
          <w:p w14:paraId="0B598062" w14:textId="41F6DBDB" w:rsidR="009F50D4" w:rsidRPr="00873941" w:rsidRDefault="009F50D4" w:rsidP="0088158A">
            <w:pPr>
              <w:pStyle w:val="TableText0"/>
            </w:pPr>
            <w:r w:rsidRPr="00873941">
              <w:t>AEs leading to discontinuation</w:t>
            </w:r>
          </w:p>
        </w:tc>
        <w:tc>
          <w:tcPr>
            <w:tcW w:w="1022" w:type="pct"/>
            <w:shd w:val="clear" w:color="auto" w:fill="auto"/>
            <w:vAlign w:val="center"/>
          </w:tcPr>
          <w:p w14:paraId="039EE5B4" w14:textId="6918EDE4" w:rsidR="009F50D4" w:rsidRPr="00873941" w:rsidRDefault="009F50D4" w:rsidP="0088158A">
            <w:pPr>
              <w:pStyle w:val="TableText0"/>
              <w:jc w:val="center"/>
              <w:rPr>
                <w:rFonts w:eastAsia="Calibri" w:cs="Arial"/>
                <w:kern w:val="24"/>
              </w:rPr>
            </w:pPr>
            <w:r w:rsidRPr="00873941">
              <w:rPr>
                <w:rFonts w:eastAsia="Calibri" w:cs="Arial"/>
                <w:kern w:val="24"/>
              </w:rPr>
              <w:t>2 (1.9)</w:t>
            </w:r>
          </w:p>
        </w:tc>
        <w:tc>
          <w:tcPr>
            <w:tcW w:w="944" w:type="pct"/>
            <w:shd w:val="clear" w:color="auto" w:fill="auto"/>
            <w:vAlign w:val="center"/>
          </w:tcPr>
          <w:p w14:paraId="01DEE36A" w14:textId="2ABB7B82" w:rsidR="009F50D4" w:rsidRPr="00873941" w:rsidRDefault="009F50D4" w:rsidP="0088158A">
            <w:pPr>
              <w:pStyle w:val="TableText0"/>
              <w:jc w:val="center"/>
              <w:rPr>
                <w:rFonts w:eastAsia="Calibri" w:cs="Arial"/>
                <w:kern w:val="24"/>
              </w:rPr>
            </w:pPr>
            <w:r w:rsidRPr="00873941">
              <w:rPr>
                <w:rFonts w:eastAsia="Calibri" w:cs="Arial"/>
                <w:kern w:val="24"/>
              </w:rPr>
              <w:t>0</w:t>
            </w:r>
          </w:p>
        </w:tc>
        <w:tc>
          <w:tcPr>
            <w:tcW w:w="1021" w:type="pct"/>
            <w:shd w:val="clear" w:color="auto" w:fill="FFFFFF"/>
            <w:vAlign w:val="center"/>
          </w:tcPr>
          <w:p w14:paraId="5EC715C0" w14:textId="5160896C" w:rsidR="009F50D4" w:rsidRPr="00873941" w:rsidRDefault="009F50D4" w:rsidP="0088158A">
            <w:pPr>
              <w:pStyle w:val="TableText0"/>
              <w:jc w:val="center"/>
              <w:rPr>
                <w:rFonts w:eastAsia="Calibri" w:cs="Arial"/>
                <w:kern w:val="24"/>
              </w:rPr>
            </w:pPr>
            <w:r w:rsidRPr="00873941">
              <w:rPr>
                <w:rFonts w:eastAsia="Calibri" w:cs="Arial"/>
                <w:kern w:val="24"/>
              </w:rPr>
              <w:t>5.00 (.24. 102.93)</w:t>
            </w:r>
          </w:p>
        </w:tc>
        <w:tc>
          <w:tcPr>
            <w:tcW w:w="601" w:type="pct"/>
            <w:shd w:val="clear" w:color="auto" w:fill="FFFFFF"/>
            <w:vAlign w:val="center"/>
          </w:tcPr>
          <w:p w14:paraId="169A4218" w14:textId="397C0092" w:rsidR="009F50D4" w:rsidRPr="00873941" w:rsidRDefault="009F50D4" w:rsidP="0088158A">
            <w:pPr>
              <w:pStyle w:val="TableText0"/>
              <w:jc w:val="center"/>
              <w:rPr>
                <w:rFonts w:eastAsia="Calibri" w:cs="Arial"/>
                <w:kern w:val="24"/>
              </w:rPr>
            </w:pPr>
            <w:r w:rsidRPr="00873941">
              <w:rPr>
                <w:rFonts w:eastAsia="Calibri" w:cs="Arial"/>
                <w:kern w:val="24"/>
              </w:rPr>
              <w:t>0.30</w:t>
            </w:r>
          </w:p>
        </w:tc>
      </w:tr>
      <w:tr w:rsidR="00427658" w:rsidRPr="00873941" w14:paraId="4D2CDB12" w14:textId="77777777" w:rsidTr="00357E0A">
        <w:tc>
          <w:tcPr>
            <w:tcW w:w="1412" w:type="pct"/>
            <w:shd w:val="clear" w:color="auto" w:fill="auto"/>
            <w:vAlign w:val="center"/>
          </w:tcPr>
          <w:p w14:paraId="0465B18D" w14:textId="7F156BC8" w:rsidR="00427658" w:rsidRPr="00873941" w:rsidRDefault="00427658" w:rsidP="0088158A">
            <w:pPr>
              <w:pStyle w:val="TableText0"/>
            </w:pPr>
            <w:r w:rsidRPr="00873941">
              <w:t>Grade ≥3 AEs</w:t>
            </w:r>
          </w:p>
        </w:tc>
        <w:tc>
          <w:tcPr>
            <w:tcW w:w="1022" w:type="pct"/>
            <w:shd w:val="clear" w:color="auto" w:fill="B8CCE4" w:themeFill="accent1" w:themeFillTint="66"/>
            <w:vAlign w:val="center"/>
          </w:tcPr>
          <w:p w14:paraId="4C5924FF" w14:textId="1C07E817" w:rsidR="00427658" w:rsidRPr="00873941" w:rsidRDefault="00427658" w:rsidP="0088158A">
            <w:pPr>
              <w:pStyle w:val="TableText0"/>
              <w:jc w:val="center"/>
              <w:rPr>
                <w:rFonts w:eastAsia="Calibri" w:cs="Arial"/>
                <w:kern w:val="24"/>
              </w:rPr>
            </w:pPr>
            <w:r w:rsidRPr="00873941">
              <w:rPr>
                <w:rFonts w:eastAsia="Calibri" w:cs="Arial"/>
                <w:kern w:val="24"/>
              </w:rPr>
              <w:t>65 (60.7)</w:t>
            </w:r>
          </w:p>
        </w:tc>
        <w:tc>
          <w:tcPr>
            <w:tcW w:w="944" w:type="pct"/>
            <w:shd w:val="clear" w:color="auto" w:fill="B8CCE4" w:themeFill="accent1" w:themeFillTint="66"/>
            <w:vAlign w:val="center"/>
          </w:tcPr>
          <w:p w14:paraId="12ED1C03" w14:textId="765F8894" w:rsidR="00427658" w:rsidRPr="00873941" w:rsidRDefault="00427658" w:rsidP="0088158A">
            <w:pPr>
              <w:pStyle w:val="TableText0"/>
              <w:jc w:val="center"/>
              <w:rPr>
                <w:rFonts w:eastAsia="Calibri" w:cs="Arial"/>
                <w:kern w:val="24"/>
              </w:rPr>
            </w:pPr>
            <w:r w:rsidRPr="00873941">
              <w:rPr>
                <w:rFonts w:eastAsia="Calibri" w:cs="Arial"/>
                <w:kern w:val="24"/>
              </w:rPr>
              <w:t>80 (74.8)</w:t>
            </w:r>
          </w:p>
        </w:tc>
        <w:tc>
          <w:tcPr>
            <w:tcW w:w="1021" w:type="pct"/>
            <w:shd w:val="clear" w:color="auto" w:fill="FFFFFF"/>
            <w:vAlign w:val="center"/>
          </w:tcPr>
          <w:p w14:paraId="2D585C9C" w14:textId="4A0787E2" w:rsidR="00427658" w:rsidRPr="00873941" w:rsidRDefault="00427658" w:rsidP="0088158A">
            <w:pPr>
              <w:pStyle w:val="TableText0"/>
              <w:jc w:val="center"/>
              <w:rPr>
                <w:rFonts w:eastAsia="Calibri" w:cs="Arial"/>
                <w:b/>
                <w:bCs w:val="0"/>
                <w:kern w:val="24"/>
              </w:rPr>
            </w:pPr>
            <w:r w:rsidRPr="00873941">
              <w:rPr>
                <w:rFonts w:eastAsia="Calibri" w:cs="Arial"/>
                <w:b/>
                <w:bCs w:val="0"/>
                <w:kern w:val="24"/>
              </w:rPr>
              <w:t>0.81 (0.67, 0.98)</w:t>
            </w:r>
          </w:p>
        </w:tc>
        <w:tc>
          <w:tcPr>
            <w:tcW w:w="601" w:type="pct"/>
            <w:shd w:val="clear" w:color="auto" w:fill="FFFFFF"/>
            <w:vAlign w:val="center"/>
          </w:tcPr>
          <w:p w14:paraId="31E58505" w14:textId="1DF4B528" w:rsidR="00427658" w:rsidRPr="00873941" w:rsidRDefault="00427658" w:rsidP="0088158A">
            <w:pPr>
              <w:pStyle w:val="TableText0"/>
              <w:jc w:val="center"/>
              <w:rPr>
                <w:rFonts w:eastAsia="Calibri" w:cs="Arial"/>
                <w:b/>
                <w:bCs w:val="0"/>
                <w:kern w:val="24"/>
              </w:rPr>
            </w:pPr>
            <w:r w:rsidRPr="00873941">
              <w:rPr>
                <w:rFonts w:eastAsia="Calibri" w:cs="Arial"/>
                <w:b/>
                <w:bCs w:val="0"/>
                <w:kern w:val="24"/>
              </w:rPr>
              <w:t>0.03</w:t>
            </w:r>
          </w:p>
        </w:tc>
      </w:tr>
      <w:tr w:rsidR="00B42785" w:rsidRPr="00873941" w14:paraId="5C8BBEAD" w14:textId="77777777" w:rsidTr="00357E0A">
        <w:tc>
          <w:tcPr>
            <w:tcW w:w="1412" w:type="pct"/>
            <w:shd w:val="clear" w:color="auto" w:fill="auto"/>
            <w:vAlign w:val="center"/>
          </w:tcPr>
          <w:p w14:paraId="684DFF0D" w14:textId="74893924" w:rsidR="00B42785" w:rsidRPr="00873941" w:rsidRDefault="00B42785" w:rsidP="0088158A">
            <w:pPr>
              <w:pStyle w:val="TableText0"/>
            </w:pPr>
            <w:r w:rsidRPr="00873941">
              <w:t>Diarrhoea (Grade ≥3)</w:t>
            </w:r>
          </w:p>
        </w:tc>
        <w:tc>
          <w:tcPr>
            <w:tcW w:w="1022" w:type="pct"/>
            <w:shd w:val="clear" w:color="auto" w:fill="FFFFFF"/>
            <w:vAlign w:val="center"/>
          </w:tcPr>
          <w:p w14:paraId="133E915B" w14:textId="0B8E32A2" w:rsidR="00B42785" w:rsidRPr="00873941" w:rsidRDefault="00B42785" w:rsidP="0088158A">
            <w:pPr>
              <w:pStyle w:val="TableText0"/>
              <w:jc w:val="center"/>
              <w:rPr>
                <w:rFonts w:eastAsia="Calibri" w:cs="Arial"/>
                <w:kern w:val="24"/>
              </w:rPr>
            </w:pPr>
            <w:r w:rsidRPr="00873941">
              <w:rPr>
                <w:rFonts w:eastAsia="Calibri" w:cs="Arial"/>
                <w:kern w:val="24"/>
              </w:rPr>
              <w:t>6 (5.6)</w:t>
            </w:r>
          </w:p>
        </w:tc>
        <w:tc>
          <w:tcPr>
            <w:tcW w:w="944" w:type="pct"/>
            <w:shd w:val="clear" w:color="auto" w:fill="FFFFFF"/>
            <w:vAlign w:val="center"/>
          </w:tcPr>
          <w:p w14:paraId="625B1EA8" w14:textId="0517FF3A" w:rsidR="00B42785" w:rsidRPr="00873941" w:rsidRDefault="00B42785" w:rsidP="0088158A">
            <w:pPr>
              <w:pStyle w:val="TableText0"/>
              <w:jc w:val="center"/>
              <w:rPr>
                <w:rFonts w:eastAsia="Calibri" w:cs="Arial"/>
                <w:kern w:val="24"/>
              </w:rPr>
            </w:pPr>
            <w:r w:rsidRPr="00873941">
              <w:rPr>
                <w:rFonts w:eastAsia="Calibri" w:cs="Arial"/>
                <w:kern w:val="24"/>
              </w:rPr>
              <w:t>4 (3.7)</w:t>
            </w:r>
          </w:p>
        </w:tc>
        <w:tc>
          <w:tcPr>
            <w:tcW w:w="1021" w:type="pct"/>
            <w:shd w:val="clear" w:color="auto" w:fill="FFFFFF"/>
            <w:vAlign w:val="center"/>
          </w:tcPr>
          <w:p w14:paraId="5CB401A0" w14:textId="25470470" w:rsidR="00B42785" w:rsidRPr="00873941" w:rsidRDefault="00B42785" w:rsidP="0088158A">
            <w:pPr>
              <w:pStyle w:val="TableText0"/>
              <w:jc w:val="center"/>
              <w:rPr>
                <w:rFonts w:eastAsia="Calibri" w:cs="Arial"/>
                <w:kern w:val="24"/>
              </w:rPr>
            </w:pPr>
            <w:r w:rsidRPr="00873941">
              <w:rPr>
                <w:rFonts w:eastAsia="Calibri" w:cs="Arial"/>
                <w:kern w:val="24"/>
              </w:rPr>
              <w:t>NR</w:t>
            </w:r>
          </w:p>
        </w:tc>
        <w:tc>
          <w:tcPr>
            <w:tcW w:w="601" w:type="pct"/>
            <w:shd w:val="clear" w:color="auto" w:fill="FFFFFF"/>
            <w:vAlign w:val="center"/>
          </w:tcPr>
          <w:p w14:paraId="00AF34DD" w14:textId="3081F81B" w:rsidR="00B42785" w:rsidRPr="00873941" w:rsidRDefault="00B42785" w:rsidP="0088158A">
            <w:pPr>
              <w:pStyle w:val="TableText0"/>
              <w:jc w:val="center"/>
              <w:rPr>
                <w:rFonts w:eastAsia="Calibri" w:cs="Arial"/>
                <w:kern w:val="24"/>
              </w:rPr>
            </w:pPr>
            <w:r w:rsidRPr="00873941">
              <w:rPr>
                <w:rFonts w:eastAsia="Calibri" w:cs="Arial"/>
                <w:kern w:val="24"/>
              </w:rPr>
              <w:t>NR</w:t>
            </w:r>
          </w:p>
        </w:tc>
      </w:tr>
      <w:tr w:rsidR="00B42785" w:rsidRPr="00873941" w14:paraId="69A19326" w14:textId="77777777" w:rsidTr="00357E0A">
        <w:tc>
          <w:tcPr>
            <w:tcW w:w="1412" w:type="pct"/>
            <w:shd w:val="clear" w:color="auto" w:fill="auto"/>
            <w:vAlign w:val="center"/>
          </w:tcPr>
          <w:p w14:paraId="6AF7076C" w14:textId="065A5D4E" w:rsidR="00B42785" w:rsidRPr="00873941" w:rsidRDefault="00B42785" w:rsidP="0088158A">
            <w:pPr>
              <w:pStyle w:val="TableText0"/>
            </w:pPr>
            <w:r w:rsidRPr="00873941">
              <w:t>Diarrhoea (any grade)</w:t>
            </w:r>
          </w:p>
        </w:tc>
        <w:tc>
          <w:tcPr>
            <w:tcW w:w="1022" w:type="pct"/>
            <w:shd w:val="clear" w:color="auto" w:fill="FFFFFF"/>
            <w:vAlign w:val="center"/>
          </w:tcPr>
          <w:p w14:paraId="21E4BA97" w14:textId="53BA2B63" w:rsidR="00B42785" w:rsidRPr="00873941" w:rsidRDefault="00B42785" w:rsidP="0088158A">
            <w:pPr>
              <w:pStyle w:val="TableText0"/>
              <w:jc w:val="center"/>
              <w:rPr>
                <w:rFonts w:eastAsia="Calibri" w:cs="Arial"/>
                <w:kern w:val="24"/>
              </w:rPr>
            </w:pPr>
            <w:r w:rsidRPr="00873941">
              <w:rPr>
                <w:rFonts w:eastAsia="Calibri" w:cs="Arial"/>
                <w:kern w:val="24"/>
              </w:rPr>
              <w:t>49 (45.8)</w:t>
            </w:r>
          </w:p>
        </w:tc>
        <w:tc>
          <w:tcPr>
            <w:tcW w:w="944" w:type="pct"/>
            <w:shd w:val="clear" w:color="auto" w:fill="FFFFFF"/>
            <w:vAlign w:val="center"/>
          </w:tcPr>
          <w:p w14:paraId="5ED6EC2D" w14:textId="281F5BB1" w:rsidR="00B42785" w:rsidRPr="00873941" w:rsidRDefault="00B42785" w:rsidP="0088158A">
            <w:pPr>
              <w:pStyle w:val="TableText0"/>
              <w:jc w:val="center"/>
              <w:rPr>
                <w:rFonts w:eastAsia="Calibri" w:cs="Arial"/>
                <w:kern w:val="24"/>
              </w:rPr>
            </w:pPr>
            <w:r w:rsidRPr="00873941">
              <w:rPr>
                <w:rFonts w:eastAsia="Calibri" w:cs="Arial"/>
                <w:kern w:val="24"/>
              </w:rPr>
              <w:t>36 (33.6)</w:t>
            </w:r>
          </w:p>
        </w:tc>
        <w:tc>
          <w:tcPr>
            <w:tcW w:w="1021" w:type="pct"/>
            <w:shd w:val="clear" w:color="auto" w:fill="FFFFFF"/>
            <w:vAlign w:val="center"/>
          </w:tcPr>
          <w:p w14:paraId="762F5276" w14:textId="560D7043" w:rsidR="00B42785" w:rsidRPr="00873941" w:rsidRDefault="00B42785" w:rsidP="0088158A">
            <w:pPr>
              <w:pStyle w:val="TableText0"/>
              <w:jc w:val="center"/>
              <w:rPr>
                <w:rFonts w:eastAsia="Calibri" w:cs="Arial"/>
                <w:kern w:val="24"/>
              </w:rPr>
            </w:pPr>
            <w:r w:rsidRPr="00873941">
              <w:rPr>
                <w:rFonts w:eastAsia="Calibri" w:cs="Arial"/>
                <w:kern w:val="24"/>
              </w:rPr>
              <w:t>NR</w:t>
            </w:r>
          </w:p>
        </w:tc>
        <w:tc>
          <w:tcPr>
            <w:tcW w:w="601" w:type="pct"/>
            <w:shd w:val="clear" w:color="auto" w:fill="FFFFFF"/>
            <w:vAlign w:val="center"/>
          </w:tcPr>
          <w:p w14:paraId="107B6A16" w14:textId="5C98A7CF" w:rsidR="00B42785" w:rsidRPr="00873941" w:rsidRDefault="00B42785" w:rsidP="0088158A">
            <w:pPr>
              <w:pStyle w:val="TableText0"/>
              <w:jc w:val="center"/>
              <w:rPr>
                <w:rFonts w:eastAsia="Calibri" w:cs="Arial"/>
                <w:kern w:val="24"/>
              </w:rPr>
            </w:pPr>
            <w:r w:rsidRPr="00873941">
              <w:rPr>
                <w:rFonts w:eastAsia="Calibri" w:cs="Arial"/>
                <w:kern w:val="24"/>
              </w:rPr>
              <w:t>NR</w:t>
            </w:r>
          </w:p>
        </w:tc>
      </w:tr>
      <w:tr w:rsidR="00B42785" w:rsidRPr="00873941" w14:paraId="6C46D06A" w14:textId="77777777" w:rsidTr="00357E0A">
        <w:tc>
          <w:tcPr>
            <w:tcW w:w="1412" w:type="pct"/>
            <w:shd w:val="clear" w:color="auto" w:fill="auto"/>
            <w:vAlign w:val="center"/>
          </w:tcPr>
          <w:p w14:paraId="228FE7F6" w14:textId="28C7F5CD" w:rsidR="00B42785" w:rsidRPr="00873941" w:rsidRDefault="00B42785" w:rsidP="0088158A">
            <w:pPr>
              <w:pStyle w:val="TableText0"/>
            </w:pPr>
            <w:r w:rsidRPr="00873941">
              <w:t>LVSD or CHF (any grade)</w:t>
            </w:r>
          </w:p>
        </w:tc>
        <w:tc>
          <w:tcPr>
            <w:tcW w:w="1022" w:type="pct"/>
            <w:shd w:val="clear" w:color="auto" w:fill="FFFFFF"/>
            <w:vAlign w:val="center"/>
          </w:tcPr>
          <w:p w14:paraId="05C283A4" w14:textId="4F186274" w:rsidR="00B42785" w:rsidRPr="00873941" w:rsidRDefault="00B42785" w:rsidP="0088158A">
            <w:pPr>
              <w:pStyle w:val="TableText0"/>
              <w:jc w:val="center"/>
              <w:rPr>
                <w:rFonts w:eastAsia="Calibri" w:cs="Arial"/>
                <w:kern w:val="24"/>
              </w:rPr>
            </w:pPr>
            <w:r w:rsidRPr="00873941">
              <w:rPr>
                <w:rFonts w:eastAsia="Calibri" w:cs="Arial"/>
                <w:kern w:val="24"/>
              </w:rPr>
              <w:t>3 (2.8)</w:t>
            </w:r>
          </w:p>
        </w:tc>
        <w:tc>
          <w:tcPr>
            <w:tcW w:w="944" w:type="pct"/>
            <w:shd w:val="clear" w:color="auto" w:fill="FFFFFF"/>
            <w:vAlign w:val="center"/>
          </w:tcPr>
          <w:p w14:paraId="1240D1B2" w14:textId="7585D30E" w:rsidR="00B42785" w:rsidRPr="00873941" w:rsidRDefault="00B42785" w:rsidP="0088158A">
            <w:pPr>
              <w:pStyle w:val="TableText0"/>
              <w:jc w:val="center"/>
              <w:rPr>
                <w:rFonts w:eastAsia="Calibri" w:cs="Arial"/>
                <w:kern w:val="24"/>
              </w:rPr>
            </w:pPr>
            <w:r w:rsidRPr="00873941">
              <w:rPr>
                <w:rFonts w:eastAsia="Calibri" w:cs="Arial"/>
                <w:kern w:val="24"/>
              </w:rPr>
              <w:t>1 (0.9)</w:t>
            </w:r>
          </w:p>
        </w:tc>
        <w:tc>
          <w:tcPr>
            <w:tcW w:w="1021" w:type="pct"/>
            <w:shd w:val="clear" w:color="auto" w:fill="FFFFFF"/>
            <w:vAlign w:val="center"/>
          </w:tcPr>
          <w:p w14:paraId="5BB94618" w14:textId="29FEB4E7" w:rsidR="00B42785" w:rsidRPr="00873941" w:rsidRDefault="00B42785" w:rsidP="0088158A">
            <w:pPr>
              <w:pStyle w:val="TableText0"/>
              <w:jc w:val="center"/>
              <w:rPr>
                <w:rFonts w:eastAsia="Calibri" w:cs="Arial"/>
                <w:kern w:val="24"/>
              </w:rPr>
            </w:pPr>
            <w:r w:rsidRPr="00873941">
              <w:rPr>
                <w:rFonts w:eastAsia="Calibri" w:cs="Arial"/>
                <w:kern w:val="24"/>
              </w:rPr>
              <w:t>NR</w:t>
            </w:r>
          </w:p>
        </w:tc>
        <w:tc>
          <w:tcPr>
            <w:tcW w:w="601" w:type="pct"/>
            <w:shd w:val="clear" w:color="auto" w:fill="FFFFFF"/>
            <w:vAlign w:val="center"/>
          </w:tcPr>
          <w:p w14:paraId="6DC2FBE7" w14:textId="2B6EBC4A" w:rsidR="00B42785" w:rsidRPr="00873941" w:rsidRDefault="00B42785" w:rsidP="0088158A">
            <w:pPr>
              <w:pStyle w:val="TableText0"/>
              <w:jc w:val="center"/>
              <w:rPr>
                <w:rFonts w:eastAsia="Calibri" w:cs="Arial"/>
                <w:kern w:val="24"/>
              </w:rPr>
            </w:pPr>
            <w:r w:rsidRPr="00873941">
              <w:rPr>
                <w:rFonts w:eastAsia="Calibri" w:cs="Arial"/>
                <w:kern w:val="24"/>
              </w:rPr>
              <w:t>NR</w:t>
            </w:r>
          </w:p>
        </w:tc>
      </w:tr>
      <w:tr w:rsidR="00473873" w:rsidRPr="00873941" w14:paraId="25DC4DB2" w14:textId="77777777" w:rsidTr="00DC0EF1">
        <w:tc>
          <w:tcPr>
            <w:tcW w:w="1412" w:type="pct"/>
            <w:shd w:val="clear" w:color="auto" w:fill="auto"/>
            <w:vAlign w:val="center"/>
          </w:tcPr>
          <w:p w14:paraId="196184D7" w14:textId="232B8567" w:rsidR="00473873" w:rsidRPr="00873941" w:rsidRDefault="00473873" w:rsidP="0088158A">
            <w:pPr>
              <w:pStyle w:val="TableText0"/>
            </w:pPr>
            <w:r w:rsidRPr="00873941">
              <w:t>Infusion-related reactions (any grade)</w:t>
            </w:r>
          </w:p>
        </w:tc>
        <w:tc>
          <w:tcPr>
            <w:tcW w:w="1022" w:type="pct"/>
            <w:vAlign w:val="center"/>
          </w:tcPr>
          <w:p w14:paraId="4D31F8D5" w14:textId="49742A0E" w:rsidR="00473873" w:rsidRPr="00873941" w:rsidRDefault="00473873" w:rsidP="0088158A">
            <w:pPr>
              <w:pStyle w:val="TableText0"/>
              <w:jc w:val="center"/>
              <w:rPr>
                <w:rFonts w:eastAsia="Calibri" w:cs="Arial"/>
                <w:kern w:val="24"/>
              </w:rPr>
            </w:pPr>
            <w:r w:rsidRPr="00873941">
              <w:t>7 (6.5)</w:t>
            </w:r>
          </w:p>
        </w:tc>
        <w:tc>
          <w:tcPr>
            <w:tcW w:w="944" w:type="pct"/>
            <w:vAlign w:val="center"/>
          </w:tcPr>
          <w:p w14:paraId="1123DD39" w14:textId="52682D8F" w:rsidR="00473873" w:rsidRPr="00873941" w:rsidRDefault="00473873" w:rsidP="0088158A">
            <w:pPr>
              <w:pStyle w:val="TableText0"/>
              <w:jc w:val="center"/>
              <w:rPr>
                <w:rFonts w:eastAsia="Calibri" w:cs="Arial"/>
                <w:kern w:val="24"/>
              </w:rPr>
            </w:pPr>
            <w:r w:rsidRPr="00873941">
              <w:rPr>
                <w:rFonts w:eastAsia="Calibri" w:cs="Arial"/>
                <w:kern w:val="24"/>
              </w:rPr>
              <w:t>5 (4.7)</w:t>
            </w:r>
          </w:p>
        </w:tc>
        <w:tc>
          <w:tcPr>
            <w:tcW w:w="1021" w:type="pct"/>
            <w:shd w:val="clear" w:color="auto" w:fill="FFFFFF"/>
            <w:vAlign w:val="center"/>
          </w:tcPr>
          <w:p w14:paraId="27EA7F04" w14:textId="6D09F2B9" w:rsidR="00473873" w:rsidRPr="00873941" w:rsidRDefault="00473873" w:rsidP="0088158A">
            <w:pPr>
              <w:pStyle w:val="TableText0"/>
              <w:jc w:val="center"/>
              <w:rPr>
                <w:rFonts w:eastAsia="Calibri" w:cs="Arial"/>
                <w:kern w:val="24"/>
              </w:rPr>
            </w:pPr>
            <w:r w:rsidRPr="00873941">
              <w:t>NR</w:t>
            </w:r>
          </w:p>
        </w:tc>
        <w:tc>
          <w:tcPr>
            <w:tcW w:w="601" w:type="pct"/>
            <w:shd w:val="clear" w:color="auto" w:fill="FFFFFF"/>
            <w:vAlign w:val="center"/>
          </w:tcPr>
          <w:p w14:paraId="6A1795D7" w14:textId="31B19BEB" w:rsidR="00473873" w:rsidRPr="00873941" w:rsidRDefault="00473873" w:rsidP="0088158A">
            <w:pPr>
              <w:pStyle w:val="TableText0"/>
              <w:jc w:val="center"/>
              <w:rPr>
                <w:rFonts w:eastAsia="Calibri" w:cs="Arial"/>
                <w:kern w:val="24"/>
              </w:rPr>
            </w:pPr>
            <w:r w:rsidRPr="00873941">
              <w:t>NR</w:t>
            </w:r>
          </w:p>
        </w:tc>
      </w:tr>
      <w:tr w:rsidR="00473873" w:rsidRPr="00873941" w14:paraId="0FBD35B4" w14:textId="77777777" w:rsidTr="00357E0A">
        <w:tc>
          <w:tcPr>
            <w:tcW w:w="5000" w:type="pct"/>
            <w:gridSpan w:val="5"/>
            <w:shd w:val="clear" w:color="auto" w:fill="auto"/>
            <w:vAlign w:val="center"/>
          </w:tcPr>
          <w:p w14:paraId="2C2B2F2A" w14:textId="333742D1" w:rsidR="00473873" w:rsidRPr="00873941" w:rsidRDefault="00473873" w:rsidP="0088158A">
            <w:pPr>
              <w:pStyle w:val="In-tableHeading"/>
              <w:rPr>
                <w:lang w:val="en-AU"/>
              </w:rPr>
            </w:pPr>
            <w:r w:rsidRPr="00873941">
              <w:rPr>
                <w:lang w:val="en-AU"/>
              </w:rPr>
              <w:t>PEONY</w:t>
            </w:r>
          </w:p>
        </w:tc>
      </w:tr>
      <w:tr w:rsidR="00473873" w:rsidRPr="00873941" w14:paraId="30177A98" w14:textId="77777777" w:rsidTr="00357E0A">
        <w:tc>
          <w:tcPr>
            <w:tcW w:w="1412" w:type="pct"/>
            <w:shd w:val="clear" w:color="auto" w:fill="auto"/>
            <w:vAlign w:val="center"/>
          </w:tcPr>
          <w:p w14:paraId="04CF078C" w14:textId="2667DD89" w:rsidR="00473873" w:rsidRPr="00873941" w:rsidRDefault="00473873" w:rsidP="0088158A">
            <w:pPr>
              <w:pStyle w:val="TableText0"/>
            </w:pPr>
            <w:r w:rsidRPr="00873941">
              <w:t>SAEs</w:t>
            </w:r>
          </w:p>
        </w:tc>
        <w:tc>
          <w:tcPr>
            <w:tcW w:w="1022" w:type="pct"/>
            <w:shd w:val="clear" w:color="auto" w:fill="B8CCE4" w:themeFill="accent1" w:themeFillTint="66"/>
            <w:vAlign w:val="center"/>
          </w:tcPr>
          <w:p w14:paraId="1561325F" w14:textId="5C028872" w:rsidR="00473873" w:rsidRPr="00873941" w:rsidRDefault="00473873" w:rsidP="0088158A">
            <w:pPr>
              <w:pStyle w:val="TableText0"/>
              <w:jc w:val="center"/>
              <w:rPr>
                <w:rFonts w:eastAsia="Calibri" w:cs="Arial"/>
                <w:kern w:val="24"/>
              </w:rPr>
            </w:pPr>
            <w:r w:rsidRPr="00873941">
              <w:rPr>
                <w:rFonts w:eastAsia="Calibri" w:cs="Arial"/>
                <w:kern w:val="24"/>
              </w:rPr>
              <w:t>22 (10.1)</w:t>
            </w:r>
          </w:p>
        </w:tc>
        <w:tc>
          <w:tcPr>
            <w:tcW w:w="944" w:type="pct"/>
            <w:shd w:val="clear" w:color="auto" w:fill="B8CCE4" w:themeFill="accent1" w:themeFillTint="66"/>
            <w:vAlign w:val="center"/>
          </w:tcPr>
          <w:p w14:paraId="4CD615F1" w14:textId="68396A22" w:rsidR="00473873" w:rsidRPr="00873941" w:rsidRDefault="00473873" w:rsidP="0088158A">
            <w:pPr>
              <w:pStyle w:val="TableText0"/>
              <w:jc w:val="center"/>
              <w:rPr>
                <w:rFonts w:eastAsia="Calibri" w:cs="Arial"/>
                <w:kern w:val="24"/>
              </w:rPr>
            </w:pPr>
            <w:r w:rsidRPr="00873941">
              <w:rPr>
                <w:rFonts w:eastAsia="Calibri" w:cs="Arial"/>
                <w:kern w:val="24"/>
              </w:rPr>
              <w:t>9 (8.2)</w:t>
            </w:r>
          </w:p>
        </w:tc>
        <w:tc>
          <w:tcPr>
            <w:tcW w:w="1021" w:type="pct"/>
            <w:shd w:val="clear" w:color="auto" w:fill="FFFFFF"/>
            <w:vAlign w:val="center"/>
          </w:tcPr>
          <w:p w14:paraId="4C149791" w14:textId="7DA989B1" w:rsidR="00473873" w:rsidRPr="00873941" w:rsidRDefault="00473873" w:rsidP="0088158A">
            <w:pPr>
              <w:pStyle w:val="TableText0"/>
              <w:jc w:val="center"/>
              <w:rPr>
                <w:rFonts w:eastAsia="Calibri" w:cs="Arial"/>
                <w:kern w:val="24"/>
              </w:rPr>
            </w:pPr>
            <w:r w:rsidRPr="00873941">
              <w:rPr>
                <w:rFonts w:eastAsia="Calibri" w:cs="Arial"/>
                <w:kern w:val="24"/>
              </w:rPr>
              <w:t>1.23 (0.15, 2.59)</w:t>
            </w:r>
          </w:p>
        </w:tc>
        <w:tc>
          <w:tcPr>
            <w:tcW w:w="601" w:type="pct"/>
            <w:shd w:val="clear" w:color="auto" w:fill="FFFFFF"/>
            <w:vAlign w:val="center"/>
          </w:tcPr>
          <w:p w14:paraId="4D07676C" w14:textId="6C14485B" w:rsidR="00473873" w:rsidRPr="00873941" w:rsidRDefault="00473873" w:rsidP="0088158A">
            <w:pPr>
              <w:pStyle w:val="TableText0"/>
              <w:jc w:val="center"/>
              <w:rPr>
                <w:rFonts w:eastAsia="Calibri" w:cs="Arial"/>
                <w:kern w:val="24"/>
              </w:rPr>
            </w:pPr>
            <w:r w:rsidRPr="00873941">
              <w:rPr>
                <w:rFonts w:eastAsia="Calibri" w:cs="Arial"/>
                <w:kern w:val="24"/>
              </w:rPr>
              <w:t>0.58</w:t>
            </w:r>
          </w:p>
        </w:tc>
      </w:tr>
      <w:tr w:rsidR="00473873" w:rsidRPr="00873941" w14:paraId="6B47A5A3" w14:textId="77777777" w:rsidTr="00357E0A">
        <w:tc>
          <w:tcPr>
            <w:tcW w:w="1412" w:type="pct"/>
            <w:shd w:val="clear" w:color="auto" w:fill="auto"/>
            <w:vAlign w:val="center"/>
          </w:tcPr>
          <w:p w14:paraId="402204AC" w14:textId="1DAB3B95" w:rsidR="00473873" w:rsidRPr="00873941" w:rsidRDefault="00473873" w:rsidP="0088158A">
            <w:pPr>
              <w:pStyle w:val="TableText0"/>
            </w:pPr>
            <w:r w:rsidRPr="00873941">
              <w:t>AEs leading to discontinuation</w:t>
            </w:r>
          </w:p>
        </w:tc>
        <w:tc>
          <w:tcPr>
            <w:tcW w:w="1022" w:type="pct"/>
            <w:shd w:val="clear" w:color="auto" w:fill="auto"/>
            <w:vAlign w:val="center"/>
          </w:tcPr>
          <w:p w14:paraId="741A1EBC" w14:textId="229A97DA" w:rsidR="00473873" w:rsidRPr="00873941" w:rsidRDefault="00473873" w:rsidP="0088158A">
            <w:pPr>
              <w:pStyle w:val="TableText0"/>
              <w:jc w:val="center"/>
              <w:rPr>
                <w:rFonts w:eastAsia="Calibri" w:cs="Arial"/>
                <w:kern w:val="24"/>
              </w:rPr>
            </w:pPr>
            <w:r w:rsidRPr="00873941">
              <w:rPr>
                <w:rFonts w:eastAsia="Calibri" w:cs="Arial"/>
                <w:kern w:val="24"/>
              </w:rPr>
              <w:t>1 (0.5)</w:t>
            </w:r>
          </w:p>
        </w:tc>
        <w:tc>
          <w:tcPr>
            <w:tcW w:w="944" w:type="pct"/>
            <w:shd w:val="clear" w:color="auto" w:fill="auto"/>
            <w:vAlign w:val="center"/>
          </w:tcPr>
          <w:p w14:paraId="291A13DA" w14:textId="1FC05240" w:rsidR="00473873" w:rsidRPr="00873941" w:rsidRDefault="00473873" w:rsidP="0088158A">
            <w:pPr>
              <w:pStyle w:val="TableText0"/>
              <w:jc w:val="center"/>
              <w:rPr>
                <w:rFonts w:eastAsia="Calibri" w:cs="Arial"/>
                <w:kern w:val="24"/>
              </w:rPr>
            </w:pPr>
            <w:r w:rsidRPr="00873941">
              <w:rPr>
                <w:rFonts w:eastAsia="Calibri" w:cs="Arial"/>
                <w:kern w:val="24"/>
              </w:rPr>
              <w:t>0</w:t>
            </w:r>
          </w:p>
        </w:tc>
        <w:tc>
          <w:tcPr>
            <w:tcW w:w="1021" w:type="pct"/>
            <w:shd w:val="clear" w:color="auto" w:fill="FFFFFF"/>
            <w:vAlign w:val="center"/>
          </w:tcPr>
          <w:p w14:paraId="687847EB" w14:textId="63AEBA2E" w:rsidR="00473873" w:rsidRPr="00873941" w:rsidRDefault="00473873" w:rsidP="0088158A">
            <w:pPr>
              <w:pStyle w:val="TableText0"/>
              <w:jc w:val="center"/>
              <w:rPr>
                <w:rFonts w:eastAsia="Calibri" w:cs="Arial"/>
                <w:kern w:val="24"/>
              </w:rPr>
            </w:pPr>
            <w:r w:rsidRPr="00873941">
              <w:rPr>
                <w:rFonts w:eastAsia="Calibri" w:cs="Arial"/>
                <w:kern w:val="24"/>
              </w:rPr>
              <w:t>1.52 (0.06, 37.02)</w:t>
            </w:r>
          </w:p>
        </w:tc>
        <w:tc>
          <w:tcPr>
            <w:tcW w:w="601" w:type="pct"/>
            <w:shd w:val="clear" w:color="auto" w:fill="FFFFFF"/>
            <w:vAlign w:val="center"/>
          </w:tcPr>
          <w:p w14:paraId="696BE546" w14:textId="5704ECC5" w:rsidR="00473873" w:rsidRPr="00873941" w:rsidRDefault="00473873" w:rsidP="0088158A">
            <w:pPr>
              <w:pStyle w:val="TableText0"/>
              <w:jc w:val="center"/>
              <w:rPr>
                <w:rFonts w:eastAsia="Calibri" w:cs="Arial"/>
                <w:kern w:val="24"/>
              </w:rPr>
            </w:pPr>
            <w:r w:rsidRPr="00873941">
              <w:rPr>
                <w:rFonts w:eastAsia="Calibri" w:cs="Arial"/>
                <w:kern w:val="24"/>
              </w:rPr>
              <w:t>0.80</w:t>
            </w:r>
          </w:p>
        </w:tc>
      </w:tr>
      <w:tr w:rsidR="00473873" w:rsidRPr="00873941" w14:paraId="73102125" w14:textId="77777777" w:rsidTr="00357E0A">
        <w:tc>
          <w:tcPr>
            <w:tcW w:w="1412" w:type="pct"/>
            <w:shd w:val="clear" w:color="auto" w:fill="auto"/>
            <w:vAlign w:val="center"/>
          </w:tcPr>
          <w:p w14:paraId="1A597CFF" w14:textId="79AA84EB" w:rsidR="00473873" w:rsidRPr="00873941" w:rsidRDefault="00473873" w:rsidP="0088158A">
            <w:pPr>
              <w:pStyle w:val="TableText0"/>
            </w:pPr>
            <w:r w:rsidRPr="00873941">
              <w:t>Grade ≥3 AEs</w:t>
            </w:r>
          </w:p>
        </w:tc>
        <w:tc>
          <w:tcPr>
            <w:tcW w:w="1022" w:type="pct"/>
            <w:shd w:val="clear" w:color="auto" w:fill="auto"/>
            <w:vAlign w:val="center"/>
          </w:tcPr>
          <w:p w14:paraId="761D0279" w14:textId="642EA748" w:rsidR="00473873" w:rsidRPr="00873941" w:rsidRDefault="00473873" w:rsidP="0088158A">
            <w:pPr>
              <w:pStyle w:val="TableText0"/>
              <w:jc w:val="center"/>
              <w:rPr>
                <w:rFonts w:eastAsia="Calibri" w:cs="Arial"/>
                <w:kern w:val="24"/>
              </w:rPr>
            </w:pPr>
            <w:r w:rsidRPr="00873941">
              <w:rPr>
                <w:rFonts w:eastAsia="Calibri" w:cs="Arial"/>
                <w:kern w:val="24"/>
              </w:rPr>
              <w:t>106 (48.6)</w:t>
            </w:r>
          </w:p>
        </w:tc>
        <w:tc>
          <w:tcPr>
            <w:tcW w:w="944" w:type="pct"/>
            <w:shd w:val="clear" w:color="auto" w:fill="auto"/>
            <w:vAlign w:val="center"/>
          </w:tcPr>
          <w:p w14:paraId="51F4D2DE" w14:textId="6CD4707C" w:rsidR="00473873" w:rsidRPr="00873941" w:rsidRDefault="00473873" w:rsidP="0088158A">
            <w:pPr>
              <w:pStyle w:val="TableText0"/>
              <w:jc w:val="center"/>
              <w:rPr>
                <w:rFonts w:eastAsia="Calibri" w:cs="Arial"/>
                <w:kern w:val="24"/>
              </w:rPr>
            </w:pPr>
            <w:r w:rsidRPr="00873941">
              <w:rPr>
                <w:rFonts w:eastAsia="Calibri" w:cs="Arial"/>
                <w:kern w:val="24"/>
              </w:rPr>
              <w:t>46 (41.8)</w:t>
            </w:r>
          </w:p>
        </w:tc>
        <w:tc>
          <w:tcPr>
            <w:tcW w:w="1021" w:type="pct"/>
            <w:shd w:val="clear" w:color="auto" w:fill="FFFFFF"/>
            <w:vAlign w:val="center"/>
          </w:tcPr>
          <w:p w14:paraId="384A72AE" w14:textId="2CEC4480" w:rsidR="00473873" w:rsidRPr="00873941" w:rsidRDefault="00473873" w:rsidP="0088158A">
            <w:pPr>
              <w:pStyle w:val="TableText0"/>
              <w:jc w:val="center"/>
              <w:rPr>
                <w:rFonts w:eastAsia="Calibri" w:cs="Arial"/>
                <w:kern w:val="24"/>
              </w:rPr>
            </w:pPr>
            <w:r w:rsidRPr="00873941">
              <w:rPr>
                <w:rFonts w:eastAsia="Calibri" w:cs="Arial"/>
                <w:kern w:val="24"/>
              </w:rPr>
              <w:t>1.16 (0.90, 1.51)</w:t>
            </w:r>
          </w:p>
        </w:tc>
        <w:tc>
          <w:tcPr>
            <w:tcW w:w="601" w:type="pct"/>
            <w:shd w:val="clear" w:color="auto" w:fill="FFFFFF"/>
            <w:vAlign w:val="center"/>
          </w:tcPr>
          <w:p w14:paraId="1B1E437F" w14:textId="7F0CBB49" w:rsidR="00473873" w:rsidRPr="00873941" w:rsidRDefault="00473873" w:rsidP="0088158A">
            <w:pPr>
              <w:pStyle w:val="TableText0"/>
              <w:jc w:val="center"/>
              <w:rPr>
                <w:rFonts w:eastAsia="Calibri" w:cs="Arial"/>
                <w:kern w:val="24"/>
              </w:rPr>
            </w:pPr>
            <w:r w:rsidRPr="00873941">
              <w:rPr>
                <w:rFonts w:eastAsia="Calibri" w:cs="Arial"/>
                <w:kern w:val="24"/>
              </w:rPr>
              <w:t>0.25</w:t>
            </w:r>
          </w:p>
        </w:tc>
      </w:tr>
      <w:tr w:rsidR="00473873" w:rsidRPr="00873941" w14:paraId="481EE8B2" w14:textId="77777777" w:rsidTr="00357E0A">
        <w:tc>
          <w:tcPr>
            <w:tcW w:w="1412" w:type="pct"/>
            <w:shd w:val="clear" w:color="auto" w:fill="auto"/>
            <w:vAlign w:val="center"/>
          </w:tcPr>
          <w:p w14:paraId="3B879254" w14:textId="02F025A1" w:rsidR="00473873" w:rsidRPr="00873941" w:rsidRDefault="00473873" w:rsidP="0088158A">
            <w:pPr>
              <w:pStyle w:val="TableText0"/>
            </w:pPr>
            <w:r w:rsidRPr="00873941">
              <w:t>Diarrhoea (Grade ≥3)</w:t>
            </w:r>
          </w:p>
        </w:tc>
        <w:tc>
          <w:tcPr>
            <w:tcW w:w="1966" w:type="pct"/>
            <w:gridSpan w:val="2"/>
            <w:shd w:val="clear" w:color="auto" w:fill="FFFFFF"/>
            <w:vAlign w:val="center"/>
          </w:tcPr>
          <w:p w14:paraId="7C0B888A" w14:textId="39E884B1" w:rsidR="00473873" w:rsidRPr="00873941" w:rsidRDefault="00473873" w:rsidP="0088158A">
            <w:pPr>
              <w:pStyle w:val="TableText0"/>
              <w:jc w:val="center"/>
              <w:rPr>
                <w:rFonts w:eastAsia="Calibri" w:cs="Arial"/>
                <w:kern w:val="24"/>
              </w:rPr>
            </w:pPr>
            <w:r w:rsidRPr="00873941">
              <w:rPr>
                <w:rFonts w:eastAsia="Calibri" w:cs="Arial"/>
                <w:kern w:val="24"/>
              </w:rPr>
              <w:t>Less than 3% difference</w:t>
            </w:r>
          </w:p>
        </w:tc>
        <w:tc>
          <w:tcPr>
            <w:tcW w:w="1021" w:type="pct"/>
            <w:shd w:val="clear" w:color="auto" w:fill="FFFFFF"/>
            <w:vAlign w:val="center"/>
          </w:tcPr>
          <w:p w14:paraId="618202DA" w14:textId="0C2E43DA" w:rsidR="00473873" w:rsidRPr="00873941" w:rsidRDefault="00473873" w:rsidP="0088158A">
            <w:pPr>
              <w:pStyle w:val="TableText0"/>
              <w:jc w:val="center"/>
              <w:rPr>
                <w:rFonts w:eastAsia="Calibri" w:cs="Arial"/>
                <w:kern w:val="24"/>
              </w:rPr>
            </w:pPr>
            <w:r w:rsidRPr="00873941">
              <w:t>NR</w:t>
            </w:r>
          </w:p>
        </w:tc>
        <w:tc>
          <w:tcPr>
            <w:tcW w:w="601" w:type="pct"/>
            <w:shd w:val="clear" w:color="auto" w:fill="FFFFFF"/>
            <w:vAlign w:val="center"/>
          </w:tcPr>
          <w:p w14:paraId="53B4549D" w14:textId="65EDBBD0" w:rsidR="00473873" w:rsidRPr="00873941" w:rsidRDefault="00473873" w:rsidP="0088158A">
            <w:pPr>
              <w:pStyle w:val="TableText0"/>
              <w:jc w:val="center"/>
              <w:rPr>
                <w:rFonts w:eastAsia="Calibri" w:cs="Arial"/>
                <w:kern w:val="24"/>
              </w:rPr>
            </w:pPr>
            <w:r w:rsidRPr="00873941">
              <w:t>NR</w:t>
            </w:r>
          </w:p>
        </w:tc>
      </w:tr>
      <w:tr w:rsidR="00473873" w:rsidRPr="00873941" w14:paraId="17A5A798" w14:textId="77777777" w:rsidTr="00357E0A">
        <w:tc>
          <w:tcPr>
            <w:tcW w:w="1412" w:type="pct"/>
            <w:shd w:val="clear" w:color="auto" w:fill="auto"/>
            <w:vAlign w:val="center"/>
          </w:tcPr>
          <w:p w14:paraId="7357F7C1" w14:textId="053C8511" w:rsidR="00473873" w:rsidRPr="00873941" w:rsidRDefault="00473873" w:rsidP="0088158A">
            <w:pPr>
              <w:pStyle w:val="TableText0"/>
            </w:pPr>
            <w:r w:rsidRPr="00873941">
              <w:t>Diarrhoea (any grade)</w:t>
            </w:r>
          </w:p>
        </w:tc>
        <w:tc>
          <w:tcPr>
            <w:tcW w:w="1022" w:type="pct"/>
            <w:shd w:val="clear" w:color="auto" w:fill="B8CCE4" w:themeFill="accent1" w:themeFillTint="66"/>
            <w:vAlign w:val="center"/>
          </w:tcPr>
          <w:p w14:paraId="10C899E8" w14:textId="7DC99704" w:rsidR="00473873" w:rsidRPr="00873941" w:rsidRDefault="00473873" w:rsidP="0088158A">
            <w:pPr>
              <w:pStyle w:val="TableText0"/>
              <w:jc w:val="center"/>
              <w:rPr>
                <w:rFonts w:eastAsia="Calibri" w:cs="Arial"/>
                <w:kern w:val="24"/>
              </w:rPr>
            </w:pPr>
            <w:r w:rsidRPr="00873941">
              <w:t>84 (38.5)</w:t>
            </w:r>
          </w:p>
        </w:tc>
        <w:tc>
          <w:tcPr>
            <w:tcW w:w="944" w:type="pct"/>
            <w:shd w:val="clear" w:color="auto" w:fill="B8CCE4" w:themeFill="accent1" w:themeFillTint="66"/>
            <w:vAlign w:val="center"/>
          </w:tcPr>
          <w:p w14:paraId="7AC5173E" w14:textId="39B37D59" w:rsidR="00473873" w:rsidRPr="00873941" w:rsidRDefault="00473873" w:rsidP="0088158A">
            <w:pPr>
              <w:pStyle w:val="TableText0"/>
              <w:jc w:val="center"/>
              <w:rPr>
                <w:rFonts w:eastAsia="Calibri" w:cs="Arial"/>
                <w:kern w:val="24"/>
              </w:rPr>
            </w:pPr>
            <w:r w:rsidRPr="00873941">
              <w:t>18 (16.4)</w:t>
            </w:r>
          </w:p>
        </w:tc>
        <w:tc>
          <w:tcPr>
            <w:tcW w:w="1021" w:type="pct"/>
            <w:shd w:val="clear" w:color="auto" w:fill="FFFFFF"/>
            <w:vAlign w:val="center"/>
          </w:tcPr>
          <w:p w14:paraId="7619AE0A" w14:textId="35DC93C7" w:rsidR="00473873" w:rsidRPr="00873941" w:rsidRDefault="00473873" w:rsidP="0088158A">
            <w:pPr>
              <w:pStyle w:val="TableText0"/>
              <w:jc w:val="center"/>
              <w:rPr>
                <w:rFonts w:eastAsia="Calibri" w:cs="Arial"/>
                <w:kern w:val="24"/>
              </w:rPr>
            </w:pPr>
            <w:r w:rsidRPr="00873941">
              <w:t>NR</w:t>
            </w:r>
          </w:p>
        </w:tc>
        <w:tc>
          <w:tcPr>
            <w:tcW w:w="601" w:type="pct"/>
            <w:shd w:val="clear" w:color="auto" w:fill="FFFFFF"/>
            <w:vAlign w:val="center"/>
          </w:tcPr>
          <w:p w14:paraId="5236B409" w14:textId="6A1E07F7" w:rsidR="00473873" w:rsidRPr="00873941" w:rsidRDefault="00473873" w:rsidP="0088158A">
            <w:pPr>
              <w:pStyle w:val="TableText0"/>
              <w:jc w:val="center"/>
              <w:rPr>
                <w:rFonts w:eastAsia="Calibri" w:cs="Arial"/>
                <w:kern w:val="24"/>
              </w:rPr>
            </w:pPr>
            <w:r w:rsidRPr="00873941">
              <w:t>NR</w:t>
            </w:r>
          </w:p>
        </w:tc>
      </w:tr>
      <w:tr w:rsidR="00473873" w:rsidRPr="00873941" w14:paraId="3CFCB226" w14:textId="77777777" w:rsidTr="00357E0A">
        <w:tc>
          <w:tcPr>
            <w:tcW w:w="1412" w:type="pct"/>
            <w:shd w:val="clear" w:color="auto" w:fill="auto"/>
            <w:vAlign w:val="center"/>
          </w:tcPr>
          <w:p w14:paraId="1C432D27" w14:textId="01A8B03A" w:rsidR="00473873" w:rsidRPr="00873941" w:rsidRDefault="00473873" w:rsidP="0088158A">
            <w:pPr>
              <w:pStyle w:val="TableText0"/>
            </w:pPr>
            <w:r w:rsidRPr="00873941">
              <w:t>LVSD or CHF (any grade)</w:t>
            </w:r>
            <w:r w:rsidRPr="00873941">
              <w:rPr>
                <w:vertAlign w:val="superscript"/>
              </w:rPr>
              <w:t>c</w:t>
            </w:r>
          </w:p>
        </w:tc>
        <w:tc>
          <w:tcPr>
            <w:tcW w:w="1022" w:type="pct"/>
            <w:shd w:val="clear" w:color="auto" w:fill="FFFFFF"/>
            <w:vAlign w:val="center"/>
          </w:tcPr>
          <w:p w14:paraId="5827EC83" w14:textId="628FD83F" w:rsidR="00473873" w:rsidRPr="00873941" w:rsidRDefault="00473873" w:rsidP="0088158A">
            <w:pPr>
              <w:pStyle w:val="TableText0"/>
              <w:jc w:val="center"/>
              <w:rPr>
                <w:rFonts w:eastAsia="Calibri" w:cs="Arial"/>
                <w:kern w:val="24"/>
              </w:rPr>
            </w:pPr>
            <w:r w:rsidRPr="00873941">
              <w:t>0 (0)</w:t>
            </w:r>
          </w:p>
        </w:tc>
        <w:tc>
          <w:tcPr>
            <w:tcW w:w="944" w:type="pct"/>
            <w:shd w:val="clear" w:color="auto" w:fill="FFFFFF"/>
            <w:vAlign w:val="center"/>
          </w:tcPr>
          <w:p w14:paraId="0EA9320A" w14:textId="4367C1C0" w:rsidR="00473873" w:rsidRPr="00873941" w:rsidRDefault="00473873" w:rsidP="0088158A">
            <w:pPr>
              <w:pStyle w:val="TableText0"/>
              <w:jc w:val="center"/>
              <w:rPr>
                <w:rFonts w:eastAsia="Calibri" w:cs="Arial"/>
                <w:kern w:val="24"/>
              </w:rPr>
            </w:pPr>
            <w:r w:rsidRPr="00873941">
              <w:t>0 (0)</w:t>
            </w:r>
          </w:p>
        </w:tc>
        <w:tc>
          <w:tcPr>
            <w:tcW w:w="1021" w:type="pct"/>
            <w:shd w:val="clear" w:color="auto" w:fill="FFFFFF"/>
            <w:vAlign w:val="center"/>
          </w:tcPr>
          <w:p w14:paraId="0BF151F3" w14:textId="7E80CCEB" w:rsidR="00473873" w:rsidRPr="00873941" w:rsidRDefault="00473873" w:rsidP="0088158A">
            <w:pPr>
              <w:pStyle w:val="TableText0"/>
              <w:jc w:val="center"/>
              <w:rPr>
                <w:rFonts w:eastAsia="Calibri" w:cs="Arial"/>
                <w:kern w:val="24"/>
              </w:rPr>
            </w:pPr>
            <w:r w:rsidRPr="00873941">
              <w:t>NR</w:t>
            </w:r>
          </w:p>
        </w:tc>
        <w:tc>
          <w:tcPr>
            <w:tcW w:w="601" w:type="pct"/>
            <w:shd w:val="clear" w:color="auto" w:fill="FFFFFF"/>
            <w:vAlign w:val="center"/>
          </w:tcPr>
          <w:p w14:paraId="43E1801D" w14:textId="2E426256" w:rsidR="00473873" w:rsidRPr="00873941" w:rsidRDefault="00473873" w:rsidP="0088158A">
            <w:pPr>
              <w:pStyle w:val="TableText0"/>
              <w:jc w:val="center"/>
              <w:rPr>
                <w:rFonts w:eastAsia="Calibri" w:cs="Arial"/>
                <w:kern w:val="24"/>
              </w:rPr>
            </w:pPr>
            <w:r w:rsidRPr="00873941">
              <w:t>NR</w:t>
            </w:r>
          </w:p>
        </w:tc>
      </w:tr>
      <w:tr w:rsidR="00473873" w:rsidRPr="00873941" w14:paraId="30ADF11B" w14:textId="77777777" w:rsidTr="00357E0A">
        <w:tc>
          <w:tcPr>
            <w:tcW w:w="1412" w:type="pct"/>
            <w:shd w:val="clear" w:color="auto" w:fill="auto"/>
            <w:vAlign w:val="center"/>
          </w:tcPr>
          <w:p w14:paraId="265D410E" w14:textId="7F71BA86" w:rsidR="00473873" w:rsidRPr="00873941" w:rsidRDefault="00473873" w:rsidP="0088158A">
            <w:pPr>
              <w:pStyle w:val="TableText0"/>
            </w:pPr>
            <w:r w:rsidRPr="00873941">
              <w:t>Infusion-related reactions (any grade)</w:t>
            </w:r>
          </w:p>
        </w:tc>
        <w:tc>
          <w:tcPr>
            <w:tcW w:w="1022" w:type="pct"/>
            <w:shd w:val="clear" w:color="auto" w:fill="B8CCE4" w:themeFill="accent1" w:themeFillTint="66"/>
            <w:vAlign w:val="center"/>
          </w:tcPr>
          <w:p w14:paraId="62958C40" w14:textId="105626AD" w:rsidR="00473873" w:rsidRPr="00873941" w:rsidRDefault="00473873" w:rsidP="0088158A">
            <w:pPr>
              <w:pStyle w:val="TableText0"/>
              <w:jc w:val="center"/>
              <w:rPr>
                <w:rFonts w:eastAsia="Calibri" w:cs="Arial"/>
                <w:kern w:val="24"/>
              </w:rPr>
            </w:pPr>
            <w:r w:rsidRPr="00873941">
              <w:rPr>
                <w:rFonts w:eastAsia="Calibri" w:cs="Arial"/>
                <w:kern w:val="24"/>
              </w:rPr>
              <w:t>48 (22.0)</w:t>
            </w:r>
          </w:p>
        </w:tc>
        <w:tc>
          <w:tcPr>
            <w:tcW w:w="944" w:type="pct"/>
            <w:shd w:val="clear" w:color="auto" w:fill="B8CCE4" w:themeFill="accent1" w:themeFillTint="66"/>
            <w:vAlign w:val="center"/>
          </w:tcPr>
          <w:p w14:paraId="1E326F1C" w14:textId="54167DC2" w:rsidR="00473873" w:rsidRPr="00873941" w:rsidRDefault="00473873" w:rsidP="0088158A">
            <w:pPr>
              <w:pStyle w:val="TableText0"/>
              <w:jc w:val="center"/>
              <w:rPr>
                <w:rFonts w:eastAsia="Calibri" w:cs="Arial"/>
                <w:kern w:val="24"/>
              </w:rPr>
            </w:pPr>
            <w:r w:rsidRPr="00873941">
              <w:rPr>
                <w:rFonts w:eastAsia="Calibri" w:cs="Arial"/>
                <w:kern w:val="24"/>
              </w:rPr>
              <w:t>10 (9.1)</w:t>
            </w:r>
          </w:p>
        </w:tc>
        <w:tc>
          <w:tcPr>
            <w:tcW w:w="1021" w:type="pct"/>
            <w:shd w:val="clear" w:color="auto" w:fill="FFFFFF"/>
            <w:vAlign w:val="center"/>
          </w:tcPr>
          <w:p w14:paraId="0FDD4251" w14:textId="7DE35D2E" w:rsidR="00473873" w:rsidRPr="00873941" w:rsidRDefault="00473873" w:rsidP="0088158A">
            <w:pPr>
              <w:pStyle w:val="TableText0"/>
              <w:jc w:val="center"/>
              <w:rPr>
                <w:rFonts w:eastAsia="Calibri" w:cs="Arial"/>
                <w:kern w:val="24"/>
              </w:rPr>
            </w:pPr>
            <w:r w:rsidRPr="00873941">
              <w:t>NR</w:t>
            </w:r>
          </w:p>
        </w:tc>
        <w:tc>
          <w:tcPr>
            <w:tcW w:w="601" w:type="pct"/>
            <w:shd w:val="clear" w:color="auto" w:fill="FFFFFF"/>
            <w:vAlign w:val="center"/>
          </w:tcPr>
          <w:p w14:paraId="3645D94B" w14:textId="167AA885" w:rsidR="00473873" w:rsidRPr="00873941" w:rsidRDefault="00473873" w:rsidP="0088158A">
            <w:pPr>
              <w:pStyle w:val="TableText0"/>
              <w:jc w:val="center"/>
              <w:rPr>
                <w:rFonts w:eastAsia="Calibri" w:cs="Arial"/>
                <w:kern w:val="24"/>
              </w:rPr>
            </w:pPr>
            <w:r w:rsidRPr="00873941">
              <w:t>NR</w:t>
            </w:r>
          </w:p>
        </w:tc>
      </w:tr>
      <w:tr w:rsidR="00473873" w:rsidRPr="00873941" w14:paraId="4478BC87" w14:textId="77777777" w:rsidTr="00357E0A">
        <w:tc>
          <w:tcPr>
            <w:tcW w:w="5000" w:type="pct"/>
            <w:gridSpan w:val="5"/>
            <w:shd w:val="clear" w:color="auto" w:fill="auto"/>
            <w:vAlign w:val="center"/>
          </w:tcPr>
          <w:p w14:paraId="2727FF45" w14:textId="68B427E5" w:rsidR="00473873" w:rsidRPr="00873941" w:rsidRDefault="00473873" w:rsidP="0088158A">
            <w:pPr>
              <w:pStyle w:val="In-tableHeading"/>
              <w:rPr>
                <w:lang w:val="en-AU"/>
              </w:rPr>
            </w:pPr>
            <w:r w:rsidRPr="00873941">
              <w:rPr>
                <w:lang w:val="en-AU"/>
              </w:rPr>
              <w:t>I-SPY2</w:t>
            </w:r>
          </w:p>
        </w:tc>
      </w:tr>
      <w:tr w:rsidR="00473873" w:rsidRPr="00873941" w14:paraId="06455862" w14:textId="77777777" w:rsidTr="00357E0A">
        <w:tc>
          <w:tcPr>
            <w:tcW w:w="1412" w:type="pct"/>
            <w:shd w:val="clear" w:color="auto" w:fill="auto"/>
            <w:vAlign w:val="center"/>
          </w:tcPr>
          <w:p w14:paraId="1A377534" w14:textId="4F7DC09A" w:rsidR="00473873" w:rsidRPr="00873941" w:rsidRDefault="00473873" w:rsidP="0088158A">
            <w:pPr>
              <w:pStyle w:val="TableText0"/>
            </w:pPr>
            <w:r w:rsidRPr="00873941">
              <w:t>SAEs</w:t>
            </w:r>
          </w:p>
        </w:tc>
        <w:tc>
          <w:tcPr>
            <w:tcW w:w="1022" w:type="pct"/>
            <w:shd w:val="clear" w:color="auto" w:fill="FFFFFF"/>
            <w:vAlign w:val="center"/>
          </w:tcPr>
          <w:p w14:paraId="5C9812D9" w14:textId="509DBD1B" w:rsidR="00473873" w:rsidRPr="00873941" w:rsidRDefault="00473873" w:rsidP="0088158A">
            <w:pPr>
              <w:pStyle w:val="TableText0"/>
              <w:jc w:val="center"/>
              <w:rPr>
                <w:rFonts w:eastAsia="Calibri" w:cs="Arial"/>
                <w:kern w:val="24"/>
              </w:rPr>
            </w:pPr>
            <w:r w:rsidRPr="00873941">
              <w:rPr>
                <w:rFonts w:eastAsia="Calibri" w:cs="Arial"/>
                <w:kern w:val="24"/>
              </w:rPr>
              <w:t>NR</w:t>
            </w:r>
          </w:p>
        </w:tc>
        <w:tc>
          <w:tcPr>
            <w:tcW w:w="944" w:type="pct"/>
            <w:shd w:val="clear" w:color="auto" w:fill="FFFFFF"/>
            <w:vAlign w:val="center"/>
          </w:tcPr>
          <w:p w14:paraId="5117E932" w14:textId="4E6C97CA" w:rsidR="00473873" w:rsidRPr="00873941" w:rsidRDefault="00473873" w:rsidP="0088158A">
            <w:pPr>
              <w:pStyle w:val="TableText0"/>
              <w:jc w:val="center"/>
              <w:rPr>
                <w:rFonts w:eastAsia="Calibri" w:cs="Arial"/>
                <w:kern w:val="24"/>
              </w:rPr>
            </w:pPr>
            <w:r w:rsidRPr="00873941">
              <w:rPr>
                <w:rFonts w:eastAsia="Calibri" w:cs="Arial"/>
                <w:kern w:val="24"/>
              </w:rPr>
              <w:t>NR</w:t>
            </w:r>
          </w:p>
        </w:tc>
        <w:tc>
          <w:tcPr>
            <w:tcW w:w="1021" w:type="pct"/>
            <w:shd w:val="clear" w:color="auto" w:fill="FFFFFF"/>
            <w:vAlign w:val="center"/>
          </w:tcPr>
          <w:p w14:paraId="1D59FF41" w14:textId="3707F833" w:rsidR="00473873" w:rsidRPr="00873941" w:rsidRDefault="00473873" w:rsidP="0088158A">
            <w:pPr>
              <w:pStyle w:val="TableText0"/>
              <w:jc w:val="center"/>
              <w:rPr>
                <w:rFonts w:eastAsia="Calibri" w:cs="Arial"/>
                <w:kern w:val="24"/>
              </w:rPr>
            </w:pPr>
            <w:r w:rsidRPr="00873941">
              <w:t>NR</w:t>
            </w:r>
          </w:p>
        </w:tc>
        <w:tc>
          <w:tcPr>
            <w:tcW w:w="601" w:type="pct"/>
            <w:shd w:val="clear" w:color="auto" w:fill="FFFFFF"/>
            <w:vAlign w:val="center"/>
          </w:tcPr>
          <w:p w14:paraId="20A21D28" w14:textId="47C991DF" w:rsidR="00473873" w:rsidRPr="00873941" w:rsidRDefault="00473873" w:rsidP="0088158A">
            <w:pPr>
              <w:pStyle w:val="TableText0"/>
              <w:jc w:val="center"/>
              <w:rPr>
                <w:rFonts w:eastAsia="Calibri" w:cs="Arial"/>
                <w:kern w:val="24"/>
              </w:rPr>
            </w:pPr>
            <w:r w:rsidRPr="00873941">
              <w:t>NR</w:t>
            </w:r>
          </w:p>
        </w:tc>
      </w:tr>
      <w:tr w:rsidR="00473873" w:rsidRPr="00873941" w14:paraId="0B7731CD" w14:textId="77777777" w:rsidTr="00357E0A">
        <w:tc>
          <w:tcPr>
            <w:tcW w:w="1412" w:type="pct"/>
            <w:shd w:val="clear" w:color="auto" w:fill="auto"/>
            <w:vAlign w:val="center"/>
          </w:tcPr>
          <w:p w14:paraId="116B3225" w14:textId="4D197628" w:rsidR="00473873" w:rsidRPr="00873941" w:rsidRDefault="00473873" w:rsidP="0088158A">
            <w:pPr>
              <w:pStyle w:val="TableText0"/>
            </w:pPr>
            <w:r w:rsidRPr="00873941">
              <w:t>AEs leading to discontinuation</w:t>
            </w:r>
          </w:p>
        </w:tc>
        <w:tc>
          <w:tcPr>
            <w:tcW w:w="1022" w:type="pct"/>
            <w:shd w:val="clear" w:color="auto" w:fill="FFFFFF"/>
            <w:vAlign w:val="center"/>
          </w:tcPr>
          <w:p w14:paraId="586F5FA0" w14:textId="11524C05" w:rsidR="00473873" w:rsidRPr="00873941" w:rsidRDefault="00473873" w:rsidP="0088158A">
            <w:pPr>
              <w:pStyle w:val="TableText0"/>
              <w:jc w:val="center"/>
              <w:rPr>
                <w:rFonts w:eastAsia="Calibri" w:cs="Arial"/>
                <w:kern w:val="24"/>
              </w:rPr>
            </w:pPr>
            <w:r w:rsidRPr="00873941">
              <w:rPr>
                <w:rFonts w:eastAsia="Calibri" w:cs="Arial"/>
                <w:kern w:val="24"/>
              </w:rPr>
              <w:t>Pac. period: 3 (6.7)</w:t>
            </w:r>
            <w:r w:rsidRPr="00873941">
              <w:rPr>
                <w:rFonts w:eastAsia="Calibri" w:cs="Arial"/>
                <w:kern w:val="24"/>
              </w:rPr>
              <w:br/>
              <w:t>Ant. period: 2 (5.0)</w:t>
            </w:r>
          </w:p>
        </w:tc>
        <w:tc>
          <w:tcPr>
            <w:tcW w:w="944" w:type="pct"/>
            <w:shd w:val="clear" w:color="auto" w:fill="FFFFFF"/>
            <w:vAlign w:val="center"/>
          </w:tcPr>
          <w:p w14:paraId="3EBFAD84" w14:textId="4FE4EBE4" w:rsidR="00473873" w:rsidRPr="00873941" w:rsidRDefault="00473873" w:rsidP="0088158A">
            <w:pPr>
              <w:pStyle w:val="TableText0"/>
              <w:jc w:val="center"/>
              <w:rPr>
                <w:rFonts w:eastAsia="Calibri" w:cs="Arial"/>
                <w:kern w:val="24"/>
              </w:rPr>
            </w:pPr>
            <w:r w:rsidRPr="00873941">
              <w:rPr>
                <w:rFonts w:eastAsia="Calibri" w:cs="Arial"/>
                <w:kern w:val="24"/>
              </w:rPr>
              <w:t>0</w:t>
            </w:r>
          </w:p>
          <w:p w14:paraId="43B46114" w14:textId="5A706FED" w:rsidR="00473873" w:rsidRPr="00873941" w:rsidRDefault="00473873" w:rsidP="0088158A">
            <w:pPr>
              <w:pStyle w:val="TableText0"/>
              <w:jc w:val="center"/>
              <w:rPr>
                <w:rFonts w:eastAsia="Calibri" w:cs="Arial"/>
                <w:kern w:val="24"/>
              </w:rPr>
            </w:pPr>
            <w:r w:rsidRPr="00873941">
              <w:rPr>
                <w:rFonts w:eastAsia="Calibri" w:cs="Arial"/>
                <w:kern w:val="24"/>
              </w:rPr>
              <w:t>0</w:t>
            </w:r>
          </w:p>
        </w:tc>
        <w:tc>
          <w:tcPr>
            <w:tcW w:w="1021" w:type="pct"/>
            <w:shd w:val="clear" w:color="auto" w:fill="FFFFFF"/>
            <w:vAlign w:val="center"/>
          </w:tcPr>
          <w:p w14:paraId="79FD21F1" w14:textId="6E1FF033" w:rsidR="00473873" w:rsidRPr="00873941" w:rsidRDefault="00473873" w:rsidP="0088158A">
            <w:pPr>
              <w:pStyle w:val="TableText0"/>
              <w:jc w:val="center"/>
            </w:pPr>
            <w:r w:rsidRPr="00873941">
              <w:rPr>
                <w:rFonts w:eastAsia="Calibri" w:cs="Arial"/>
                <w:kern w:val="24"/>
              </w:rPr>
              <w:t>NR</w:t>
            </w:r>
          </w:p>
        </w:tc>
        <w:tc>
          <w:tcPr>
            <w:tcW w:w="601" w:type="pct"/>
            <w:shd w:val="clear" w:color="auto" w:fill="FFFFFF"/>
            <w:vAlign w:val="center"/>
          </w:tcPr>
          <w:p w14:paraId="7F0C070B" w14:textId="5A4EB9E7" w:rsidR="00473873" w:rsidRPr="00873941" w:rsidRDefault="00473873" w:rsidP="0088158A">
            <w:pPr>
              <w:pStyle w:val="TableText0"/>
              <w:jc w:val="center"/>
            </w:pPr>
            <w:r w:rsidRPr="00873941">
              <w:rPr>
                <w:rFonts w:eastAsia="Calibri" w:cs="Arial"/>
                <w:kern w:val="24"/>
              </w:rPr>
              <w:t>NR</w:t>
            </w:r>
          </w:p>
        </w:tc>
      </w:tr>
      <w:tr w:rsidR="00473873" w:rsidRPr="00873941" w14:paraId="65E663B0" w14:textId="77777777" w:rsidTr="00357E0A">
        <w:tc>
          <w:tcPr>
            <w:tcW w:w="1412" w:type="pct"/>
            <w:shd w:val="clear" w:color="auto" w:fill="auto"/>
            <w:vAlign w:val="center"/>
          </w:tcPr>
          <w:p w14:paraId="724D0CDE" w14:textId="2652B175" w:rsidR="00473873" w:rsidRPr="00873941" w:rsidRDefault="00473873" w:rsidP="0088158A">
            <w:pPr>
              <w:pStyle w:val="TableText0"/>
            </w:pPr>
            <w:r w:rsidRPr="00873941">
              <w:t>Grade ≥3 AEs</w:t>
            </w:r>
          </w:p>
        </w:tc>
        <w:tc>
          <w:tcPr>
            <w:tcW w:w="1022" w:type="pct"/>
            <w:shd w:val="clear" w:color="auto" w:fill="FFFFFF"/>
            <w:vAlign w:val="center"/>
          </w:tcPr>
          <w:p w14:paraId="10F3A221" w14:textId="4BDDFD52" w:rsidR="00473873" w:rsidRPr="00873941" w:rsidRDefault="00473873" w:rsidP="0088158A">
            <w:pPr>
              <w:pStyle w:val="TableText0"/>
              <w:jc w:val="center"/>
              <w:rPr>
                <w:rFonts w:eastAsia="Calibri" w:cs="Arial"/>
                <w:kern w:val="24"/>
              </w:rPr>
            </w:pPr>
            <w:r w:rsidRPr="00873941">
              <w:rPr>
                <w:rFonts w:eastAsia="Calibri" w:cs="Arial"/>
                <w:kern w:val="24"/>
              </w:rPr>
              <w:t>Pac. period: 5 (11)</w:t>
            </w:r>
            <w:r w:rsidRPr="00873941">
              <w:rPr>
                <w:rFonts w:eastAsia="Calibri" w:cs="Arial"/>
                <w:kern w:val="24"/>
              </w:rPr>
              <w:br/>
              <w:t>Ant. period: 4 (10)</w:t>
            </w:r>
          </w:p>
        </w:tc>
        <w:tc>
          <w:tcPr>
            <w:tcW w:w="944" w:type="pct"/>
            <w:shd w:val="clear" w:color="auto" w:fill="FFFFFF"/>
            <w:vAlign w:val="center"/>
          </w:tcPr>
          <w:p w14:paraId="4DD80FA7" w14:textId="77777777" w:rsidR="00473873" w:rsidRPr="00873941" w:rsidRDefault="00473873" w:rsidP="0088158A">
            <w:pPr>
              <w:pStyle w:val="TableText0"/>
              <w:jc w:val="center"/>
              <w:rPr>
                <w:rFonts w:eastAsia="Calibri" w:cs="Arial"/>
                <w:kern w:val="24"/>
              </w:rPr>
            </w:pPr>
            <w:r w:rsidRPr="00873941">
              <w:rPr>
                <w:rFonts w:eastAsia="Calibri" w:cs="Arial"/>
                <w:kern w:val="24"/>
              </w:rPr>
              <w:t>3 (9.7)</w:t>
            </w:r>
          </w:p>
          <w:p w14:paraId="6D9F7AAB" w14:textId="74DD5B12" w:rsidR="00473873" w:rsidRPr="00873941" w:rsidRDefault="00473873" w:rsidP="0088158A">
            <w:pPr>
              <w:pStyle w:val="TableText0"/>
              <w:jc w:val="center"/>
              <w:rPr>
                <w:rFonts w:eastAsia="Calibri" w:cs="Arial"/>
                <w:kern w:val="24"/>
              </w:rPr>
            </w:pPr>
            <w:r w:rsidRPr="00873941">
              <w:rPr>
                <w:rFonts w:eastAsia="Calibri" w:cs="Arial"/>
                <w:kern w:val="24"/>
              </w:rPr>
              <w:t>3 (10.7)</w:t>
            </w:r>
          </w:p>
        </w:tc>
        <w:tc>
          <w:tcPr>
            <w:tcW w:w="1021" w:type="pct"/>
            <w:shd w:val="clear" w:color="auto" w:fill="FFFFFF"/>
            <w:vAlign w:val="center"/>
          </w:tcPr>
          <w:p w14:paraId="1A31D22F" w14:textId="6AFBC6D6" w:rsidR="00473873" w:rsidRPr="00873941" w:rsidRDefault="00473873" w:rsidP="0088158A">
            <w:pPr>
              <w:pStyle w:val="TableText0"/>
              <w:jc w:val="center"/>
              <w:rPr>
                <w:rFonts w:eastAsia="Calibri" w:cs="Arial"/>
                <w:kern w:val="24"/>
              </w:rPr>
            </w:pPr>
            <w:r w:rsidRPr="00873941">
              <w:rPr>
                <w:rFonts w:eastAsia="Calibri" w:cs="Arial"/>
                <w:kern w:val="24"/>
              </w:rPr>
              <w:t>NR</w:t>
            </w:r>
          </w:p>
        </w:tc>
        <w:tc>
          <w:tcPr>
            <w:tcW w:w="601" w:type="pct"/>
            <w:shd w:val="clear" w:color="auto" w:fill="FFFFFF"/>
            <w:vAlign w:val="center"/>
          </w:tcPr>
          <w:p w14:paraId="04590375" w14:textId="5807DEFA" w:rsidR="00473873" w:rsidRPr="00873941" w:rsidRDefault="00473873" w:rsidP="0088158A">
            <w:pPr>
              <w:pStyle w:val="TableText0"/>
              <w:jc w:val="center"/>
              <w:rPr>
                <w:rFonts w:eastAsia="Calibri" w:cs="Arial"/>
                <w:kern w:val="24"/>
              </w:rPr>
            </w:pPr>
            <w:r w:rsidRPr="00873941">
              <w:rPr>
                <w:rFonts w:eastAsia="Calibri" w:cs="Arial"/>
                <w:kern w:val="24"/>
              </w:rPr>
              <w:t>NR</w:t>
            </w:r>
          </w:p>
        </w:tc>
      </w:tr>
      <w:tr w:rsidR="00473873" w:rsidRPr="00873941" w14:paraId="2C847AE8" w14:textId="77777777" w:rsidTr="00357E0A">
        <w:tc>
          <w:tcPr>
            <w:tcW w:w="1412" w:type="pct"/>
            <w:shd w:val="clear" w:color="auto" w:fill="auto"/>
            <w:vAlign w:val="center"/>
          </w:tcPr>
          <w:p w14:paraId="3E4FAA00" w14:textId="486F9BDE" w:rsidR="00473873" w:rsidRPr="00873941" w:rsidRDefault="00473873" w:rsidP="0088158A">
            <w:pPr>
              <w:pStyle w:val="TableText0"/>
            </w:pPr>
            <w:r w:rsidRPr="00873941">
              <w:t>Diarrhoea (Grade ≥3)</w:t>
            </w:r>
          </w:p>
        </w:tc>
        <w:tc>
          <w:tcPr>
            <w:tcW w:w="1022" w:type="pct"/>
            <w:shd w:val="clear" w:color="auto" w:fill="FFFFFF"/>
            <w:vAlign w:val="center"/>
          </w:tcPr>
          <w:p w14:paraId="113986DD" w14:textId="15AE8A3E" w:rsidR="00473873" w:rsidRPr="00873941" w:rsidRDefault="00473873" w:rsidP="0088158A">
            <w:pPr>
              <w:pStyle w:val="TableText0"/>
              <w:jc w:val="center"/>
              <w:rPr>
                <w:rFonts w:eastAsia="Calibri" w:cs="Arial"/>
                <w:kern w:val="24"/>
              </w:rPr>
            </w:pPr>
            <w:r w:rsidRPr="00873941">
              <w:rPr>
                <w:rFonts w:eastAsia="Calibri" w:cs="Arial"/>
                <w:kern w:val="24"/>
              </w:rPr>
              <w:t>Pac. period: 0</w:t>
            </w:r>
            <w:r w:rsidRPr="00873941">
              <w:rPr>
                <w:rFonts w:eastAsia="Calibri" w:cs="Arial"/>
                <w:kern w:val="24"/>
              </w:rPr>
              <w:br/>
              <w:t>Ant. period: 0</w:t>
            </w:r>
          </w:p>
        </w:tc>
        <w:tc>
          <w:tcPr>
            <w:tcW w:w="944" w:type="pct"/>
            <w:shd w:val="clear" w:color="auto" w:fill="FFFFFF"/>
            <w:vAlign w:val="center"/>
          </w:tcPr>
          <w:p w14:paraId="61A0432F" w14:textId="77777777" w:rsidR="00473873" w:rsidRPr="00873941" w:rsidRDefault="00473873" w:rsidP="0088158A">
            <w:pPr>
              <w:pStyle w:val="TableText0"/>
              <w:jc w:val="center"/>
              <w:rPr>
                <w:rFonts w:eastAsia="Calibri" w:cs="Arial"/>
                <w:kern w:val="24"/>
              </w:rPr>
            </w:pPr>
            <w:r w:rsidRPr="00873941">
              <w:rPr>
                <w:rFonts w:eastAsia="Calibri" w:cs="Arial"/>
                <w:kern w:val="24"/>
              </w:rPr>
              <w:t>1 (3.2)</w:t>
            </w:r>
          </w:p>
          <w:p w14:paraId="66F77CFD" w14:textId="5C3E4966" w:rsidR="00473873" w:rsidRPr="00873941" w:rsidRDefault="00473873" w:rsidP="0088158A">
            <w:pPr>
              <w:pStyle w:val="TableText0"/>
              <w:jc w:val="center"/>
              <w:rPr>
                <w:rFonts w:eastAsia="Calibri" w:cs="Arial"/>
                <w:kern w:val="24"/>
              </w:rPr>
            </w:pPr>
            <w:r w:rsidRPr="00873941">
              <w:rPr>
                <w:rFonts w:eastAsia="Calibri" w:cs="Arial"/>
                <w:kern w:val="24"/>
              </w:rPr>
              <w:t>0</w:t>
            </w:r>
          </w:p>
        </w:tc>
        <w:tc>
          <w:tcPr>
            <w:tcW w:w="1021" w:type="pct"/>
            <w:shd w:val="clear" w:color="auto" w:fill="FFFFFF"/>
            <w:vAlign w:val="center"/>
          </w:tcPr>
          <w:p w14:paraId="3F82D24C" w14:textId="34EAD042" w:rsidR="00473873" w:rsidRPr="00873941" w:rsidRDefault="00473873" w:rsidP="0088158A">
            <w:pPr>
              <w:pStyle w:val="TableText0"/>
              <w:jc w:val="center"/>
              <w:rPr>
                <w:rFonts w:eastAsia="Calibri" w:cs="Arial"/>
                <w:kern w:val="24"/>
              </w:rPr>
            </w:pPr>
            <w:r w:rsidRPr="00873941">
              <w:rPr>
                <w:rFonts w:eastAsia="Calibri" w:cs="Arial"/>
                <w:kern w:val="24"/>
              </w:rPr>
              <w:t>NR</w:t>
            </w:r>
          </w:p>
        </w:tc>
        <w:tc>
          <w:tcPr>
            <w:tcW w:w="601" w:type="pct"/>
            <w:shd w:val="clear" w:color="auto" w:fill="FFFFFF"/>
            <w:vAlign w:val="center"/>
          </w:tcPr>
          <w:p w14:paraId="18CA8607" w14:textId="2F4455AF" w:rsidR="00473873" w:rsidRPr="00873941" w:rsidRDefault="00473873" w:rsidP="0088158A">
            <w:pPr>
              <w:pStyle w:val="TableText0"/>
              <w:jc w:val="center"/>
              <w:rPr>
                <w:rFonts w:eastAsia="Calibri" w:cs="Arial"/>
                <w:kern w:val="24"/>
              </w:rPr>
            </w:pPr>
            <w:r w:rsidRPr="00873941">
              <w:rPr>
                <w:rFonts w:eastAsia="Calibri" w:cs="Arial"/>
                <w:kern w:val="24"/>
              </w:rPr>
              <w:t>NR</w:t>
            </w:r>
          </w:p>
        </w:tc>
      </w:tr>
      <w:tr w:rsidR="00473873" w:rsidRPr="00873941" w14:paraId="428349A4" w14:textId="77777777" w:rsidTr="00357E0A">
        <w:tc>
          <w:tcPr>
            <w:tcW w:w="1412" w:type="pct"/>
            <w:shd w:val="clear" w:color="auto" w:fill="auto"/>
            <w:vAlign w:val="center"/>
          </w:tcPr>
          <w:p w14:paraId="31E4CF7D" w14:textId="0CD20184" w:rsidR="00473873" w:rsidRPr="00873941" w:rsidRDefault="00473873" w:rsidP="0088158A">
            <w:pPr>
              <w:pStyle w:val="TableText0"/>
            </w:pPr>
            <w:r w:rsidRPr="00873941">
              <w:t>Diarrhoea (any grade)</w:t>
            </w:r>
          </w:p>
        </w:tc>
        <w:tc>
          <w:tcPr>
            <w:tcW w:w="1022" w:type="pct"/>
            <w:shd w:val="clear" w:color="auto" w:fill="FFFFFF"/>
            <w:vAlign w:val="center"/>
          </w:tcPr>
          <w:p w14:paraId="31F8C2B5" w14:textId="6F90D5BB" w:rsidR="00473873" w:rsidRPr="00873941" w:rsidRDefault="00473873" w:rsidP="0088158A">
            <w:pPr>
              <w:pStyle w:val="TableText0"/>
              <w:jc w:val="center"/>
              <w:rPr>
                <w:rFonts w:eastAsia="Calibri" w:cs="Arial"/>
                <w:kern w:val="24"/>
              </w:rPr>
            </w:pPr>
            <w:r w:rsidRPr="00873941">
              <w:rPr>
                <w:rFonts w:eastAsia="Calibri" w:cs="Arial"/>
                <w:kern w:val="24"/>
              </w:rPr>
              <w:t>Pac. period: 35 (77.8)</w:t>
            </w:r>
            <w:r w:rsidRPr="00873941">
              <w:rPr>
                <w:rFonts w:eastAsia="Calibri" w:cs="Arial"/>
                <w:kern w:val="24"/>
              </w:rPr>
              <w:br/>
              <w:t>Ant. period: 8 (20.0)</w:t>
            </w:r>
          </w:p>
        </w:tc>
        <w:tc>
          <w:tcPr>
            <w:tcW w:w="944" w:type="pct"/>
            <w:shd w:val="clear" w:color="auto" w:fill="FFFFFF"/>
            <w:vAlign w:val="center"/>
          </w:tcPr>
          <w:p w14:paraId="22644A4A" w14:textId="77777777" w:rsidR="00473873" w:rsidRPr="00873941" w:rsidRDefault="00473873" w:rsidP="0088158A">
            <w:pPr>
              <w:pStyle w:val="TableText0"/>
              <w:jc w:val="center"/>
              <w:rPr>
                <w:rFonts w:eastAsia="Calibri" w:cs="Arial"/>
                <w:kern w:val="24"/>
              </w:rPr>
            </w:pPr>
            <w:r w:rsidRPr="00873941">
              <w:rPr>
                <w:rFonts w:eastAsia="Calibri" w:cs="Arial"/>
                <w:kern w:val="24"/>
              </w:rPr>
              <w:t>15 (48.4)</w:t>
            </w:r>
          </w:p>
          <w:p w14:paraId="2F525A7E" w14:textId="7C82CD53" w:rsidR="00473873" w:rsidRPr="00873941" w:rsidRDefault="00473873" w:rsidP="0088158A">
            <w:pPr>
              <w:pStyle w:val="TableText0"/>
              <w:jc w:val="center"/>
              <w:rPr>
                <w:rFonts w:eastAsia="Calibri" w:cs="Arial"/>
                <w:kern w:val="24"/>
              </w:rPr>
            </w:pPr>
            <w:r w:rsidRPr="00873941">
              <w:rPr>
                <w:rFonts w:eastAsia="Calibri" w:cs="Arial"/>
                <w:kern w:val="24"/>
              </w:rPr>
              <w:t>6 (21.4)</w:t>
            </w:r>
          </w:p>
        </w:tc>
        <w:tc>
          <w:tcPr>
            <w:tcW w:w="1021" w:type="pct"/>
            <w:shd w:val="clear" w:color="auto" w:fill="FFFFFF"/>
            <w:vAlign w:val="center"/>
          </w:tcPr>
          <w:p w14:paraId="05666B38" w14:textId="410BDE31" w:rsidR="00473873" w:rsidRPr="00873941" w:rsidRDefault="00473873" w:rsidP="0088158A">
            <w:pPr>
              <w:pStyle w:val="TableText0"/>
              <w:jc w:val="center"/>
              <w:rPr>
                <w:rFonts w:eastAsia="Calibri" w:cs="Arial"/>
                <w:kern w:val="24"/>
              </w:rPr>
            </w:pPr>
            <w:r w:rsidRPr="00873941">
              <w:t>NR</w:t>
            </w:r>
          </w:p>
        </w:tc>
        <w:tc>
          <w:tcPr>
            <w:tcW w:w="601" w:type="pct"/>
            <w:shd w:val="clear" w:color="auto" w:fill="FFFFFF"/>
            <w:vAlign w:val="center"/>
          </w:tcPr>
          <w:p w14:paraId="452BF5D8" w14:textId="7F57CD25" w:rsidR="00473873" w:rsidRPr="00873941" w:rsidRDefault="00473873" w:rsidP="0088158A">
            <w:pPr>
              <w:pStyle w:val="TableText0"/>
              <w:jc w:val="center"/>
              <w:rPr>
                <w:rFonts w:eastAsia="Calibri" w:cs="Arial"/>
                <w:kern w:val="24"/>
              </w:rPr>
            </w:pPr>
            <w:r w:rsidRPr="00873941">
              <w:t>NR</w:t>
            </w:r>
          </w:p>
        </w:tc>
      </w:tr>
      <w:tr w:rsidR="00473873" w:rsidRPr="00873941" w14:paraId="5CF785B6" w14:textId="77777777" w:rsidTr="00357E0A">
        <w:tc>
          <w:tcPr>
            <w:tcW w:w="1412" w:type="pct"/>
            <w:shd w:val="clear" w:color="auto" w:fill="auto"/>
            <w:vAlign w:val="center"/>
          </w:tcPr>
          <w:p w14:paraId="41FABAFE" w14:textId="6DF5E28C" w:rsidR="00473873" w:rsidRPr="00873941" w:rsidRDefault="00473873" w:rsidP="0088158A">
            <w:pPr>
              <w:pStyle w:val="TableText0"/>
            </w:pPr>
            <w:r w:rsidRPr="00873941">
              <w:t>LVSD or CHF (any grade)</w:t>
            </w:r>
          </w:p>
        </w:tc>
        <w:tc>
          <w:tcPr>
            <w:tcW w:w="1022" w:type="pct"/>
            <w:shd w:val="clear" w:color="auto" w:fill="FFFFFF"/>
            <w:vAlign w:val="center"/>
          </w:tcPr>
          <w:p w14:paraId="4AE4719F" w14:textId="092E781F" w:rsidR="00473873" w:rsidRPr="00873941" w:rsidRDefault="00473873" w:rsidP="0088158A">
            <w:pPr>
              <w:pStyle w:val="TableText0"/>
              <w:jc w:val="center"/>
              <w:rPr>
                <w:rFonts w:eastAsia="Calibri" w:cs="Arial"/>
                <w:kern w:val="24"/>
              </w:rPr>
            </w:pPr>
            <w:r w:rsidRPr="00873941">
              <w:rPr>
                <w:rFonts w:eastAsia="Calibri" w:cs="Arial"/>
                <w:kern w:val="24"/>
              </w:rPr>
              <w:t>NR</w:t>
            </w:r>
          </w:p>
        </w:tc>
        <w:tc>
          <w:tcPr>
            <w:tcW w:w="944" w:type="pct"/>
            <w:shd w:val="clear" w:color="auto" w:fill="FFFFFF"/>
            <w:vAlign w:val="center"/>
          </w:tcPr>
          <w:p w14:paraId="38E7C850" w14:textId="56C2FFDF" w:rsidR="00473873" w:rsidRPr="00873941" w:rsidRDefault="00473873" w:rsidP="0088158A">
            <w:pPr>
              <w:pStyle w:val="TableText0"/>
              <w:jc w:val="center"/>
              <w:rPr>
                <w:rFonts w:eastAsia="Calibri" w:cs="Arial"/>
                <w:kern w:val="24"/>
              </w:rPr>
            </w:pPr>
            <w:r w:rsidRPr="00873941">
              <w:rPr>
                <w:rFonts w:eastAsia="Calibri" w:cs="Arial"/>
                <w:kern w:val="24"/>
              </w:rPr>
              <w:t>NR</w:t>
            </w:r>
          </w:p>
        </w:tc>
        <w:tc>
          <w:tcPr>
            <w:tcW w:w="1021" w:type="pct"/>
            <w:shd w:val="clear" w:color="auto" w:fill="FFFFFF"/>
            <w:vAlign w:val="center"/>
          </w:tcPr>
          <w:p w14:paraId="2EFC7FF4" w14:textId="11DEFA36" w:rsidR="00473873" w:rsidRPr="00873941" w:rsidRDefault="00473873" w:rsidP="0088158A">
            <w:pPr>
              <w:pStyle w:val="TableText0"/>
              <w:jc w:val="center"/>
              <w:rPr>
                <w:rFonts w:eastAsia="Calibri" w:cs="Arial"/>
                <w:kern w:val="24"/>
              </w:rPr>
            </w:pPr>
            <w:r w:rsidRPr="00873941">
              <w:t>NR</w:t>
            </w:r>
          </w:p>
        </w:tc>
        <w:tc>
          <w:tcPr>
            <w:tcW w:w="601" w:type="pct"/>
            <w:shd w:val="clear" w:color="auto" w:fill="FFFFFF"/>
            <w:vAlign w:val="center"/>
          </w:tcPr>
          <w:p w14:paraId="27C573C8" w14:textId="3231A82F" w:rsidR="00473873" w:rsidRPr="00873941" w:rsidRDefault="00473873" w:rsidP="0088158A">
            <w:pPr>
              <w:pStyle w:val="TableText0"/>
              <w:jc w:val="center"/>
              <w:rPr>
                <w:rFonts w:eastAsia="Calibri" w:cs="Arial"/>
                <w:kern w:val="24"/>
              </w:rPr>
            </w:pPr>
            <w:r w:rsidRPr="00873941">
              <w:t>NR</w:t>
            </w:r>
          </w:p>
        </w:tc>
      </w:tr>
      <w:tr w:rsidR="00473873" w:rsidRPr="00873941" w14:paraId="2F58B69F" w14:textId="77777777" w:rsidTr="00357E0A">
        <w:tc>
          <w:tcPr>
            <w:tcW w:w="1412" w:type="pct"/>
            <w:shd w:val="clear" w:color="auto" w:fill="auto"/>
            <w:vAlign w:val="center"/>
          </w:tcPr>
          <w:p w14:paraId="7387D28A" w14:textId="77D60275" w:rsidR="00473873" w:rsidRPr="00873941" w:rsidRDefault="00473873" w:rsidP="0088158A">
            <w:pPr>
              <w:pStyle w:val="TableText0"/>
            </w:pPr>
            <w:r w:rsidRPr="00873941">
              <w:t>Infusion-related reactions (any grade)</w:t>
            </w:r>
          </w:p>
        </w:tc>
        <w:tc>
          <w:tcPr>
            <w:tcW w:w="1022" w:type="pct"/>
            <w:shd w:val="clear" w:color="auto" w:fill="FFFFFF"/>
            <w:vAlign w:val="center"/>
          </w:tcPr>
          <w:p w14:paraId="3CA4EDEC" w14:textId="5D3C04F1" w:rsidR="00473873" w:rsidRPr="00873941" w:rsidRDefault="00473873" w:rsidP="0088158A">
            <w:pPr>
              <w:pStyle w:val="TableText0"/>
              <w:jc w:val="center"/>
              <w:rPr>
                <w:rFonts w:eastAsia="Calibri" w:cs="Arial"/>
                <w:kern w:val="24"/>
              </w:rPr>
            </w:pPr>
            <w:r w:rsidRPr="00873941">
              <w:rPr>
                <w:rFonts w:eastAsia="Calibri" w:cs="Arial"/>
                <w:kern w:val="24"/>
              </w:rPr>
              <w:t>Pac. period: 2 (4.4)</w:t>
            </w:r>
            <w:r w:rsidRPr="00873941">
              <w:rPr>
                <w:rFonts w:eastAsia="Calibri" w:cs="Arial"/>
                <w:kern w:val="24"/>
              </w:rPr>
              <w:br/>
              <w:t>Ant. period: 0 (0)</w:t>
            </w:r>
          </w:p>
        </w:tc>
        <w:tc>
          <w:tcPr>
            <w:tcW w:w="944" w:type="pct"/>
            <w:shd w:val="clear" w:color="auto" w:fill="FFFFFF"/>
            <w:vAlign w:val="center"/>
          </w:tcPr>
          <w:p w14:paraId="08324C5E" w14:textId="77777777" w:rsidR="00473873" w:rsidRPr="00873941" w:rsidRDefault="00473873" w:rsidP="0088158A">
            <w:pPr>
              <w:pStyle w:val="TableText0"/>
              <w:jc w:val="center"/>
              <w:rPr>
                <w:rFonts w:eastAsia="Calibri" w:cs="Arial"/>
                <w:kern w:val="24"/>
              </w:rPr>
            </w:pPr>
            <w:r w:rsidRPr="00873941">
              <w:rPr>
                <w:rFonts w:eastAsia="Calibri" w:cs="Arial"/>
                <w:kern w:val="24"/>
              </w:rPr>
              <w:t>4 (12.9)</w:t>
            </w:r>
          </w:p>
          <w:p w14:paraId="1E483EE5" w14:textId="0CA85931" w:rsidR="00473873" w:rsidRPr="00873941" w:rsidRDefault="00473873" w:rsidP="0088158A">
            <w:pPr>
              <w:pStyle w:val="TableText0"/>
              <w:jc w:val="center"/>
              <w:rPr>
                <w:rFonts w:eastAsia="Calibri" w:cs="Arial"/>
                <w:kern w:val="24"/>
              </w:rPr>
            </w:pPr>
            <w:r w:rsidRPr="00873941">
              <w:rPr>
                <w:rFonts w:eastAsia="Calibri" w:cs="Arial"/>
                <w:kern w:val="24"/>
              </w:rPr>
              <w:t>0 (0)</w:t>
            </w:r>
          </w:p>
        </w:tc>
        <w:tc>
          <w:tcPr>
            <w:tcW w:w="1021" w:type="pct"/>
            <w:shd w:val="clear" w:color="auto" w:fill="FFFFFF"/>
            <w:vAlign w:val="center"/>
          </w:tcPr>
          <w:p w14:paraId="54A18798" w14:textId="31725244" w:rsidR="00473873" w:rsidRPr="00873941" w:rsidRDefault="00473873" w:rsidP="0088158A">
            <w:pPr>
              <w:pStyle w:val="TableText0"/>
              <w:jc w:val="center"/>
              <w:rPr>
                <w:rFonts w:eastAsia="Calibri" w:cs="Arial"/>
                <w:kern w:val="24"/>
              </w:rPr>
            </w:pPr>
            <w:r w:rsidRPr="00873941">
              <w:t>NR</w:t>
            </w:r>
          </w:p>
        </w:tc>
        <w:tc>
          <w:tcPr>
            <w:tcW w:w="601" w:type="pct"/>
            <w:shd w:val="clear" w:color="auto" w:fill="FFFFFF"/>
            <w:vAlign w:val="center"/>
          </w:tcPr>
          <w:p w14:paraId="53DBB918" w14:textId="09CACDA7" w:rsidR="00473873" w:rsidRPr="00873941" w:rsidRDefault="00473873" w:rsidP="0088158A">
            <w:pPr>
              <w:pStyle w:val="TableText0"/>
              <w:jc w:val="center"/>
              <w:rPr>
                <w:rFonts w:eastAsia="Calibri" w:cs="Arial"/>
                <w:kern w:val="24"/>
              </w:rPr>
            </w:pPr>
            <w:r w:rsidRPr="00873941">
              <w:t>NR</w:t>
            </w:r>
          </w:p>
        </w:tc>
      </w:tr>
      <w:tr w:rsidR="00473873" w:rsidRPr="00873941" w14:paraId="32E78D3F" w14:textId="77777777" w:rsidTr="00357E0A">
        <w:tc>
          <w:tcPr>
            <w:tcW w:w="5000" w:type="pct"/>
            <w:gridSpan w:val="5"/>
            <w:shd w:val="clear" w:color="auto" w:fill="auto"/>
            <w:vAlign w:val="center"/>
          </w:tcPr>
          <w:p w14:paraId="20E60200" w14:textId="28A4B9BB" w:rsidR="00473873" w:rsidRPr="00873941" w:rsidRDefault="00473873" w:rsidP="0088158A">
            <w:pPr>
              <w:pStyle w:val="In-tableHeading"/>
              <w:rPr>
                <w:lang w:val="en-AU"/>
              </w:rPr>
            </w:pPr>
            <w:proofErr w:type="spellStart"/>
            <w:r w:rsidRPr="00873941">
              <w:rPr>
                <w:lang w:val="en-AU"/>
              </w:rPr>
              <w:t>P+T+Chemo</w:t>
            </w:r>
            <w:proofErr w:type="spellEnd"/>
            <w:r w:rsidRPr="00873941">
              <w:rPr>
                <w:lang w:val="en-AU"/>
              </w:rPr>
              <w:t xml:space="preserve"> (3+3) vs </w:t>
            </w:r>
            <w:proofErr w:type="spellStart"/>
            <w:r w:rsidRPr="00873941">
              <w:rPr>
                <w:lang w:val="en-AU"/>
              </w:rPr>
              <w:t>P+T+</w:t>
            </w:r>
            <w:r w:rsidR="000D3EDD" w:rsidRPr="00873941">
              <w:rPr>
                <w:lang w:val="en-AU"/>
              </w:rPr>
              <w:t>Chemo</w:t>
            </w:r>
            <w:proofErr w:type="spellEnd"/>
            <w:r w:rsidR="000D3EDD" w:rsidRPr="00873941">
              <w:rPr>
                <w:lang w:val="en-AU"/>
              </w:rPr>
              <w:t xml:space="preserve"> (</w:t>
            </w:r>
            <w:r w:rsidRPr="00873941">
              <w:rPr>
                <w:lang w:val="en-AU"/>
              </w:rPr>
              <w:t>6), 6 neoadjuvant HER2 therapy cycles</w:t>
            </w:r>
          </w:p>
        </w:tc>
      </w:tr>
      <w:tr w:rsidR="00473873" w:rsidRPr="00873941" w14:paraId="147BAB2B" w14:textId="77777777" w:rsidTr="00357E0A">
        <w:tc>
          <w:tcPr>
            <w:tcW w:w="5000" w:type="pct"/>
            <w:gridSpan w:val="5"/>
            <w:shd w:val="clear" w:color="auto" w:fill="auto"/>
            <w:vAlign w:val="center"/>
          </w:tcPr>
          <w:p w14:paraId="60A42711" w14:textId="7AFCF3FC" w:rsidR="00473873" w:rsidRPr="00873941" w:rsidRDefault="00473873" w:rsidP="0088158A">
            <w:pPr>
              <w:pStyle w:val="In-tableHeading"/>
              <w:rPr>
                <w:lang w:val="en-AU"/>
              </w:rPr>
            </w:pPr>
            <w:r w:rsidRPr="00873941">
              <w:rPr>
                <w:lang w:val="en-AU"/>
              </w:rPr>
              <w:t>TRYPHAENA</w:t>
            </w:r>
          </w:p>
        </w:tc>
      </w:tr>
      <w:tr w:rsidR="00473873" w:rsidRPr="00873941" w14:paraId="0A719170" w14:textId="77777777" w:rsidTr="00357E0A">
        <w:tc>
          <w:tcPr>
            <w:tcW w:w="1412" w:type="pct"/>
            <w:shd w:val="clear" w:color="auto" w:fill="auto"/>
            <w:vAlign w:val="center"/>
          </w:tcPr>
          <w:p w14:paraId="1B17BCEA" w14:textId="28F17553" w:rsidR="00473873" w:rsidRPr="00873941" w:rsidRDefault="00473873" w:rsidP="0088158A">
            <w:pPr>
              <w:pStyle w:val="TableText0"/>
            </w:pPr>
            <w:r w:rsidRPr="00873941">
              <w:t>SAEs</w:t>
            </w:r>
          </w:p>
        </w:tc>
        <w:tc>
          <w:tcPr>
            <w:tcW w:w="1022" w:type="pct"/>
            <w:shd w:val="clear" w:color="auto" w:fill="B8CCE4" w:themeFill="accent1" w:themeFillTint="66"/>
            <w:vAlign w:val="center"/>
          </w:tcPr>
          <w:p w14:paraId="78B72FE0" w14:textId="63A95FE0" w:rsidR="00473873" w:rsidRPr="00873941" w:rsidRDefault="00473873" w:rsidP="0088158A">
            <w:pPr>
              <w:pStyle w:val="TableText0"/>
              <w:jc w:val="center"/>
              <w:rPr>
                <w:rFonts w:eastAsia="Calibri" w:cs="Arial"/>
                <w:kern w:val="24"/>
              </w:rPr>
            </w:pPr>
            <w:r w:rsidRPr="00873941">
              <w:rPr>
                <w:rFonts w:eastAsia="Calibri" w:cs="Arial"/>
                <w:kern w:val="24"/>
              </w:rPr>
              <w:t>20 (27.8)</w:t>
            </w:r>
          </w:p>
        </w:tc>
        <w:tc>
          <w:tcPr>
            <w:tcW w:w="944" w:type="pct"/>
            <w:shd w:val="clear" w:color="auto" w:fill="B8CCE4" w:themeFill="accent1" w:themeFillTint="66"/>
            <w:vAlign w:val="center"/>
          </w:tcPr>
          <w:p w14:paraId="26B4A088" w14:textId="4FAE54BE" w:rsidR="00473873" w:rsidRPr="00873941" w:rsidRDefault="00473873" w:rsidP="0088158A">
            <w:pPr>
              <w:pStyle w:val="TableText0"/>
              <w:jc w:val="center"/>
              <w:rPr>
                <w:rFonts w:eastAsia="Calibri" w:cs="Arial"/>
                <w:kern w:val="24"/>
              </w:rPr>
            </w:pPr>
            <w:r w:rsidRPr="00873941">
              <w:rPr>
                <w:rFonts w:eastAsia="Calibri" w:cs="Arial"/>
                <w:kern w:val="24"/>
              </w:rPr>
              <w:t>27 (35.5)</w:t>
            </w:r>
          </w:p>
        </w:tc>
        <w:tc>
          <w:tcPr>
            <w:tcW w:w="1021" w:type="pct"/>
            <w:shd w:val="clear" w:color="auto" w:fill="FFFFFF"/>
            <w:vAlign w:val="center"/>
          </w:tcPr>
          <w:p w14:paraId="7A7F5A7E" w14:textId="07EA33F9" w:rsidR="00473873" w:rsidRPr="00873941" w:rsidRDefault="00473873" w:rsidP="0088158A">
            <w:pPr>
              <w:pStyle w:val="TableText0"/>
              <w:jc w:val="center"/>
              <w:rPr>
                <w:rFonts w:eastAsia="Calibri" w:cs="Arial"/>
                <w:kern w:val="24"/>
              </w:rPr>
            </w:pPr>
            <w:r w:rsidRPr="00873941">
              <w:rPr>
                <w:rFonts w:eastAsia="Calibri" w:cs="Arial"/>
                <w:kern w:val="24"/>
              </w:rPr>
              <w:t>N/A</w:t>
            </w:r>
          </w:p>
        </w:tc>
        <w:tc>
          <w:tcPr>
            <w:tcW w:w="601" w:type="pct"/>
            <w:shd w:val="clear" w:color="auto" w:fill="FFFFFF"/>
            <w:vAlign w:val="center"/>
          </w:tcPr>
          <w:p w14:paraId="02BF92DB" w14:textId="3ED88AC9" w:rsidR="00473873" w:rsidRPr="00873941" w:rsidRDefault="00473873" w:rsidP="0088158A">
            <w:pPr>
              <w:pStyle w:val="TableText0"/>
              <w:jc w:val="center"/>
              <w:rPr>
                <w:rFonts w:eastAsia="Calibri" w:cs="Arial"/>
                <w:kern w:val="24"/>
              </w:rPr>
            </w:pPr>
            <w:r w:rsidRPr="00873941">
              <w:rPr>
                <w:rFonts w:eastAsia="Calibri" w:cs="Arial"/>
                <w:kern w:val="24"/>
              </w:rPr>
              <w:t>N/A</w:t>
            </w:r>
          </w:p>
        </w:tc>
      </w:tr>
      <w:tr w:rsidR="00473873" w:rsidRPr="00873941" w14:paraId="1EA7E4CA" w14:textId="77777777" w:rsidTr="00357E0A">
        <w:tc>
          <w:tcPr>
            <w:tcW w:w="1412" w:type="pct"/>
            <w:shd w:val="clear" w:color="auto" w:fill="auto"/>
            <w:vAlign w:val="center"/>
          </w:tcPr>
          <w:p w14:paraId="6BDA94A9" w14:textId="64D6AAC1" w:rsidR="00473873" w:rsidRPr="00873941" w:rsidRDefault="00473873" w:rsidP="0088158A">
            <w:pPr>
              <w:pStyle w:val="TableText0"/>
            </w:pPr>
            <w:r w:rsidRPr="00873941">
              <w:t>AEs leading to discontinuation</w:t>
            </w:r>
          </w:p>
        </w:tc>
        <w:tc>
          <w:tcPr>
            <w:tcW w:w="1022" w:type="pct"/>
            <w:shd w:val="clear" w:color="auto" w:fill="auto"/>
            <w:vAlign w:val="center"/>
          </w:tcPr>
          <w:p w14:paraId="3B861A12" w14:textId="4AA75046" w:rsidR="00473873" w:rsidRPr="00873941" w:rsidRDefault="00473873" w:rsidP="0088158A">
            <w:pPr>
              <w:pStyle w:val="TableText0"/>
              <w:jc w:val="center"/>
              <w:rPr>
                <w:rFonts w:eastAsia="Calibri" w:cs="Arial"/>
                <w:kern w:val="24"/>
              </w:rPr>
            </w:pPr>
            <w:r w:rsidRPr="00873941">
              <w:rPr>
                <w:rFonts w:eastAsia="Calibri" w:cs="Arial"/>
                <w:kern w:val="24"/>
              </w:rPr>
              <w:t>4 (5.6)</w:t>
            </w:r>
          </w:p>
        </w:tc>
        <w:tc>
          <w:tcPr>
            <w:tcW w:w="944" w:type="pct"/>
            <w:shd w:val="clear" w:color="auto" w:fill="auto"/>
            <w:vAlign w:val="center"/>
          </w:tcPr>
          <w:p w14:paraId="22A2F5FD" w14:textId="6DF5E99B" w:rsidR="00473873" w:rsidRPr="00873941" w:rsidRDefault="00473873" w:rsidP="0088158A">
            <w:pPr>
              <w:pStyle w:val="TableText0"/>
              <w:jc w:val="center"/>
              <w:rPr>
                <w:rFonts w:eastAsia="Calibri" w:cs="Arial"/>
                <w:kern w:val="24"/>
              </w:rPr>
            </w:pPr>
            <w:r w:rsidRPr="00873941">
              <w:rPr>
                <w:rFonts w:eastAsia="Calibri" w:cs="Arial"/>
                <w:kern w:val="24"/>
              </w:rPr>
              <w:t>6 (7.9)</w:t>
            </w:r>
          </w:p>
        </w:tc>
        <w:tc>
          <w:tcPr>
            <w:tcW w:w="1021" w:type="pct"/>
            <w:shd w:val="clear" w:color="auto" w:fill="FFFFFF"/>
            <w:vAlign w:val="center"/>
          </w:tcPr>
          <w:p w14:paraId="60C3AF65" w14:textId="77777777" w:rsidR="00473873" w:rsidRPr="00873941" w:rsidRDefault="00473873" w:rsidP="0088158A">
            <w:pPr>
              <w:pStyle w:val="TableText0"/>
              <w:jc w:val="center"/>
              <w:rPr>
                <w:rFonts w:eastAsia="Calibri" w:cs="Arial"/>
                <w:kern w:val="24"/>
              </w:rPr>
            </w:pPr>
          </w:p>
        </w:tc>
        <w:tc>
          <w:tcPr>
            <w:tcW w:w="601" w:type="pct"/>
            <w:shd w:val="clear" w:color="auto" w:fill="FFFFFF"/>
            <w:vAlign w:val="center"/>
          </w:tcPr>
          <w:p w14:paraId="4E2C9047" w14:textId="77777777" w:rsidR="00473873" w:rsidRPr="00873941" w:rsidRDefault="00473873" w:rsidP="0088158A">
            <w:pPr>
              <w:pStyle w:val="TableText0"/>
              <w:jc w:val="center"/>
              <w:rPr>
                <w:rFonts w:eastAsia="Calibri" w:cs="Arial"/>
                <w:kern w:val="24"/>
              </w:rPr>
            </w:pPr>
          </w:p>
        </w:tc>
      </w:tr>
      <w:tr w:rsidR="00473873" w:rsidRPr="00873941" w14:paraId="3A7EFAF3" w14:textId="77777777" w:rsidTr="00357E0A">
        <w:tc>
          <w:tcPr>
            <w:tcW w:w="1412" w:type="pct"/>
            <w:shd w:val="clear" w:color="auto" w:fill="auto"/>
            <w:vAlign w:val="center"/>
          </w:tcPr>
          <w:p w14:paraId="5C3021E6" w14:textId="522EAEAB" w:rsidR="00473873" w:rsidRPr="00873941" w:rsidRDefault="00473873" w:rsidP="0088158A">
            <w:pPr>
              <w:pStyle w:val="TableText0"/>
            </w:pPr>
            <w:r w:rsidRPr="00873941">
              <w:t>Grade ≥3 AEs</w:t>
            </w:r>
          </w:p>
        </w:tc>
        <w:tc>
          <w:tcPr>
            <w:tcW w:w="1022" w:type="pct"/>
            <w:shd w:val="clear" w:color="auto" w:fill="B8CCE4" w:themeFill="accent1" w:themeFillTint="66"/>
            <w:vAlign w:val="center"/>
          </w:tcPr>
          <w:p w14:paraId="3D9159B5" w14:textId="11A242E9" w:rsidR="00473873" w:rsidRPr="00873941" w:rsidRDefault="00473873" w:rsidP="0088158A">
            <w:pPr>
              <w:pStyle w:val="TableText0"/>
              <w:jc w:val="center"/>
              <w:rPr>
                <w:rFonts w:eastAsia="Calibri" w:cs="Arial"/>
                <w:kern w:val="24"/>
              </w:rPr>
            </w:pPr>
            <w:r w:rsidRPr="00873941">
              <w:rPr>
                <w:rFonts w:eastAsia="Calibri" w:cs="Arial"/>
                <w:kern w:val="24"/>
              </w:rPr>
              <w:t>50 (69.4)</w:t>
            </w:r>
          </w:p>
        </w:tc>
        <w:tc>
          <w:tcPr>
            <w:tcW w:w="944" w:type="pct"/>
            <w:shd w:val="clear" w:color="auto" w:fill="B8CCE4" w:themeFill="accent1" w:themeFillTint="66"/>
            <w:vAlign w:val="center"/>
          </w:tcPr>
          <w:p w14:paraId="0C2B56D7" w14:textId="2DC0E20E" w:rsidR="00473873" w:rsidRPr="00873941" w:rsidRDefault="00473873" w:rsidP="0088158A">
            <w:pPr>
              <w:pStyle w:val="TableText0"/>
              <w:jc w:val="center"/>
              <w:rPr>
                <w:rFonts w:eastAsia="Calibri" w:cs="Arial"/>
                <w:kern w:val="24"/>
              </w:rPr>
            </w:pPr>
            <w:r w:rsidRPr="00873941">
              <w:rPr>
                <w:rFonts w:eastAsia="Calibri" w:cs="Arial"/>
                <w:kern w:val="24"/>
              </w:rPr>
              <w:t>56 (73.7)</w:t>
            </w:r>
          </w:p>
        </w:tc>
        <w:tc>
          <w:tcPr>
            <w:tcW w:w="1021" w:type="pct"/>
            <w:shd w:val="clear" w:color="auto" w:fill="FFFFFF"/>
            <w:vAlign w:val="center"/>
          </w:tcPr>
          <w:p w14:paraId="75AF20A9" w14:textId="53A96EEA" w:rsidR="00473873" w:rsidRPr="00873941" w:rsidRDefault="00473873" w:rsidP="0088158A">
            <w:pPr>
              <w:pStyle w:val="TableText0"/>
              <w:jc w:val="center"/>
              <w:rPr>
                <w:rFonts w:eastAsia="Calibri" w:cs="Arial"/>
                <w:kern w:val="24"/>
              </w:rPr>
            </w:pPr>
            <w:r w:rsidRPr="00873941">
              <w:rPr>
                <w:rFonts w:eastAsia="Calibri" w:cs="Arial"/>
                <w:kern w:val="24"/>
              </w:rPr>
              <w:t>N/A</w:t>
            </w:r>
          </w:p>
        </w:tc>
        <w:tc>
          <w:tcPr>
            <w:tcW w:w="601" w:type="pct"/>
            <w:shd w:val="clear" w:color="auto" w:fill="FFFFFF"/>
            <w:vAlign w:val="center"/>
          </w:tcPr>
          <w:p w14:paraId="5A84FA30" w14:textId="2610F621" w:rsidR="00473873" w:rsidRPr="00873941" w:rsidRDefault="00473873" w:rsidP="0088158A">
            <w:pPr>
              <w:pStyle w:val="TableText0"/>
              <w:jc w:val="center"/>
              <w:rPr>
                <w:rFonts w:eastAsia="Calibri" w:cs="Arial"/>
                <w:kern w:val="24"/>
              </w:rPr>
            </w:pPr>
            <w:r w:rsidRPr="00873941">
              <w:rPr>
                <w:rFonts w:eastAsia="Calibri" w:cs="Arial"/>
                <w:kern w:val="24"/>
              </w:rPr>
              <w:t>N/A</w:t>
            </w:r>
          </w:p>
        </w:tc>
      </w:tr>
      <w:tr w:rsidR="00473873" w:rsidRPr="00873941" w14:paraId="48F0BBFF" w14:textId="77777777" w:rsidTr="00357E0A">
        <w:tc>
          <w:tcPr>
            <w:tcW w:w="1412" w:type="pct"/>
            <w:shd w:val="clear" w:color="auto" w:fill="auto"/>
            <w:vAlign w:val="center"/>
          </w:tcPr>
          <w:p w14:paraId="77FC4193" w14:textId="758A0825" w:rsidR="00473873" w:rsidRPr="00873941" w:rsidRDefault="00473873" w:rsidP="0088158A">
            <w:pPr>
              <w:pStyle w:val="TableText0"/>
            </w:pPr>
            <w:r w:rsidRPr="00873941">
              <w:t>Diarrhoea (Grade ≥3)</w:t>
            </w:r>
          </w:p>
        </w:tc>
        <w:tc>
          <w:tcPr>
            <w:tcW w:w="1022" w:type="pct"/>
            <w:shd w:val="clear" w:color="auto" w:fill="FFFFFF"/>
            <w:vAlign w:val="center"/>
          </w:tcPr>
          <w:p w14:paraId="236CA4E8" w14:textId="3D776569" w:rsidR="00473873" w:rsidRPr="00873941" w:rsidRDefault="00473873" w:rsidP="0088158A">
            <w:pPr>
              <w:pStyle w:val="TableText0"/>
              <w:jc w:val="center"/>
              <w:rPr>
                <w:rFonts w:eastAsia="Calibri" w:cs="Arial"/>
                <w:kern w:val="24"/>
              </w:rPr>
            </w:pPr>
            <w:r w:rsidRPr="00873941">
              <w:rPr>
                <w:rFonts w:eastAsia="Calibri" w:cs="Arial"/>
                <w:kern w:val="24"/>
              </w:rPr>
              <w:t>3 (4.2)</w:t>
            </w:r>
          </w:p>
        </w:tc>
        <w:tc>
          <w:tcPr>
            <w:tcW w:w="944" w:type="pct"/>
            <w:shd w:val="clear" w:color="auto" w:fill="FFFFFF"/>
            <w:vAlign w:val="center"/>
          </w:tcPr>
          <w:p w14:paraId="19FF1F8A" w14:textId="5E457FBB" w:rsidR="00473873" w:rsidRPr="00873941" w:rsidRDefault="00473873" w:rsidP="0088158A">
            <w:pPr>
              <w:pStyle w:val="TableText0"/>
              <w:jc w:val="center"/>
              <w:rPr>
                <w:rFonts w:eastAsia="Calibri" w:cs="Arial"/>
                <w:kern w:val="24"/>
              </w:rPr>
            </w:pPr>
            <w:r w:rsidRPr="00873941">
              <w:rPr>
                <w:rFonts w:eastAsia="Calibri" w:cs="Arial"/>
                <w:kern w:val="24"/>
              </w:rPr>
              <w:t>9 (11.8)</w:t>
            </w:r>
          </w:p>
        </w:tc>
        <w:tc>
          <w:tcPr>
            <w:tcW w:w="1021" w:type="pct"/>
            <w:shd w:val="clear" w:color="auto" w:fill="FFFFFF"/>
            <w:vAlign w:val="center"/>
          </w:tcPr>
          <w:p w14:paraId="6B69C101" w14:textId="08FECE2A" w:rsidR="00473873" w:rsidRPr="00873941" w:rsidRDefault="00473873" w:rsidP="0088158A">
            <w:pPr>
              <w:pStyle w:val="TableText0"/>
              <w:jc w:val="center"/>
              <w:rPr>
                <w:rFonts w:eastAsia="Calibri" w:cs="Arial"/>
                <w:kern w:val="24"/>
              </w:rPr>
            </w:pPr>
            <w:r w:rsidRPr="00873941">
              <w:rPr>
                <w:rFonts w:eastAsia="Calibri" w:cs="Arial"/>
                <w:kern w:val="24"/>
              </w:rPr>
              <w:t>N/A</w:t>
            </w:r>
          </w:p>
        </w:tc>
        <w:tc>
          <w:tcPr>
            <w:tcW w:w="601" w:type="pct"/>
            <w:shd w:val="clear" w:color="auto" w:fill="FFFFFF"/>
            <w:vAlign w:val="center"/>
          </w:tcPr>
          <w:p w14:paraId="531E3554" w14:textId="3237C84C" w:rsidR="00473873" w:rsidRPr="00873941" w:rsidRDefault="00473873" w:rsidP="0088158A">
            <w:pPr>
              <w:pStyle w:val="TableText0"/>
              <w:jc w:val="center"/>
              <w:rPr>
                <w:rFonts w:eastAsia="Calibri" w:cs="Arial"/>
                <w:kern w:val="24"/>
              </w:rPr>
            </w:pPr>
            <w:r w:rsidRPr="00873941">
              <w:rPr>
                <w:rFonts w:eastAsia="Calibri" w:cs="Arial"/>
                <w:kern w:val="24"/>
              </w:rPr>
              <w:t>N/A</w:t>
            </w:r>
          </w:p>
        </w:tc>
      </w:tr>
      <w:tr w:rsidR="00473873" w:rsidRPr="00873941" w14:paraId="5BB95833" w14:textId="77777777" w:rsidTr="00357E0A">
        <w:tc>
          <w:tcPr>
            <w:tcW w:w="1412" w:type="pct"/>
            <w:shd w:val="clear" w:color="auto" w:fill="auto"/>
            <w:vAlign w:val="center"/>
          </w:tcPr>
          <w:p w14:paraId="3B21029F" w14:textId="35AAF224" w:rsidR="00473873" w:rsidRPr="00873941" w:rsidRDefault="00473873" w:rsidP="0088158A">
            <w:pPr>
              <w:pStyle w:val="TableText0"/>
            </w:pPr>
            <w:r w:rsidRPr="00873941">
              <w:t>Diarrhoea (any grade)</w:t>
            </w:r>
          </w:p>
        </w:tc>
        <w:tc>
          <w:tcPr>
            <w:tcW w:w="1022" w:type="pct"/>
            <w:shd w:val="clear" w:color="auto" w:fill="FFFFFF"/>
            <w:vAlign w:val="center"/>
          </w:tcPr>
          <w:p w14:paraId="7C6E6DE4" w14:textId="7A182804" w:rsidR="00473873" w:rsidRPr="00873941" w:rsidRDefault="00473873" w:rsidP="0088158A">
            <w:pPr>
              <w:pStyle w:val="TableText0"/>
              <w:jc w:val="center"/>
              <w:rPr>
                <w:rFonts w:eastAsia="Calibri" w:cs="Arial"/>
                <w:kern w:val="24"/>
              </w:rPr>
            </w:pPr>
            <w:r w:rsidRPr="00873941">
              <w:rPr>
                <w:rFonts w:eastAsia="Calibri" w:cs="Arial"/>
                <w:kern w:val="24"/>
              </w:rPr>
              <w:t>44 (61.1)</w:t>
            </w:r>
          </w:p>
        </w:tc>
        <w:tc>
          <w:tcPr>
            <w:tcW w:w="944" w:type="pct"/>
            <w:shd w:val="clear" w:color="auto" w:fill="FFFFFF"/>
            <w:vAlign w:val="center"/>
          </w:tcPr>
          <w:p w14:paraId="337AC5C1" w14:textId="0BC41299" w:rsidR="00473873" w:rsidRPr="00873941" w:rsidRDefault="00473873" w:rsidP="0088158A">
            <w:pPr>
              <w:pStyle w:val="TableText0"/>
              <w:jc w:val="center"/>
              <w:rPr>
                <w:rFonts w:eastAsia="Calibri" w:cs="Arial"/>
                <w:kern w:val="24"/>
              </w:rPr>
            </w:pPr>
            <w:r w:rsidRPr="00873941">
              <w:rPr>
                <w:rFonts w:eastAsia="Calibri" w:cs="Arial"/>
                <w:kern w:val="24"/>
              </w:rPr>
              <w:t>55(72.4)</w:t>
            </w:r>
          </w:p>
        </w:tc>
        <w:tc>
          <w:tcPr>
            <w:tcW w:w="1021" w:type="pct"/>
            <w:shd w:val="clear" w:color="auto" w:fill="FFFFFF"/>
            <w:vAlign w:val="center"/>
          </w:tcPr>
          <w:p w14:paraId="080155C2" w14:textId="7C0A35D8" w:rsidR="00473873" w:rsidRPr="00873941" w:rsidRDefault="00473873" w:rsidP="0088158A">
            <w:pPr>
              <w:pStyle w:val="TableText0"/>
              <w:jc w:val="center"/>
              <w:rPr>
                <w:rFonts w:eastAsia="Calibri" w:cs="Arial"/>
                <w:kern w:val="24"/>
              </w:rPr>
            </w:pPr>
            <w:r w:rsidRPr="00873941">
              <w:rPr>
                <w:rFonts w:eastAsia="Calibri" w:cs="Arial"/>
                <w:kern w:val="24"/>
              </w:rPr>
              <w:t>N/A</w:t>
            </w:r>
          </w:p>
        </w:tc>
        <w:tc>
          <w:tcPr>
            <w:tcW w:w="601" w:type="pct"/>
            <w:shd w:val="clear" w:color="auto" w:fill="FFFFFF"/>
            <w:vAlign w:val="center"/>
          </w:tcPr>
          <w:p w14:paraId="3643A262" w14:textId="2EC09D80" w:rsidR="00473873" w:rsidRPr="00873941" w:rsidRDefault="00473873" w:rsidP="0088158A">
            <w:pPr>
              <w:pStyle w:val="TableText0"/>
              <w:jc w:val="center"/>
              <w:rPr>
                <w:rFonts w:eastAsia="Calibri" w:cs="Arial"/>
                <w:kern w:val="24"/>
              </w:rPr>
            </w:pPr>
            <w:r w:rsidRPr="00873941">
              <w:rPr>
                <w:rFonts w:eastAsia="Calibri" w:cs="Arial"/>
                <w:kern w:val="24"/>
              </w:rPr>
              <w:t>N/A</w:t>
            </w:r>
          </w:p>
        </w:tc>
      </w:tr>
      <w:tr w:rsidR="00473873" w:rsidRPr="00873941" w14:paraId="0A75A1C1" w14:textId="77777777" w:rsidTr="00357E0A">
        <w:tc>
          <w:tcPr>
            <w:tcW w:w="1412" w:type="pct"/>
            <w:shd w:val="clear" w:color="auto" w:fill="auto"/>
            <w:vAlign w:val="center"/>
          </w:tcPr>
          <w:p w14:paraId="02B22138" w14:textId="0D0119C9" w:rsidR="00473873" w:rsidRPr="00873941" w:rsidRDefault="00473873" w:rsidP="0088158A">
            <w:pPr>
              <w:pStyle w:val="TableText0"/>
            </w:pPr>
            <w:r w:rsidRPr="00873941">
              <w:t>LVSD or CHF (any grade)</w:t>
            </w:r>
          </w:p>
        </w:tc>
        <w:tc>
          <w:tcPr>
            <w:tcW w:w="1022" w:type="pct"/>
            <w:shd w:val="clear" w:color="auto" w:fill="FFFFFF"/>
            <w:vAlign w:val="center"/>
          </w:tcPr>
          <w:p w14:paraId="06B10743" w14:textId="582C2177" w:rsidR="00473873" w:rsidRPr="00873941" w:rsidRDefault="00473873" w:rsidP="0088158A">
            <w:pPr>
              <w:pStyle w:val="TableText0"/>
              <w:jc w:val="center"/>
              <w:rPr>
                <w:rFonts w:eastAsia="Calibri" w:cs="Arial"/>
                <w:kern w:val="24"/>
              </w:rPr>
            </w:pPr>
            <w:r w:rsidRPr="00873941">
              <w:rPr>
                <w:rFonts w:eastAsia="Calibri" w:cs="Arial"/>
                <w:kern w:val="24"/>
              </w:rPr>
              <w:t>4 (5.6)</w:t>
            </w:r>
          </w:p>
        </w:tc>
        <w:tc>
          <w:tcPr>
            <w:tcW w:w="944" w:type="pct"/>
            <w:shd w:val="clear" w:color="auto" w:fill="FFFFFF"/>
            <w:vAlign w:val="center"/>
          </w:tcPr>
          <w:p w14:paraId="5070455F" w14:textId="161BC87C" w:rsidR="00473873" w:rsidRPr="00873941" w:rsidRDefault="00473873" w:rsidP="0088158A">
            <w:pPr>
              <w:pStyle w:val="TableText0"/>
              <w:jc w:val="center"/>
              <w:rPr>
                <w:rFonts w:eastAsia="Calibri" w:cs="Arial"/>
                <w:kern w:val="24"/>
              </w:rPr>
            </w:pPr>
            <w:r w:rsidRPr="00873941">
              <w:rPr>
                <w:rFonts w:eastAsia="Calibri" w:cs="Arial"/>
                <w:kern w:val="24"/>
              </w:rPr>
              <w:t>2 (2.6)</w:t>
            </w:r>
          </w:p>
        </w:tc>
        <w:tc>
          <w:tcPr>
            <w:tcW w:w="1021" w:type="pct"/>
            <w:shd w:val="clear" w:color="auto" w:fill="FFFFFF"/>
            <w:vAlign w:val="center"/>
          </w:tcPr>
          <w:p w14:paraId="7E222889" w14:textId="2A8B5AC6" w:rsidR="00473873" w:rsidRPr="00873941" w:rsidRDefault="00473873" w:rsidP="0088158A">
            <w:pPr>
              <w:pStyle w:val="TableText0"/>
              <w:jc w:val="center"/>
              <w:rPr>
                <w:rFonts w:eastAsia="Calibri" w:cs="Arial"/>
                <w:kern w:val="24"/>
              </w:rPr>
            </w:pPr>
            <w:r w:rsidRPr="00873941">
              <w:rPr>
                <w:rFonts w:eastAsia="Calibri" w:cs="Arial"/>
                <w:kern w:val="24"/>
              </w:rPr>
              <w:t>N/A</w:t>
            </w:r>
          </w:p>
        </w:tc>
        <w:tc>
          <w:tcPr>
            <w:tcW w:w="601" w:type="pct"/>
            <w:shd w:val="clear" w:color="auto" w:fill="FFFFFF"/>
            <w:vAlign w:val="center"/>
          </w:tcPr>
          <w:p w14:paraId="7F7A1B48" w14:textId="3F2618E6" w:rsidR="00473873" w:rsidRPr="00873941" w:rsidRDefault="00473873" w:rsidP="0088158A">
            <w:pPr>
              <w:pStyle w:val="TableText0"/>
              <w:jc w:val="center"/>
              <w:rPr>
                <w:rFonts w:eastAsia="Calibri" w:cs="Arial"/>
                <w:kern w:val="24"/>
              </w:rPr>
            </w:pPr>
            <w:r w:rsidRPr="00873941">
              <w:rPr>
                <w:rFonts w:eastAsia="Calibri" w:cs="Arial"/>
                <w:kern w:val="24"/>
              </w:rPr>
              <w:t>N/A</w:t>
            </w:r>
          </w:p>
        </w:tc>
      </w:tr>
      <w:tr w:rsidR="00473873" w:rsidRPr="00873941" w14:paraId="33D556BA" w14:textId="77777777" w:rsidTr="00357E0A">
        <w:tc>
          <w:tcPr>
            <w:tcW w:w="1412" w:type="pct"/>
            <w:shd w:val="clear" w:color="auto" w:fill="auto"/>
            <w:vAlign w:val="center"/>
          </w:tcPr>
          <w:p w14:paraId="6B16B0BE" w14:textId="585935EA" w:rsidR="00473873" w:rsidRPr="00873941" w:rsidRDefault="00473873" w:rsidP="0088158A">
            <w:pPr>
              <w:pStyle w:val="TableText0"/>
            </w:pPr>
            <w:r w:rsidRPr="00873941">
              <w:t>Infusion-related reactions (any grade)</w:t>
            </w:r>
          </w:p>
        </w:tc>
        <w:tc>
          <w:tcPr>
            <w:tcW w:w="1022" w:type="pct"/>
            <w:shd w:val="clear" w:color="auto" w:fill="FFFFFF"/>
            <w:vAlign w:val="center"/>
          </w:tcPr>
          <w:p w14:paraId="60874C87" w14:textId="06497D15" w:rsidR="00473873" w:rsidRPr="00873941" w:rsidRDefault="00473873" w:rsidP="0088158A">
            <w:pPr>
              <w:pStyle w:val="TableText0"/>
              <w:jc w:val="center"/>
              <w:rPr>
                <w:rFonts w:eastAsia="Calibri" w:cs="Arial"/>
                <w:kern w:val="24"/>
              </w:rPr>
            </w:pPr>
            <w:r w:rsidRPr="00873941">
              <w:rPr>
                <w:rFonts w:eastAsia="Calibri" w:cs="Arial"/>
                <w:kern w:val="24"/>
              </w:rPr>
              <w:t>3 (4.2)</w:t>
            </w:r>
          </w:p>
        </w:tc>
        <w:tc>
          <w:tcPr>
            <w:tcW w:w="944" w:type="pct"/>
            <w:shd w:val="clear" w:color="auto" w:fill="FFFFFF"/>
            <w:vAlign w:val="center"/>
          </w:tcPr>
          <w:p w14:paraId="418FB946" w14:textId="5ED9E1CF" w:rsidR="00473873" w:rsidRPr="00873941" w:rsidRDefault="00473873" w:rsidP="0088158A">
            <w:pPr>
              <w:pStyle w:val="TableText0"/>
              <w:jc w:val="center"/>
              <w:rPr>
                <w:rFonts w:eastAsia="Calibri" w:cs="Arial"/>
                <w:kern w:val="24"/>
              </w:rPr>
            </w:pPr>
            <w:r w:rsidRPr="00873941">
              <w:rPr>
                <w:rFonts w:eastAsia="Calibri" w:cs="Arial"/>
                <w:kern w:val="24"/>
              </w:rPr>
              <w:t>4 (5.3)</w:t>
            </w:r>
          </w:p>
        </w:tc>
        <w:tc>
          <w:tcPr>
            <w:tcW w:w="1021" w:type="pct"/>
            <w:shd w:val="clear" w:color="auto" w:fill="FFFFFF"/>
            <w:vAlign w:val="center"/>
          </w:tcPr>
          <w:p w14:paraId="41C3914A" w14:textId="68DCC42F" w:rsidR="00473873" w:rsidRPr="00873941" w:rsidRDefault="00473873" w:rsidP="0088158A">
            <w:pPr>
              <w:pStyle w:val="TableText0"/>
              <w:jc w:val="center"/>
              <w:rPr>
                <w:rFonts w:eastAsia="Calibri" w:cs="Arial"/>
                <w:kern w:val="24"/>
              </w:rPr>
            </w:pPr>
            <w:r w:rsidRPr="00873941">
              <w:rPr>
                <w:rFonts w:eastAsia="Calibri" w:cs="Arial"/>
                <w:kern w:val="24"/>
              </w:rPr>
              <w:t>N/A</w:t>
            </w:r>
          </w:p>
        </w:tc>
        <w:tc>
          <w:tcPr>
            <w:tcW w:w="601" w:type="pct"/>
            <w:shd w:val="clear" w:color="auto" w:fill="FFFFFF"/>
            <w:vAlign w:val="center"/>
          </w:tcPr>
          <w:p w14:paraId="06A99C14" w14:textId="785F1FCE" w:rsidR="00473873" w:rsidRPr="00873941" w:rsidRDefault="00473873" w:rsidP="0088158A">
            <w:pPr>
              <w:pStyle w:val="TableText0"/>
              <w:jc w:val="center"/>
              <w:rPr>
                <w:rFonts w:eastAsia="Calibri" w:cs="Arial"/>
                <w:kern w:val="24"/>
              </w:rPr>
            </w:pPr>
            <w:r w:rsidRPr="00873941">
              <w:rPr>
                <w:rFonts w:eastAsia="Calibri" w:cs="Arial"/>
                <w:kern w:val="24"/>
              </w:rPr>
              <w:t>N/A</w:t>
            </w:r>
          </w:p>
        </w:tc>
      </w:tr>
    </w:tbl>
    <w:p w14:paraId="4F427F48" w14:textId="233916E6" w:rsidR="00A309A5" w:rsidRPr="00873941" w:rsidRDefault="00A309A5" w:rsidP="0088158A">
      <w:pPr>
        <w:pStyle w:val="TableFigureFooter"/>
        <w:keepNext/>
      </w:pPr>
      <w:r w:rsidRPr="00873941">
        <w:t xml:space="preserve">Source: Tables 2-36, 2-37, </w:t>
      </w:r>
      <w:r w:rsidR="00B42785" w:rsidRPr="00873941">
        <w:t xml:space="preserve">2-38, </w:t>
      </w:r>
      <w:r w:rsidRPr="00873941">
        <w:t>2-41, 2-42, 2-43,</w:t>
      </w:r>
      <w:r w:rsidR="00B42785" w:rsidRPr="00873941">
        <w:t xml:space="preserve"> 2-44,</w:t>
      </w:r>
      <w:r w:rsidRPr="00873941">
        <w:t xml:space="preserve"> 2-47, 2-48, 2-49 &amp; 2-51; pp94-9</w:t>
      </w:r>
      <w:r w:rsidR="00B42785" w:rsidRPr="00873941">
        <w:t>9</w:t>
      </w:r>
      <w:r w:rsidRPr="00873941">
        <w:t xml:space="preserve">, 102-106, 109-114 of the </w:t>
      </w:r>
      <w:r w:rsidR="00B42785" w:rsidRPr="00873941">
        <w:t>re</w:t>
      </w:r>
      <w:r w:rsidRPr="00873941">
        <w:t>submission; NEOSPHERE, TRYPHAENA, PEONY CSRs; Clark 2021.</w:t>
      </w:r>
    </w:p>
    <w:p w14:paraId="4519C8CB" w14:textId="28005A1F" w:rsidR="00A309A5" w:rsidRPr="00873941" w:rsidRDefault="00A309A5" w:rsidP="0088158A">
      <w:pPr>
        <w:pStyle w:val="TableFigureFooter"/>
        <w:keepNext/>
      </w:pPr>
      <w:r w:rsidRPr="00873941">
        <w:t>AE = adverse event;</w:t>
      </w:r>
      <w:r w:rsidR="00596C01" w:rsidRPr="00873941">
        <w:t xml:space="preserve"> Ant.=anthracycline;</w:t>
      </w:r>
      <w:r w:rsidRPr="00873941">
        <w:t xml:space="preserve"> chemo = chemotherapy;</w:t>
      </w:r>
      <w:r w:rsidR="00427658" w:rsidRPr="00873941">
        <w:t xml:space="preserve"> CHF= congestive heart failure;</w:t>
      </w:r>
      <w:r w:rsidRPr="00873941">
        <w:t xml:space="preserve"> CI = confidence interval; </w:t>
      </w:r>
      <w:r w:rsidR="00427658" w:rsidRPr="00873941">
        <w:t xml:space="preserve">LVSD=left ventricular systolic dysfunction; </w:t>
      </w:r>
      <w:r w:rsidRPr="00873941">
        <w:t xml:space="preserve">N = number experiencing event; N/A = not applicable; NR = not reported; P = pertuzumab; </w:t>
      </w:r>
      <w:r w:rsidR="00596C01" w:rsidRPr="00873941">
        <w:t xml:space="preserve">Pac.=paclitaxel; </w:t>
      </w:r>
      <w:r w:rsidRPr="00873941">
        <w:t>SAE = serious adverse event; T = trastuzumab.</w:t>
      </w:r>
    </w:p>
    <w:p w14:paraId="0938F335" w14:textId="77777777" w:rsidR="00A309A5" w:rsidRPr="00873941" w:rsidRDefault="00A309A5" w:rsidP="0088158A">
      <w:pPr>
        <w:pStyle w:val="TableFigureFooter"/>
        <w:keepNext/>
      </w:pPr>
      <w:r w:rsidRPr="00873941">
        <w:rPr>
          <w:vertAlign w:val="superscript"/>
        </w:rPr>
        <w:t>a</w:t>
      </w:r>
      <w:r w:rsidRPr="00873941">
        <w:t xml:space="preserve"> Calculated post-hoc using </w:t>
      </w:r>
      <w:proofErr w:type="spellStart"/>
      <w:r w:rsidRPr="00873941">
        <w:t>RevMan</w:t>
      </w:r>
      <w:proofErr w:type="spellEnd"/>
      <w:r w:rsidRPr="00873941">
        <w:t>.</w:t>
      </w:r>
    </w:p>
    <w:p w14:paraId="6B6F7FFF" w14:textId="006B1161" w:rsidR="0070232F" w:rsidRPr="00873941" w:rsidRDefault="00596C01" w:rsidP="0088158A">
      <w:pPr>
        <w:pStyle w:val="TableFigureFooter"/>
        <w:keepNext/>
      </w:pPr>
      <w:r w:rsidRPr="00873941">
        <w:rPr>
          <w:vertAlign w:val="superscript"/>
        </w:rPr>
        <w:t>b</w:t>
      </w:r>
      <w:r w:rsidRPr="00873941">
        <w:t xml:space="preserve"> </w:t>
      </w:r>
      <w:r w:rsidR="0070232F" w:rsidRPr="00873941">
        <w:t>Chemotherapy in the NEOSPHERE and PEONY trials was docetaxel; chemotherapy in the I-SPY2 trial was weekly paclitaxel + 4 x 3-weekly trastuzumab [+/-pertuzumab]], followed by 3 4 cycles of doxorubicin + cyclophosphamide</w:t>
      </w:r>
    </w:p>
    <w:p w14:paraId="3DBEC4AA" w14:textId="6C4C9394" w:rsidR="00596C01" w:rsidRPr="00873941" w:rsidRDefault="0070232F" w:rsidP="0088158A">
      <w:pPr>
        <w:pStyle w:val="TableFigureFooter"/>
        <w:keepNext/>
      </w:pPr>
      <w:r w:rsidRPr="00873941">
        <w:rPr>
          <w:vertAlign w:val="superscript"/>
        </w:rPr>
        <w:t>c</w:t>
      </w:r>
      <w:r w:rsidRPr="00873941">
        <w:t xml:space="preserve"> </w:t>
      </w:r>
      <w:r w:rsidR="00596C01" w:rsidRPr="00873941">
        <w:t>LVSD only</w:t>
      </w:r>
    </w:p>
    <w:p w14:paraId="4C105869" w14:textId="0B4D28A7" w:rsidR="00A309A5" w:rsidRPr="00873941" w:rsidRDefault="002526C8" w:rsidP="00981D53">
      <w:pPr>
        <w:pStyle w:val="3-BodyText"/>
        <w:spacing w:after="240"/>
      </w:pPr>
      <w:r w:rsidRPr="00873941">
        <w:lastRenderedPageBreak/>
        <w:t xml:space="preserve">During the neoadjuvant period, there was one death in the </w:t>
      </w:r>
      <w:proofErr w:type="spellStart"/>
      <w:r w:rsidRPr="00873941">
        <w:t>P+T+Chemo</w:t>
      </w:r>
      <w:proofErr w:type="spellEnd"/>
      <w:r w:rsidRPr="00873941">
        <w:t xml:space="preserve"> arm of the NEOSPHERE trial (fulminant hepatitis) that was considered possibly related to study treatment. There was one death in the </w:t>
      </w:r>
      <w:proofErr w:type="spellStart"/>
      <w:r w:rsidRPr="00873941">
        <w:t>P+T+Chemo</w:t>
      </w:r>
      <w:proofErr w:type="spellEnd"/>
      <w:r w:rsidRPr="00873941">
        <w:t xml:space="preserve"> arm of the PEONY trial (suicide) and one death in the </w:t>
      </w:r>
      <w:proofErr w:type="spellStart"/>
      <w:r w:rsidRPr="00873941">
        <w:t>P+T+Chemo</w:t>
      </w:r>
      <w:proofErr w:type="spellEnd"/>
      <w:r w:rsidRPr="00873941">
        <w:t xml:space="preserve"> arm of the I-SPY trial (respiratory failure); both were considered unrelated to study treatment. There were no deaths in the neoadjuvant period of the TRYPHAENA trial.</w:t>
      </w:r>
    </w:p>
    <w:p w14:paraId="3A057C2C" w14:textId="70BD5374" w:rsidR="0088158A" w:rsidRPr="00873941" w:rsidRDefault="0088158A" w:rsidP="0088158A">
      <w:pPr>
        <w:pStyle w:val="5-SubsectionSubheading"/>
      </w:pPr>
      <w:bookmarkStart w:id="58" w:name="_Toc188444275"/>
      <w:r w:rsidRPr="00873941">
        <w:t>Observational studies</w:t>
      </w:r>
      <w:bookmarkEnd w:id="58"/>
    </w:p>
    <w:p w14:paraId="604807A1" w14:textId="486CFD6F" w:rsidR="008F5530" w:rsidRPr="00873941" w:rsidRDefault="008F5530" w:rsidP="002526C8">
      <w:pPr>
        <w:pStyle w:val="3-BodyText"/>
      </w:pPr>
      <w:r w:rsidRPr="00873941">
        <w:fldChar w:fldCharType="begin"/>
      </w:r>
      <w:r w:rsidRPr="00873941">
        <w:instrText xml:space="preserve"> REF _Ref184803430 \h </w:instrText>
      </w:r>
      <w:r w:rsidRPr="00873941">
        <w:fldChar w:fldCharType="separate"/>
      </w:r>
      <w:r w:rsidR="000B094B" w:rsidRPr="00873941">
        <w:t xml:space="preserve">Table </w:t>
      </w:r>
      <w:r w:rsidR="000B094B">
        <w:rPr>
          <w:noProof/>
        </w:rPr>
        <w:t>11</w:t>
      </w:r>
      <w:r w:rsidRPr="00873941">
        <w:fldChar w:fldCharType="end"/>
      </w:r>
      <w:r w:rsidRPr="00873941">
        <w:t xml:space="preserve"> presents key safety data from the 14 observational studies, specifically se</w:t>
      </w:r>
      <w:r w:rsidR="00870171" w:rsidRPr="00873941">
        <w:t>rious</w:t>
      </w:r>
      <w:r w:rsidRPr="00873941">
        <w:t xml:space="preserve"> adverse events, Grade ≥3 adverse events, </w:t>
      </w:r>
      <w:r w:rsidR="00AC3EEF" w:rsidRPr="00873941">
        <w:t xml:space="preserve">discontinuations, </w:t>
      </w:r>
      <w:r w:rsidRPr="00873941">
        <w:t>and event types highlighted previously by the PBAC in the March 2020 submission.</w:t>
      </w:r>
    </w:p>
    <w:p w14:paraId="3A3673FE" w14:textId="2E654104" w:rsidR="008F5530" w:rsidRPr="00873941" w:rsidRDefault="008F5530" w:rsidP="0088158A">
      <w:pPr>
        <w:pStyle w:val="Caption"/>
      </w:pPr>
      <w:bookmarkStart w:id="59" w:name="_Ref184803430"/>
      <w:r w:rsidRPr="00873941">
        <w:lastRenderedPageBreak/>
        <w:t xml:space="preserve">Table </w:t>
      </w:r>
      <w:r w:rsidR="00461B91">
        <w:fldChar w:fldCharType="begin"/>
      </w:r>
      <w:r w:rsidR="00461B91">
        <w:instrText xml:space="preserve"> SEQ Table \* ARABIC </w:instrText>
      </w:r>
      <w:r w:rsidR="00461B91">
        <w:fldChar w:fldCharType="separate"/>
      </w:r>
      <w:r w:rsidR="000B094B">
        <w:rPr>
          <w:noProof/>
        </w:rPr>
        <w:t>11</w:t>
      </w:r>
      <w:r w:rsidR="00461B91">
        <w:fldChar w:fldCharType="end"/>
      </w:r>
      <w:bookmarkEnd w:id="59"/>
      <w:r w:rsidRPr="00873941">
        <w:t xml:space="preserve">: Summary of adverse events from the comparative studies of </w:t>
      </w:r>
      <w:proofErr w:type="spellStart"/>
      <w:r w:rsidRPr="00873941">
        <w:t>P+T+Chemo</w:t>
      </w:r>
      <w:proofErr w:type="spellEnd"/>
      <w:r w:rsidRPr="00873941">
        <w:t xml:space="preserve"> vs </w:t>
      </w:r>
      <w:proofErr w:type="spellStart"/>
      <w:r w:rsidRPr="00873941">
        <w:t>T+Chemo</w:t>
      </w:r>
      <w:proofErr w:type="spellEnd"/>
      <w:r w:rsidRPr="00873941">
        <w:t xml:space="preserve"> (including anthracyclines)</w:t>
      </w:r>
    </w:p>
    <w:tbl>
      <w:tblPr>
        <w:tblStyle w:val="TableGrid"/>
        <w:tblW w:w="5000" w:type="pct"/>
        <w:tblLook w:val="04A0" w:firstRow="1" w:lastRow="0" w:firstColumn="1" w:lastColumn="0" w:noHBand="0" w:noVBand="1"/>
        <w:tblCaption w:val="Table 11: Summary of adverse events from the comparative studies of P+T+Chemo vs T+Chemo (including anthracyclines)"/>
      </w:tblPr>
      <w:tblGrid>
        <w:gridCol w:w="2494"/>
        <w:gridCol w:w="1618"/>
        <w:gridCol w:w="1592"/>
        <w:gridCol w:w="1656"/>
        <w:gridCol w:w="1657"/>
      </w:tblGrid>
      <w:tr w:rsidR="00541844" w:rsidRPr="00873941" w14:paraId="589129B2" w14:textId="77777777" w:rsidTr="00357E0A">
        <w:trPr>
          <w:tblHeader/>
        </w:trPr>
        <w:tc>
          <w:tcPr>
            <w:tcW w:w="1383" w:type="pct"/>
            <w:vMerge w:val="restart"/>
            <w:shd w:val="clear" w:color="auto" w:fill="FFFFFF" w:themeFill="background1"/>
            <w:vAlign w:val="bottom"/>
          </w:tcPr>
          <w:p w14:paraId="275B155E" w14:textId="77777777" w:rsidR="00541844" w:rsidRPr="00873941" w:rsidRDefault="00541844" w:rsidP="0088158A">
            <w:pPr>
              <w:pStyle w:val="In-tableHeading"/>
              <w:rPr>
                <w:lang w:val="en-AU"/>
              </w:rPr>
            </w:pPr>
            <w:r w:rsidRPr="00873941">
              <w:rPr>
                <w:lang w:val="en-AU"/>
              </w:rPr>
              <w:t>Study</w:t>
            </w:r>
          </w:p>
        </w:tc>
        <w:tc>
          <w:tcPr>
            <w:tcW w:w="897" w:type="pct"/>
            <w:shd w:val="clear" w:color="auto" w:fill="FFFFFF" w:themeFill="background1"/>
          </w:tcPr>
          <w:p w14:paraId="6C4F72A4" w14:textId="12F7E472" w:rsidR="00541844" w:rsidRPr="00873941" w:rsidRDefault="00541844" w:rsidP="0088158A">
            <w:pPr>
              <w:pStyle w:val="In-tableHeading"/>
              <w:rPr>
                <w:lang w:val="en-AU"/>
              </w:rPr>
            </w:pPr>
            <w:proofErr w:type="spellStart"/>
            <w:r w:rsidRPr="00873941">
              <w:rPr>
                <w:lang w:val="en-AU"/>
              </w:rPr>
              <w:t>P+</w:t>
            </w:r>
            <w:r w:rsidR="008F5530" w:rsidRPr="00873941">
              <w:rPr>
                <w:lang w:val="en-AU"/>
              </w:rPr>
              <w:t>T</w:t>
            </w:r>
            <w:r w:rsidRPr="00873941">
              <w:rPr>
                <w:lang w:val="en-AU"/>
              </w:rPr>
              <w:t>+Chemo</w:t>
            </w:r>
            <w:proofErr w:type="spellEnd"/>
            <w:r w:rsidRPr="00873941">
              <w:rPr>
                <w:lang w:val="en-AU"/>
              </w:rPr>
              <w:t xml:space="preserve"> </w:t>
            </w:r>
          </w:p>
        </w:tc>
        <w:tc>
          <w:tcPr>
            <w:tcW w:w="883" w:type="pct"/>
            <w:shd w:val="clear" w:color="auto" w:fill="FFFFFF" w:themeFill="background1"/>
          </w:tcPr>
          <w:p w14:paraId="3EEDDFF6" w14:textId="36EE4F7A" w:rsidR="00541844" w:rsidRPr="00873941" w:rsidRDefault="008F5530" w:rsidP="0088158A">
            <w:pPr>
              <w:pStyle w:val="In-tableHeading"/>
              <w:rPr>
                <w:lang w:val="en-AU"/>
              </w:rPr>
            </w:pPr>
            <w:proofErr w:type="spellStart"/>
            <w:r w:rsidRPr="00873941">
              <w:rPr>
                <w:lang w:val="en-AU"/>
              </w:rPr>
              <w:t>T</w:t>
            </w:r>
            <w:r w:rsidR="00541844" w:rsidRPr="00873941">
              <w:rPr>
                <w:lang w:val="en-AU"/>
              </w:rPr>
              <w:t>+Chemo</w:t>
            </w:r>
            <w:proofErr w:type="spellEnd"/>
          </w:p>
        </w:tc>
        <w:tc>
          <w:tcPr>
            <w:tcW w:w="918" w:type="pct"/>
            <w:shd w:val="clear" w:color="auto" w:fill="FFFFFF" w:themeFill="background1"/>
          </w:tcPr>
          <w:p w14:paraId="46B5A6E0" w14:textId="77777777" w:rsidR="00541844" w:rsidRPr="00873941" w:rsidRDefault="00541844" w:rsidP="0088158A">
            <w:pPr>
              <w:pStyle w:val="In-tableHeading"/>
              <w:rPr>
                <w:lang w:val="en-AU"/>
              </w:rPr>
            </w:pPr>
            <w:r w:rsidRPr="00873941">
              <w:rPr>
                <w:lang w:val="en-AU"/>
              </w:rPr>
              <w:t>OR [95% CI]</w:t>
            </w:r>
          </w:p>
        </w:tc>
        <w:tc>
          <w:tcPr>
            <w:tcW w:w="918" w:type="pct"/>
            <w:shd w:val="clear" w:color="auto" w:fill="FFFFFF" w:themeFill="background1"/>
          </w:tcPr>
          <w:p w14:paraId="41CFB64B" w14:textId="77777777" w:rsidR="00541844" w:rsidRPr="00873941" w:rsidRDefault="00541844" w:rsidP="0088158A">
            <w:pPr>
              <w:pStyle w:val="In-tableHeading"/>
              <w:rPr>
                <w:lang w:val="en-AU"/>
              </w:rPr>
            </w:pPr>
            <w:r w:rsidRPr="00873941">
              <w:rPr>
                <w:lang w:val="en-AU"/>
              </w:rPr>
              <w:t>RD [95% CI]</w:t>
            </w:r>
          </w:p>
        </w:tc>
      </w:tr>
      <w:tr w:rsidR="00541844" w:rsidRPr="00873941" w14:paraId="2D028898" w14:textId="77777777" w:rsidTr="00357E0A">
        <w:trPr>
          <w:tblHeader/>
        </w:trPr>
        <w:tc>
          <w:tcPr>
            <w:tcW w:w="1383" w:type="pct"/>
            <w:vMerge/>
            <w:shd w:val="clear" w:color="auto" w:fill="FFFFFF" w:themeFill="background1"/>
          </w:tcPr>
          <w:p w14:paraId="53F97252" w14:textId="77777777" w:rsidR="00541844" w:rsidRPr="00873941" w:rsidRDefault="00541844" w:rsidP="0088158A">
            <w:pPr>
              <w:pStyle w:val="In-tableHeading"/>
              <w:rPr>
                <w:lang w:val="en-AU"/>
              </w:rPr>
            </w:pPr>
          </w:p>
        </w:tc>
        <w:tc>
          <w:tcPr>
            <w:tcW w:w="897" w:type="pct"/>
            <w:shd w:val="clear" w:color="auto" w:fill="FFFFFF" w:themeFill="background1"/>
          </w:tcPr>
          <w:p w14:paraId="23A399C5" w14:textId="77777777" w:rsidR="00541844" w:rsidRPr="00873941" w:rsidRDefault="00541844" w:rsidP="0088158A">
            <w:pPr>
              <w:pStyle w:val="In-tableHeading"/>
              <w:rPr>
                <w:lang w:val="en-AU"/>
              </w:rPr>
            </w:pPr>
            <w:r w:rsidRPr="00873941">
              <w:rPr>
                <w:lang w:val="en-AU"/>
              </w:rPr>
              <w:t>n/N (%)</w:t>
            </w:r>
          </w:p>
        </w:tc>
        <w:tc>
          <w:tcPr>
            <w:tcW w:w="883" w:type="pct"/>
            <w:shd w:val="clear" w:color="auto" w:fill="FFFFFF" w:themeFill="background1"/>
          </w:tcPr>
          <w:p w14:paraId="564ED635" w14:textId="77777777" w:rsidR="00541844" w:rsidRPr="00873941" w:rsidRDefault="00541844" w:rsidP="0088158A">
            <w:pPr>
              <w:pStyle w:val="In-tableHeading"/>
              <w:rPr>
                <w:lang w:val="en-AU"/>
              </w:rPr>
            </w:pPr>
            <w:r w:rsidRPr="00873941">
              <w:rPr>
                <w:lang w:val="en-AU"/>
              </w:rPr>
              <w:t>n/N (%)</w:t>
            </w:r>
          </w:p>
        </w:tc>
        <w:tc>
          <w:tcPr>
            <w:tcW w:w="1837" w:type="pct"/>
            <w:gridSpan w:val="2"/>
            <w:shd w:val="clear" w:color="auto" w:fill="FFFFFF" w:themeFill="background1"/>
          </w:tcPr>
          <w:p w14:paraId="297C9F93" w14:textId="77777777" w:rsidR="00541844" w:rsidRPr="00873941" w:rsidRDefault="00541844" w:rsidP="0088158A">
            <w:pPr>
              <w:pStyle w:val="In-tableHeading"/>
              <w:rPr>
                <w:lang w:val="en-AU"/>
              </w:rPr>
            </w:pPr>
            <w:r w:rsidRPr="00873941">
              <w:rPr>
                <w:lang w:val="en-AU"/>
              </w:rPr>
              <w:t>OR&lt; 1; RD&lt;0 favours pertuzumab arm</w:t>
            </w:r>
          </w:p>
        </w:tc>
      </w:tr>
      <w:tr w:rsidR="00541844" w:rsidRPr="00873941" w14:paraId="6CECA5E5" w14:textId="77777777" w:rsidTr="00357E0A">
        <w:trPr>
          <w:trHeight w:val="227"/>
        </w:trPr>
        <w:tc>
          <w:tcPr>
            <w:tcW w:w="5000" w:type="pct"/>
            <w:gridSpan w:val="5"/>
            <w:shd w:val="clear" w:color="auto" w:fill="auto"/>
          </w:tcPr>
          <w:p w14:paraId="553EFFEA" w14:textId="1BDAC2EA" w:rsidR="00541844" w:rsidRPr="00873941" w:rsidRDefault="00541844" w:rsidP="0088158A">
            <w:pPr>
              <w:pStyle w:val="In-tableHeading"/>
              <w:rPr>
                <w:lang w:val="en-AU"/>
              </w:rPr>
            </w:pPr>
            <w:r w:rsidRPr="00873941">
              <w:rPr>
                <w:lang w:val="en-AU"/>
              </w:rPr>
              <w:t>(Bilici 2023)</w:t>
            </w:r>
          </w:p>
        </w:tc>
      </w:tr>
      <w:tr w:rsidR="00541844" w:rsidRPr="00873941" w14:paraId="1713B140" w14:textId="77777777" w:rsidTr="00357E0A">
        <w:trPr>
          <w:trHeight w:val="227"/>
        </w:trPr>
        <w:tc>
          <w:tcPr>
            <w:tcW w:w="1383" w:type="pct"/>
            <w:shd w:val="clear" w:color="auto" w:fill="auto"/>
          </w:tcPr>
          <w:p w14:paraId="7E2BF9CB" w14:textId="4D24ACBC" w:rsidR="00541844" w:rsidRPr="00873941" w:rsidRDefault="00541844" w:rsidP="0088158A">
            <w:pPr>
              <w:pStyle w:val="TableText0"/>
            </w:pPr>
            <w:r w:rsidRPr="00873941">
              <w:t>Diarrhoea (Grade ≥3)</w:t>
            </w:r>
          </w:p>
        </w:tc>
        <w:tc>
          <w:tcPr>
            <w:tcW w:w="897" w:type="pct"/>
            <w:shd w:val="clear" w:color="auto" w:fill="auto"/>
          </w:tcPr>
          <w:p w14:paraId="781AE331" w14:textId="26E8D8CE" w:rsidR="00541844" w:rsidRPr="00873941" w:rsidRDefault="00541844" w:rsidP="0088158A">
            <w:pPr>
              <w:pStyle w:val="TableText0"/>
              <w:jc w:val="center"/>
            </w:pPr>
            <w:r w:rsidRPr="00873941">
              <w:t>7/577 (1.2)</w:t>
            </w:r>
          </w:p>
        </w:tc>
        <w:tc>
          <w:tcPr>
            <w:tcW w:w="883" w:type="pct"/>
            <w:shd w:val="clear" w:color="auto" w:fill="auto"/>
          </w:tcPr>
          <w:p w14:paraId="3A8AD825" w14:textId="792FC21A" w:rsidR="00541844" w:rsidRPr="00873941" w:rsidRDefault="00541844" w:rsidP="0088158A">
            <w:pPr>
              <w:pStyle w:val="TableText0"/>
              <w:jc w:val="center"/>
            </w:pPr>
            <w:r w:rsidRPr="00873941">
              <w:t>8/951 (0.8)</w:t>
            </w:r>
          </w:p>
        </w:tc>
        <w:tc>
          <w:tcPr>
            <w:tcW w:w="918" w:type="pct"/>
            <w:shd w:val="clear" w:color="auto" w:fill="auto"/>
          </w:tcPr>
          <w:p w14:paraId="7B92DB54" w14:textId="06C36C9E" w:rsidR="00541844" w:rsidRPr="00873941" w:rsidRDefault="00541844" w:rsidP="0088158A">
            <w:pPr>
              <w:pStyle w:val="TableText0"/>
              <w:jc w:val="center"/>
            </w:pPr>
            <w:r w:rsidRPr="00873941">
              <w:t>1.45 [0.52, 4.01]</w:t>
            </w:r>
          </w:p>
        </w:tc>
        <w:tc>
          <w:tcPr>
            <w:tcW w:w="918" w:type="pct"/>
            <w:shd w:val="clear" w:color="auto" w:fill="auto"/>
          </w:tcPr>
          <w:p w14:paraId="4BF52831" w14:textId="122A904A" w:rsidR="00541844" w:rsidRPr="00873941" w:rsidRDefault="00541844" w:rsidP="0088158A">
            <w:pPr>
              <w:pStyle w:val="TableText0"/>
              <w:jc w:val="center"/>
            </w:pPr>
            <w:r w:rsidRPr="00873941">
              <w:t>0.00 [-0.01, 0.01]</w:t>
            </w:r>
          </w:p>
        </w:tc>
      </w:tr>
      <w:tr w:rsidR="00541844" w:rsidRPr="00873941" w14:paraId="4710508A" w14:textId="77777777" w:rsidTr="00357E0A">
        <w:trPr>
          <w:trHeight w:val="227"/>
        </w:trPr>
        <w:tc>
          <w:tcPr>
            <w:tcW w:w="1383" w:type="pct"/>
            <w:shd w:val="clear" w:color="auto" w:fill="auto"/>
          </w:tcPr>
          <w:p w14:paraId="7B5778AC" w14:textId="6AE0E734" w:rsidR="00541844" w:rsidRPr="00873941" w:rsidRDefault="00541844" w:rsidP="0088158A">
            <w:pPr>
              <w:pStyle w:val="TableText0"/>
            </w:pPr>
            <w:r w:rsidRPr="00873941">
              <w:t>Diarrhoea (any grade)</w:t>
            </w:r>
          </w:p>
        </w:tc>
        <w:tc>
          <w:tcPr>
            <w:tcW w:w="897" w:type="pct"/>
            <w:shd w:val="clear" w:color="auto" w:fill="auto"/>
          </w:tcPr>
          <w:p w14:paraId="65BD60DC" w14:textId="17A674D9" w:rsidR="00541844" w:rsidRPr="00873941" w:rsidRDefault="00541844" w:rsidP="0088158A">
            <w:pPr>
              <w:pStyle w:val="TableText0"/>
              <w:jc w:val="center"/>
            </w:pPr>
            <w:r w:rsidRPr="00873941">
              <w:t>156/577 (27.0)</w:t>
            </w:r>
          </w:p>
        </w:tc>
        <w:tc>
          <w:tcPr>
            <w:tcW w:w="883" w:type="pct"/>
            <w:shd w:val="clear" w:color="auto" w:fill="auto"/>
          </w:tcPr>
          <w:p w14:paraId="2D39CAF0" w14:textId="383662DF" w:rsidR="00541844" w:rsidRPr="00873941" w:rsidRDefault="00541844" w:rsidP="0088158A">
            <w:pPr>
              <w:pStyle w:val="TableText0"/>
              <w:jc w:val="center"/>
            </w:pPr>
            <w:r w:rsidRPr="00873941">
              <w:t>152/951 (16.0)</w:t>
            </w:r>
          </w:p>
        </w:tc>
        <w:tc>
          <w:tcPr>
            <w:tcW w:w="918" w:type="pct"/>
            <w:shd w:val="clear" w:color="auto" w:fill="auto"/>
          </w:tcPr>
          <w:p w14:paraId="1D2B2C10" w14:textId="19C0E8B5" w:rsidR="00541844" w:rsidRPr="00873941" w:rsidRDefault="00541844" w:rsidP="0088158A">
            <w:pPr>
              <w:pStyle w:val="TableText0"/>
              <w:jc w:val="center"/>
              <w:rPr>
                <w:b/>
                <w:bCs w:val="0"/>
              </w:rPr>
            </w:pPr>
            <w:r w:rsidRPr="00873941">
              <w:rPr>
                <w:b/>
                <w:bCs w:val="0"/>
              </w:rPr>
              <w:t>1.95 [1.51, 2.51]</w:t>
            </w:r>
          </w:p>
        </w:tc>
        <w:tc>
          <w:tcPr>
            <w:tcW w:w="918" w:type="pct"/>
            <w:shd w:val="clear" w:color="auto" w:fill="auto"/>
          </w:tcPr>
          <w:p w14:paraId="1C46113F" w14:textId="18AC34C8" w:rsidR="00541844" w:rsidRPr="00873941" w:rsidRDefault="00541844" w:rsidP="0088158A">
            <w:pPr>
              <w:pStyle w:val="TableText0"/>
              <w:jc w:val="center"/>
              <w:rPr>
                <w:b/>
                <w:bCs w:val="0"/>
              </w:rPr>
            </w:pPr>
            <w:r w:rsidRPr="00873941">
              <w:rPr>
                <w:b/>
                <w:bCs w:val="0"/>
              </w:rPr>
              <w:t>0.11 [0.07, 0.15]</w:t>
            </w:r>
          </w:p>
        </w:tc>
      </w:tr>
      <w:tr w:rsidR="00541844" w:rsidRPr="00873941" w14:paraId="3264FD50" w14:textId="77777777" w:rsidTr="00357E0A">
        <w:trPr>
          <w:trHeight w:val="227"/>
        </w:trPr>
        <w:tc>
          <w:tcPr>
            <w:tcW w:w="5000" w:type="pct"/>
            <w:gridSpan w:val="5"/>
            <w:shd w:val="clear" w:color="auto" w:fill="auto"/>
          </w:tcPr>
          <w:p w14:paraId="7C1AFCE6" w14:textId="20E5C67B" w:rsidR="00541844" w:rsidRPr="00873941" w:rsidRDefault="00541844" w:rsidP="0088158A">
            <w:pPr>
              <w:pStyle w:val="In-tableHeading"/>
              <w:rPr>
                <w:lang w:val="en-AU" w:eastAsia="zh-CN"/>
              </w:rPr>
            </w:pPr>
            <w:r w:rsidRPr="00873941">
              <w:rPr>
                <w:lang w:val="en-AU" w:eastAsia="zh-CN"/>
              </w:rPr>
              <w:t>(Cheng 2022)</w:t>
            </w:r>
            <w:r w:rsidRPr="00873941">
              <w:rPr>
                <w:vertAlign w:val="superscript"/>
                <w:lang w:val="en-AU" w:eastAsia="zh-CN"/>
              </w:rPr>
              <w:t>a</w:t>
            </w:r>
          </w:p>
        </w:tc>
      </w:tr>
      <w:tr w:rsidR="00541844" w:rsidRPr="00873941" w14:paraId="099CE931" w14:textId="77777777" w:rsidTr="00357E0A">
        <w:trPr>
          <w:trHeight w:val="227"/>
        </w:trPr>
        <w:tc>
          <w:tcPr>
            <w:tcW w:w="1383" w:type="pct"/>
            <w:shd w:val="clear" w:color="auto" w:fill="auto"/>
          </w:tcPr>
          <w:p w14:paraId="7F037BB8" w14:textId="6F0A88B2" w:rsidR="00541844" w:rsidRPr="00873941" w:rsidRDefault="00541844" w:rsidP="0088158A">
            <w:pPr>
              <w:pStyle w:val="TableText0"/>
            </w:pPr>
            <w:r w:rsidRPr="00873941">
              <w:t>Diarrhoea (any grade)</w:t>
            </w:r>
          </w:p>
        </w:tc>
        <w:tc>
          <w:tcPr>
            <w:tcW w:w="897" w:type="pct"/>
            <w:shd w:val="clear" w:color="auto" w:fill="auto"/>
          </w:tcPr>
          <w:p w14:paraId="43AE3289" w14:textId="67DD77E1" w:rsidR="00541844" w:rsidRPr="00873941" w:rsidRDefault="00541844" w:rsidP="0088158A">
            <w:pPr>
              <w:pStyle w:val="TableText0"/>
              <w:jc w:val="center"/>
            </w:pPr>
            <w:r w:rsidRPr="00873941">
              <w:t>65/321 (20.2)</w:t>
            </w:r>
          </w:p>
        </w:tc>
        <w:tc>
          <w:tcPr>
            <w:tcW w:w="883" w:type="pct"/>
            <w:shd w:val="clear" w:color="auto" w:fill="auto"/>
          </w:tcPr>
          <w:p w14:paraId="0CD592CE" w14:textId="22CF183F" w:rsidR="00541844" w:rsidRPr="00873941" w:rsidRDefault="00541844" w:rsidP="0088158A">
            <w:pPr>
              <w:pStyle w:val="TableText0"/>
              <w:jc w:val="center"/>
            </w:pPr>
            <w:r w:rsidRPr="00873941">
              <w:t>NR</w:t>
            </w:r>
          </w:p>
        </w:tc>
        <w:tc>
          <w:tcPr>
            <w:tcW w:w="918" w:type="pct"/>
            <w:shd w:val="clear" w:color="auto" w:fill="auto"/>
          </w:tcPr>
          <w:p w14:paraId="786DA4ED" w14:textId="7DE1DFBB" w:rsidR="00541844" w:rsidRPr="00873941" w:rsidRDefault="00541844" w:rsidP="0088158A">
            <w:pPr>
              <w:pStyle w:val="TableText0"/>
              <w:jc w:val="center"/>
            </w:pPr>
            <w:r w:rsidRPr="00873941">
              <w:t>NE</w:t>
            </w:r>
          </w:p>
        </w:tc>
        <w:tc>
          <w:tcPr>
            <w:tcW w:w="918" w:type="pct"/>
            <w:shd w:val="clear" w:color="auto" w:fill="auto"/>
          </w:tcPr>
          <w:p w14:paraId="215D0BDD" w14:textId="5D511323" w:rsidR="00541844" w:rsidRPr="00873941" w:rsidRDefault="00541844" w:rsidP="0088158A">
            <w:pPr>
              <w:pStyle w:val="TableText0"/>
              <w:jc w:val="center"/>
            </w:pPr>
            <w:r w:rsidRPr="00873941">
              <w:t>NE</w:t>
            </w:r>
          </w:p>
        </w:tc>
      </w:tr>
      <w:tr w:rsidR="00541844" w:rsidRPr="00873941" w14:paraId="6DF69D6B" w14:textId="77777777" w:rsidTr="00357E0A">
        <w:trPr>
          <w:trHeight w:val="227"/>
        </w:trPr>
        <w:tc>
          <w:tcPr>
            <w:tcW w:w="1383" w:type="pct"/>
            <w:shd w:val="clear" w:color="auto" w:fill="auto"/>
          </w:tcPr>
          <w:p w14:paraId="27C6B494" w14:textId="77777777" w:rsidR="00541844" w:rsidRPr="00873941" w:rsidRDefault="00541844" w:rsidP="0088158A">
            <w:pPr>
              <w:pStyle w:val="TableText0"/>
            </w:pPr>
            <w:r w:rsidRPr="00873941">
              <w:t>Serious cardiovascular AEs</w:t>
            </w:r>
          </w:p>
        </w:tc>
        <w:tc>
          <w:tcPr>
            <w:tcW w:w="897" w:type="pct"/>
            <w:shd w:val="clear" w:color="auto" w:fill="auto"/>
          </w:tcPr>
          <w:p w14:paraId="0D0A67C9" w14:textId="59A2A423" w:rsidR="00541844" w:rsidRPr="00873941" w:rsidRDefault="008F5530" w:rsidP="0088158A">
            <w:pPr>
              <w:pStyle w:val="TableText0"/>
              <w:jc w:val="center"/>
            </w:pPr>
            <w:r w:rsidRPr="00873941">
              <w:t>0</w:t>
            </w:r>
          </w:p>
        </w:tc>
        <w:tc>
          <w:tcPr>
            <w:tcW w:w="883" w:type="pct"/>
            <w:shd w:val="clear" w:color="auto" w:fill="auto"/>
          </w:tcPr>
          <w:p w14:paraId="633C5193" w14:textId="77777777" w:rsidR="00541844" w:rsidRPr="00873941" w:rsidRDefault="00541844" w:rsidP="0088158A">
            <w:pPr>
              <w:pStyle w:val="TableText0"/>
              <w:jc w:val="center"/>
            </w:pPr>
            <w:r w:rsidRPr="00873941">
              <w:t>NR</w:t>
            </w:r>
          </w:p>
        </w:tc>
        <w:tc>
          <w:tcPr>
            <w:tcW w:w="918" w:type="pct"/>
            <w:shd w:val="clear" w:color="auto" w:fill="auto"/>
          </w:tcPr>
          <w:p w14:paraId="1C126027" w14:textId="77777777" w:rsidR="00541844" w:rsidRPr="00873941" w:rsidRDefault="00541844" w:rsidP="0088158A">
            <w:pPr>
              <w:pStyle w:val="TableText0"/>
              <w:jc w:val="center"/>
            </w:pPr>
            <w:r w:rsidRPr="00873941">
              <w:t>NE</w:t>
            </w:r>
          </w:p>
        </w:tc>
        <w:tc>
          <w:tcPr>
            <w:tcW w:w="918" w:type="pct"/>
            <w:shd w:val="clear" w:color="auto" w:fill="auto"/>
          </w:tcPr>
          <w:p w14:paraId="07FF734A" w14:textId="77777777" w:rsidR="00541844" w:rsidRPr="00873941" w:rsidRDefault="00541844" w:rsidP="0088158A">
            <w:pPr>
              <w:pStyle w:val="TableText0"/>
              <w:jc w:val="center"/>
            </w:pPr>
            <w:r w:rsidRPr="00873941">
              <w:t>NE</w:t>
            </w:r>
          </w:p>
        </w:tc>
      </w:tr>
      <w:tr w:rsidR="00541844" w:rsidRPr="00873941" w14:paraId="1C01B6B2" w14:textId="77777777" w:rsidTr="00357E0A">
        <w:tc>
          <w:tcPr>
            <w:tcW w:w="5000" w:type="pct"/>
            <w:gridSpan w:val="5"/>
            <w:shd w:val="clear" w:color="auto" w:fill="auto"/>
          </w:tcPr>
          <w:p w14:paraId="7A07E5A4" w14:textId="7932EEB9" w:rsidR="00541844" w:rsidRPr="00873941" w:rsidRDefault="00541844" w:rsidP="0088158A">
            <w:pPr>
              <w:pStyle w:val="In-tableHeading"/>
              <w:rPr>
                <w:lang w:val="en-AU"/>
              </w:rPr>
            </w:pPr>
            <w:proofErr w:type="spellStart"/>
            <w:r w:rsidRPr="00873941">
              <w:rPr>
                <w:lang w:val="en-AU"/>
              </w:rPr>
              <w:t>Neopearl</w:t>
            </w:r>
            <w:proofErr w:type="spellEnd"/>
            <w:r w:rsidRPr="00873941">
              <w:rPr>
                <w:lang w:val="en-AU"/>
              </w:rPr>
              <w:t xml:space="preserve"> (Fabbri 2023)</w:t>
            </w:r>
          </w:p>
        </w:tc>
      </w:tr>
      <w:tr w:rsidR="00541844" w:rsidRPr="00873941" w14:paraId="6EFC030B" w14:textId="77777777" w:rsidTr="00357E0A">
        <w:tc>
          <w:tcPr>
            <w:tcW w:w="1383" w:type="pct"/>
          </w:tcPr>
          <w:p w14:paraId="153FB377" w14:textId="256C544B" w:rsidR="00541844" w:rsidRPr="00873941" w:rsidRDefault="00541844" w:rsidP="0088158A">
            <w:pPr>
              <w:pStyle w:val="TableText0"/>
            </w:pPr>
            <w:r w:rsidRPr="00873941">
              <w:t>Diarrhoea(Grade ≥3)</w:t>
            </w:r>
          </w:p>
        </w:tc>
        <w:tc>
          <w:tcPr>
            <w:tcW w:w="897" w:type="pct"/>
          </w:tcPr>
          <w:p w14:paraId="47D49686" w14:textId="025074CE" w:rsidR="00541844" w:rsidRPr="00873941" w:rsidRDefault="00541844" w:rsidP="0088158A">
            <w:pPr>
              <w:pStyle w:val="TableText0"/>
              <w:jc w:val="center"/>
            </w:pPr>
            <w:r w:rsidRPr="00873941">
              <w:t>4/137 (2.9)</w:t>
            </w:r>
          </w:p>
        </w:tc>
        <w:tc>
          <w:tcPr>
            <w:tcW w:w="883" w:type="pct"/>
          </w:tcPr>
          <w:p w14:paraId="419F78A8" w14:textId="197BCF91" w:rsidR="00541844" w:rsidRPr="00873941" w:rsidRDefault="00541844" w:rsidP="0088158A">
            <w:pPr>
              <w:pStyle w:val="TableText0"/>
              <w:jc w:val="center"/>
            </w:pPr>
            <w:r w:rsidRPr="00873941">
              <w:t>2/134 (1.5)</w:t>
            </w:r>
          </w:p>
        </w:tc>
        <w:tc>
          <w:tcPr>
            <w:tcW w:w="918" w:type="pct"/>
          </w:tcPr>
          <w:p w14:paraId="1DE4A70A" w14:textId="6AE5F9BB" w:rsidR="00541844" w:rsidRPr="00873941" w:rsidRDefault="00541844" w:rsidP="0088158A">
            <w:pPr>
              <w:pStyle w:val="TableText0"/>
              <w:jc w:val="center"/>
            </w:pPr>
            <w:r w:rsidRPr="00873941">
              <w:t>1.98 [0.36, 11.02]</w:t>
            </w:r>
          </w:p>
        </w:tc>
        <w:tc>
          <w:tcPr>
            <w:tcW w:w="918" w:type="pct"/>
          </w:tcPr>
          <w:p w14:paraId="67E8F496" w14:textId="13AA5CA5" w:rsidR="00541844" w:rsidRPr="00873941" w:rsidRDefault="00541844" w:rsidP="0088158A">
            <w:pPr>
              <w:pStyle w:val="TableText0"/>
              <w:jc w:val="center"/>
            </w:pPr>
            <w:r w:rsidRPr="00873941">
              <w:t>0.01 [-0.02, 0.05]</w:t>
            </w:r>
          </w:p>
        </w:tc>
      </w:tr>
      <w:tr w:rsidR="00541844" w:rsidRPr="00873941" w14:paraId="3F0EFC53" w14:textId="77777777" w:rsidTr="00357E0A">
        <w:tc>
          <w:tcPr>
            <w:tcW w:w="1383" w:type="pct"/>
          </w:tcPr>
          <w:p w14:paraId="34CEC370" w14:textId="71BB6C81" w:rsidR="00541844" w:rsidRPr="00873941" w:rsidRDefault="00541844" w:rsidP="0088158A">
            <w:pPr>
              <w:pStyle w:val="TableText0"/>
            </w:pPr>
            <w:r w:rsidRPr="00873941">
              <w:t>Diarrhoea (any grade)</w:t>
            </w:r>
          </w:p>
        </w:tc>
        <w:tc>
          <w:tcPr>
            <w:tcW w:w="897" w:type="pct"/>
          </w:tcPr>
          <w:p w14:paraId="7B2C825D" w14:textId="639DB4A9" w:rsidR="00541844" w:rsidRPr="00873941" w:rsidRDefault="00541844" w:rsidP="0088158A">
            <w:pPr>
              <w:pStyle w:val="TableText0"/>
              <w:jc w:val="center"/>
            </w:pPr>
            <w:r w:rsidRPr="00873941">
              <w:t>39/137 (28.5)</w:t>
            </w:r>
          </w:p>
        </w:tc>
        <w:tc>
          <w:tcPr>
            <w:tcW w:w="883" w:type="pct"/>
          </w:tcPr>
          <w:p w14:paraId="75923274" w14:textId="3DD6BD40" w:rsidR="00541844" w:rsidRPr="00873941" w:rsidRDefault="00541844" w:rsidP="0088158A">
            <w:pPr>
              <w:pStyle w:val="TableText0"/>
              <w:jc w:val="center"/>
            </w:pPr>
            <w:r w:rsidRPr="00873941">
              <w:t>47/134 (35.1)</w:t>
            </w:r>
          </w:p>
        </w:tc>
        <w:tc>
          <w:tcPr>
            <w:tcW w:w="918" w:type="pct"/>
          </w:tcPr>
          <w:p w14:paraId="04A671F9" w14:textId="2A604E1F" w:rsidR="00541844" w:rsidRPr="00873941" w:rsidRDefault="00541844" w:rsidP="0088158A">
            <w:pPr>
              <w:pStyle w:val="TableText0"/>
              <w:jc w:val="center"/>
            </w:pPr>
            <w:r w:rsidRPr="00873941">
              <w:t>0.74 [0.44, 1.23]</w:t>
            </w:r>
          </w:p>
        </w:tc>
        <w:tc>
          <w:tcPr>
            <w:tcW w:w="918" w:type="pct"/>
          </w:tcPr>
          <w:p w14:paraId="006F0B3E" w14:textId="4BA1B2EF" w:rsidR="00541844" w:rsidRPr="00873941" w:rsidRDefault="00541844" w:rsidP="0088158A">
            <w:pPr>
              <w:pStyle w:val="TableText0"/>
              <w:jc w:val="center"/>
            </w:pPr>
            <w:r w:rsidRPr="00873941">
              <w:t>-0.07 [-0.18, 0.04]</w:t>
            </w:r>
          </w:p>
        </w:tc>
      </w:tr>
      <w:tr w:rsidR="00541844" w:rsidRPr="00873941" w14:paraId="26CA6496" w14:textId="77777777" w:rsidTr="00357E0A">
        <w:tc>
          <w:tcPr>
            <w:tcW w:w="1383" w:type="pct"/>
          </w:tcPr>
          <w:p w14:paraId="56DC3C0C" w14:textId="1130D3D3" w:rsidR="00541844" w:rsidRPr="00873941" w:rsidRDefault="00541844" w:rsidP="0088158A">
            <w:pPr>
              <w:pStyle w:val="TableText0"/>
            </w:pPr>
            <w:r w:rsidRPr="00873941">
              <w:t>Cardiologic events Grade ≥3</w:t>
            </w:r>
          </w:p>
        </w:tc>
        <w:tc>
          <w:tcPr>
            <w:tcW w:w="897" w:type="pct"/>
          </w:tcPr>
          <w:p w14:paraId="59F870A0" w14:textId="3428AF95" w:rsidR="00541844" w:rsidRPr="00873941" w:rsidRDefault="00541844" w:rsidP="0088158A">
            <w:pPr>
              <w:pStyle w:val="TableText0"/>
              <w:jc w:val="center"/>
            </w:pPr>
            <w:r w:rsidRPr="00873941">
              <w:t>5/137 (3.6)</w:t>
            </w:r>
          </w:p>
        </w:tc>
        <w:tc>
          <w:tcPr>
            <w:tcW w:w="883" w:type="pct"/>
          </w:tcPr>
          <w:p w14:paraId="2B0582EB" w14:textId="72271657" w:rsidR="00541844" w:rsidRPr="00873941" w:rsidRDefault="00541844" w:rsidP="0088158A">
            <w:pPr>
              <w:pStyle w:val="TableText0"/>
              <w:jc w:val="center"/>
            </w:pPr>
            <w:r w:rsidRPr="00873941">
              <w:t>2/134 (1.5)</w:t>
            </w:r>
          </w:p>
        </w:tc>
        <w:tc>
          <w:tcPr>
            <w:tcW w:w="918" w:type="pct"/>
          </w:tcPr>
          <w:p w14:paraId="0D7C2E37" w14:textId="438136D4" w:rsidR="00541844" w:rsidRPr="00873941" w:rsidRDefault="00541844" w:rsidP="0088158A">
            <w:pPr>
              <w:pStyle w:val="TableText0"/>
              <w:jc w:val="center"/>
            </w:pPr>
            <w:r w:rsidRPr="00873941">
              <w:t>2.50 [0.48, 13.12]</w:t>
            </w:r>
          </w:p>
        </w:tc>
        <w:tc>
          <w:tcPr>
            <w:tcW w:w="918" w:type="pct"/>
          </w:tcPr>
          <w:p w14:paraId="7005BA56" w14:textId="4F2149BE" w:rsidR="00541844" w:rsidRPr="00873941" w:rsidRDefault="00541844" w:rsidP="0088158A">
            <w:pPr>
              <w:pStyle w:val="TableText0"/>
              <w:jc w:val="center"/>
            </w:pPr>
            <w:r w:rsidRPr="00873941">
              <w:t>0.02 [-0.02, 0.06]</w:t>
            </w:r>
          </w:p>
        </w:tc>
      </w:tr>
      <w:tr w:rsidR="00541844" w:rsidRPr="00873941" w14:paraId="4488D0D6" w14:textId="77777777" w:rsidTr="00357E0A">
        <w:tc>
          <w:tcPr>
            <w:tcW w:w="1383" w:type="pct"/>
          </w:tcPr>
          <w:p w14:paraId="7960CC92" w14:textId="4BF60CC4" w:rsidR="00541844" w:rsidRPr="00873941" w:rsidRDefault="00541844" w:rsidP="0088158A">
            <w:pPr>
              <w:pStyle w:val="TableText0"/>
            </w:pPr>
            <w:r w:rsidRPr="00873941">
              <w:t>Cardiologic events, any grade</w:t>
            </w:r>
          </w:p>
        </w:tc>
        <w:tc>
          <w:tcPr>
            <w:tcW w:w="897" w:type="pct"/>
          </w:tcPr>
          <w:p w14:paraId="1194F0E2" w14:textId="17E4BF19" w:rsidR="00541844" w:rsidRPr="00873941" w:rsidRDefault="00541844" w:rsidP="0088158A">
            <w:pPr>
              <w:pStyle w:val="TableText0"/>
              <w:jc w:val="center"/>
            </w:pPr>
            <w:r w:rsidRPr="00873941">
              <w:t>14/137 (10.2)</w:t>
            </w:r>
          </w:p>
        </w:tc>
        <w:tc>
          <w:tcPr>
            <w:tcW w:w="883" w:type="pct"/>
          </w:tcPr>
          <w:p w14:paraId="19E9BAB0" w14:textId="6090FC7E" w:rsidR="00541844" w:rsidRPr="00873941" w:rsidRDefault="00541844" w:rsidP="0088158A">
            <w:pPr>
              <w:pStyle w:val="TableText0"/>
              <w:jc w:val="center"/>
            </w:pPr>
            <w:r w:rsidRPr="00873941">
              <w:t>6/134 (4.4)</w:t>
            </w:r>
          </w:p>
        </w:tc>
        <w:tc>
          <w:tcPr>
            <w:tcW w:w="918" w:type="pct"/>
          </w:tcPr>
          <w:p w14:paraId="36ABA856" w14:textId="0B992A76" w:rsidR="00541844" w:rsidRPr="00873941" w:rsidRDefault="00541844" w:rsidP="0088158A">
            <w:pPr>
              <w:pStyle w:val="TableText0"/>
              <w:jc w:val="center"/>
            </w:pPr>
            <w:r w:rsidRPr="00873941">
              <w:t>2.43 [0.90, 6.52]</w:t>
            </w:r>
          </w:p>
        </w:tc>
        <w:tc>
          <w:tcPr>
            <w:tcW w:w="918" w:type="pct"/>
          </w:tcPr>
          <w:p w14:paraId="7265C022" w14:textId="0DFEB668" w:rsidR="00541844" w:rsidRPr="00873941" w:rsidRDefault="00541844" w:rsidP="0088158A">
            <w:pPr>
              <w:pStyle w:val="TableText0"/>
              <w:jc w:val="center"/>
            </w:pPr>
            <w:r w:rsidRPr="00873941">
              <w:t>0.06 [0.00, 0.12]</w:t>
            </w:r>
          </w:p>
        </w:tc>
      </w:tr>
      <w:tr w:rsidR="00541844" w:rsidRPr="00873941" w14:paraId="31903E34" w14:textId="77777777" w:rsidTr="00357E0A">
        <w:tc>
          <w:tcPr>
            <w:tcW w:w="1383" w:type="pct"/>
          </w:tcPr>
          <w:p w14:paraId="4FC07E94" w14:textId="77777777" w:rsidR="00541844" w:rsidRPr="00873941" w:rsidRDefault="00541844" w:rsidP="0088158A">
            <w:pPr>
              <w:pStyle w:val="TableText0"/>
            </w:pPr>
            <w:r w:rsidRPr="00873941">
              <w:t>LVEF decline</w:t>
            </w:r>
          </w:p>
        </w:tc>
        <w:tc>
          <w:tcPr>
            <w:tcW w:w="897" w:type="pct"/>
          </w:tcPr>
          <w:p w14:paraId="26C4CFA1" w14:textId="3D83DF00" w:rsidR="00541844" w:rsidRPr="00873941" w:rsidRDefault="00541844" w:rsidP="0088158A">
            <w:pPr>
              <w:pStyle w:val="TableText0"/>
              <w:jc w:val="center"/>
            </w:pPr>
            <w:r w:rsidRPr="00873941">
              <w:t>14/137 (10.2)</w:t>
            </w:r>
          </w:p>
        </w:tc>
        <w:tc>
          <w:tcPr>
            <w:tcW w:w="883" w:type="pct"/>
          </w:tcPr>
          <w:p w14:paraId="675E217D" w14:textId="35335566" w:rsidR="00541844" w:rsidRPr="00873941" w:rsidRDefault="00541844" w:rsidP="0088158A">
            <w:pPr>
              <w:pStyle w:val="TableText0"/>
              <w:jc w:val="center"/>
            </w:pPr>
            <w:r w:rsidRPr="00873941">
              <w:t>10/134 (7.5)</w:t>
            </w:r>
          </w:p>
        </w:tc>
        <w:tc>
          <w:tcPr>
            <w:tcW w:w="918" w:type="pct"/>
          </w:tcPr>
          <w:p w14:paraId="213795A0" w14:textId="77777777" w:rsidR="00541844" w:rsidRPr="00873941" w:rsidRDefault="00541844" w:rsidP="0088158A">
            <w:pPr>
              <w:pStyle w:val="TableText0"/>
              <w:jc w:val="center"/>
            </w:pPr>
            <w:r w:rsidRPr="00873941">
              <w:t>1.41 [0.60, 3.30]</w:t>
            </w:r>
          </w:p>
        </w:tc>
        <w:tc>
          <w:tcPr>
            <w:tcW w:w="918" w:type="pct"/>
          </w:tcPr>
          <w:p w14:paraId="6C73CD1A" w14:textId="77777777" w:rsidR="00541844" w:rsidRPr="00873941" w:rsidRDefault="00541844" w:rsidP="0088158A">
            <w:pPr>
              <w:pStyle w:val="TableText0"/>
              <w:jc w:val="center"/>
            </w:pPr>
            <w:r w:rsidRPr="00873941">
              <w:t>0.03 [-0.04, 0.10]</w:t>
            </w:r>
          </w:p>
        </w:tc>
      </w:tr>
      <w:tr w:rsidR="00541844" w:rsidRPr="00873941" w14:paraId="250E832E" w14:textId="77777777" w:rsidTr="00357E0A">
        <w:tc>
          <w:tcPr>
            <w:tcW w:w="5000" w:type="pct"/>
            <w:gridSpan w:val="5"/>
            <w:shd w:val="clear" w:color="auto" w:fill="auto"/>
          </w:tcPr>
          <w:p w14:paraId="19FD4A0D" w14:textId="010E692E" w:rsidR="00541844" w:rsidRPr="00873941" w:rsidRDefault="00541844" w:rsidP="0088158A">
            <w:pPr>
              <w:pStyle w:val="In-tableHeading"/>
              <w:rPr>
                <w:lang w:val="en-AU"/>
              </w:rPr>
            </w:pPr>
            <w:r w:rsidRPr="00873941">
              <w:rPr>
                <w:lang w:val="en-AU"/>
              </w:rPr>
              <w:t>(Spring 2018)</w:t>
            </w:r>
            <w:r w:rsidRPr="00873941">
              <w:rPr>
                <w:vertAlign w:val="superscript"/>
                <w:lang w:val="en-AU"/>
              </w:rPr>
              <w:t>b</w:t>
            </w:r>
          </w:p>
        </w:tc>
      </w:tr>
      <w:tr w:rsidR="00541844" w:rsidRPr="00873941" w14:paraId="48F87AE1" w14:textId="77777777" w:rsidTr="00357E0A">
        <w:tc>
          <w:tcPr>
            <w:tcW w:w="1383" w:type="pct"/>
          </w:tcPr>
          <w:p w14:paraId="38CB46DD" w14:textId="1EF399FD" w:rsidR="00541844" w:rsidRPr="00873941" w:rsidRDefault="00541844" w:rsidP="0088158A">
            <w:pPr>
              <w:pStyle w:val="TableText0"/>
            </w:pPr>
            <w:r w:rsidRPr="00873941">
              <w:t>Treatment discontinuation</w:t>
            </w:r>
          </w:p>
        </w:tc>
        <w:tc>
          <w:tcPr>
            <w:tcW w:w="897" w:type="pct"/>
          </w:tcPr>
          <w:p w14:paraId="696A6D3D" w14:textId="070ED054" w:rsidR="00541844" w:rsidRPr="00873941" w:rsidRDefault="00541844" w:rsidP="0088158A">
            <w:pPr>
              <w:pStyle w:val="TableText0"/>
              <w:jc w:val="center"/>
            </w:pPr>
            <w:r w:rsidRPr="00873941">
              <w:t>7/45 (16)</w:t>
            </w:r>
          </w:p>
        </w:tc>
        <w:tc>
          <w:tcPr>
            <w:tcW w:w="883" w:type="pct"/>
          </w:tcPr>
          <w:p w14:paraId="32EDBF03" w14:textId="0D600BEA" w:rsidR="00541844" w:rsidRPr="00873941" w:rsidRDefault="00541844" w:rsidP="0088158A">
            <w:pPr>
              <w:pStyle w:val="TableText0"/>
              <w:jc w:val="center"/>
            </w:pPr>
            <w:r w:rsidRPr="00873941">
              <w:t>3/28 (11)</w:t>
            </w:r>
          </w:p>
        </w:tc>
        <w:tc>
          <w:tcPr>
            <w:tcW w:w="918" w:type="pct"/>
          </w:tcPr>
          <w:p w14:paraId="65C5A79C" w14:textId="53D55D6E" w:rsidR="00541844" w:rsidRPr="00873941" w:rsidRDefault="00541844" w:rsidP="0088158A">
            <w:pPr>
              <w:pStyle w:val="TableText0"/>
              <w:jc w:val="center"/>
            </w:pPr>
            <w:r w:rsidRPr="00873941">
              <w:t>1.54 [0.36, 6.50]</w:t>
            </w:r>
          </w:p>
        </w:tc>
        <w:tc>
          <w:tcPr>
            <w:tcW w:w="918" w:type="pct"/>
          </w:tcPr>
          <w:p w14:paraId="6ABBFD7C" w14:textId="3B6E1E80" w:rsidR="00541844" w:rsidRPr="00873941" w:rsidRDefault="00541844" w:rsidP="0088158A">
            <w:pPr>
              <w:pStyle w:val="TableText0"/>
              <w:jc w:val="center"/>
            </w:pPr>
            <w:r w:rsidRPr="00873941">
              <w:t>0.05 [-0.11, 0.21]</w:t>
            </w:r>
          </w:p>
        </w:tc>
      </w:tr>
      <w:tr w:rsidR="00541844" w:rsidRPr="00873941" w14:paraId="7A3EC31C" w14:textId="77777777" w:rsidTr="00357E0A">
        <w:tc>
          <w:tcPr>
            <w:tcW w:w="5000" w:type="pct"/>
            <w:gridSpan w:val="5"/>
            <w:tcBorders>
              <w:bottom w:val="single" w:sz="4" w:space="0" w:color="000000" w:themeColor="text1"/>
            </w:tcBorders>
          </w:tcPr>
          <w:p w14:paraId="2EA49040" w14:textId="77777777" w:rsidR="00541844" w:rsidRPr="00873941" w:rsidRDefault="00541844" w:rsidP="0088158A">
            <w:pPr>
              <w:pStyle w:val="TableText0"/>
            </w:pPr>
            <w:r w:rsidRPr="00873941">
              <w:t>Cardiac outcomes (after a median follow-up of 60 months; following adjuvant therapy)</w:t>
            </w:r>
          </w:p>
        </w:tc>
      </w:tr>
      <w:tr w:rsidR="00541844" w:rsidRPr="00873941" w14:paraId="3F9AAF08" w14:textId="77777777" w:rsidTr="00357E0A">
        <w:tc>
          <w:tcPr>
            <w:tcW w:w="1383" w:type="pct"/>
            <w:tcBorders>
              <w:top w:val="single" w:sz="4" w:space="0" w:color="000000" w:themeColor="text1"/>
              <w:bottom w:val="single" w:sz="4" w:space="0" w:color="000000" w:themeColor="text1"/>
            </w:tcBorders>
          </w:tcPr>
          <w:p w14:paraId="54CFFD89" w14:textId="77777777" w:rsidR="00541844" w:rsidRPr="00873941" w:rsidRDefault="00541844" w:rsidP="0088158A">
            <w:pPr>
              <w:pStyle w:val="TableText0"/>
            </w:pPr>
            <w:r w:rsidRPr="00873941">
              <w:t>Symptomatic cardiac LVEF dysfunction</w:t>
            </w:r>
          </w:p>
        </w:tc>
        <w:tc>
          <w:tcPr>
            <w:tcW w:w="897" w:type="pct"/>
            <w:tcBorders>
              <w:top w:val="single" w:sz="4" w:space="0" w:color="000000" w:themeColor="text1"/>
              <w:bottom w:val="single" w:sz="4" w:space="0" w:color="000000" w:themeColor="text1"/>
            </w:tcBorders>
          </w:tcPr>
          <w:p w14:paraId="4A3E4E0E" w14:textId="5E5AEB60" w:rsidR="00541844" w:rsidRPr="00873941" w:rsidRDefault="00541844" w:rsidP="0088158A">
            <w:pPr>
              <w:pStyle w:val="TableText0"/>
              <w:jc w:val="center"/>
            </w:pPr>
            <w:r w:rsidRPr="00873941">
              <w:t>2/45 (4.4)</w:t>
            </w:r>
          </w:p>
        </w:tc>
        <w:tc>
          <w:tcPr>
            <w:tcW w:w="883" w:type="pct"/>
            <w:tcBorders>
              <w:top w:val="single" w:sz="4" w:space="0" w:color="000000" w:themeColor="text1"/>
              <w:bottom w:val="single" w:sz="4" w:space="0" w:color="000000" w:themeColor="text1"/>
            </w:tcBorders>
          </w:tcPr>
          <w:p w14:paraId="53454E65" w14:textId="3160EEFA" w:rsidR="00541844" w:rsidRPr="00873941" w:rsidRDefault="00541844" w:rsidP="0088158A">
            <w:pPr>
              <w:pStyle w:val="TableText0"/>
              <w:jc w:val="center"/>
            </w:pPr>
            <w:r w:rsidRPr="00873941">
              <w:t>0</w:t>
            </w:r>
          </w:p>
        </w:tc>
        <w:tc>
          <w:tcPr>
            <w:tcW w:w="918" w:type="pct"/>
            <w:tcBorders>
              <w:top w:val="single" w:sz="4" w:space="0" w:color="000000" w:themeColor="text1"/>
              <w:bottom w:val="single" w:sz="4" w:space="0" w:color="000000" w:themeColor="text1"/>
            </w:tcBorders>
          </w:tcPr>
          <w:p w14:paraId="24DD5455" w14:textId="77777777" w:rsidR="00541844" w:rsidRPr="00873941" w:rsidRDefault="00541844" w:rsidP="0088158A">
            <w:pPr>
              <w:pStyle w:val="TableText0"/>
              <w:jc w:val="center"/>
            </w:pPr>
            <w:r w:rsidRPr="00873941">
              <w:t>3.28 [0.15, 70.77]</w:t>
            </w:r>
          </w:p>
        </w:tc>
        <w:tc>
          <w:tcPr>
            <w:tcW w:w="918" w:type="pct"/>
            <w:tcBorders>
              <w:top w:val="single" w:sz="4" w:space="0" w:color="000000" w:themeColor="text1"/>
              <w:bottom w:val="single" w:sz="4" w:space="0" w:color="000000" w:themeColor="text1"/>
            </w:tcBorders>
          </w:tcPr>
          <w:p w14:paraId="59F8F9F9" w14:textId="77777777" w:rsidR="00541844" w:rsidRPr="00873941" w:rsidRDefault="00541844" w:rsidP="0088158A">
            <w:pPr>
              <w:pStyle w:val="TableText0"/>
              <w:jc w:val="center"/>
            </w:pPr>
            <w:r w:rsidRPr="00873941">
              <w:t>0.04 [-0.03, 0.12]</w:t>
            </w:r>
          </w:p>
        </w:tc>
      </w:tr>
      <w:tr w:rsidR="00541844" w:rsidRPr="00873941" w14:paraId="4CDED6F9" w14:textId="77777777" w:rsidTr="00357E0A">
        <w:tc>
          <w:tcPr>
            <w:tcW w:w="1383" w:type="pct"/>
            <w:tcBorders>
              <w:top w:val="single" w:sz="4" w:space="0" w:color="000000" w:themeColor="text1"/>
              <w:bottom w:val="single" w:sz="4" w:space="0" w:color="000000" w:themeColor="text1"/>
            </w:tcBorders>
          </w:tcPr>
          <w:p w14:paraId="2C399D20" w14:textId="77777777" w:rsidR="00541844" w:rsidRPr="00873941" w:rsidRDefault="00541844" w:rsidP="0088158A">
            <w:pPr>
              <w:pStyle w:val="TableText0"/>
            </w:pPr>
            <w:r w:rsidRPr="00873941">
              <w:t>LVEF decrease &gt;20%</w:t>
            </w:r>
          </w:p>
        </w:tc>
        <w:tc>
          <w:tcPr>
            <w:tcW w:w="897" w:type="pct"/>
            <w:tcBorders>
              <w:top w:val="single" w:sz="4" w:space="0" w:color="000000" w:themeColor="text1"/>
              <w:bottom w:val="single" w:sz="4" w:space="0" w:color="000000" w:themeColor="text1"/>
            </w:tcBorders>
          </w:tcPr>
          <w:p w14:paraId="394D9896" w14:textId="610498F1" w:rsidR="00541844" w:rsidRPr="00873941" w:rsidRDefault="00541844" w:rsidP="0088158A">
            <w:pPr>
              <w:pStyle w:val="TableText0"/>
              <w:jc w:val="center"/>
            </w:pPr>
            <w:r w:rsidRPr="00873941">
              <w:t>6/45 (13.3)</w:t>
            </w:r>
          </w:p>
        </w:tc>
        <w:tc>
          <w:tcPr>
            <w:tcW w:w="883" w:type="pct"/>
            <w:tcBorders>
              <w:top w:val="single" w:sz="4" w:space="0" w:color="000000" w:themeColor="text1"/>
              <w:bottom w:val="single" w:sz="4" w:space="0" w:color="000000" w:themeColor="text1"/>
            </w:tcBorders>
          </w:tcPr>
          <w:p w14:paraId="70E382AA" w14:textId="4F7FB326" w:rsidR="00541844" w:rsidRPr="00873941" w:rsidRDefault="00541844" w:rsidP="0088158A">
            <w:pPr>
              <w:pStyle w:val="TableText0"/>
              <w:jc w:val="center"/>
            </w:pPr>
            <w:r w:rsidRPr="00873941">
              <w:t>5/28 (17.9)</w:t>
            </w:r>
          </w:p>
        </w:tc>
        <w:tc>
          <w:tcPr>
            <w:tcW w:w="918" w:type="pct"/>
            <w:tcBorders>
              <w:top w:val="single" w:sz="4" w:space="0" w:color="000000" w:themeColor="text1"/>
              <w:bottom w:val="single" w:sz="4" w:space="0" w:color="000000" w:themeColor="text1"/>
            </w:tcBorders>
          </w:tcPr>
          <w:p w14:paraId="63189B3B" w14:textId="77777777" w:rsidR="00541844" w:rsidRPr="00873941" w:rsidRDefault="00541844" w:rsidP="0088158A">
            <w:pPr>
              <w:pStyle w:val="TableText0"/>
              <w:jc w:val="center"/>
              <w:rPr>
                <w:highlight w:val="green"/>
              </w:rPr>
            </w:pPr>
            <w:r w:rsidRPr="00873941">
              <w:t>0.71 [0.19, 2.58]</w:t>
            </w:r>
          </w:p>
        </w:tc>
        <w:tc>
          <w:tcPr>
            <w:tcW w:w="918" w:type="pct"/>
            <w:tcBorders>
              <w:top w:val="single" w:sz="4" w:space="0" w:color="000000" w:themeColor="text1"/>
              <w:bottom w:val="single" w:sz="4" w:space="0" w:color="000000" w:themeColor="text1"/>
            </w:tcBorders>
          </w:tcPr>
          <w:p w14:paraId="420820CB" w14:textId="77777777" w:rsidR="00541844" w:rsidRPr="00873941" w:rsidRDefault="00541844" w:rsidP="0088158A">
            <w:pPr>
              <w:pStyle w:val="TableText0"/>
              <w:jc w:val="center"/>
            </w:pPr>
            <w:r w:rsidRPr="00873941">
              <w:t>-0.05 [-0.21, 0.12]</w:t>
            </w:r>
          </w:p>
        </w:tc>
      </w:tr>
      <w:tr w:rsidR="00541844" w:rsidRPr="00873941" w14:paraId="44875FAA" w14:textId="77777777" w:rsidTr="00357E0A">
        <w:tc>
          <w:tcPr>
            <w:tcW w:w="1383" w:type="pct"/>
            <w:tcBorders>
              <w:top w:val="single" w:sz="4" w:space="0" w:color="000000" w:themeColor="text1"/>
            </w:tcBorders>
          </w:tcPr>
          <w:p w14:paraId="1BE9F663" w14:textId="77777777" w:rsidR="00541844" w:rsidRPr="00873941" w:rsidRDefault="00541844" w:rsidP="0088158A">
            <w:pPr>
              <w:pStyle w:val="TableText0"/>
            </w:pPr>
            <w:r w:rsidRPr="00873941">
              <w:t>Decrease of LVEF &lt;50% with absolute reduction of ≥10% from baseline</w:t>
            </w:r>
          </w:p>
        </w:tc>
        <w:tc>
          <w:tcPr>
            <w:tcW w:w="897" w:type="pct"/>
            <w:tcBorders>
              <w:top w:val="single" w:sz="4" w:space="0" w:color="000000" w:themeColor="text1"/>
            </w:tcBorders>
          </w:tcPr>
          <w:p w14:paraId="799DE4F7" w14:textId="086C31F1" w:rsidR="00541844" w:rsidRPr="00873941" w:rsidRDefault="00541844" w:rsidP="0088158A">
            <w:pPr>
              <w:pStyle w:val="TableText0"/>
              <w:jc w:val="center"/>
            </w:pPr>
            <w:r w:rsidRPr="00873941">
              <w:t>3/45 (7)</w:t>
            </w:r>
          </w:p>
        </w:tc>
        <w:tc>
          <w:tcPr>
            <w:tcW w:w="883" w:type="pct"/>
            <w:tcBorders>
              <w:top w:val="single" w:sz="4" w:space="0" w:color="000000" w:themeColor="text1"/>
            </w:tcBorders>
          </w:tcPr>
          <w:p w14:paraId="3965CFFE" w14:textId="710889E0" w:rsidR="00541844" w:rsidRPr="00873941" w:rsidRDefault="00541844" w:rsidP="0088158A">
            <w:pPr>
              <w:pStyle w:val="TableText0"/>
              <w:jc w:val="center"/>
            </w:pPr>
            <w:r w:rsidRPr="00873941">
              <w:t>1/28 (4)</w:t>
            </w:r>
          </w:p>
        </w:tc>
        <w:tc>
          <w:tcPr>
            <w:tcW w:w="918" w:type="pct"/>
            <w:tcBorders>
              <w:top w:val="single" w:sz="4" w:space="0" w:color="000000" w:themeColor="text1"/>
            </w:tcBorders>
          </w:tcPr>
          <w:p w14:paraId="11E90B48" w14:textId="77777777" w:rsidR="00541844" w:rsidRPr="00873941" w:rsidRDefault="00541844" w:rsidP="0088158A">
            <w:pPr>
              <w:pStyle w:val="TableText0"/>
              <w:jc w:val="center"/>
            </w:pPr>
            <w:r w:rsidRPr="00873941">
              <w:t>1.93 [0.19, 19.51]</w:t>
            </w:r>
          </w:p>
        </w:tc>
        <w:tc>
          <w:tcPr>
            <w:tcW w:w="918" w:type="pct"/>
            <w:tcBorders>
              <w:top w:val="single" w:sz="4" w:space="0" w:color="000000" w:themeColor="text1"/>
            </w:tcBorders>
          </w:tcPr>
          <w:p w14:paraId="346291FD" w14:textId="77777777" w:rsidR="00541844" w:rsidRPr="00873941" w:rsidRDefault="00541844" w:rsidP="0088158A">
            <w:pPr>
              <w:pStyle w:val="TableText0"/>
              <w:jc w:val="center"/>
            </w:pPr>
            <w:r w:rsidRPr="00873941">
              <w:t>0.03 [-0.08, 0.14]</w:t>
            </w:r>
          </w:p>
        </w:tc>
      </w:tr>
      <w:tr w:rsidR="00541844" w:rsidRPr="00873941" w14:paraId="4AF3848D" w14:textId="77777777" w:rsidTr="00357E0A">
        <w:tc>
          <w:tcPr>
            <w:tcW w:w="5000" w:type="pct"/>
            <w:gridSpan w:val="5"/>
            <w:tcBorders>
              <w:top w:val="single" w:sz="4" w:space="0" w:color="000000" w:themeColor="text1"/>
              <w:bottom w:val="single" w:sz="4" w:space="0" w:color="000000" w:themeColor="text1"/>
            </w:tcBorders>
            <w:shd w:val="clear" w:color="auto" w:fill="auto"/>
          </w:tcPr>
          <w:p w14:paraId="186DE4E9" w14:textId="2EC665E2" w:rsidR="00541844" w:rsidRPr="00873941" w:rsidRDefault="00541844" w:rsidP="0088158A">
            <w:pPr>
              <w:pStyle w:val="In-tableHeading"/>
              <w:rPr>
                <w:lang w:val="en-AU"/>
              </w:rPr>
            </w:pPr>
            <w:r w:rsidRPr="00873941">
              <w:rPr>
                <w:lang w:val="en-AU"/>
              </w:rPr>
              <w:t>(Vieira 2023)</w:t>
            </w:r>
          </w:p>
        </w:tc>
      </w:tr>
      <w:tr w:rsidR="00541844" w:rsidRPr="00873941" w14:paraId="09EC2A9B" w14:textId="77777777" w:rsidTr="00357E0A">
        <w:tc>
          <w:tcPr>
            <w:tcW w:w="1383" w:type="pct"/>
            <w:tcBorders>
              <w:top w:val="single" w:sz="4" w:space="0" w:color="000000" w:themeColor="text1"/>
              <w:bottom w:val="single" w:sz="4" w:space="0" w:color="000000" w:themeColor="text1"/>
            </w:tcBorders>
          </w:tcPr>
          <w:p w14:paraId="4E511D67" w14:textId="77777777" w:rsidR="00541844" w:rsidRPr="00873941" w:rsidRDefault="00541844" w:rsidP="0088158A">
            <w:pPr>
              <w:pStyle w:val="TableText0"/>
            </w:pPr>
            <w:r w:rsidRPr="00873941">
              <w:t>Grade 3 AEs</w:t>
            </w:r>
          </w:p>
        </w:tc>
        <w:tc>
          <w:tcPr>
            <w:tcW w:w="897" w:type="pct"/>
            <w:tcBorders>
              <w:top w:val="single" w:sz="4" w:space="0" w:color="000000" w:themeColor="text1"/>
              <w:bottom w:val="single" w:sz="4" w:space="0" w:color="000000" w:themeColor="text1"/>
            </w:tcBorders>
          </w:tcPr>
          <w:p w14:paraId="18E1C718" w14:textId="39C49C9B" w:rsidR="00541844" w:rsidRPr="00873941" w:rsidRDefault="00541844" w:rsidP="0088158A">
            <w:pPr>
              <w:pStyle w:val="TableText0"/>
              <w:jc w:val="center"/>
            </w:pPr>
            <w:r w:rsidRPr="00873941">
              <w:t>4/40 (10.0)</w:t>
            </w:r>
          </w:p>
        </w:tc>
        <w:tc>
          <w:tcPr>
            <w:tcW w:w="883" w:type="pct"/>
            <w:tcBorders>
              <w:top w:val="single" w:sz="4" w:space="0" w:color="000000" w:themeColor="text1"/>
              <w:bottom w:val="single" w:sz="4" w:space="0" w:color="000000" w:themeColor="text1"/>
            </w:tcBorders>
          </w:tcPr>
          <w:p w14:paraId="289FB2EB" w14:textId="6F9E44BE" w:rsidR="00541844" w:rsidRPr="00873941" w:rsidRDefault="00541844" w:rsidP="0088158A">
            <w:pPr>
              <w:pStyle w:val="TableText0"/>
              <w:jc w:val="center"/>
            </w:pPr>
            <w:r w:rsidRPr="00873941">
              <w:t>3/54 (5.6)</w:t>
            </w:r>
          </w:p>
        </w:tc>
        <w:tc>
          <w:tcPr>
            <w:tcW w:w="918" w:type="pct"/>
            <w:tcBorders>
              <w:top w:val="single" w:sz="4" w:space="0" w:color="000000" w:themeColor="text1"/>
              <w:bottom w:val="single" w:sz="4" w:space="0" w:color="000000" w:themeColor="text1"/>
            </w:tcBorders>
          </w:tcPr>
          <w:p w14:paraId="119FBAFD" w14:textId="77777777" w:rsidR="00541844" w:rsidRPr="00873941" w:rsidRDefault="00541844" w:rsidP="0088158A">
            <w:pPr>
              <w:pStyle w:val="TableText0"/>
              <w:jc w:val="center"/>
            </w:pPr>
            <w:r w:rsidRPr="00873941">
              <w:t>1.89 [0.40, 8.96]</w:t>
            </w:r>
          </w:p>
        </w:tc>
        <w:tc>
          <w:tcPr>
            <w:tcW w:w="918" w:type="pct"/>
            <w:tcBorders>
              <w:top w:val="single" w:sz="4" w:space="0" w:color="000000" w:themeColor="text1"/>
              <w:bottom w:val="single" w:sz="4" w:space="0" w:color="000000" w:themeColor="text1"/>
            </w:tcBorders>
          </w:tcPr>
          <w:p w14:paraId="37D538AE" w14:textId="77777777" w:rsidR="00541844" w:rsidRPr="00873941" w:rsidRDefault="00541844" w:rsidP="0088158A">
            <w:pPr>
              <w:pStyle w:val="TableText0"/>
              <w:jc w:val="center"/>
            </w:pPr>
            <w:r w:rsidRPr="00873941">
              <w:t>0.04 [-0.06, 0.15]</w:t>
            </w:r>
          </w:p>
        </w:tc>
      </w:tr>
      <w:tr w:rsidR="00541844" w:rsidRPr="00873941" w14:paraId="0416E65C" w14:textId="77777777" w:rsidTr="00357E0A">
        <w:tc>
          <w:tcPr>
            <w:tcW w:w="1383" w:type="pct"/>
            <w:tcBorders>
              <w:top w:val="single" w:sz="4" w:space="0" w:color="000000" w:themeColor="text1"/>
              <w:bottom w:val="single" w:sz="4" w:space="0" w:color="000000" w:themeColor="text1"/>
            </w:tcBorders>
          </w:tcPr>
          <w:p w14:paraId="58A2CF3B" w14:textId="550E12F4" w:rsidR="00541844" w:rsidRPr="00873941" w:rsidRDefault="00541844" w:rsidP="0088158A">
            <w:pPr>
              <w:pStyle w:val="TableText0"/>
            </w:pPr>
            <w:r w:rsidRPr="00873941">
              <w:t>Diarrhoea (any grade)</w:t>
            </w:r>
          </w:p>
        </w:tc>
        <w:tc>
          <w:tcPr>
            <w:tcW w:w="897" w:type="pct"/>
            <w:tcBorders>
              <w:top w:val="single" w:sz="4" w:space="0" w:color="000000" w:themeColor="text1"/>
              <w:bottom w:val="single" w:sz="4" w:space="0" w:color="000000" w:themeColor="text1"/>
            </w:tcBorders>
          </w:tcPr>
          <w:p w14:paraId="78F4DD14" w14:textId="46B8A6AC" w:rsidR="00541844" w:rsidRPr="00873941" w:rsidRDefault="00541844" w:rsidP="0088158A">
            <w:pPr>
              <w:pStyle w:val="TableText0"/>
              <w:jc w:val="center"/>
            </w:pPr>
            <w:r w:rsidRPr="00873941">
              <w:t>17/40 (42.5)</w:t>
            </w:r>
          </w:p>
        </w:tc>
        <w:tc>
          <w:tcPr>
            <w:tcW w:w="883" w:type="pct"/>
            <w:tcBorders>
              <w:top w:val="single" w:sz="4" w:space="0" w:color="000000" w:themeColor="text1"/>
              <w:bottom w:val="single" w:sz="4" w:space="0" w:color="000000" w:themeColor="text1"/>
            </w:tcBorders>
          </w:tcPr>
          <w:p w14:paraId="64D22F84" w14:textId="25C01C4B" w:rsidR="00541844" w:rsidRPr="00873941" w:rsidRDefault="00541844" w:rsidP="0088158A">
            <w:pPr>
              <w:pStyle w:val="TableText0"/>
              <w:jc w:val="center"/>
            </w:pPr>
            <w:r w:rsidRPr="00873941">
              <w:t>11/54 (20.4)</w:t>
            </w:r>
          </w:p>
        </w:tc>
        <w:tc>
          <w:tcPr>
            <w:tcW w:w="918" w:type="pct"/>
            <w:tcBorders>
              <w:top w:val="single" w:sz="4" w:space="0" w:color="000000" w:themeColor="text1"/>
              <w:bottom w:val="single" w:sz="4" w:space="0" w:color="000000" w:themeColor="text1"/>
            </w:tcBorders>
          </w:tcPr>
          <w:p w14:paraId="6E75C07A" w14:textId="17C6B37A" w:rsidR="00541844" w:rsidRPr="00873941" w:rsidRDefault="00541844" w:rsidP="0088158A">
            <w:pPr>
              <w:pStyle w:val="TableText0"/>
              <w:jc w:val="center"/>
              <w:rPr>
                <w:b/>
                <w:bCs w:val="0"/>
              </w:rPr>
            </w:pPr>
            <w:r w:rsidRPr="00873941">
              <w:rPr>
                <w:b/>
                <w:bCs w:val="0"/>
              </w:rPr>
              <w:t>2.89 [1.16, 7.19]</w:t>
            </w:r>
          </w:p>
        </w:tc>
        <w:tc>
          <w:tcPr>
            <w:tcW w:w="918" w:type="pct"/>
            <w:tcBorders>
              <w:top w:val="single" w:sz="4" w:space="0" w:color="000000" w:themeColor="text1"/>
              <w:bottom w:val="single" w:sz="4" w:space="0" w:color="000000" w:themeColor="text1"/>
            </w:tcBorders>
          </w:tcPr>
          <w:p w14:paraId="36660D3E" w14:textId="3CE01B99" w:rsidR="00541844" w:rsidRPr="00873941" w:rsidRDefault="00541844" w:rsidP="0088158A">
            <w:pPr>
              <w:pStyle w:val="TableText0"/>
              <w:jc w:val="center"/>
              <w:rPr>
                <w:b/>
                <w:bCs w:val="0"/>
              </w:rPr>
            </w:pPr>
            <w:r w:rsidRPr="00873941">
              <w:rPr>
                <w:b/>
                <w:bCs w:val="0"/>
              </w:rPr>
              <w:t>0.22 [0.03, 0.41]</w:t>
            </w:r>
          </w:p>
        </w:tc>
      </w:tr>
      <w:tr w:rsidR="00541844" w:rsidRPr="00873941" w14:paraId="7C0AF9C0" w14:textId="77777777" w:rsidTr="00357E0A">
        <w:tc>
          <w:tcPr>
            <w:tcW w:w="1383" w:type="pct"/>
            <w:tcBorders>
              <w:top w:val="single" w:sz="4" w:space="0" w:color="000000" w:themeColor="text1"/>
              <w:bottom w:val="single" w:sz="4" w:space="0" w:color="000000" w:themeColor="text1"/>
            </w:tcBorders>
          </w:tcPr>
          <w:p w14:paraId="1F4940CA" w14:textId="77777777" w:rsidR="00541844" w:rsidRPr="00873941" w:rsidRDefault="00541844" w:rsidP="0088158A">
            <w:pPr>
              <w:pStyle w:val="TableText0"/>
            </w:pPr>
            <w:r w:rsidRPr="00873941">
              <w:t>Decline of ≥10% in LVEF from baseline post-NA therapy</w:t>
            </w:r>
          </w:p>
        </w:tc>
        <w:tc>
          <w:tcPr>
            <w:tcW w:w="897" w:type="pct"/>
            <w:tcBorders>
              <w:top w:val="single" w:sz="4" w:space="0" w:color="000000" w:themeColor="text1"/>
              <w:bottom w:val="single" w:sz="4" w:space="0" w:color="000000" w:themeColor="text1"/>
            </w:tcBorders>
          </w:tcPr>
          <w:p w14:paraId="584742E6" w14:textId="34DEEF73" w:rsidR="00541844" w:rsidRPr="00873941" w:rsidRDefault="00541844" w:rsidP="0088158A">
            <w:pPr>
              <w:pStyle w:val="TableText0"/>
              <w:jc w:val="center"/>
            </w:pPr>
            <w:r w:rsidRPr="00873941">
              <w:t>19/40 (47.5)</w:t>
            </w:r>
          </w:p>
        </w:tc>
        <w:tc>
          <w:tcPr>
            <w:tcW w:w="883" w:type="pct"/>
            <w:tcBorders>
              <w:top w:val="single" w:sz="4" w:space="0" w:color="000000" w:themeColor="text1"/>
              <w:bottom w:val="single" w:sz="4" w:space="0" w:color="000000" w:themeColor="text1"/>
            </w:tcBorders>
          </w:tcPr>
          <w:p w14:paraId="40DE5044" w14:textId="560A390B" w:rsidR="00541844" w:rsidRPr="00873941" w:rsidRDefault="00541844" w:rsidP="0088158A">
            <w:pPr>
              <w:pStyle w:val="TableText0"/>
              <w:jc w:val="center"/>
            </w:pPr>
            <w:r w:rsidRPr="00873941">
              <w:t>26/54 (48.2)</w:t>
            </w:r>
          </w:p>
        </w:tc>
        <w:tc>
          <w:tcPr>
            <w:tcW w:w="918" w:type="pct"/>
            <w:tcBorders>
              <w:top w:val="single" w:sz="4" w:space="0" w:color="000000" w:themeColor="text1"/>
              <w:bottom w:val="single" w:sz="4" w:space="0" w:color="000000" w:themeColor="text1"/>
            </w:tcBorders>
          </w:tcPr>
          <w:p w14:paraId="2BBA0AF5" w14:textId="77777777" w:rsidR="00541844" w:rsidRPr="00873941" w:rsidRDefault="00541844" w:rsidP="0088158A">
            <w:pPr>
              <w:pStyle w:val="TableText0"/>
              <w:jc w:val="center"/>
            </w:pPr>
            <w:r w:rsidRPr="00873941">
              <w:t>0.97 [0.43, 2.21]</w:t>
            </w:r>
          </w:p>
        </w:tc>
        <w:tc>
          <w:tcPr>
            <w:tcW w:w="918" w:type="pct"/>
            <w:tcBorders>
              <w:top w:val="single" w:sz="4" w:space="0" w:color="000000" w:themeColor="text1"/>
              <w:bottom w:val="single" w:sz="4" w:space="0" w:color="000000" w:themeColor="text1"/>
            </w:tcBorders>
          </w:tcPr>
          <w:p w14:paraId="1B433312" w14:textId="77777777" w:rsidR="00541844" w:rsidRPr="00873941" w:rsidRDefault="00541844" w:rsidP="0088158A">
            <w:pPr>
              <w:pStyle w:val="TableText0"/>
              <w:jc w:val="center"/>
            </w:pPr>
            <w:r w:rsidRPr="00873941">
              <w:t>-0.01 [-0.21, 0.20]</w:t>
            </w:r>
          </w:p>
        </w:tc>
      </w:tr>
      <w:tr w:rsidR="00541844" w:rsidRPr="00873941" w14:paraId="35F3FEE7" w14:textId="77777777" w:rsidTr="00357E0A">
        <w:tc>
          <w:tcPr>
            <w:tcW w:w="1383" w:type="pct"/>
            <w:tcBorders>
              <w:top w:val="single" w:sz="4" w:space="0" w:color="000000" w:themeColor="text1"/>
              <w:bottom w:val="single" w:sz="4" w:space="0" w:color="000000" w:themeColor="text1"/>
            </w:tcBorders>
          </w:tcPr>
          <w:p w14:paraId="6AFB5011" w14:textId="77777777" w:rsidR="00541844" w:rsidRPr="00873941" w:rsidRDefault="00541844" w:rsidP="0088158A">
            <w:pPr>
              <w:pStyle w:val="TableText0"/>
            </w:pPr>
            <w:r w:rsidRPr="00873941">
              <w:t>LVEF &lt;50% post-NA therapy</w:t>
            </w:r>
          </w:p>
        </w:tc>
        <w:tc>
          <w:tcPr>
            <w:tcW w:w="897" w:type="pct"/>
            <w:tcBorders>
              <w:top w:val="single" w:sz="4" w:space="0" w:color="000000" w:themeColor="text1"/>
              <w:bottom w:val="single" w:sz="4" w:space="0" w:color="000000" w:themeColor="text1"/>
            </w:tcBorders>
          </w:tcPr>
          <w:p w14:paraId="463B7C4F" w14:textId="6794D5E2" w:rsidR="00541844" w:rsidRPr="00873941" w:rsidRDefault="00541844" w:rsidP="0088158A">
            <w:pPr>
              <w:pStyle w:val="TableText0"/>
              <w:jc w:val="center"/>
            </w:pPr>
            <w:r w:rsidRPr="00873941">
              <w:t>1/40 (2.5)</w:t>
            </w:r>
          </w:p>
        </w:tc>
        <w:tc>
          <w:tcPr>
            <w:tcW w:w="883" w:type="pct"/>
            <w:tcBorders>
              <w:top w:val="single" w:sz="4" w:space="0" w:color="000000" w:themeColor="text1"/>
              <w:bottom w:val="single" w:sz="4" w:space="0" w:color="000000" w:themeColor="text1"/>
            </w:tcBorders>
          </w:tcPr>
          <w:p w14:paraId="731CBE55" w14:textId="613B45FE" w:rsidR="00541844" w:rsidRPr="00873941" w:rsidRDefault="00541844" w:rsidP="0088158A">
            <w:pPr>
              <w:pStyle w:val="TableText0"/>
              <w:jc w:val="center"/>
            </w:pPr>
            <w:r w:rsidRPr="00873941">
              <w:t>4/54 (7.4)</w:t>
            </w:r>
          </w:p>
        </w:tc>
        <w:tc>
          <w:tcPr>
            <w:tcW w:w="918" w:type="pct"/>
            <w:tcBorders>
              <w:top w:val="single" w:sz="4" w:space="0" w:color="000000" w:themeColor="text1"/>
              <w:bottom w:val="single" w:sz="4" w:space="0" w:color="000000" w:themeColor="text1"/>
            </w:tcBorders>
          </w:tcPr>
          <w:p w14:paraId="30BEC8B4" w14:textId="77777777" w:rsidR="00541844" w:rsidRPr="00873941" w:rsidRDefault="00541844" w:rsidP="0088158A">
            <w:pPr>
              <w:pStyle w:val="TableText0"/>
              <w:jc w:val="center"/>
            </w:pPr>
            <w:r w:rsidRPr="00873941">
              <w:t>0.32 [0.03, 2.98]</w:t>
            </w:r>
          </w:p>
        </w:tc>
        <w:tc>
          <w:tcPr>
            <w:tcW w:w="918" w:type="pct"/>
            <w:tcBorders>
              <w:top w:val="single" w:sz="4" w:space="0" w:color="000000" w:themeColor="text1"/>
              <w:bottom w:val="single" w:sz="4" w:space="0" w:color="000000" w:themeColor="text1"/>
            </w:tcBorders>
          </w:tcPr>
          <w:p w14:paraId="222664C1" w14:textId="77777777" w:rsidR="00541844" w:rsidRPr="00873941" w:rsidRDefault="00541844" w:rsidP="0088158A">
            <w:pPr>
              <w:pStyle w:val="TableText0"/>
              <w:jc w:val="center"/>
            </w:pPr>
            <w:r w:rsidRPr="00873941">
              <w:t>-0.05 [-0.14, 0.04]</w:t>
            </w:r>
          </w:p>
        </w:tc>
      </w:tr>
      <w:tr w:rsidR="00541844" w:rsidRPr="00873941" w14:paraId="0966BEED" w14:textId="77777777" w:rsidTr="00357E0A">
        <w:tc>
          <w:tcPr>
            <w:tcW w:w="5000" w:type="pct"/>
            <w:gridSpan w:val="5"/>
            <w:tcBorders>
              <w:top w:val="single" w:sz="4" w:space="0" w:color="000000" w:themeColor="text1"/>
              <w:bottom w:val="single" w:sz="4" w:space="0" w:color="000000" w:themeColor="text1"/>
            </w:tcBorders>
            <w:shd w:val="clear" w:color="auto" w:fill="auto"/>
          </w:tcPr>
          <w:p w14:paraId="6C86C5FF" w14:textId="21F9BFDC" w:rsidR="00541844" w:rsidRPr="00873941" w:rsidRDefault="00541844" w:rsidP="0088158A">
            <w:pPr>
              <w:pStyle w:val="In-tableHeading"/>
              <w:rPr>
                <w:lang w:val="en-AU"/>
              </w:rPr>
            </w:pPr>
            <w:r w:rsidRPr="00873941">
              <w:rPr>
                <w:lang w:val="en-AU"/>
              </w:rPr>
              <w:t>(Canino 2024)</w:t>
            </w:r>
            <w:r w:rsidRPr="00873941">
              <w:rPr>
                <w:vertAlign w:val="superscript"/>
                <w:lang w:val="en-AU"/>
              </w:rPr>
              <w:t>b</w:t>
            </w:r>
          </w:p>
        </w:tc>
      </w:tr>
      <w:tr w:rsidR="00541844" w:rsidRPr="00873941" w14:paraId="5908FAE2" w14:textId="77777777" w:rsidTr="00357E0A">
        <w:tc>
          <w:tcPr>
            <w:tcW w:w="1383" w:type="pct"/>
            <w:tcBorders>
              <w:top w:val="single" w:sz="4" w:space="0" w:color="000000" w:themeColor="text1"/>
              <w:bottom w:val="single" w:sz="4" w:space="0" w:color="000000" w:themeColor="text1"/>
            </w:tcBorders>
          </w:tcPr>
          <w:p w14:paraId="77468414" w14:textId="77777777" w:rsidR="00541844" w:rsidRPr="00873941" w:rsidRDefault="00541844" w:rsidP="0088158A">
            <w:pPr>
              <w:pStyle w:val="TableText0"/>
            </w:pPr>
            <w:r w:rsidRPr="00873941">
              <w:t>Significant LVEF reduction events</w:t>
            </w:r>
          </w:p>
        </w:tc>
        <w:tc>
          <w:tcPr>
            <w:tcW w:w="897" w:type="pct"/>
            <w:tcBorders>
              <w:top w:val="single" w:sz="4" w:space="0" w:color="000000" w:themeColor="text1"/>
              <w:bottom w:val="single" w:sz="4" w:space="0" w:color="000000" w:themeColor="text1"/>
            </w:tcBorders>
          </w:tcPr>
          <w:p w14:paraId="6745F74A" w14:textId="4A960AF9" w:rsidR="00541844" w:rsidRPr="00873941" w:rsidRDefault="00541844" w:rsidP="0088158A">
            <w:pPr>
              <w:pStyle w:val="TableText0"/>
              <w:jc w:val="center"/>
            </w:pPr>
            <w:r w:rsidRPr="00873941">
              <w:t>1/111 (0.9)</w:t>
            </w:r>
          </w:p>
        </w:tc>
        <w:tc>
          <w:tcPr>
            <w:tcW w:w="883" w:type="pct"/>
            <w:tcBorders>
              <w:top w:val="single" w:sz="4" w:space="0" w:color="000000" w:themeColor="text1"/>
              <w:bottom w:val="single" w:sz="4" w:space="0" w:color="000000" w:themeColor="text1"/>
            </w:tcBorders>
          </w:tcPr>
          <w:p w14:paraId="022CADD3" w14:textId="39F909CD" w:rsidR="00541844" w:rsidRPr="00873941" w:rsidRDefault="00541844" w:rsidP="0088158A">
            <w:pPr>
              <w:pStyle w:val="TableText0"/>
              <w:jc w:val="center"/>
            </w:pPr>
            <w:r w:rsidRPr="00873941">
              <w:t>2/94 (2)</w:t>
            </w:r>
          </w:p>
        </w:tc>
        <w:tc>
          <w:tcPr>
            <w:tcW w:w="918" w:type="pct"/>
            <w:tcBorders>
              <w:top w:val="single" w:sz="4" w:space="0" w:color="000000" w:themeColor="text1"/>
              <w:bottom w:val="single" w:sz="4" w:space="0" w:color="000000" w:themeColor="text1"/>
            </w:tcBorders>
          </w:tcPr>
          <w:p w14:paraId="07152643" w14:textId="77777777" w:rsidR="00541844" w:rsidRPr="00873941" w:rsidRDefault="00541844" w:rsidP="0088158A">
            <w:pPr>
              <w:pStyle w:val="TableText0"/>
              <w:jc w:val="center"/>
            </w:pPr>
            <w:r w:rsidRPr="00873941">
              <w:t>0.42 [0.04, 4.69]</w:t>
            </w:r>
          </w:p>
        </w:tc>
        <w:tc>
          <w:tcPr>
            <w:tcW w:w="918" w:type="pct"/>
            <w:tcBorders>
              <w:top w:val="single" w:sz="4" w:space="0" w:color="000000" w:themeColor="text1"/>
              <w:bottom w:val="single" w:sz="4" w:space="0" w:color="000000" w:themeColor="text1"/>
            </w:tcBorders>
          </w:tcPr>
          <w:p w14:paraId="51698B11" w14:textId="77777777" w:rsidR="00541844" w:rsidRPr="00873941" w:rsidRDefault="00541844" w:rsidP="0088158A">
            <w:pPr>
              <w:pStyle w:val="TableText0"/>
              <w:jc w:val="center"/>
            </w:pPr>
            <w:r w:rsidRPr="00873941">
              <w:t>-0.01 [-0.05, 0.02]</w:t>
            </w:r>
          </w:p>
        </w:tc>
      </w:tr>
    </w:tbl>
    <w:p w14:paraId="488D9A5A" w14:textId="6A8FA9A6" w:rsidR="00541844" w:rsidRPr="00873941" w:rsidRDefault="00541844" w:rsidP="0088158A">
      <w:pPr>
        <w:pStyle w:val="TableFigureFooter"/>
        <w:keepNext/>
        <w:rPr>
          <w:lang w:eastAsia="en-US"/>
        </w:rPr>
      </w:pPr>
      <w:r w:rsidRPr="00873941">
        <w:rPr>
          <w:lang w:eastAsia="en-US"/>
        </w:rPr>
        <w:t>Source:</w:t>
      </w:r>
      <w:r w:rsidR="008F5530" w:rsidRPr="00873941">
        <w:rPr>
          <w:lang w:eastAsia="en-US"/>
        </w:rPr>
        <w:t xml:space="preserve"> Table 2-57, pp134-136 of the resubmission</w:t>
      </w:r>
    </w:p>
    <w:p w14:paraId="7B6737E6" w14:textId="22B33272" w:rsidR="00541844" w:rsidRPr="00873941" w:rsidRDefault="008F5530" w:rsidP="0088158A">
      <w:pPr>
        <w:pStyle w:val="TableFigureFooter"/>
        <w:keepNext/>
        <w:rPr>
          <w:lang w:eastAsia="en-US"/>
        </w:rPr>
      </w:pPr>
      <w:r w:rsidRPr="00873941">
        <w:rPr>
          <w:lang w:eastAsia="en-US"/>
        </w:rPr>
        <w:t xml:space="preserve">AC=doxorubicin and cyclophosphamide; </w:t>
      </w:r>
      <w:r w:rsidR="00541844" w:rsidRPr="00873941">
        <w:rPr>
          <w:lang w:eastAsia="en-US"/>
        </w:rPr>
        <w:t xml:space="preserve">AE=adverse event; CI=confidence interval; LVEF=left ventricular ejection fraction; NE=not estimable; NR=not reported; OR=odds ratio; </w:t>
      </w:r>
      <w:proofErr w:type="spellStart"/>
      <w:r w:rsidR="00E84153" w:rsidRPr="00873941">
        <w:t>P+T+Chemo</w:t>
      </w:r>
      <w:proofErr w:type="spellEnd"/>
      <w:r w:rsidR="00E84153" w:rsidRPr="00873941">
        <w:t>=</w:t>
      </w:r>
      <w:r w:rsidR="00A931FF" w:rsidRPr="00873941">
        <w:t xml:space="preserve"> </w:t>
      </w:r>
      <w:r w:rsidR="00E84153" w:rsidRPr="00873941">
        <w:t xml:space="preserve">pertuzumab + trastuzumab + chemotherapy; </w:t>
      </w:r>
      <w:r w:rsidRPr="00873941">
        <w:rPr>
          <w:lang w:eastAsia="en-US"/>
        </w:rPr>
        <w:t xml:space="preserve">post-NA=post neoadjuvant; </w:t>
      </w:r>
      <w:r w:rsidR="00541844" w:rsidRPr="00873941">
        <w:rPr>
          <w:lang w:eastAsia="en-US"/>
        </w:rPr>
        <w:t xml:space="preserve">RD=risk difference; </w:t>
      </w:r>
      <w:proofErr w:type="spellStart"/>
      <w:r w:rsidR="00E84153" w:rsidRPr="00873941">
        <w:t>T+Chemo</w:t>
      </w:r>
      <w:proofErr w:type="spellEnd"/>
      <w:r w:rsidR="00E84153" w:rsidRPr="00873941">
        <w:t>=</w:t>
      </w:r>
      <w:r w:rsidR="00A931FF" w:rsidRPr="00873941">
        <w:t xml:space="preserve"> </w:t>
      </w:r>
      <w:r w:rsidR="00E84153" w:rsidRPr="00873941">
        <w:t>trastuzumab + chemotherapy</w:t>
      </w:r>
      <w:r w:rsidRPr="00873941">
        <w:rPr>
          <w:lang w:eastAsia="en-US"/>
        </w:rPr>
        <w:t>.</w:t>
      </w:r>
    </w:p>
    <w:p w14:paraId="24A0D1B7" w14:textId="569C6977" w:rsidR="00541844" w:rsidRPr="00873941" w:rsidRDefault="008F5530" w:rsidP="0088158A">
      <w:pPr>
        <w:pStyle w:val="TableFigureFooter"/>
        <w:keepNext/>
        <w:rPr>
          <w:lang w:eastAsia="en-US"/>
        </w:rPr>
      </w:pPr>
      <w:proofErr w:type="spellStart"/>
      <w:r w:rsidRPr="00873941">
        <w:rPr>
          <w:vertAlign w:val="superscript"/>
          <w:lang w:eastAsia="en-US"/>
        </w:rPr>
        <w:t>a</w:t>
      </w:r>
      <w:proofErr w:type="spellEnd"/>
      <w:r w:rsidRPr="00873941">
        <w:rPr>
          <w:lang w:eastAsia="en-US"/>
        </w:rPr>
        <w:t xml:space="preserve"> </w:t>
      </w:r>
      <w:r w:rsidR="00541844" w:rsidRPr="00873941">
        <w:rPr>
          <w:lang w:eastAsia="en-US"/>
        </w:rPr>
        <w:t>The safety evaluation by Cheng 2022 was limited to pa</w:t>
      </w:r>
      <w:r w:rsidR="00357E0A" w:rsidRPr="00873941">
        <w:rPr>
          <w:lang w:eastAsia="en-US"/>
        </w:rPr>
        <w:t>rticipa</w:t>
      </w:r>
      <w:r w:rsidR="00541844" w:rsidRPr="00873941">
        <w:rPr>
          <w:lang w:eastAsia="en-US"/>
        </w:rPr>
        <w:t>nts in the pertuzumab containing arm only who had complete records for AEs (n=321/560), regardless of backbone chemotherapy received, and was based on AEs experienced during neoadjuvant therapy.</w:t>
      </w:r>
    </w:p>
    <w:p w14:paraId="4F899965" w14:textId="1A034735" w:rsidR="008F5530" w:rsidRPr="00873941" w:rsidRDefault="008F5530" w:rsidP="0088158A">
      <w:pPr>
        <w:pStyle w:val="TableFigureFooter"/>
        <w:keepNext/>
        <w:rPr>
          <w:lang w:eastAsia="en-US"/>
        </w:rPr>
      </w:pPr>
      <w:r w:rsidRPr="00873941">
        <w:rPr>
          <w:vertAlign w:val="superscript"/>
          <w:lang w:eastAsia="en-US"/>
        </w:rPr>
        <w:t>b</w:t>
      </w:r>
      <w:r w:rsidRPr="00873941">
        <w:rPr>
          <w:lang w:eastAsia="en-US"/>
        </w:rPr>
        <w:t xml:space="preserve"> Safety outcomes from Canino 2024 (with the exception of the cardiac safety analysis) were reported in the source document according to number/proportion of events (rather than pa</w:t>
      </w:r>
      <w:r w:rsidR="00357E0A" w:rsidRPr="00873941">
        <w:rPr>
          <w:lang w:eastAsia="en-US"/>
        </w:rPr>
        <w:t>rticipa</w:t>
      </w:r>
      <w:r w:rsidRPr="00873941">
        <w:rPr>
          <w:lang w:eastAsia="en-US"/>
        </w:rPr>
        <w:t>nts) and hence are not presented herein.</w:t>
      </w:r>
    </w:p>
    <w:p w14:paraId="2CFF1D66" w14:textId="5FB4B5C7" w:rsidR="00416D27" w:rsidRPr="00873941" w:rsidRDefault="00416D27" w:rsidP="00416D27">
      <w:pPr>
        <w:pStyle w:val="3-BodyText"/>
      </w:pPr>
      <w:r w:rsidRPr="00873941">
        <w:t xml:space="preserve">The resubmission claimed that overall, the tolerability of </w:t>
      </w:r>
      <w:proofErr w:type="spellStart"/>
      <w:r w:rsidRPr="00873941">
        <w:t>P+T+Chemo</w:t>
      </w:r>
      <w:proofErr w:type="spellEnd"/>
      <w:r w:rsidRPr="00873941">
        <w:t xml:space="preserve"> appeared similar to </w:t>
      </w:r>
      <w:proofErr w:type="spellStart"/>
      <w:r w:rsidRPr="00873941">
        <w:t>T+Chemo</w:t>
      </w:r>
      <w:proofErr w:type="spellEnd"/>
      <w:r w:rsidRPr="00873941">
        <w:t>. Se</w:t>
      </w:r>
      <w:r w:rsidR="00870171" w:rsidRPr="00873941">
        <w:t>rious</w:t>
      </w:r>
      <w:r w:rsidRPr="00873941">
        <w:t xml:space="preserve"> adverse events and Grade ≥3 AEs were lower for </w:t>
      </w:r>
      <w:proofErr w:type="spellStart"/>
      <w:r w:rsidRPr="00873941">
        <w:t>P+T+Chemo</w:t>
      </w:r>
      <w:proofErr w:type="spellEnd"/>
      <w:r w:rsidRPr="00873941">
        <w:t xml:space="preserve"> vs </w:t>
      </w:r>
      <w:proofErr w:type="spellStart"/>
      <w:r w:rsidRPr="00873941">
        <w:t>T+Chemo</w:t>
      </w:r>
      <w:proofErr w:type="spellEnd"/>
      <w:r w:rsidRPr="00873941">
        <w:t xml:space="preserve"> in the NEOSPHERE and I-SPY2 trials but higher for </w:t>
      </w:r>
      <w:proofErr w:type="spellStart"/>
      <w:r w:rsidRPr="00873941">
        <w:t>P+T+Chemo</w:t>
      </w:r>
      <w:proofErr w:type="spellEnd"/>
      <w:r w:rsidRPr="00873941">
        <w:t xml:space="preserve"> vs </w:t>
      </w:r>
      <w:proofErr w:type="spellStart"/>
      <w:r w:rsidRPr="00873941">
        <w:t>T+Chemo</w:t>
      </w:r>
      <w:proofErr w:type="spellEnd"/>
      <w:r w:rsidRPr="00873941">
        <w:t xml:space="preserve"> in the PEONY trial over the neoadjuvant period. Se</w:t>
      </w:r>
      <w:r w:rsidR="00870171" w:rsidRPr="00873941">
        <w:t>rious</w:t>
      </w:r>
      <w:r w:rsidRPr="00873941">
        <w:t xml:space="preserve"> adverse events and discontinuations were higher in the TRYPHAENA trial, where participants received 6 cycles of </w:t>
      </w:r>
      <w:proofErr w:type="spellStart"/>
      <w:r w:rsidRPr="00873941">
        <w:t>P+T+Chemo</w:t>
      </w:r>
      <w:proofErr w:type="spellEnd"/>
      <w:r w:rsidRPr="00873941">
        <w:t>, compared to the RCTs that included 4 cycles of HER2 targeted treatment. Supplementary evidence from the observational studies was consistent with the RCTs.</w:t>
      </w:r>
    </w:p>
    <w:p w14:paraId="2164A448" w14:textId="632D488B" w:rsidR="00416D27" w:rsidRPr="00873941" w:rsidRDefault="00416D27" w:rsidP="00897EC2">
      <w:pPr>
        <w:pStyle w:val="3-BodyText"/>
      </w:pPr>
      <w:r w:rsidRPr="00873941">
        <w:lastRenderedPageBreak/>
        <w:t xml:space="preserve">During the overall study period of NEOSPHERE, left ventricular dysfunction or congestive heart failure (adverse event of special interest) occurred in numerically more </w:t>
      </w:r>
      <w:proofErr w:type="spellStart"/>
      <w:r w:rsidRPr="00873941">
        <w:t>P+T+Chemo</w:t>
      </w:r>
      <w:proofErr w:type="spellEnd"/>
      <w:r w:rsidRPr="00873941">
        <w:t xml:space="preserve"> treated pa</w:t>
      </w:r>
      <w:r w:rsidR="00357E0A" w:rsidRPr="00873941">
        <w:t>rticipa</w:t>
      </w:r>
      <w:r w:rsidRPr="00873941">
        <w:t>nts (8.4% vs 1.9%), as did Grade ≥3 diarrhoea events (6.5% vs 3.7%). Diarrhoea events (any grade) were also among the most common events occurring in the pertuzumab arms of the PEONY, TRYPHAENA and I-SPY2 trials. However, treatment discontinuations due to AEs were low and modifications/interruptions due to AEs were generally similar across treatment arms of the included studies.</w:t>
      </w:r>
    </w:p>
    <w:p w14:paraId="40875894" w14:textId="77777777" w:rsidR="004A29D1" w:rsidRPr="00873941" w:rsidRDefault="004A29D1" w:rsidP="004A29D1">
      <w:pPr>
        <w:pStyle w:val="4-SubsectionHeading"/>
      </w:pPr>
      <w:bookmarkStart w:id="60" w:name="_Toc22897643"/>
      <w:bookmarkStart w:id="61" w:name="_Toc188444276"/>
      <w:r w:rsidRPr="00873941">
        <w:t>Benefits/harms</w:t>
      </w:r>
      <w:bookmarkEnd w:id="60"/>
      <w:bookmarkEnd w:id="61"/>
    </w:p>
    <w:p w14:paraId="1CB772FF" w14:textId="393D89A2" w:rsidR="00E723BA" w:rsidRPr="00055367" w:rsidRDefault="00EC00C9" w:rsidP="006273F1">
      <w:pPr>
        <w:pStyle w:val="3-BodyText"/>
      </w:pPr>
      <w:r w:rsidRPr="00873941">
        <w:t xml:space="preserve">A summary of the comparative benefits and harms for </w:t>
      </w:r>
      <w:proofErr w:type="spellStart"/>
      <w:r w:rsidR="00630F61" w:rsidRPr="00873941">
        <w:t>P+T+Chemo</w:t>
      </w:r>
      <w:proofErr w:type="spellEnd"/>
      <w:r w:rsidRPr="00873941">
        <w:t xml:space="preserve"> versus </w:t>
      </w:r>
      <w:proofErr w:type="spellStart"/>
      <w:r w:rsidR="00630F61" w:rsidRPr="00873941">
        <w:t>T+Chemo</w:t>
      </w:r>
      <w:proofErr w:type="spellEnd"/>
      <w:r w:rsidRPr="00873941">
        <w:t xml:space="preserve"> is presented in</w:t>
      </w:r>
      <w:r w:rsidR="00E16AD8" w:rsidRPr="00873941">
        <w:t xml:space="preserve"> </w:t>
      </w:r>
      <w:r w:rsidR="00E16AD8" w:rsidRPr="00873941">
        <w:fldChar w:fldCharType="begin"/>
      </w:r>
      <w:r w:rsidR="00E16AD8" w:rsidRPr="00873941">
        <w:instrText xml:space="preserve"> REF _Ref104805037 \h </w:instrText>
      </w:r>
      <w:r w:rsidR="00E94415">
        <w:instrText xml:space="preserve"> \* MERGEFORMAT </w:instrText>
      </w:r>
      <w:r w:rsidR="00E16AD8" w:rsidRPr="00873941">
        <w:fldChar w:fldCharType="separate"/>
      </w:r>
      <w:r w:rsidR="000B094B" w:rsidRPr="00873941">
        <w:t xml:space="preserve">Table </w:t>
      </w:r>
      <w:r w:rsidR="000B094B">
        <w:t>12</w:t>
      </w:r>
      <w:r w:rsidR="00E16AD8" w:rsidRPr="00873941">
        <w:fldChar w:fldCharType="end"/>
      </w:r>
      <w:r w:rsidRPr="00873941">
        <w:t>.</w:t>
      </w:r>
    </w:p>
    <w:p w14:paraId="04AC1B54" w14:textId="0FD86E5F" w:rsidR="00B62715" w:rsidRPr="00873941" w:rsidRDefault="00D6076E" w:rsidP="0088158A">
      <w:pPr>
        <w:pStyle w:val="Caption"/>
        <w:keepNext w:val="0"/>
        <w:rPr>
          <w:rStyle w:val="CommentReference"/>
          <w:b/>
          <w:szCs w:val="24"/>
        </w:rPr>
      </w:pPr>
      <w:bookmarkStart w:id="62" w:name="_Ref104805037"/>
      <w:r w:rsidRPr="00873941">
        <w:t xml:space="preserve">Table </w:t>
      </w:r>
      <w:r w:rsidR="000C4466">
        <w:fldChar w:fldCharType="begin"/>
      </w:r>
      <w:r w:rsidR="000C4466">
        <w:instrText xml:space="preserve"> SEQ Table \* ARABIC </w:instrText>
      </w:r>
      <w:r w:rsidR="000C4466">
        <w:fldChar w:fldCharType="separate"/>
      </w:r>
      <w:r w:rsidR="000B094B">
        <w:rPr>
          <w:noProof/>
        </w:rPr>
        <w:t>12</w:t>
      </w:r>
      <w:r w:rsidR="000C4466">
        <w:rPr>
          <w:noProof/>
        </w:rPr>
        <w:fldChar w:fldCharType="end"/>
      </w:r>
      <w:bookmarkEnd w:id="62"/>
      <w:r w:rsidRPr="00873941">
        <w:t xml:space="preserve">: </w:t>
      </w:r>
      <w:r w:rsidR="00B62715" w:rsidRPr="00873941">
        <w:rPr>
          <w:rStyle w:val="CommentReference"/>
          <w:b/>
          <w:szCs w:val="24"/>
        </w:rPr>
        <w:t xml:space="preserve">Summary of comparative benefits and harms for </w:t>
      </w:r>
      <w:proofErr w:type="spellStart"/>
      <w:r w:rsidR="0073177E" w:rsidRPr="00873941">
        <w:rPr>
          <w:rStyle w:val="CommentReference"/>
          <w:b/>
          <w:szCs w:val="24"/>
        </w:rPr>
        <w:t>P+T+Chemo</w:t>
      </w:r>
      <w:proofErr w:type="spellEnd"/>
      <w:r w:rsidR="00B62715" w:rsidRPr="00873941">
        <w:rPr>
          <w:rStyle w:val="CommentReference"/>
          <w:b/>
          <w:szCs w:val="24"/>
        </w:rPr>
        <w:t xml:space="preserve"> and </w:t>
      </w:r>
      <w:proofErr w:type="spellStart"/>
      <w:r w:rsidR="0073177E" w:rsidRPr="00873941">
        <w:rPr>
          <w:rStyle w:val="CommentReference"/>
          <w:b/>
          <w:szCs w:val="24"/>
        </w:rPr>
        <w:t>T+Chemo</w:t>
      </w:r>
      <w:proofErr w:type="spellEnd"/>
    </w:p>
    <w:tbl>
      <w:tblPr>
        <w:tblW w:w="5000" w:type="pct"/>
        <w:tblLayout w:type="fixed"/>
        <w:tblCellMar>
          <w:left w:w="28" w:type="dxa"/>
          <w:right w:w="28" w:type="dxa"/>
        </w:tblCellMar>
        <w:tblLook w:val="04A0" w:firstRow="1" w:lastRow="0" w:firstColumn="1" w:lastColumn="0" w:noHBand="0" w:noVBand="1"/>
        <w:tblCaption w:val="Table 12: Summary of comparative benefits and harms for P+T+Chemo and T+Chemo"/>
      </w:tblPr>
      <w:tblGrid>
        <w:gridCol w:w="1981"/>
        <w:gridCol w:w="1138"/>
        <w:gridCol w:w="1134"/>
        <w:gridCol w:w="1417"/>
        <w:gridCol w:w="992"/>
        <w:gridCol w:w="142"/>
        <w:gridCol w:w="851"/>
        <w:gridCol w:w="1362"/>
      </w:tblGrid>
      <w:tr w:rsidR="007F4A61" w:rsidRPr="00873941" w14:paraId="0AEC7DE3" w14:textId="77777777" w:rsidTr="009119B1">
        <w:trPr>
          <w:cantSplit/>
          <w:trHeight w:val="150"/>
          <w:tblHeader/>
        </w:trPr>
        <w:tc>
          <w:tcPr>
            <w:tcW w:w="1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A122BB" w14:textId="77777777" w:rsidR="00B62715" w:rsidRPr="00873941" w:rsidRDefault="00B62715" w:rsidP="0088158A">
            <w:pPr>
              <w:pStyle w:val="In-tableHeading"/>
              <w:keepNext w:val="0"/>
              <w:rPr>
                <w:lang w:val="en-AU"/>
              </w:rPr>
            </w:pPr>
            <w:r w:rsidRPr="00873941">
              <w:rPr>
                <w:lang w:val="en-AU"/>
              </w:rPr>
              <w:t>Trial</w:t>
            </w:r>
          </w:p>
        </w:tc>
        <w:tc>
          <w:tcPr>
            <w:tcW w:w="631" w:type="pct"/>
            <w:vMerge w:val="restart"/>
            <w:tcBorders>
              <w:top w:val="single" w:sz="4" w:space="0" w:color="auto"/>
              <w:left w:val="single" w:sz="4" w:space="0" w:color="auto"/>
              <w:bottom w:val="single" w:sz="4" w:space="0" w:color="auto"/>
              <w:right w:val="single" w:sz="4" w:space="0" w:color="auto"/>
            </w:tcBorders>
            <w:vAlign w:val="center"/>
          </w:tcPr>
          <w:p w14:paraId="3931FCE4" w14:textId="39682D41" w:rsidR="00B24DF6" w:rsidRPr="00873941" w:rsidRDefault="00630F61" w:rsidP="0088158A">
            <w:pPr>
              <w:pStyle w:val="In-tableHeading"/>
              <w:keepNext w:val="0"/>
              <w:rPr>
                <w:lang w:val="en-AU"/>
              </w:rPr>
            </w:pPr>
            <w:proofErr w:type="spellStart"/>
            <w:r w:rsidRPr="00873941">
              <w:rPr>
                <w:lang w:val="en-AU"/>
              </w:rPr>
              <w:t>P+T+Chemo</w:t>
            </w:r>
            <w:proofErr w:type="spellEnd"/>
          </w:p>
          <w:p w14:paraId="15BE4923" w14:textId="4DBF8FEB" w:rsidR="00B62715" w:rsidRPr="00873941" w:rsidRDefault="00B24DF6" w:rsidP="0088158A">
            <w:pPr>
              <w:pStyle w:val="In-tableHeading"/>
              <w:keepNext w:val="0"/>
              <w:rPr>
                <w:lang w:val="en-AU"/>
              </w:rPr>
            </w:pPr>
            <w:r w:rsidRPr="00873941">
              <w:rPr>
                <w:lang w:val="en-AU"/>
              </w:rPr>
              <w:t>n/N</w:t>
            </w:r>
          </w:p>
        </w:tc>
        <w:tc>
          <w:tcPr>
            <w:tcW w:w="629" w:type="pct"/>
            <w:vMerge w:val="restart"/>
            <w:tcBorders>
              <w:top w:val="single" w:sz="4" w:space="0" w:color="auto"/>
              <w:left w:val="single" w:sz="4" w:space="0" w:color="auto"/>
              <w:bottom w:val="single" w:sz="4" w:space="0" w:color="auto"/>
              <w:right w:val="single" w:sz="4" w:space="0" w:color="auto"/>
            </w:tcBorders>
            <w:vAlign w:val="center"/>
          </w:tcPr>
          <w:p w14:paraId="49010316" w14:textId="7681F159" w:rsidR="00B62715" w:rsidRPr="00873941" w:rsidRDefault="00630F61" w:rsidP="0088158A">
            <w:pPr>
              <w:pStyle w:val="In-tableHeading"/>
              <w:keepNext w:val="0"/>
              <w:rPr>
                <w:lang w:val="en-AU"/>
              </w:rPr>
            </w:pPr>
            <w:proofErr w:type="spellStart"/>
            <w:r w:rsidRPr="00873941">
              <w:rPr>
                <w:lang w:val="en-AU"/>
              </w:rPr>
              <w:t>T+Chemo</w:t>
            </w:r>
            <w:proofErr w:type="spellEnd"/>
          </w:p>
          <w:p w14:paraId="40087817" w14:textId="46E03F3B" w:rsidR="00B24DF6" w:rsidRPr="00873941" w:rsidRDefault="00B24DF6" w:rsidP="0088158A">
            <w:pPr>
              <w:pStyle w:val="In-tableHeading"/>
              <w:keepNext w:val="0"/>
              <w:rPr>
                <w:lang w:val="en-AU"/>
              </w:rPr>
            </w:pPr>
            <w:r w:rsidRPr="00873941">
              <w:rPr>
                <w:lang w:val="en-AU"/>
              </w:rPr>
              <w:t>n/N</w:t>
            </w:r>
          </w:p>
        </w:tc>
        <w:tc>
          <w:tcPr>
            <w:tcW w:w="786" w:type="pct"/>
            <w:vMerge w:val="restart"/>
            <w:tcBorders>
              <w:top w:val="single" w:sz="4" w:space="0" w:color="auto"/>
              <w:left w:val="single" w:sz="4" w:space="0" w:color="auto"/>
              <w:bottom w:val="single" w:sz="4" w:space="0" w:color="auto"/>
              <w:right w:val="single" w:sz="4" w:space="0" w:color="auto"/>
            </w:tcBorders>
            <w:vAlign w:val="center"/>
          </w:tcPr>
          <w:p w14:paraId="1FF3E2EC" w14:textId="77777777" w:rsidR="00B62715" w:rsidRPr="00873941" w:rsidRDefault="00B62715" w:rsidP="0088158A">
            <w:pPr>
              <w:pStyle w:val="In-tableHeading"/>
              <w:keepNext w:val="0"/>
              <w:rPr>
                <w:lang w:val="en-AU"/>
              </w:rPr>
            </w:pPr>
            <w:r w:rsidRPr="00873941">
              <w:rPr>
                <w:lang w:val="en-AU"/>
              </w:rPr>
              <w:t>RR</w:t>
            </w:r>
          </w:p>
          <w:p w14:paraId="6A554608" w14:textId="77777777" w:rsidR="00B62715" w:rsidRPr="00873941" w:rsidRDefault="00B62715" w:rsidP="0088158A">
            <w:pPr>
              <w:pStyle w:val="In-tableHeading"/>
              <w:keepNext w:val="0"/>
              <w:rPr>
                <w:lang w:val="en-AU"/>
              </w:rPr>
            </w:pPr>
            <w:r w:rsidRPr="00873941">
              <w:rPr>
                <w:lang w:val="en-AU"/>
              </w:rPr>
              <w:t>(95% CI)</w:t>
            </w:r>
          </w:p>
        </w:tc>
        <w:tc>
          <w:tcPr>
            <w:tcW w:w="1101" w:type="pct"/>
            <w:gridSpan w:val="3"/>
            <w:tcBorders>
              <w:top w:val="single" w:sz="4" w:space="0" w:color="auto"/>
              <w:left w:val="single" w:sz="4" w:space="0" w:color="auto"/>
              <w:bottom w:val="single" w:sz="4" w:space="0" w:color="auto"/>
              <w:right w:val="single" w:sz="4" w:space="0" w:color="auto"/>
            </w:tcBorders>
            <w:vAlign w:val="center"/>
          </w:tcPr>
          <w:p w14:paraId="646C99FD" w14:textId="3CB39A73" w:rsidR="00B62715" w:rsidRPr="00873941" w:rsidRDefault="00B62715" w:rsidP="0088158A">
            <w:pPr>
              <w:pStyle w:val="In-tableHeading"/>
              <w:keepNext w:val="0"/>
              <w:rPr>
                <w:lang w:val="en-AU"/>
              </w:rPr>
            </w:pPr>
            <w:r w:rsidRPr="00873941">
              <w:rPr>
                <w:lang w:val="en-AU"/>
              </w:rPr>
              <w:t xml:space="preserve">Event rate/100 </w:t>
            </w:r>
            <w:proofErr w:type="spellStart"/>
            <w:r w:rsidRPr="00873941">
              <w:rPr>
                <w:lang w:val="en-AU"/>
              </w:rPr>
              <w:t>patients</w:t>
            </w:r>
            <w:r w:rsidR="00B973FB" w:rsidRPr="00873941">
              <w:rPr>
                <w:vertAlign w:val="superscript"/>
                <w:lang w:val="en-AU"/>
              </w:rPr>
              <w:t>a</w:t>
            </w:r>
            <w:proofErr w:type="spellEnd"/>
          </w:p>
        </w:tc>
        <w:tc>
          <w:tcPr>
            <w:tcW w:w="756" w:type="pct"/>
            <w:vMerge w:val="restart"/>
            <w:tcBorders>
              <w:top w:val="single" w:sz="4" w:space="0" w:color="auto"/>
              <w:left w:val="single" w:sz="4" w:space="0" w:color="auto"/>
              <w:bottom w:val="single" w:sz="4" w:space="0" w:color="auto"/>
              <w:right w:val="single" w:sz="4" w:space="0" w:color="auto"/>
            </w:tcBorders>
            <w:vAlign w:val="center"/>
          </w:tcPr>
          <w:p w14:paraId="355C6D21" w14:textId="77777777" w:rsidR="00B62715" w:rsidRPr="00873941" w:rsidRDefault="00B62715" w:rsidP="0088158A">
            <w:pPr>
              <w:pStyle w:val="In-tableHeading"/>
              <w:keepNext w:val="0"/>
              <w:rPr>
                <w:lang w:val="en-AU"/>
              </w:rPr>
            </w:pPr>
            <w:r w:rsidRPr="00873941">
              <w:rPr>
                <w:lang w:val="en-AU"/>
              </w:rPr>
              <w:t>RD</w:t>
            </w:r>
          </w:p>
          <w:p w14:paraId="35D36C3F" w14:textId="77777777" w:rsidR="00B62715" w:rsidRPr="00873941" w:rsidRDefault="00B62715" w:rsidP="0088158A">
            <w:pPr>
              <w:pStyle w:val="In-tableHeading"/>
              <w:keepNext w:val="0"/>
              <w:rPr>
                <w:lang w:val="en-AU"/>
              </w:rPr>
            </w:pPr>
            <w:r w:rsidRPr="00873941">
              <w:rPr>
                <w:lang w:val="en-AU"/>
              </w:rPr>
              <w:t>(95% CI)</w:t>
            </w:r>
          </w:p>
        </w:tc>
      </w:tr>
      <w:tr w:rsidR="003571AB" w:rsidRPr="00873941" w14:paraId="2BC84D66" w14:textId="77777777" w:rsidTr="009119B1">
        <w:trPr>
          <w:cantSplit/>
          <w:trHeight w:val="315"/>
        </w:trPr>
        <w:tc>
          <w:tcPr>
            <w:tcW w:w="109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A62E81" w14:textId="77777777" w:rsidR="003571AB" w:rsidRPr="00873941" w:rsidRDefault="003571AB" w:rsidP="0088158A">
            <w:pPr>
              <w:pStyle w:val="In-tableHeading"/>
              <w:keepNext w:val="0"/>
              <w:jc w:val="center"/>
              <w:rPr>
                <w:lang w:val="en-AU"/>
              </w:rPr>
            </w:pPr>
          </w:p>
        </w:tc>
        <w:tc>
          <w:tcPr>
            <w:tcW w:w="631" w:type="pct"/>
            <w:vMerge/>
            <w:tcBorders>
              <w:top w:val="single" w:sz="4" w:space="0" w:color="auto"/>
              <w:left w:val="single" w:sz="4" w:space="0" w:color="auto"/>
              <w:bottom w:val="single" w:sz="4" w:space="0" w:color="auto"/>
              <w:right w:val="single" w:sz="4" w:space="0" w:color="auto"/>
            </w:tcBorders>
            <w:vAlign w:val="center"/>
          </w:tcPr>
          <w:p w14:paraId="5B52D7D0" w14:textId="77777777" w:rsidR="003571AB" w:rsidRPr="00873941" w:rsidRDefault="003571AB" w:rsidP="0088158A">
            <w:pPr>
              <w:pStyle w:val="In-tableHeading"/>
              <w:keepNext w:val="0"/>
              <w:jc w:val="center"/>
              <w:rPr>
                <w:lang w:val="en-AU"/>
              </w:rPr>
            </w:pPr>
          </w:p>
        </w:tc>
        <w:tc>
          <w:tcPr>
            <w:tcW w:w="629" w:type="pct"/>
            <w:vMerge/>
            <w:tcBorders>
              <w:top w:val="single" w:sz="4" w:space="0" w:color="auto"/>
              <w:left w:val="single" w:sz="4" w:space="0" w:color="auto"/>
              <w:bottom w:val="single" w:sz="4" w:space="0" w:color="auto"/>
              <w:right w:val="single" w:sz="4" w:space="0" w:color="auto"/>
            </w:tcBorders>
            <w:vAlign w:val="center"/>
          </w:tcPr>
          <w:p w14:paraId="142E354F" w14:textId="77777777" w:rsidR="003571AB" w:rsidRPr="00873941" w:rsidRDefault="003571AB" w:rsidP="0088158A">
            <w:pPr>
              <w:pStyle w:val="In-tableHeading"/>
              <w:keepNext w:val="0"/>
              <w:jc w:val="center"/>
              <w:rPr>
                <w:lang w:val="en-AU"/>
              </w:rPr>
            </w:pPr>
          </w:p>
        </w:tc>
        <w:tc>
          <w:tcPr>
            <w:tcW w:w="786" w:type="pct"/>
            <w:vMerge/>
            <w:tcBorders>
              <w:top w:val="single" w:sz="4" w:space="0" w:color="auto"/>
              <w:left w:val="single" w:sz="4" w:space="0" w:color="auto"/>
              <w:bottom w:val="single" w:sz="4" w:space="0" w:color="auto"/>
              <w:right w:val="single" w:sz="4" w:space="0" w:color="auto"/>
            </w:tcBorders>
            <w:vAlign w:val="center"/>
          </w:tcPr>
          <w:p w14:paraId="4BBFDD02" w14:textId="77777777" w:rsidR="003571AB" w:rsidRPr="00873941" w:rsidRDefault="003571AB" w:rsidP="0088158A">
            <w:pPr>
              <w:pStyle w:val="In-tableHeading"/>
              <w:keepNext w:val="0"/>
              <w:jc w:val="center"/>
              <w:rPr>
                <w:lang w:val="en-AU"/>
              </w:rPr>
            </w:pPr>
          </w:p>
        </w:tc>
        <w:tc>
          <w:tcPr>
            <w:tcW w:w="629" w:type="pct"/>
            <w:gridSpan w:val="2"/>
            <w:tcBorders>
              <w:top w:val="single" w:sz="4" w:space="0" w:color="auto"/>
              <w:left w:val="single" w:sz="4" w:space="0" w:color="auto"/>
              <w:bottom w:val="single" w:sz="4" w:space="0" w:color="auto"/>
              <w:right w:val="single" w:sz="4" w:space="0" w:color="auto"/>
            </w:tcBorders>
          </w:tcPr>
          <w:p w14:paraId="1A8E703E" w14:textId="2371417E" w:rsidR="003571AB" w:rsidRPr="00873941" w:rsidRDefault="003571AB" w:rsidP="0088158A">
            <w:pPr>
              <w:pStyle w:val="In-tableHeading"/>
              <w:keepNext w:val="0"/>
              <w:rPr>
                <w:lang w:val="en-AU"/>
              </w:rPr>
            </w:pPr>
            <w:proofErr w:type="spellStart"/>
            <w:r w:rsidRPr="00873941">
              <w:rPr>
                <w:lang w:val="en-AU"/>
              </w:rPr>
              <w:t>P+T+Chemo</w:t>
            </w:r>
            <w:proofErr w:type="spellEnd"/>
          </w:p>
        </w:tc>
        <w:tc>
          <w:tcPr>
            <w:tcW w:w="472" w:type="pct"/>
            <w:tcBorders>
              <w:top w:val="single" w:sz="4" w:space="0" w:color="auto"/>
              <w:left w:val="single" w:sz="4" w:space="0" w:color="auto"/>
              <w:bottom w:val="single" w:sz="4" w:space="0" w:color="auto"/>
              <w:right w:val="single" w:sz="4" w:space="0" w:color="auto"/>
            </w:tcBorders>
          </w:tcPr>
          <w:p w14:paraId="4AB0EBBD" w14:textId="1700C2A1" w:rsidR="003571AB" w:rsidRPr="00873941" w:rsidRDefault="003571AB" w:rsidP="0088158A">
            <w:pPr>
              <w:pStyle w:val="In-tableHeading"/>
              <w:keepNext w:val="0"/>
              <w:rPr>
                <w:lang w:val="en-AU"/>
              </w:rPr>
            </w:pPr>
            <w:proofErr w:type="spellStart"/>
            <w:r w:rsidRPr="00873941">
              <w:rPr>
                <w:lang w:val="en-AU"/>
              </w:rPr>
              <w:t>T+Chemo</w:t>
            </w:r>
            <w:proofErr w:type="spellEnd"/>
          </w:p>
        </w:tc>
        <w:tc>
          <w:tcPr>
            <w:tcW w:w="756" w:type="pct"/>
            <w:vMerge/>
            <w:tcBorders>
              <w:top w:val="single" w:sz="4" w:space="0" w:color="auto"/>
              <w:left w:val="single" w:sz="4" w:space="0" w:color="auto"/>
              <w:bottom w:val="single" w:sz="4" w:space="0" w:color="auto"/>
              <w:right w:val="single" w:sz="4" w:space="0" w:color="auto"/>
            </w:tcBorders>
            <w:vAlign w:val="center"/>
          </w:tcPr>
          <w:p w14:paraId="00508343" w14:textId="77777777" w:rsidR="003571AB" w:rsidRPr="00873941" w:rsidRDefault="003571AB" w:rsidP="0088158A">
            <w:pPr>
              <w:pStyle w:val="In-tableHeading"/>
              <w:keepNext w:val="0"/>
              <w:jc w:val="center"/>
              <w:rPr>
                <w:lang w:val="en-AU"/>
              </w:rPr>
            </w:pPr>
          </w:p>
        </w:tc>
      </w:tr>
      <w:tr w:rsidR="003571AB" w:rsidRPr="00873941" w14:paraId="54718D2E" w14:textId="77777777" w:rsidTr="000369EF">
        <w:trPr>
          <w:cantSplit/>
        </w:trPr>
        <w:tc>
          <w:tcPr>
            <w:tcW w:w="5000" w:type="pct"/>
            <w:gridSpan w:val="8"/>
            <w:tcBorders>
              <w:top w:val="single" w:sz="4" w:space="0" w:color="auto"/>
              <w:left w:val="single" w:sz="4" w:space="0" w:color="auto"/>
              <w:bottom w:val="thickThinSmallGap" w:sz="12" w:space="0" w:color="auto"/>
              <w:right w:val="single" w:sz="4" w:space="0" w:color="auto"/>
            </w:tcBorders>
            <w:shd w:val="clear" w:color="auto" w:fill="auto"/>
            <w:vAlign w:val="center"/>
          </w:tcPr>
          <w:p w14:paraId="3E4E1467" w14:textId="77777777" w:rsidR="003571AB" w:rsidRPr="00873941" w:rsidRDefault="003571AB" w:rsidP="0088158A">
            <w:pPr>
              <w:pStyle w:val="In-tableHeading"/>
              <w:keepNext w:val="0"/>
              <w:rPr>
                <w:lang w:val="en-AU"/>
              </w:rPr>
            </w:pPr>
            <w:r w:rsidRPr="00873941">
              <w:rPr>
                <w:lang w:val="en-AU"/>
              </w:rPr>
              <w:t>Benefits</w:t>
            </w:r>
          </w:p>
        </w:tc>
      </w:tr>
      <w:tr w:rsidR="003571AB" w:rsidRPr="00873941" w14:paraId="383DC5CE" w14:textId="77777777" w:rsidTr="000369EF">
        <w:trPr>
          <w:cantSplit/>
        </w:trPr>
        <w:tc>
          <w:tcPr>
            <w:tcW w:w="5000" w:type="pct"/>
            <w:gridSpan w:val="8"/>
            <w:tcBorders>
              <w:top w:val="thickThinSmallGap" w:sz="12" w:space="0" w:color="auto"/>
              <w:left w:val="single" w:sz="4" w:space="0" w:color="auto"/>
              <w:bottom w:val="single" w:sz="4" w:space="0" w:color="auto"/>
              <w:right w:val="single" w:sz="4" w:space="0" w:color="auto"/>
            </w:tcBorders>
            <w:shd w:val="clear" w:color="auto" w:fill="auto"/>
            <w:vAlign w:val="center"/>
          </w:tcPr>
          <w:p w14:paraId="23420EC8" w14:textId="61DBC0A6" w:rsidR="003571AB" w:rsidRPr="00873941" w:rsidRDefault="003571AB" w:rsidP="0088158A">
            <w:pPr>
              <w:pStyle w:val="In-tableHeading"/>
              <w:keepNext w:val="0"/>
              <w:rPr>
                <w:lang w:val="en-AU"/>
              </w:rPr>
            </w:pPr>
            <w:proofErr w:type="spellStart"/>
            <w:r w:rsidRPr="00873941">
              <w:rPr>
                <w:lang w:val="en-AU"/>
              </w:rPr>
              <w:t>bpCR</w:t>
            </w:r>
            <w:proofErr w:type="spellEnd"/>
          </w:p>
        </w:tc>
      </w:tr>
      <w:tr w:rsidR="003571AB" w:rsidRPr="00873941" w14:paraId="20423A16" w14:textId="77777777" w:rsidTr="009119B1">
        <w:trPr>
          <w:cantSplit/>
        </w:trPr>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34DA3DB0" w14:textId="48F5D284" w:rsidR="003571AB" w:rsidRPr="00873941" w:rsidRDefault="003571AB" w:rsidP="0088158A">
            <w:pPr>
              <w:pStyle w:val="TableText0"/>
              <w:keepNext w:val="0"/>
            </w:pPr>
            <w:r w:rsidRPr="00873941">
              <w:t>NEOSPHERE</w:t>
            </w:r>
          </w:p>
        </w:tc>
        <w:tc>
          <w:tcPr>
            <w:tcW w:w="631" w:type="pct"/>
            <w:tcBorders>
              <w:top w:val="single" w:sz="4" w:space="0" w:color="auto"/>
              <w:left w:val="single" w:sz="4" w:space="0" w:color="auto"/>
              <w:bottom w:val="single" w:sz="4" w:space="0" w:color="auto"/>
              <w:right w:val="single" w:sz="4" w:space="0" w:color="auto"/>
            </w:tcBorders>
            <w:vAlign w:val="center"/>
          </w:tcPr>
          <w:p w14:paraId="337D5836" w14:textId="4EDAF295" w:rsidR="003571AB" w:rsidRPr="00873941" w:rsidRDefault="003571AB" w:rsidP="0088158A">
            <w:pPr>
              <w:pStyle w:val="TableText0"/>
              <w:keepNext w:val="0"/>
              <w:jc w:val="center"/>
            </w:pPr>
            <w:r w:rsidRPr="00873941">
              <w:t>49/107</w:t>
            </w:r>
          </w:p>
        </w:tc>
        <w:tc>
          <w:tcPr>
            <w:tcW w:w="629" w:type="pct"/>
            <w:tcBorders>
              <w:top w:val="single" w:sz="4" w:space="0" w:color="auto"/>
              <w:left w:val="single" w:sz="4" w:space="0" w:color="auto"/>
              <w:bottom w:val="single" w:sz="4" w:space="0" w:color="auto"/>
              <w:right w:val="single" w:sz="4" w:space="0" w:color="auto"/>
            </w:tcBorders>
            <w:vAlign w:val="center"/>
          </w:tcPr>
          <w:p w14:paraId="6AADF033" w14:textId="6E3FC7DA" w:rsidR="003571AB" w:rsidRPr="00873941" w:rsidRDefault="003571AB" w:rsidP="0088158A">
            <w:pPr>
              <w:pStyle w:val="TableText0"/>
              <w:keepNext w:val="0"/>
              <w:jc w:val="center"/>
            </w:pPr>
            <w:r w:rsidRPr="00873941">
              <w:t>31/107</w:t>
            </w:r>
          </w:p>
        </w:tc>
        <w:tc>
          <w:tcPr>
            <w:tcW w:w="786" w:type="pct"/>
            <w:tcBorders>
              <w:top w:val="single" w:sz="4" w:space="0" w:color="auto"/>
              <w:left w:val="single" w:sz="4" w:space="0" w:color="auto"/>
              <w:bottom w:val="single" w:sz="4" w:space="0" w:color="auto"/>
              <w:right w:val="single" w:sz="4" w:space="0" w:color="auto"/>
            </w:tcBorders>
            <w:vAlign w:val="center"/>
          </w:tcPr>
          <w:p w14:paraId="39C874E6" w14:textId="7EFC2219" w:rsidR="003571AB" w:rsidRPr="00873941" w:rsidRDefault="003571AB" w:rsidP="0088158A">
            <w:pPr>
              <w:pStyle w:val="TableText0"/>
              <w:keepNext w:val="0"/>
              <w:jc w:val="center"/>
            </w:pPr>
            <w:r w:rsidRPr="00873941">
              <w:t>1.58 (1.10, 2.27)</w:t>
            </w:r>
          </w:p>
        </w:tc>
        <w:tc>
          <w:tcPr>
            <w:tcW w:w="550" w:type="pct"/>
            <w:tcBorders>
              <w:top w:val="single" w:sz="4" w:space="0" w:color="auto"/>
              <w:left w:val="single" w:sz="4" w:space="0" w:color="auto"/>
              <w:bottom w:val="single" w:sz="4" w:space="0" w:color="auto"/>
              <w:right w:val="single" w:sz="4" w:space="0" w:color="auto"/>
            </w:tcBorders>
            <w:vAlign w:val="center"/>
          </w:tcPr>
          <w:p w14:paraId="5A396522" w14:textId="3E55E404" w:rsidR="003571AB" w:rsidRPr="00873941" w:rsidRDefault="00D00114" w:rsidP="0088158A">
            <w:pPr>
              <w:pStyle w:val="TableText0"/>
              <w:keepNext w:val="0"/>
              <w:jc w:val="center"/>
            </w:pPr>
            <w:r w:rsidRPr="00873941">
              <w:t>46</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66E9B16D" w14:textId="5333699D" w:rsidR="003571AB" w:rsidRPr="00873941" w:rsidRDefault="00D00114" w:rsidP="0088158A">
            <w:pPr>
              <w:pStyle w:val="TableText0"/>
              <w:keepNext w:val="0"/>
              <w:jc w:val="center"/>
            </w:pPr>
            <w:r w:rsidRPr="00873941">
              <w:t>29</w:t>
            </w:r>
          </w:p>
        </w:tc>
        <w:tc>
          <w:tcPr>
            <w:tcW w:w="756" w:type="pct"/>
            <w:tcBorders>
              <w:top w:val="single" w:sz="4" w:space="0" w:color="auto"/>
              <w:left w:val="single" w:sz="4" w:space="0" w:color="auto"/>
              <w:bottom w:val="single" w:sz="4" w:space="0" w:color="auto"/>
              <w:right w:val="single" w:sz="4" w:space="0" w:color="auto"/>
            </w:tcBorders>
            <w:vAlign w:val="center"/>
          </w:tcPr>
          <w:p w14:paraId="2F927293" w14:textId="32E7E896" w:rsidR="003571AB" w:rsidRPr="00873941" w:rsidRDefault="00D00114" w:rsidP="0088158A">
            <w:pPr>
              <w:pStyle w:val="TableText0"/>
              <w:keepNext w:val="0"/>
              <w:jc w:val="center"/>
            </w:pPr>
            <w:r w:rsidRPr="00873941">
              <w:t>17 (4, 30)</w:t>
            </w:r>
          </w:p>
        </w:tc>
      </w:tr>
      <w:tr w:rsidR="003571AB" w:rsidRPr="00873941" w14:paraId="6F19C0ED" w14:textId="77777777" w:rsidTr="009119B1">
        <w:trPr>
          <w:cantSplit/>
        </w:trPr>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16CC9153" w14:textId="6EBD6BBB" w:rsidR="003571AB" w:rsidRPr="00873941" w:rsidRDefault="003571AB" w:rsidP="0088158A">
            <w:pPr>
              <w:pStyle w:val="TableText0"/>
              <w:keepNext w:val="0"/>
            </w:pPr>
            <w:r w:rsidRPr="00873941">
              <w:t>PEONY</w:t>
            </w:r>
          </w:p>
        </w:tc>
        <w:tc>
          <w:tcPr>
            <w:tcW w:w="631" w:type="pct"/>
            <w:tcBorders>
              <w:top w:val="single" w:sz="4" w:space="0" w:color="auto"/>
              <w:left w:val="single" w:sz="4" w:space="0" w:color="auto"/>
              <w:bottom w:val="single" w:sz="4" w:space="0" w:color="auto"/>
              <w:right w:val="single" w:sz="4" w:space="0" w:color="auto"/>
            </w:tcBorders>
            <w:vAlign w:val="center"/>
          </w:tcPr>
          <w:p w14:paraId="40EFD4F9" w14:textId="6A01DD7B" w:rsidR="003571AB" w:rsidRPr="00873941" w:rsidRDefault="003571AB" w:rsidP="0088158A">
            <w:pPr>
              <w:pStyle w:val="TableText0"/>
              <w:keepNext w:val="0"/>
              <w:jc w:val="center"/>
            </w:pPr>
            <w:r w:rsidRPr="00873941">
              <w:t>92/219</w:t>
            </w:r>
          </w:p>
        </w:tc>
        <w:tc>
          <w:tcPr>
            <w:tcW w:w="629" w:type="pct"/>
            <w:tcBorders>
              <w:top w:val="single" w:sz="4" w:space="0" w:color="auto"/>
              <w:left w:val="single" w:sz="4" w:space="0" w:color="auto"/>
              <w:bottom w:val="single" w:sz="4" w:space="0" w:color="auto"/>
              <w:right w:val="single" w:sz="4" w:space="0" w:color="auto"/>
            </w:tcBorders>
            <w:vAlign w:val="center"/>
          </w:tcPr>
          <w:p w14:paraId="4BCA3AA9" w14:textId="27004F42" w:rsidR="003571AB" w:rsidRPr="00873941" w:rsidRDefault="003571AB" w:rsidP="0088158A">
            <w:pPr>
              <w:pStyle w:val="TableText0"/>
              <w:keepNext w:val="0"/>
              <w:jc w:val="center"/>
            </w:pPr>
            <w:r w:rsidRPr="00873941">
              <w:t>26/110</w:t>
            </w:r>
          </w:p>
        </w:tc>
        <w:tc>
          <w:tcPr>
            <w:tcW w:w="786" w:type="pct"/>
            <w:tcBorders>
              <w:top w:val="single" w:sz="4" w:space="0" w:color="auto"/>
              <w:left w:val="single" w:sz="4" w:space="0" w:color="auto"/>
              <w:bottom w:val="single" w:sz="4" w:space="0" w:color="auto"/>
              <w:right w:val="single" w:sz="4" w:space="0" w:color="auto"/>
            </w:tcBorders>
            <w:vAlign w:val="center"/>
          </w:tcPr>
          <w:p w14:paraId="283935F2" w14:textId="05D83BDB" w:rsidR="003571AB" w:rsidRPr="00873941" w:rsidRDefault="003571AB" w:rsidP="0088158A">
            <w:pPr>
              <w:pStyle w:val="TableText0"/>
              <w:keepNext w:val="0"/>
              <w:jc w:val="center"/>
            </w:pPr>
            <w:r w:rsidRPr="00873941">
              <w:t>1.78 (1.23, 2.57)</w:t>
            </w:r>
          </w:p>
        </w:tc>
        <w:tc>
          <w:tcPr>
            <w:tcW w:w="550" w:type="pct"/>
            <w:tcBorders>
              <w:top w:val="single" w:sz="4" w:space="0" w:color="auto"/>
              <w:left w:val="single" w:sz="4" w:space="0" w:color="auto"/>
              <w:bottom w:val="single" w:sz="4" w:space="0" w:color="auto"/>
              <w:right w:val="single" w:sz="4" w:space="0" w:color="auto"/>
            </w:tcBorders>
            <w:vAlign w:val="center"/>
          </w:tcPr>
          <w:p w14:paraId="35D74282" w14:textId="65CDCE89" w:rsidR="003571AB" w:rsidRPr="00873941" w:rsidRDefault="00D00114" w:rsidP="0088158A">
            <w:pPr>
              <w:pStyle w:val="TableText0"/>
              <w:keepNext w:val="0"/>
              <w:jc w:val="center"/>
            </w:pPr>
            <w:r w:rsidRPr="00873941">
              <w:t>42</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1E1F348B" w14:textId="7C681577" w:rsidR="003571AB" w:rsidRPr="00873941" w:rsidRDefault="00D00114" w:rsidP="0088158A">
            <w:pPr>
              <w:pStyle w:val="TableText0"/>
              <w:keepNext w:val="0"/>
              <w:jc w:val="center"/>
            </w:pPr>
            <w:r w:rsidRPr="00873941">
              <w:t>24</w:t>
            </w:r>
          </w:p>
        </w:tc>
        <w:tc>
          <w:tcPr>
            <w:tcW w:w="756" w:type="pct"/>
            <w:tcBorders>
              <w:top w:val="single" w:sz="4" w:space="0" w:color="auto"/>
              <w:left w:val="single" w:sz="4" w:space="0" w:color="auto"/>
              <w:bottom w:val="single" w:sz="4" w:space="0" w:color="auto"/>
              <w:right w:val="single" w:sz="4" w:space="0" w:color="auto"/>
            </w:tcBorders>
            <w:vAlign w:val="center"/>
          </w:tcPr>
          <w:p w14:paraId="2E2F7EA1" w14:textId="4829FC62" w:rsidR="003571AB" w:rsidRPr="00873941" w:rsidRDefault="00D00114" w:rsidP="0088158A">
            <w:pPr>
              <w:pStyle w:val="TableText0"/>
              <w:keepNext w:val="0"/>
              <w:jc w:val="center"/>
            </w:pPr>
            <w:r w:rsidRPr="00873941">
              <w:t>18 (8, 29)</w:t>
            </w:r>
          </w:p>
        </w:tc>
      </w:tr>
      <w:tr w:rsidR="003571AB" w:rsidRPr="00873941" w14:paraId="56BC0C6F" w14:textId="77777777" w:rsidTr="00630F61">
        <w:trPr>
          <w:cantSplit/>
        </w:trPr>
        <w:tc>
          <w:tcPr>
            <w:tcW w:w="5000" w:type="pct"/>
            <w:gridSpan w:val="8"/>
            <w:tcBorders>
              <w:top w:val="double" w:sz="4" w:space="0" w:color="auto"/>
              <w:left w:val="single" w:sz="4" w:space="0" w:color="auto"/>
              <w:bottom w:val="single" w:sz="4" w:space="0" w:color="auto"/>
              <w:right w:val="single" w:sz="4" w:space="0" w:color="auto"/>
            </w:tcBorders>
            <w:shd w:val="clear" w:color="auto" w:fill="auto"/>
            <w:vAlign w:val="center"/>
          </w:tcPr>
          <w:p w14:paraId="7AC445F0" w14:textId="34F13F81" w:rsidR="003571AB" w:rsidRPr="00873941" w:rsidRDefault="003571AB" w:rsidP="0088158A">
            <w:pPr>
              <w:pStyle w:val="In-tableHeading"/>
              <w:keepNext w:val="0"/>
              <w:rPr>
                <w:lang w:val="en-AU"/>
              </w:rPr>
            </w:pPr>
            <w:proofErr w:type="spellStart"/>
            <w:r w:rsidRPr="00873941">
              <w:rPr>
                <w:lang w:val="en-AU"/>
              </w:rPr>
              <w:t>tpCR</w:t>
            </w:r>
            <w:proofErr w:type="spellEnd"/>
          </w:p>
        </w:tc>
      </w:tr>
      <w:tr w:rsidR="003571AB" w:rsidRPr="00873941" w14:paraId="5A855CF7" w14:textId="77777777" w:rsidTr="009119B1">
        <w:trPr>
          <w:cantSplit/>
        </w:trPr>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0CF87674" w14:textId="07CD2543" w:rsidR="003571AB" w:rsidRPr="00873941" w:rsidRDefault="003571AB" w:rsidP="0088158A">
            <w:pPr>
              <w:pStyle w:val="TableText0"/>
              <w:keepNext w:val="0"/>
            </w:pPr>
            <w:r w:rsidRPr="00873941">
              <w:t>NEOSPHERE</w:t>
            </w:r>
          </w:p>
        </w:tc>
        <w:tc>
          <w:tcPr>
            <w:tcW w:w="631" w:type="pct"/>
            <w:tcBorders>
              <w:top w:val="single" w:sz="4" w:space="0" w:color="auto"/>
              <w:left w:val="single" w:sz="4" w:space="0" w:color="auto"/>
              <w:bottom w:val="single" w:sz="4" w:space="0" w:color="auto"/>
              <w:right w:val="single" w:sz="4" w:space="0" w:color="auto"/>
            </w:tcBorders>
            <w:vAlign w:val="center"/>
          </w:tcPr>
          <w:p w14:paraId="32E50839" w14:textId="2EFFEE55" w:rsidR="003571AB" w:rsidRPr="00873941" w:rsidRDefault="003571AB" w:rsidP="0088158A">
            <w:pPr>
              <w:pStyle w:val="TableText0"/>
              <w:keepNext w:val="0"/>
              <w:jc w:val="center"/>
            </w:pPr>
            <w:r w:rsidRPr="00873941">
              <w:t>42/107</w:t>
            </w:r>
          </w:p>
        </w:tc>
        <w:tc>
          <w:tcPr>
            <w:tcW w:w="629" w:type="pct"/>
            <w:tcBorders>
              <w:top w:val="single" w:sz="4" w:space="0" w:color="auto"/>
              <w:left w:val="single" w:sz="4" w:space="0" w:color="auto"/>
              <w:bottom w:val="single" w:sz="4" w:space="0" w:color="auto"/>
              <w:right w:val="single" w:sz="4" w:space="0" w:color="auto"/>
            </w:tcBorders>
            <w:vAlign w:val="center"/>
          </w:tcPr>
          <w:p w14:paraId="17794282" w14:textId="5C7021D0" w:rsidR="003571AB" w:rsidRPr="00873941" w:rsidRDefault="003571AB" w:rsidP="0088158A">
            <w:pPr>
              <w:pStyle w:val="TableText0"/>
              <w:keepNext w:val="0"/>
              <w:jc w:val="center"/>
            </w:pPr>
            <w:r w:rsidRPr="00873941">
              <w:t>23/107</w:t>
            </w:r>
          </w:p>
        </w:tc>
        <w:tc>
          <w:tcPr>
            <w:tcW w:w="786" w:type="pct"/>
            <w:tcBorders>
              <w:top w:val="single" w:sz="4" w:space="0" w:color="auto"/>
              <w:left w:val="single" w:sz="4" w:space="0" w:color="auto"/>
              <w:bottom w:val="single" w:sz="4" w:space="0" w:color="auto"/>
              <w:right w:val="single" w:sz="4" w:space="0" w:color="auto"/>
            </w:tcBorders>
            <w:vAlign w:val="center"/>
          </w:tcPr>
          <w:p w14:paraId="21F939DD" w14:textId="77BD5283" w:rsidR="003571AB" w:rsidRPr="00873941" w:rsidRDefault="005E5BB2" w:rsidP="0088158A">
            <w:pPr>
              <w:pStyle w:val="TableText0"/>
              <w:keepNext w:val="0"/>
              <w:jc w:val="center"/>
            </w:pPr>
            <w:r w:rsidRPr="00873941">
              <w:t>1.83 (1.18, 2.81)</w:t>
            </w:r>
          </w:p>
        </w:tc>
        <w:tc>
          <w:tcPr>
            <w:tcW w:w="550" w:type="pct"/>
            <w:tcBorders>
              <w:top w:val="single" w:sz="4" w:space="0" w:color="auto"/>
              <w:left w:val="single" w:sz="4" w:space="0" w:color="auto"/>
              <w:bottom w:val="single" w:sz="4" w:space="0" w:color="auto"/>
              <w:right w:val="single" w:sz="4" w:space="0" w:color="auto"/>
            </w:tcBorders>
            <w:vAlign w:val="center"/>
          </w:tcPr>
          <w:p w14:paraId="712D9572" w14:textId="7F6AD78B" w:rsidR="003571AB" w:rsidRPr="00873941" w:rsidRDefault="00D00114" w:rsidP="0088158A">
            <w:pPr>
              <w:pStyle w:val="TableText0"/>
              <w:keepNext w:val="0"/>
              <w:jc w:val="center"/>
            </w:pPr>
            <w:r w:rsidRPr="00873941">
              <w:t>39</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7CCB1F29" w14:textId="6818F4E6" w:rsidR="003571AB" w:rsidRPr="00873941" w:rsidRDefault="00D00114" w:rsidP="0088158A">
            <w:pPr>
              <w:pStyle w:val="TableText0"/>
              <w:keepNext w:val="0"/>
              <w:jc w:val="center"/>
            </w:pPr>
            <w:r w:rsidRPr="00873941">
              <w:t>21</w:t>
            </w:r>
          </w:p>
        </w:tc>
        <w:tc>
          <w:tcPr>
            <w:tcW w:w="756" w:type="pct"/>
            <w:tcBorders>
              <w:top w:val="single" w:sz="4" w:space="0" w:color="auto"/>
              <w:left w:val="single" w:sz="4" w:space="0" w:color="auto"/>
              <w:bottom w:val="single" w:sz="4" w:space="0" w:color="auto"/>
              <w:right w:val="single" w:sz="4" w:space="0" w:color="auto"/>
            </w:tcBorders>
            <w:vAlign w:val="center"/>
          </w:tcPr>
          <w:p w14:paraId="177765B4" w14:textId="39B3A634" w:rsidR="003571AB" w:rsidRPr="00873941" w:rsidRDefault="00EF38E5" w:rsidP="0088158A">
            <w:pPr>
              <w:pStyle w:val="TableText0"/>
              <w:keepNext w:val="0"/>
              <w:jc w:val="center"/>
            </w:pPr>
            <w:r w:rsidRPr="00873941">
              <w:t>18</w:t>
            </w:r>
            <w:r w:rsidR="00D00114" w:rsidRPr="00873941">
              <w:t xml:space="preserve"> (</w:t>
            </w:r>
            <w:r w:rsidRPr="00873941">
              <w:t>6</w:t>
            </w:r>
            <w:r w:rsidR="00D00114" w:rsidRPr="00873941">
              <w:t xml:space="preserve">, </w:t>
            </w:r>
            <w:r w:rsidRPr="00873941">
              <w:t>30</w:t>
            </w:r>
            <w:r w:rsidR="00D00114" w:rsidRPr="00873941">
              <w:t>)</w:t>
            </w:r>
          </w:p>
        </w:tc>
      </w:tr>
      <w:tr w:rsidR="003571AB" w:rsidRPr="00873941" w14:paraId="576BA904" w14:textId="77777777" w:rsidTr="009119B1">
        <w:trPr>
          <w:cantSplit/>
        </w:trPr>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49CB27D0" w14:textId="6A828793" w:rsidR="003571AB" w:rsidRPr="00873941" w:rsidRDefault="003571AB" w:rsidP="0088158A">
            <w:pPr>
              <w:pStyle w:val="TableText0"/>
              <w:keepNext w:val="0"/>
            </w:pPr>
            <w:r w:rsidRPr="00873941">
              <w:t>PEONY</w:t>
            </w:r>
          </w:p>
        </w:tc>
        <w:tc>
          <w:tcPr>
            <w:tcW w:w="631" w:type="pct"/>
            <w:tcBorders>
              <w:top w:val="single" w:sz="4" w:space="0" w:color="auto"/>
              <w:left w:val="single" w:sz="4" w:space="0" w:color="auto"/>
              <w:bottom w:val="single" w:sz="4" w:space="0" w:color="auto"/>
              <w:right w:val="single" w:sz="4" w:space="0" w:color="auto"/>
            </w:tcBorders>
            <w:vAlign w:val="center"/>
          </w:tcPr>
          <w:p w14:paraId="11C34562" w14:textId="38AB3E81" w:rsidR="003571AB" w:rsidRPr="00873941" w:rsidRDefault="003571AB" w:rsidP="0088158A">
            <w:pPr>
              <w:pStyle w:val="TableText0"/>
              <w:keepNext w:val="0"/>
              <w:jc w:val="center"/>
            </w:pPr>
            <w:r w:rsidRPr="00873941">
              <w:t>86/219</w:t>
            </w:r>
          </w:p>
        </w:tc>
        <w:tc>
          <w:tcPr>
            <w:tcW w:w="629" w:type="pct"/>
            <w:tcBorders>
              <w:top w:val="single" w:sz="4" w:space="0" w:color="auto"/>
              <w:left w:val="single" w:sz="4" w:space="0" w:color="auto"/>
              <w:bottom w:val="single" w:sz="4" w:space="0" w:color="auto"/>
              <w:right w:val="single" w:sz="4" w:space="0" w:color="auto"/>
            </w:tcBorders>
            <w:vAlign w:val="center"/>
          </w:tcPr>
          <w:p w14:paraId="0B498CE2" w14:textId="61632ECD" w:rsidR="003571AB" w:rsidRPr="00873941" w:rsidRDefault="003571AB" w:rsidP="0088158A">
            <w:pPr>
              <w:pStyle w:val="TableText0"/>
              <w:keepNext w:val="0"/>
              <w:jc w:val="center"/>
            </w:pPr>
            <w:r w:rsidRPr="00873941">
              <w:t>24/110</w:t>
            </w:r>
          </w:p>
        </w:tc>
        <w:tc>
          <w:tcPr>
            <w:tcW w:w="786" w:type="pct"/>
            <w:tcBorders>
              <w:top w:val="single" w:sz="4" w:space="0" w:color="auto"/>
              <w:left w:val="single" w:sz="4" w:space="0" w:color="auto"/>
              <w:bottom w:val="single" w:sz="4" w:space="0" w:color="auto"/>
              <w:right w:val="single" w:sz="4" w:space="0" w:color="auto"/>
            </w:tcBorders>
            <w:vAlign w:val="center"/>
          </w:tcPr>
          <w:p w14:paraId="1FAE6A22" w14:textId="6AF7CCCF" w:rsidR="003571AB" w:rsidRPr="00873941" w:rsidRDefault="005E5BB2" w:rsidP="0088158A">
            <w:pPr>
              <w:pStyle w:val="TableText0"/>
              <w:keepNext w:val="0"/>
              <w:jc w:val="center"/>
            </w:pPr>
            <w:r w:rsidRPr="00873941">
              <w:t>1.80 (1.22, 2.66)</w:t>
            </w:r>
          </w:p>
        </w:tc>
        <w:tc>
          <w:tcPr>
            <w:tcW w:w="550" w:type="pct"/>
            <w:tcBorders>
              <w:top w:val="single" w:sz="4" w:space="0" w:color="auto"/>
              <w:left w:val="single" w:sz="4" w:space="0" w:color="auto"/>
              <w:bottom w:val="single" w:sz="4" w:space="0" w:color="auto"/>
              <w:right w:val="single" w:sz="4" w:space="0" w:color="auto"/>
            </w:tcBorders>
            <w:vAlign w:val="center"/>
          </w:tcPr>
          <w:p w14:paraId="012A5E64" w14:textId="4E4E5161" w:rsidR="003571AB" w:rsidRPr="00873941" w:rsidRDefault="00D00114" w:rsidP="0088158A">
            <w:pPr>
              <w:pStyle w:val="TableText0"/>
              <w:keepNext w:val="0"/>
              <w:jc w:val="center"/>
            </w:pPr>
            <w:r w:rsidRPr="00873941">
              <w:t>39</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5173D31B" w14:textId="3A7A56E6" w:rsidR="003571AB" w:rsidRPr="00873941" w:rsidRDefault="00D00114" w:rsidP="0088158A">
            <w:pPr>
              <w:pStyle w:val="TableText0"/>
              <w:keepNext w:val="0"/>
              <w:jc w:val="center"/>
            </w:pPr>
            <w:r w:rsidRPr="00873941">
              <w:t>22</w:t>
            </w:r>
          </w:p>
        </w:tc>
        <w:tc>
          <w:tcPr>
            <w:tcW w:w="756" w:type="pct"/>
            <w:tcBorders>
              <w:top w:val="single" w:sz="4" w:space="0" w:color="auto"/>
              <w:left w:val="single" w:sz="4" w:space="0" w:color="auto"/>
              <w:bottom w:val="single" w:sz="4" w:space="0" w:color="auto"/>
              <w:right w:val="single" w:sz="4" w:space="0" w:color="auto"/>
            </w:tcBorders>
            <w:vAlign w:val="center"/>
          </w:tcPr>
          <w:p w14:paraId="6376962A" w14:textId="7C228599" w:rsidR="003571AB" w:rsidRPr="00873941" w:rsidRDefault="00EF38E5" w:rsidP="0088158A">
            <w:pPr>
              <w:pStyle w:val="TableText0"/>
              <w:keepNext w:val="0"/>
              <w:jc w:val="center"/>
            </w:pPr>
            <w:r w:rsidRPr="00873941">
              <w:t>17</w:t>
            </w:r>
            <w:r w:rsidR="00D00114" w:rsidRPr="00873941">
              <w:t xml:space="preserve"> (</w:t>
            </w:r>
            <w:r w:rsidRPr="00873941">
              <w:t>7</w:t>
            </w:r>
            <w:r w:rsidR="00D00114" w:rsidRPr="00873941">
              <w:t xml:space="preserve">, </w:t>
            </w:r>
            <w:r w:rsidRPr="00873941">
              <w:t>28</w:t>
            </w:r>
            <w:r w:rsidR="00D00114" w:rsidRPr="00873941">
              <w:t>)</w:t>
            </w:r>
          </w:p>
        </w:tc>
      </w:tr>
      <w:tr w:rsidR="003571AB" w:rsidRPr="00873941" w14:paraId="44B977B7" w14:textId="77777777" w:rsidTr="009119B1">
        <w:trPr>
          <w:cantSplit/>
        </w:trPr>
        <w:tc>
          <w:tcPr>
            <w:tcW w:w="1098" w:type="pct"/>
            <w:tcBorders>
              <w:top w:val="single" w:sz="4" w:space="0" w:color="auto"/>
              <w:left w:val="single" w:sz="4" w:space="0" w:color="auto"/>
              <w:bottom w:val="double" w:sz="4" w:space="0" w:color="auto"/>
              <w:right w:val="single" w:sz="4" w:space="0" w:color="auto"/>
            </w:tcBorders>
            <w:shd w:val="clear" w:color="auto" w:fill="auto"/>
            <w:vAlign w:val="center"/>
          </w:tcPr>
          <w:p w14:paraId="18650F06" w14:textId="5F9A7F62" w:rsidR="003571AB" w:rsidRPr="00873941" w:rsidRDefault="003571AB" w:rsidP="0088158A">
            <w:pPr>
              <w:pStyle w:val="TableText0"/>
              <w:keepNext w:val="0"/>
            </w:pPr>
            <w:r w:rsidRPr="00873941">
              <w:t xml:space="preserve">Meta-analysis of </w:t>
            </w:r>
            <w:r w:rsidR="00B973FB" w:rsidRPr="00873941">
              <w:t xml:space="preserve">I-SPY2 and 14 </w:t>
            </w:r>
            <w:r w:rsidRPr="00873941">
              <w:t>studies</w:t>
            </w:r>
            <w:r w:rsidR="00B973FB" w:rsidRPr="00873941">
              <w:t>, I</w:t>
            </w:r>
            <w:r w:rsidR="00B973FB" w:rsidRPr="00873941">
              <w:rPr>
                <w:vertAlign w:val="superscript"/>
              </w:rPr>
              <w:t>2</w:t>
            </w:r>
            <w:r w:rsidR="00B973FB" w:rsidRPr="00873941">
              <w:t>=31%</w:t>
            </w:r>
            <w:r w:rsidR="00B973FB" w:rsidRPr="00873941">
              <w:rPr>
                <w:vertAlign w:val="superscript"/>
              </w:rPr>
              <w:t>b</w:t>
            </w:r>
          </w:p>
        </w:tc>
        <w:tc>
          <w:tcPr>
            <w:tcW w:w="631" w:type="pct"/>
            <w:tcBorders>
              <w:top w:val="single" w:sz="4" w:space="0" w:color="auto"/>
              <w:left w:val="single" w:sz="4" w:space="0" w:color="auto"/>
              <w:bottom w:val="double" w:sz="4" w:space="0" w:color="auto"/>
              <w:right w:val="single" w:sz="4" w:space="0" w:color="auto"/>
            </w:tcBorders>
            <w:vAlign w:val="center"/>
          </w:tcPr>
          <w:p w14:paraId="77FE0EC0" w14:textId="3FC0ECE3" w:rsidR="003571AB" w:rsidRPr="00873941" w:rsidRDefault="003571AB" w:rsidP="0088158A">
            <w:pPr>
              <w:pStyle w:val="TableText0"/>
              <w:keepNext w:val="0"/>
              <w:jc w:val="center"/>
            </w:pPr>
            <w:r w:rsidRPr="00873941">
              <w:t>1622/2742</w:t>
            </w:r>
          </w:p>
        </w:tc>
        <w:tc>
          <w:tcPr>
            <w:tcW w:w="629" w:type="pct"/>
            <w:tcBorders>
              <w:top w:val="single" w:sz="4" w:space="0" w:color="auto"/>
              <w:left w:val="single" w:sz="4" w:space="0" w:color="auto"/>
              <w:bottom w:val="double" w:sz="4" w:space="0" w:color="auto"/>
              <w:right w:val="single" w:sz="4" w:space="0" w:color="auto"/>
            </w:tcBorders>
            <w:vAlign w:val="center"/>
          </w:tcPr>
          <w:p w14:paraId="6888D714" w14:textId="636CF449" w:rsidR="003571AB" w:rsidRPr="00873941" w:rsidRDefault="003571AB" w:rsidP="0088158A">
            <w:pPr>
              <w:pStyle w:val="TableText0"/>
              <w:keepNext w:val="0"/>
              <w:jc w:val="center"/>
            </w:pPr>
            <w:r w:rsidRPr="00873941">
              <w:t>1806/4218</w:t>
            </w:r>
          </w:p>
        </w:tc>
        <w:tc>
          <w:tcPr>
            <w:tcW w:w="786" w:type="pct"/>
            <w:tcBorders>
              <w:top w:val="single" w:sz="4" w:space="0" w:color="auto"/>
              <w:left w:val="single" w:sz="4" w:space="0" w:color="auto"/>
              <w:bottom w:val="double" w:sz="4" w:space="0" w:color="auto"/>
              <w:right w:val="single" w:sz="4" w:space="0" w:color="auto"/>
            </w:tcBorders>
            <w:vAlign w:val="center"/>
          </w:tcPr>
          <w:p w14:paraId="64B019DE" w14:textId="7BA4E723" w:rsidR="003571AB" w:rsidRPr="00873941" w:rsidRDefault="005E5BB2" w:rsidP="0088158A">
            <w:pPr>
              <w:pStyle w:val="TableText0"/>
              <w:keepNext w:val="0"/>
              <w:jc w:val="center"/>
            </w:pPr>
            <w:r w:rsidRPr="00873941">
              <w:t>1.38 (1.32, 1.45)</w:t>
            </w:r>
          </w:p>
        </w:tc>
        <w:tc>
          <w:tcPr>
            <w:tcW w:w="550" w:type="pct"/>
            <w:tcBorders>
              <w:top w:val="single" w:sz="4" w:space="0" w:color="auto"/>
              <w:left w:val="single" w:sz="4" w:space="0" w:color="auto"/>
              <w:bottom w:val="double" w:sz="4" w:space="0" w:color="auto"/>
              <w:right w:val="single" w:sz="4" w:space="0" w:color="auto"/>
            </w:tcBorders>
            <w:vAlign w:val="center"/>
          </w:tcPr>
          <w:p w14:paraId="52DD404D" w14:textId="438623D7" w:rsidR="003571AB" w:rsidRPr="00873941" w:rsidRDefault="00D00114" w:rsidP="0088158A">
            <w:pPr>
              <w:pStyle w:val="TableText0"/>
              <w:keepNext w:val="0"/>
              <w:jc w:val="center"/>
            </w:pPr>
            <w:r w:rsidRPr="00873941">
              <w:t>59</w:t>
            </w:r>
          </w:p>
        </w:tc>
        <w:tc>
          <w:tcPr>
            <w:tcW w:w="551" w:type="pct"/>
            <w:gridSpan w:val="2"/>
            <w:tcBorders>
              <w:top w:val="single" w:sz="4" w:space="0" w:color="auto"/>
              <w:left w:val="single" w:sz="4" w:space="0" w:color="auto"/>
              <w:bottom w:val="double" w:sz="4" w:space="0" w:color="auto"/>
              <w:right w:val="single" w:sz="4" w:space="0" w:color="auto"/>
            </w:tcBorders>
            <w:vAlign w:val="center"/>
          </w:tcPr>
          <w:p w14:paraId="0CF89DF9" w14:textId="67764082" w:rsidR="003571AB" w:rsidRPr="00873941" w:rsidRDefault="00D00114" w:rsidP="0088158A">
            <w:pPr>
              <w:pStyle w:val="TableText0"/>
              <w:keepNext w:val="0"/>
              <w:jc w:val="center"/>
            </w:pPr>
            <w:r w:rsidRPr="00873941">
              <w:t>43</w:t>
            </w:r>
          </w:p>
        </w:tc>
        <w:tc>
          <w:tcPr>
            <w:tcW w:w="756" w:type="pct"/>
            <w:tcBorders>
              <w:top w:val="single" w:sz="4" w:space="0" w:color="auto"/>
              <w:left w:val="single" w:sz="4" w:space="0" w:color="auto"/>
              <w:bottom w:val="double" w:sz="4" w:space="0" w:color="auto"/>
              <w:right w:val="single" w:sz="4" w:space="0" w:color="auto"/>
            </w:tcBorders>
            <w:vAlign w:val="center"/>
          </w:tcPr>
          <w:p w14:paraId="38D0FE53" w14:textId="1402586A" w:rsidR="003571AB" w:rsidRPr="00873941" w:rsidRDefault="00EF38E5" w:rsidP="0088158A">
            <w:pPr>
              <w:pStyle w:val="TableText0"/>
              <w:keepNext w:val="0"/>
              <w:jc w:val="center"/>
            </w:pPr>
            <w:r w:rsidRPr="00873941">
              <w:t>16</w:t>
            </w:r>
            <w:r w:rsidR="00D00114" w:rsidRPr="00873941">
              <w:t xml:space="preserve"> (</w:t>
            </w:r>
            <w:r w:rsidRPr="00873941">
              <w:t>14</w:t>
            </w:r>
            <w:r w:rsidR="00D00114" w:rsidRPr="00873941">
              <w:t xml:space="preserve">, </w:t>
            </w:r>
            <w:r w:rsidRPr="00873941">
              <w:t>19</w:t>
            </w:r>
            <w:r w:rsidR="00D00114" w:rsidRPr="00873941">
              <w:t>)</w:t>
            </w:r>
          </w:p>
        </w:tc>
      </w:tr>
    </w:tbl>
    <w:tbl>
      <w:tblPr>
        <w:tblStyle w:val="TableGrid"/>
        <w:tblW w:w="5000" w:type="pct"/>
        <w:tblLayout w:type="fixed"/>
        <w:tblCellMar>
          <w:left w:w="28" w:type="dxa"/>
          <w:right w:w="28" w:type="dxa"/>
        </w:tblCellMar>
        <w:tblLook w:val="04A0" w:firstRow="1" w:lastRow="0" w:firstColumn="1" w:lastColumn="0" w:noHBand="0" w:noVBand="1"/>
      </w:tblPr>
      <w:tblGrid>
        <w:gridCol w:w="2973"/>
        <w:gridCol w:w="1417"/>
        <w:gridCol w:w="1275"/>
        <w:gridCol w:w="1767"/>
        <w:gridCol w:w="1585"/>
      </w:tblGrid>
      <w:tr w:rsidR="00330DAA" w:rsidRPr="00873941" w14:paraId="4E7107CF" w14:textId="77777777" w:rsidTr="006B35E6">
        <w:trPr>
          <w:trHeight w:val="20"/>
        </w:trPr>
        <w:tc>
          <w:tcPr>
            <w:tcW w:w="5000" w:type="pct"/>
            <w:gridSpan w:val="5"/>
            <w:shd w:val="clear" w:color="auto" w:fill="auto"/>
          </w:tcPr>
          <w:p w14:paraId="20C2061B" w14:textId="2D17BB7C" w:rsidR="00330DAA" w:rsidRPr="00873941" w:rsidRDefault="00330DAA" w:rsidP="0088158A">
            <w:pPr>
              <w:pStyle w:val="In-tableHeading"/>
              <w:keepNext w:val="0"/>
              <w:rPr>
                <w:lang w:val="en-AU"/>
              </w:rPr>
            </w:pPr>
            <w:r w:rsidRPr="00873941">
              <w:rPr>
                <w:lang w:val="en-AU"/>
              </w:rPr>
              <w:t xml:space="preserve">Progression free survival (median duration of follow up </w:t>
            </w:r>
            <w:r w:rsidR="008143EE" w:rsidRPr="00873941">
              <w:rPr>
                <w:lang w:val="en-AU"/>
              </w:rPr>
              <w:t>60</w:t>
            </w:r>
            <w:r w:rsidRPr="00873941">
              <w:rPr>
                <w:lang w:val="en-AU"/>
              </w:rPr>
              <w:t xml:space="preserve"> months)</w:t>
            </w:r>
          </w:p>
        </w:tc>
      </w:tr>
      <w:tr w:rsidR="00330DAA" w:rsidRPr="00873941" w14:paraId="3B443B0E" w14:textId="77777777" w:rsidTr="009119B1">
        <w:trPr>
          <w:trHeight w:val="20"/>
        </w:trPr>
        <w:tc>
          <w:tcPr>
            <w:tcW w:w="1648" w:type="pct"/>
            <w:tcBorders>
              <w:bottom w:val="single" w:sz="4" w:space="0" w:color="auto"/>
            </w:tcBorders>
            <w:shd w:val="clear" w:color="auto" w:fill="auto"/>
          </w:tcPr>
          <w:p w14:paraId="61456D69" w14:textId="2231C632" w:rsidR="00330DAA" w:rsidRPr="00873941" w:rsidRDefault="00330DAA" w:rsidP="0088158A">
            <w:pPr>
              <w:pStyle w:val="In-tableHeading"/>
              <w:keepNext w:val="0"/>
              <w:rPr>
                <w:b w:val="0"/>
                <w:bCs/>
                <w:lang w:val="en-AU"/>
              </w:rPr>
            </w:pPr>
          </w:p>
        </w:tc>
        <w:tc>
          <w:tcPr>
            <w:tcW w:w="786" w:type="pct"/>
            <w:tcBorders>
              <w:bottom w:val="single" w:sz="4" w:space="0" w:color="auto"/>
            </w:tcBorders>
            <w:shd w:val="clear" w:color="auto" w:fill="auto"/>
          </w:tcPr>
          <w:p w14:paraId="3F832D7C" w14:textId="600F7C31" w:rsidR="00330DAA" w:rsidRPr="00873941" w:rsidRDefault="000369EF" w:rsidP="0088158A">
            <w:pPr>
              <w:pStyle w:val="In-tableHeading"/>
              <w:keepNext w:val="0"/>
              <w:rPr>
                <w:lang w:val="en-AU"/>
              </w:rPr>
            </w:pPr>
            <w:proofErr w:type="spellStart"/>
            <w:r w:rsidRPr="00873941">
              <w:rPr>
                <w:lang w:val="en-AU"/>
              </w:rPr>
              <w:t>P+T+Chemo</w:t>
            </w:r>
            <w:proofErr w:type="spellEnd"/>
          </w:p>
        </w:tc>
        <w:tc>
          <w:tcPr>
            <w:tcW w:w="707" w:type="pct"/>
            <w:tcBorders>
              <w:bottom w:val="single" w:sz="4" w:space="0" w:color="auto"/>
            </w:tcBorders>
            <w:shd w:val="clear" w:color="auto" w:fill="auto"/>
          </w:tcPr>
          <w:p w14:paraId="2674CDCF" w14:textId="50DF0748" w:rsidR="00330DAA" w:rsidRPr="00873941" w:rsidRDefault="000369EF" w:rsidP="0088158A">
            <w:pPr>
              <w:pStyle w:val="In-tableHeading"/>
              <w:keepNext w:val="0"/>
              <w:rPr>
                <w:lang w:val="en-AU"/>
              </w:rPr>
            </w:pPr>
            <w:proofErr w:type="spellStart"/>
            <w:r w:rsidRPr="00873941">
              <w:rPr>
                <w:lang w:val="en-AU"/>
              </w:rPr>
              <w:t>T+Chemo</w:t>
            </w:r>
            <w:proofErr w:type="spellEnd"/>
          </w:p>
        </w:tc>
        <w:tc>
          <w:tcPr>
            <w:tcW w:w="980" w:type="pct"/>
            <w:tcBorders>
              <w:bottom w:val="single" w:sz="4" w:space="0" w:color="auto"/>
            </w:tcBorders>
            <w:shd w:val="clear" w:color="auto" w:fill="auto"/>
          </w:tcPr>
          <w:p w14:paraId="6A0836EB" w14:textId="77777777" w:rsidR="00330DAA" w:rsidRPr="00873941" w:rsidRDefault="00330DAA" w:rsidP="0088158A">
            <w:pPr>
              <w:pStyle w:val="In-tableHeading"/>
              <w:keepNext w:val="0"/>
              <w:rPr>
                <w:lang w:val="en-AU"/>
              </w:rPr>
            </w:pPr>
            <w:r w:rsidRPr="00873941">
              <w:rPr>
                <w:lang w:val="en-AU"/>
              </w:rPr>
              <w:t>Absolute Difference</w:t>
            </w:r>
          </w:p>
        </w:tc>
        <w:tc>
          <w:tcPr>
            <w:tcW w:w="879" w:type="pct"/>
            <w:tcBorders>
              <w:bottom w:val="single" w:sz="4" w:space="0" w:color="auto"/>
            </w:tcBorders>
            <w:shd w:val="clear" w:color="auto" w:fill="auto"/>
          </w:tcPr>
          <w:p w14:paraId="582FC277" w14:textId="77777777" w:rsidR="00330DAA" w:rsidRPr="00873941" w:rsidRDefault="00330DAA" w:rsidP="0088158A">
            <w:pPr>
              <w:pStyle w:val="In-tableHeading"/>
              <w:keepNext w:val="0"/>
              <w:rPr>
                <w:lang w:val="en-AU"/>
              </w:rPr>
            </w:pPr>
            <w:r w:rsidRPr="00873941">
              <w:rPr>
                <w:lang w:val="en-AU"/>
              </w:rPr>
              <w:t>HR (95% CI)</w:t>
            </w:r>
          </w:p>
        </w:tc>
      </w:tr>
      <w:tr w:rsidR="000369EF" w:rsidRPr="00873941" w14:paraId="29481E2C" w14:textId="77777777" w:rsidTr="000369EF">
        <w:trPr>
          <w:trHeight w:val="20"/>
        </w:trPr>
        <w:tc>
          <w:tcPr>
            <w:tcW w:w="5000" w:type="pct"/>
            <w:gridSpan w:val="5"/>
            <w:tcBorders>
              <w:bottom w:val="single" w:sz="4" w:space="0" w:color="auto"/>
            </w:tcBorders>
            <w:shd w:val="clear" w:color="auto" w:fill="auto"/>
          </w:tcPr>
          <w:p w14:paraId="3270B7CE" w14:textId="6A711DEE" w:rsidR="000369EF" w:rsidRPr="00873941" w:rsidRDefault="000369EF" w:rsidP="0088158A">
            <w:pPr>
              <w:pStyle w:val="In-tableHeading"/>
              <w:keepNext w:val="0"/>
              <w:rPr>
                <w:lang w:val="en-AU"/>
              </w:rPr>
            </w:pPr>
            <w:r w:rsidRPr="00873941">
              <w:rPr>
                <w:lang w:val="en-AU"/>
              </w:rPr>
              <w:t>NEOSPHERE</w:t>
            </w:r>
          </w:p>
        </w:tc>
      </w:tr>
      <w:tr w:rsidR="00870171" w:rsidRPr="00873941" w14:paraId="08E642EF" w14:textId="77777777" w:rsidTr="009119B1">
        <w:trPr>
          <w:trHeight w:val="20"/>
        </w:trPr>
        <w:tc>
          <w:tcPr>
            <w:tcW w:w="1648" w:type="pct"/>
            <w:tcBorders>
              <w:bottom w:val="single" w:sz="4" w:space="0" w:color="auto"/>
              <w:right w:val="single" w:sz="4" w:space="0" w:color="auto"/>
            </w:tcBorders>
            <w:shd w:val="clear" w:color="auto" w:fill="auto"/>
          </w:tcPr>
          <w:p w14:paraId="439A4A2C" w14:textId="77777777" w:rsidR="00870171" w:rsidRPr="00873941" w:rsidRDefault="00870171" w:rsidP="0088158A">
            <w:pPr>
              <w:pStyle w:val="TableText0"/>
              <w:keepNext w:val="0"/>
              <w:widowControl w:val="0"/>
            </w:pPr>
            <w:r w:rsidRPr="00873941">
              <w:t>Progressed, n (%)</w:t>
            </w:r>
          </w:p>
        </w:tc>
        <w:tc>
          <w:tcPr>
            <w:tcW w:w="786" w:type="pct"/>
            <w:tcBorders>
              <w:left w:val="single" w:sz="4" w:space="0" w:color="auto"/>
              <w:bottom w:val="single" w:sz="4" w:space="0" w:color="auto"/>
              <w:right w:val="single" w:sz="4" w:space="0" w:color="auto"/>
            </w:tcBorders>
            <w:shd w:val="clear" w:color="auto" w:fill="auto"/>
          </w:tcPr>
          <w:p w14:paraId="111C5BC5" w14:textId="41DE26D8" w:rsidR="00870171" w:rsidRPr="00873941" w:rsidRDefault="00870171" w:rsidP="0088158A">
            <w:pPr>
              <w:pStyle w:val="TableText0"/>
              <w:keepNext w:val="0"/>
              <w:widowControl w:val="0"/>
              <w:jc w:val="center"/>
            </w:pPr>
            <w:r w:rsidRPr="00873941">
              <w:rPr>
                <w:rFonts w:cs="Times New Roman"/>
                <w:szCs w:val="20"/>
              </w:rPr>
              <w:t>17/107 (15.9)</w:t>
            </w:r>
          </w:p>
        </w:tc>
        <w:tc>
          <w:tcPr>
            <w:tcW w:w="707" w:type="pct"/>
            <w:tcBorders>
              <w:left w:val="single" w:sz="4" w:space="0" w:color="auto"/>
              <w:bottom w:val="single" w:sz="4" w:space="0" w:color="auto"/>
              <w:right w:val="single" w:sz="4" w:space="0" w:color="auto"/>
            </w:tcBorders>
            <w:shd w:val="clear" w:color="auto" w:fill="auto"/>
          </w:tcPr>
          <w:p w14:paraId="07F9499F" w14:textId="258FC5F0" w:rsidR="00870171" w:rsidRPr="00873941" w:rsidRDefault="00870171" w:rsidP="0088158A">
            <w:pPr>
              <w:pStyle w:val="TableText0"/>
              <w:keepNext w:val="0"/>
              <w:widowControl w:val="0"/>
              <w:jc w:val="center"/>
            </w:pPr>
            <w:r w:rsidRPr="00873941">
              <w:rPr>
                <w:rFonts w:cs="Times New Roman"/>
                <w:szCs w:val="20"/>
              </w:rPr>
              <w:t>19/107 (17.8)</w:t>
            </w:r>
          </w:p>
        </w:tc>
        <w:tc>
          <w:tcPr>
            <w:tcW w:w="980" w:type="pct"/>
            <w:tcBorders>
              <w:left w:val="single" w:sz="4" w:space="0" w:color="auto"/>
              <w:bottom w:val="single" w:sz="4" w:space="0" w:color="auto"/>
              <w:right w:val="single" w:sz="4" w:space="0" w:color="auto"/>
            </w:tcBorders>
            <w:shd w:val="clear" w:color="auto" w:fill="auto"/>
          </w:tcPr>
          <w:p w14:paraId="0189FCF5" w14:textId="50D0F59C" w:rsidR="00870171" w:rsidRPr="00873941" w:rsidRDefault="00870171" w:rsidP="0088158A">
            <w:pPr>
              <w:pStyle w:val="TableText0"/>
              <w:keepNext w:val="0"/>
              <w:widowControl w:val="0"/>
              <w:jc w:val="center"/>
              <w:rPr>
                <w:color w:val="0070C0"/>
              </w:rPr>
            </w:pPr>
            <w:r w:rsidRPr="00873941">
              <w:t>-</w:t>
            </w:r>
          </w:p>
        </w:tc>
        <w:tc>
          <w:tcPr>
            <w:tcW w:w="879" w:type="pct"/>
            <w:vMerge w:val="restart"/>
            <w:tcBorders>
              <w:left w:val="single" w:sz="4" w:space="0" w:color="auto"/>
            </w:tcBorders>
            <w:shd w:val="clear" w:color="auto" w:fill="auto"/>
          </w:tcPr>
          <w:p w14:paraId="25B9EC37" w14:textId="63AB719A" w:rsidR="00870171" w:rsidRPr="00873941" w:rsidRDefault="00870171" w:rsidP="0088158A">
            <w:pPr>
              <w:pStyle w:val="TableText0"/>
              <w:keepNext w:val="0"/>
              <w:widowControl w:val="0"/>
              <w:jc w:val="center"/>
              <w:rPr>
                <w:szCs w:val="20"/>
              </w:rPr>
            </w:pPr>
            <w:r w:rsidRPr="00873941">
              <w:rPr>
                <w:szCs w:val="20"/>
              </w:rPr>
              <w:t>0.69 (0.34, 1.40)</w:t>
            </w:r>
          </w:p>
          <w:p w14:paraId="68A7D012" w14:textId="2160CF74" w:rsidR="00870171" w:rsidRPr="00873941" w:rsidRDefault="00870171" w:rsidP="0088158A">
            <w:pPr>
              <w:pStyle w:val="TableText0"/>
              <w:keepNext w:val="0"/>
              <w:widowControl w:val="0"/>
              <w:jc w:val="center"/>
            </w:pPr>
            <w:r w:rsidRPr="00873941">
              <w:rPr>
                <w:szCs w:val="20"/>
              </w:rPr>
              <w:t>p=0.298</w:t>
            </w:r>
          </w:p>
        </w:tc>
      </w:tr>
      <w:tr w:rsidR="00870171" w:rsidRPr="00873941" w14:paraId="44C0ABBC" w14:textId="77777777" w:rsidTr="009119B1">
        <w:trPr>
          <w:trHeight w:val="20"/>
        </w:trPr>
        <w:tc>
          <w:tcPr>
            <w:tcW w:w="1648" w:type="pct"/>
            <w:tcBorders>
              <w:bottom w:val="single" w:sz="4" w:space="0" w:color="auto"/>
              <w:right w:val="single" w:sz="4" w:space="0" w:color="auto"/>
            </w:tcBorders>
            <w:shd w:val="clear" w:color="auto" w:fill="auto"/>
          </w:tcPr>
          <w:p w14:paraId="04A27457" w14:textId="0CAAC803" w:rsidR="00870171" w:rsidRPr="00873941" w:rsidRDefault="00870171" w:rsidP="0088158A">
            <w:pPr>
              <w:pStyle w:val="TableText0"/>
              <w:keepNext w:val="0"/>
              <w:widowControl w:val="0"/>
            </w:pPr>
            <w:r w:rsidRPr="00873941">
              <w:t>Median PFS, months (95% CI)</w:t>
            </w:r>
          </w:p>
        </w:tc>
        <w:tc>
          <w:tcPr>
            <w:tcW w:w="786" w:type="pct"/>
            <w:tcBorders>
              <w:left w:val="single" w:sz="4" w:space="0" w:color="auto"/>
              <w:bottom w:val="single" w:sz="4" w:space="0" w:color="auto"/>
              <w:right w:val="single" w:sz="4" w:space="0" w:color="auto"/>
            </w:tcBorders>
            <w:shd w:val="clear" w:color="auto" w:fill="auto"/>
          </w:tcPr>
          <w:p w14:paraId="6755D2D8" w14:textId="51224F06" w:rsidR="00870171" w:rsidRPr="00873941" w:rsidRDefault="00870171" w:rsidP="0088158A">
            <w:pPr>
              <w:pStyle w:val="TableText0"/>
              <w:keepNext w:val="0"/>
              <w:widowControl w:val="0"/>
              <w:jc w:val="center"/>
              <w:rPr>
                <w:rFonts w:cs="Times New Roman"/>
                <w:szCs w:val="20"/>
              </w:rPr>
            </w:pPr>
            <w:r w:rsidRPr="00873941">
              <w:rPr>
                <w:rFonts w:cs="Times New Roman"/>
                <w:szCs w:val="20"/>
              </w:rPr>
              <w:t>Not reached</w:t>
            </w:r>
          </w:p>
        </w:tc>
        <w:tc>
          <w:tcPr>
            <w:tcW w:w="707" w:type="pct"/>
            <w:tcBorders>
              <w:left w:val="single" w:sz="4" w:space="0" w:color="auto"/>
              <w:bottom w:val="single" w:sz="4" w:space="0" w:color="auto"/>
              <w:right w:val="single" w:sz="4" w:space="0" w:color="auto"/>
            </w:tcBorders>
            <w:shd w:val="clear" w:color="auto" w:fill="auto"/>
          </w:tcPr>
          <w:p w14:paraId="62868CDF" w14:textId="4B2D382C" w:rsidR="00870171" w:rsidRPr="00873941" w:rsidRDefault="00870171" w:rsidP="0088158A">
            <w:pPr>
              <w:pStyle w:val="TableText0"/>
              <w:keepNext w:val="0"/>
              <w:widowControl w:val="0"/>
              <w:jc w:val="center"/>
              <w:rPr>
                <w:rFonts w:cs="Times New Roman"/>
                <w:szCs w:val="20"/>
              </w:rPr>
            </w:pPr>
            <w:r w:rsidRPr="00873941">
              <w:rPr>
                <w:rFonts w:cs="Times New Roman"/>
                <w:szCs w:val="20"/>
              </w:rPr>
              <w:t>Not reached</w:t>
            </w:r>
          </w:p>
        </w:tc>
        <w:tc>
          <w:tcPr>
            <w:tcW w:w="980" w:type="pct"/>
            <w:tcBorders>
              <w:left w:val="single" w:sz="4" w:space="0" w:color="auto"/>
              <w:bottom w:val="single" w:sz="4" w:space="0" w:color="auto"/>
              <w:right w:val="single" w:sz="4" w:space="0" w:color="auto"/>
            </w:tcBorders>
            <w:shd w:val="clear" w:color="auto" w:fill="auto"/>
          </w:tcPr>
          <w:p w14:paraId="5ED73022" w14:textId="0162AEFF" w:rsidR="00870171" w:rsidRPr="00873941" w:rsidRDefault="00870171" w:rsidP="0088158A">
            <w:pPr>
              <w:pStyle w:val="TableText0"/>
              <w:keepNext w:val="0"/>
              <w:widowControl w:val="0"/>
              <w:jc w:val="center"/>
            </w:pPr>
            <w:r w:rsidRPr="00873941">
              <w:t>Not estimable</w:t>
            </w:r>
          </w:p>
        </w:tc>
        <w:tc>
          <w:tcPr>
            <w:tcW w:w="879" w:type="pct"/>
            <w:vMerge/>
            <w:tcBorders>
              <w:left w:val="single" w:sz="4" w:space="0" w:color="auto"/>
            </w:tcBorders>
            <w:shd w:val="clear" w:color="auto" w:fill="auto"/>
          </w:tcPr>
          <w:p w14:paraId="005E827D" w14:textId="77777777" w:rsidR="00870171" w:rsidRPr="00873941" w:rsidRDefault="00870171" w:rsidP="0088158A">
            <w:pPr>
              <w:pStyle w:val="TableText0"/>
              <w:keepNext w:val="0"/>
              <w:widowControl w:val="0"/>
              <w:jc w:val="center"/>
              <w:rPr>
                <w:szCs w:val="20"/>
              </w:rPr>
            </w:pPr>
          </w:p>
        </w:tc>
      </w:tr>
      <w:tr w:rsidR="00870171" w:rsidRPr="00873941" w14:paraId="4B810321" w14:textId="77777777" w:rsidTr="009119B1">
        <w:trPr>
          <w:trHeight w:val="20"/>
        </w:trPr>
        <w:tc>
          <w:tcPr>
            <w:tcW w:w="1648" w:type="pct"/>
            <w:tcBorders>
              <w:top w:val="single" w:sz="4" w:space="0" w:color="auto"/>
              <w:bottom w:val="single" w:sz="4" w:space="0" w:color="auto"/>
              <w:right w:val="single" w:sz="4" w:space="0" w:color="auto"/>
            </w:tcBorders>
            <w:shd w:val="clear" w:color="auto" w:fill="auto"/>
          </w:tcPr>
          <w:p w14:paraId="2E89193A" w14:textId="4B68E1C7" w:rsidR="00870171" w:rsidRPr="00873941" w:rsidRDefault="00870171" w:rsidP="0088158A">
            <w:pPr>
              <w:pStyle w:val="TableText0"/>
              <w:keepNext w:val="0"/>
              <w:widowControl w:val="0"/>
            </w:pPr>
            <w:r w:rsidRPr="00873941">
              <w:t>% not progressed at 1 year (95% CI)</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5C998456" w14:textId="7D546055" w:rsidR="00870171" w:rsidRPr="00873941" w:rsidRDefault="00870171" w:rsidP="0088158A">
            <w:pPr>
              <w:pStyle w:val="TableText0"/>
              <w:keepNext w:val="0"/>
              <w:widowControl w:val="0"/>
              <w:jc w:val="center"/>
            </w:pPr>
            <w:r w:rsidRPr="00873941">
              <w:rPr>
                <w:szCs w:val="20"/>
              </w:rPr>
              <w:t>96% (92, 100)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876AEE9" w14:textId="6BE85B39" w:rsidR="00870171" w:rsidRPr="00873941" w:rsidRDefault="00870171" w:rsidP="0088158A">
            <w:pPr>
              <w:pStyle w:val="TableText0"/>
              <w:keepNext w:val="0"/>
              <w:widowControl w:val="0"/>
              <w:jc w:val="center"/>
              <w:rPr>
                <w:szCs w:val="20"/>
              </w:rPr>
            </w:pPr>
            <w:r w:rsidRPr="00873941">
              <w:rPr>
                <w:szCs w:val="20"/>
              </w:rPr>
              <w:t>98% (95, 100)</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4C20E80D" w14:textId="4AB098E9" w:rsidR="00870171" w:rsidRPr="00873941" w:rsidRDefault="00870171" w:rsidP="0088158A">
            <w:pPr>
              <w:pStyle w:val="TableText0"/>
              <w:keepNext w:val="0"/>
              <w:widowControl w:val="0"/>
              <w:jc w:val="center"/>
            </w:pPr>
            <w:r w:rsidRPr="00873941">
              <w:t>-2%</w:t>
            </w:r>
          </w:p>
        </w:tc>
        <w:tc>
          <w:tcPr>
            <w:tcW w:w="879" w:type="pct"/>
            <w:vMerge/>
            <w:tcBorders>
              <w:left w:val="single" w:sz="4" w:space="0" w:color="auto"/>
            </w:tcBorders>
            <w:shd w:val="clear" w:color="auto" w:fill="auto"/>
          </w:tcPr>
          <w:p w14:paraId="25731889" w14:textId="77777777" w:rsidR="00870171" w:rsidRPr="00873941" w:rsidRDefault="00870171" w:rsidP="0088158A">
            <w:pPr>
              <w:pStyle w:val="TableText0"/>
              <w:keepNext w:val="0"/>
              <w:widowControl w:val="0"/>
              <w:jc w:val="center"/>
            </w:pPr>
          </w:p>
        </w:tc>
      </w:tr>
      <w:tr w:rsidR="00870171" w:rsidRPr="00873941" w14:paraId="51F81A24" w14:textId="77777777" w:rsidTr="009119B1">
        <w:trPr>
          <w:trHeight w:val="20"/>
        </w:trPr>
        <w:tc>
          <w:tcPr>
            <w:tcW w:w="1648" w:type="pct"/>
            <w:tcBorders>
              <w:top w:val="single" w:sz="4" w:space="0" w:color="auto"/>
              <w:bottom w:val="single" w:sz="4" w:space="0" w:color="auto"/>
              <w:right w:val="single" w:sz="4" w:space="0" w:color="auto"/>
            </w:tcBorders>
            <w:shd w:val="clear" w:color="auto" w:fill="auto"/>
          </w:tcPr>
          <w:p w14:paraId="2F61EE25" w14:textId="4208A01E" w:rsidR="00870171" w:rsidRPr="00873941" w:rsidRDefault="00870171" w:rsidP="0088158A">
            <w:pPr>
              <w:pStyle w:val="TableText0"/>
              <w:keepNext w:val="0"/>
              <w:widowControl w:val="0"/>
            </w:pPr>
            <w:r w:rsidRPr="00873941">
              <w:t>% not progressed at 5 years (95% CI)</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5AF9BD28" w14:textId="747F3D03" w:rsidR="00870171" w:rsidRPr="00873941" w:rsidRDefault="00870171" w:rsidP="0088158A">
            <w:pPr>
              <w:pStyle w:val="TableText0"/>
              <w:keepNext w:val="0"/>
              <w:widowControl w:val="0"/>
              <w:jc w:val="center"/>
              <w:rPr>
                <w:szCs w:val="20"/>
              </w:rPr>
            </w:pPr>
            <w:r w:rsidRPr="00873941">
              <w:rPr>
                <w:szCs w:val="20"/>
              </w:rPr>
              <w:t>86% (77, 91)</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9DA9ED1" w14:textId="3B35BF67" w:rsidR="00870171" w:rsidRPr="00873941" w:rsidRDefault="00870171" w:rsidP="0088158A">
            <w:pPr>
              <w:pStyle w:val="TableText0"/>
              <w:keepNext w:val="0"/>
              <w:widowControl w:val="0"/>
              <w:jc w:val="center"/>
              <w:rPr>
                <w:szCs w:val="20"/>
              </w:rPr>
            </w:pPr>
            <w:r w:rsidRPr="00873941">
              <w:rPr>
                <w:szCs w:val="20"/>
              </w:rPr>
              <w:t>81 (71, 87)</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130B985D" w14:textId="60A5CDBB" w:rsidR="00870171" w:rsidRPr="00873941" w:rsidRDefault="00870171" w:rsidP="0088158A">
            <w:pPr>
              <w:pStyle w:val="TableText0"/>
              <w:keepNext w:val="0"/>
              <w:widowControl w:val="0"/>
              <w:jc w:val="center"/>
              <w:rPr>
                <w:rFonts w:cs="Times New Roman"/>
                <w:szCs w:val="20"/>
              </w:rPr>
            </w:pPr>
            <w:r w:rsidRPr="00873941">
              <w:rPr>
                <w:rFonts w:cs="Times New Roman"/>
                <w:szCs w:val="20"/>
              </w:rPr>
              <w:t>5%</w:t>
            </w:r>
          </w:p>
        </w:tc>
        <w:tc>
          <w:tcPr>
            <w:tcW w:w="879" w:type="pct"/>
            <w:vMerge/>
            <w:tcBorders>
              <w:left w:val="single" w:sz="4" w:space="0" w:color="auto"/>
              <w:bottom w:val="single" w:sz="4" w:space="0" w:color="auto"/>
            </w:tcBorders>
            <w:shd w:val="clear" w:color="auto" w:fill="auto"/>
          </w:tcPr>
          <w:p w14:paraId="3EE0D27F" w14:textId="77777777" w:rsidR="00870171" w:rsidRPr="00873941" w:rsidRDefault="00870171" w:rsidP="0088158A">
            <w:pPr>
              <w:pStyle w:val="TableText0"/>
              <w:keepNext w:val="0"/>
              <w:widowControl w:val="0"/>
              <w:jc w:val="center"/>
            </w:pPr>
          </w:p>
        </w:tc>
      </w:tr>
      <w:tr w:rsidR="00330DAA" w:rsidRPr="00873941" w14:paraId="16363430" w14:textId="77777777" w:rsidTr="006B35E6">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60FC646" w14:textId="28E53CDC" w:rsidR="00330DAA" w:rsidRPr="00873941" w:rsidRDefault="0002298D" w:rsidP="0088158A">
            <w:pPr>
              <w:pStyle w:val="In-tableHeading"/>
              <w:keepNext w:val="0"/>
              <w:rPr>
                <w:lang w:val="en-AU"/>
              </w:rPr>
            </w:pPr>
            <w:r w:rsidRPr="00873941">
              <w:rPr>
                <w:lang w:val="en-AU"/>
              </w:rPr>
              <w:t xml:space="preserve">Disease free </w:t>
            </w:r>
            <w:r w:rsidR="00330DAA" w:rsidRPr="00873941">
              <w:rPr>
                <w:lang w:val="en-AU"/>
              </w:rPr>
              <w:t xml:space="preserve">survival (median duration of follow up </w:t>
            </w:r>
            <w:r w:rsidR="008143EE" w:rsidRPr="00873941">
              <w:rPr>
                <w:lang w:val="en-AU"/>
              </w:rPr>
              <w:t>60</w:t>
            </w:r>
            <w:r w:rsidR="00330DAA" w:rsidRPr="00873941">
              <w:rPr>
                <w:lang w:val="en-AU"/>
              </w:rPr>
              <w:t xml:space="preserve"> months)</w:t>
            </w:r>
          </w:p>
        </w:tc>
      </w:tr>
      <w:tr w:rsidR="0002298D" w:rsidRPr="00873941" w14:paraId="4153E457" w14:textId="77777777" w:rsidTr="0002298D">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9C5B8EB" w14:textId="7B40D3EF" w:rsidR="0002298D" w:rsidRPr="00873941" w:rsidRDefault="0002298D" w:rsidP="0088158A">
            <w:pPr>
              <w:pStyle w:val="In-tableHeading"/>
              <w:keepNext w:val="0"/>
              <w:rPr>
                <w:bCs/>
                <w:lang w:val="en-AU"/>
              </w:rPr>
            </w:pPr>
            <w:r w:rsidRPr="00873941">
              <w:rPr>
                <w:lang w:val="en-AU"/>
              </w:rPr>
              <w:t>NEOSPHERE</w:t>
            </w:r>
          </w:p>
        </w:tc>
      </w:tr>
      <w:tr w:rsidR="00870171" w:rsidRPr="00873941" w14:paraId="63B752D7" w14:textId="77777777" w:rsidTr="009119B1">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2E6432A2" w14:textId="035D3349" w:rsidR="00870171" w:rsidRPr="00873941" w:rsidRDefault="00870171" w:rsidP="0088158A">
            <w:pPr>
              <w:pStyle w:val="TableText0"/>
              <w:keepNext w:val="0"/>
              <w:widowControl w:val="0"/>
            </w:pPr>
            <w:r w:rsidRPr="00873941">
              <w:t xml:space="preserve">Events, n/N (%) </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54F73E07" w14:textId="4CC3A950" w:rsidR="00870171" w:rsidRPr="00873941" w:rsidRDefault="00870171" w:rsidP="0088158A">
            <w:pPr>
              <w:pStyle w:val="TableText0"/>
              <w:keepNext w:val="0"/>
              <w:widowControl w:val="0"/>
              <w:jc w:val="center"/>
              <w:rPr>
                <w:rFonts w:cs="Times New Roman"/>
                <w:szCs w:val="20"/>
              </w:rPr>
            </w:pPr>
            <w:r w:rsidRPr="00873941">
              <w:rPr>
                <w:rFonts w:cs="Times New Roman"/>
                <w:szCs w:val="20"/>
              </w:rPr>
              <w:t>15/107 (14.9)</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C136FD5" w14:textId="6831A9A5" w:rsidR="00870171" w:rsidRPr="00873941" w:rsidRDefault="00870171" w:rsidP="0088158A">
            <w:pPr>
              <w:pStyle w:val="TableText0"/>
              <w:keepNext w:val="0"/>
              <w:widowControl w:val="0"/>
              <w:jc w:val="center"/>
              <w:rPr>
                <w:rFonts w:cs="Times New Roman"/>
                <w:szCs w:val="20"/>
              </w:rPr>
            </w:pPr>
            <w:r w:rsidRPr="00873941">
              <w:rPr>
                <w:rFonts w:cs="Times New Roman"/>
                <w:szCs w:val="20"/>
              </w:rPr>
              <w:t>18/107 (17.5)</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00B5F754" w14:textId="2E4B3296" w:rsidR="00870171" w:rsidRPr="00873941" w:rsidRDefault="00870171" w:rsidP="0088158A">
            <w:pPr>
              <w:pStyle w:val="TableText0"/>
              <w:keepNext w:val="0"/>
              <w:widowControl w:val="0"/>
              <w:jc w:val="center"/>
              <w:rPr>
                <w:color w:val="0070C0"/>
              </w:rPr>
            </w:pPr>
            <w:r w:rsidRPr="00873941">
              <w:t>-</w:t>
            </w:r>
          </w:p>
        </w:tc>
        <w:tc>
          <w:tcPr>
            <w:tcW w:w="879" w:type="pct"/>
            <w:vMerge w:val="restart"/>
            <w:tcBorders>
              <w:top w:val="single" w:sz="4" w:space="0" w:color="auto"/>
              <w:left w:val="single" w:sz="4" w:space="0" w:color="auto"/>
              <w:right w:val="single" w:sz="4" w:space="0" w:color="auto"/>
            </w:tcBorders>
            <w:shd w:val="clear" w:color="auto" w:fill="auto"/>
          </w:tcPr>
          <w:p w14:paraId="184DF725" w14:textId="54C159B1" w:rsidR="00870171" w:rsidRPr="00873941" w:rsidRDefault="00870171" w:rsidP="0088158A">
            <w:pPr>
              <w:pStyle w:val="TableText0"/>
              <w:keepNext w:val="0"/>
              <w:widowControl w:val="0"/>
              <w:jc w:val="center"/>
              <w:rPr>
                <w:szCs w:val="20"/>
              </w:rPr>
            </w:pPr>
            <w:r w:rsidRPr="00873941">
              <w:rPr>
                <w:szCs w:val="20"/>
              </w:rPr>
              <w:t>0.60 (0.28, 1.27)</w:t>
            </w:r>
          </w:p>
          <w:p w14:paraId="5FDE06CA" w14:textId="47D783A1" w:rsidR="00870171" w:rsidRPr="00873941" w:rsidRDefault="00870171" w:rsidP="0088158A">
            <w:pPr>
              <w:pStyle w:val="TableText0"/>
              <w:keepNext w:val="0"/>
              <w:widowControl w:val="0"/>
              <w:jc w:val="center"/>
              <w:rPr>
                <w:szCs w:val="20"/>
              </w:rPr>
            </w:pPr>
            <w:r w:rsidRPr="00873941">
              <w:rPr>
                <w:szCs w:val="20"/>
              </w:rPr>
              <w:t>p=0.181</w:t>
            </w:r>
          </w:p>
        </w:tc>
      </w:tr>
      <w:tr w:rsidR="00870171" w:rsidRPr="00873941" w14:paraId="2B49E47B" w14:textId="77777777" w:rsidTr="009119B1">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4A6BB6B2" w14:textId="7461582A" w:rsidR="00870171" w:rsidRPr="00873941" w:rsidRDefault="00870171" w:rsidP="0088158A">
            <w:pPr>
              <w:pStyle w:val="TableText0"/>
              <w:keepNext w:val="0"/>
              <w:widowControl w:val="0"/>
            </w:pPr>
            <w:r w:rsidRPr="00873941">
              <w:t>Median DFS, months (95% CI)</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214CA362" w14:textId="3328DB4E" w:rsidR="00870171" w:rsidRPr="00873941" w:rsidRDefault="00870171" w:rsidP="0088158A">
            <w:pPr>
              <w:pStyle w:val="TableText0"/>
              <w:keepNext w:val="0"/>
              <w:widowControl w:val="0"/>
              <w:jc w:val="center"/>
              <w:rPr>
                <w:rFonts w:cs="Times New Roman"/>
                <w:szCs w:val="20"/>
              </w:rPr>
            </w:pPr>
            <w:r w:rsidRPr="00873941">
              <w:rPr>
                <w:rFonts w:cs="Times New Roman"/>
                <w:szCs w:val="20"/>
              </w:rPr>
              <w:t>Not reached</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4249C7A" w14:textId="4E9EE327" w:rsidR="00870171" w:rsidRPr="00873941" w:rsidRDefault="00870171" w:rsidP="0088158A">
            <w:pPr>
              <w:pStyle w:val="TableText0"/>
              <w:keepNext w:val="0"/>
              <w:widowControl w:val="0"/>
              <w:jc w:val="center"/>
              <w:rPr>
                <w:rFonts w:cs="Times New Roman"/>
                <w:szCs w:val="20"/>
              </w:rPr>
            </w:pPr>
            <w:r w:rsidRPr="00873941">
              <w:rPr>
                <w:rFonts w:cs="Times New Roman"/>
                <w:szCs w:val="20"/>
              </w:rPr>
              <w:t>Not reached</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5B93BECC" w14:textId="1CB4E23D" w:rsidR="00870171" w:rsidRPr="00873941" w:rsidRDefault="00870171" w:rsidP="0088158A">
            <w:pPr>
              <w:pStyle w:val="TableText0"/>
              <w:keepNext w:val="0"/>
              <w:widowControl w:val="0"/>
              <w:jc w:val="center"/>
            </w:pPr>
            <w:r w:rsidRPr="00873941">
              <w:t>Not estimable</w:t>
            </w:r>
          </w:p>
        </w:tc>
        <w:tc>
          <w:tcPr>
            <w:tcW w:w="879" w:type="pct"/>
            <w:vMerge/>
            <w:tcBorders>
              <w:left w:val="single" w:sz="4" w:space="0" w:color="auto"/>
              <w:right w:val="single" w:sz="4" w:space="0" w:color="auto"/>
            </w:tcBorders>
            <w:shd w:val="clear" w:color="auto" w:fill="auto"/>
          </w:tcPr>
          <w:p w14:paraId="4E0B8714" w14:textId="77777777" w:rsidR="00870171" w:rsidRPr="00873941" w:rsidRDefault="00870171" w:rsidP="0088158A">
            <w:pPr>
              <w:pStyle w:val="TableText0"/>
              <w:keepNext w:val="0"/>
              <w:widowControl w:val="0"/>
              <w:jc w:val="center"/>
              <w:rPr>
                <w:szCs w:val="20"/>
              </w:rPr>
            </w:pPr>
          </w:p>
        </w:tc>
      </w:tr>
      <w:tr w:rsidR="00870171" w:rsidRPr="00873941" w14:paraId="5CCEFFBA" w14:textId="77777777" w:rsidTr="009119B1">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4CCF10D5" w14:textId="45BAECFB" w:rsidR="00870171" w:rsidRPr="00873941" w:rsidRDefault="00870171" w:rsidP="0088158A">
            <w:pPr>
              <w:pStyle w:val="TableText0"/>
              <w:keepNext w:val="0"/>
              <w:widowControl w:val="0"/>
            </w:pPr>
            <w:r w:rsidRPr="00873941">
              <w:t xml:space="preserve">% without disease at 1 year (95% CI) </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3EC5A687" w14:textId="6D5B344A" w:rsidR="00870171" w:rsidRPr="00873941" w:rsidRDefault="00870171" w:rsidP="0088158A">
            <w:pPr>
              <w:pStyle w:val="TableText0"/>
              <w:keepNext w:val="0"/>
              <w:widowControl w:val="0"/>
              <w:jc w:val="center"/>
            </w:pPr>
            <w:r w:rsidRPr="00873941">
              <w:rPr>
                <w:szCs w:val="20"/>
              </w:rPr>
              <w:t>96% (92, 100)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F925924" w14:textId="02B5BA07" w:rsidR="00870171" w:rsidRPr="00873941" w:rsidRDefault="00870171" w:rsidP="0088158A">
            <w:pPr>
              <w:pStyle w:val="TableText0"/>
              <w:keepNext w:val="0"/>
              <w:widowControl w:val="0"/>
              <w:jc w:val="center"/>
              <w:rPr>
                <w:szCs w:val="20"/>
              </w:rPr>
            </w:pPr>
            <w:r w:rsidRPr="00873941">
              <w:rPr>
                <w:szCs w:val="20"/>
              </w:rPr>
              <w:t>95% (91, 99)</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6C729A95" w14:textId="10AE46C8" w:rsidR="00870171" w:rsidRPr="00873941" w:rsidRDefault="00870171" w:rsidP="0088158A">
            <w:pPr>
              <w:pStyle w:val="TableText0"/>
              <w:keepNext w:val="0"/>
              <w:widowControl w:val="0"/>
              <w:jc w:val="center"/>
            </w:pPr>
            <w:r w:rsidRPr="00873941">
              <w:t>1%</w:t>
            </w:r>
          </w:p>
        </w:tc>
        <w:tc>
          <w:tcPr>
            <w:tcW w:w="879" w:type="pct"/>
            <w:vMerge/>
            <w:tcBorders>
              <w:left w:val="single" w:sz="4" w:space="0" w:color="auto"/>
              <w:right w:val="single" w:sz="4" w:space="0" w:color="auto"/>
            </w:tcBorders>
            <w:shd w:val="clear" w:color="auto" w:fill="auto"/>
          </w:tcPr>
          <w:p w14:paraId="03A14489" w14:textId="77777777" w:rsidR="00870171" w:rsidRPr="00873941" w:rsidRDefault="00870171" w:rsidP="0088158A">
            <w:pPr>
              <w:pStyle w:val="TableText0"/>
              <w:keepNext w:val="0"/>
              <w:widowControl w:val="0"/>
              <w:jc w:val="center"/>
            </w:pPr>
          </w:p>
        </w:tc>
      </w:tr>
      <w:tr w:rsidR="00870171" w:rsidRPr="00873941" w14:paraId="23FBB761" w14:textId="77777777" w:rsidTr="009119B1">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0C35791C" w14:textId="4DCFE191" w:rsidR="00870171" w:rsidRPr="00873941" w:rsidRDefault="00870171" w:rsidP="0088158A">
            <w:pPr>
              <w:pStyle w:val="TableText0"/>
              <w:keepNext w:val="0"/>
              <w:widowControl w:val="0"/>
            </w:pPr>
            <w:r w:rsidRPr="00873941">
              <w:t>% without disease at 5 years (95% CI)</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7A73E848" w14:textId="2BC8A6E3" w:rsidR="00870171" w:rsidRPr="00873941" w:rsidRDefault="00870171" w:rsidP="0088158A">
            <w:pPr>
              <w:pStyle w:val="TableText0"/>
              <w:keepNext w:val="0"/>
              <w:widowControl w:val="0"/>
              <w:jc w:val="center"/>
              <w:rPr>
                <w:szCs w:val="20"/>
              </w:rPr>
            </w:pPr>
            <w:r w:rsidRPr="00873941">
              <w:rPr>
                <w:szCs w:val="20"/>
              </w:rPr>
              <w:t>84% (72, 91)</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BA30C70" w14:textId="1EE695DE" w:rsidR="00870171" w:rsidRPr="00873941" w:rsidRDefault="00870171" w:rsidP="0088158A">
            <w:pPr>
              <w:pStyle w:val="TableText0"/>
              <w:keepNext w:val="0"/>
              <w:widowControl w:val="0"/>
              <w:jc w:val="center"/>
              <w:rPr>
                <w:szCs w:val="20"/>
              </w:rPr>
            </w:pPr>
            <w:r w:rsidRPr="00873941">
              <w:rPr>
                <w:szCs w:val="20"/>
              </w:rPr>
              <w:t>81% (72, 88)</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49210F4F" w14:textId="0F1026C4" w:rsidR="00870171" w:rsidRPr="00873941" w:rsidRDefault="00870171" w:rsidP="0088158A">
            <w:pPr>
              <w:pStyle w:val="TableText0"/>
              <w:keepNext w:val="0"/>
              <w:widowControl w:val="0"/>
              <w:jc w:val="center"/>
            </w:pPr>
            <w:r w:rsidRPr="00873941">
              <w:t>3%</w:t>
            </w:r>
          </w:p>
        </w:tc>
        <w:tc>
          <w:tcPr>
            <w:tcW w:w="879" w:type="pct"/>
            <w:vMerge/>
            <w:tcBorders>
              <w:left w:val="single" w:sz="4" w:space="0" w:color="auto"/>
              <w:bottom w:val="single" w:sz="4" w:space="0" w:color="auto"/>
              <w:right w:val="single" w:sz="4" w:space="0" w:color="auto"/>
            </w:tcBorders>
            <w:shd w:val="clear" w:color="auto" w:fill="auto"/>
          </w:tcPr>
          <w:p w14:paraId="145535C0" w14:textId="77777777" w:rsidR="00870171" w:rsidRPr="00873941" w:rsidRDefault="00870171" w:rsidP="0088158A">
            <w:pPr>
              <w:pStyle w:val="TableText0"/>
              <w:keepNext w:val="0"/>
              <w:widowControl w:val="0"/>
              <w:jc w:val="center"/>
            </w:pPr>
          </w:p>
        </w:tc>
      </w:tr>
      <w:tr w:rsidR="000113BA" w:rsidRPr="00873941" w14:paraId="0E987342" w14:textId="77777777" w:rsidTr="000113BA">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0D0A009" w14:textId="37EDC425" w:rsidR="000113BA" w:rsidRPr="00873941" w:rsidRDefault="000113BA" w:rsidP="0088158A">
            <w:pPr>
              <w:pStyle w:val="In-tableHeading"/>
              <w:keepNext w:val="0"/>
              <w:rPr>
                <w:lang w:val="en-AU"/>
              </w:rPr>
            </w:pPr>
            <w:r w:rsidRPr="00873941">
              <w:rPr>
                <w:lang w:val="en-AU"/>
              </w:rPr>
              <w:t>PEONY</w:t>
            </w:r>
          </w:p>
        </w:tc>
      </w:tr>
      <w:tr w:rsidR="00870171" w:rsidRPr="00873941" w14:paraId="6E8DA4A9" w14:textId="77777777" w:rsidTr="009119B1">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2537AB65" w14:textId="45D0BFA2" w:rsidR="00870171" w:rsidRPr="00873941" w:rsidRDefault="00870171" w:rsidP="0088158A">
            <w:pPr>
              <w:pStyle w:val="TableText0"/>
              <w:keepNext w:val="0"/>
              <w:widowControl w:val="0"/>
            </w:pPr>
            <w:r w:rsidRPr="00873941">
              <w:t xml:space="preserve">Events, n/N (%) </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63B7080C" w14:textId="74547274" w:rsidR="00870171" w:rsidRPr="00873941" w:rsidRDefault="00870171" w:rsidP="0088158A">
            <w:pPr>
              <w:pStyle w:val="TableText0"/>
              <w:keepNext w:val="0"/>
              <w:widowControl w:val="0"/>
              <w:jc w:val="center"/>
              <w:rPr>
                <w:szCs w:val="20"/>
              </w:rPr>
            </w:pPr>
            <w:r w:rsidRPr="00873941">
              <w:rPr>
                <w:rFonts w:cs="Times New Roman"/>
                <w:szCs w:val="20"/>
              </w:rPr>
              <w:t>32/219 (14.6)</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FBCA3B3" w14:textId="66B7CCB7" w:rsidR="00870171" w:rsidRPr="00873941" w:rsidRDefault="00870171" w:rsidP="0088158A">
            <w:pPr>
              <w:pStyle w:val="TableText0"/>
              <w:keepNext w:val="0"/>
              <w:widowControl w:val="0"/>
              <w:jc w:val="center"/>
              <w:rPr>
                <w:szCs w:val="20"/>
              </w:rPr>
            </w:pPr>
            <w:r w:rsidRPr="00873941">
              <w:rPr>
                <w:rFonts w:cs="Times New Roman"/>
                <w:szCs w:val="20"/>
              </w:rPr>
              <w:t>27/110 (24.5)</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02E10716" w14:textId="20AB188B" w:rsidR="00870171" w:rsidRPr="00873941" w:rsidRDefault="00870171" w:rsidP="0088158A">
            <w:pPr>
              <w:pStyle w:val="TableText0"/>
              <w:keepNext w:val="0"/>
              <w:widowControl w:val="0"/>
              <w:jc w:val="center"/>
            </w:pPr>
            <w:r w:rsidRPr="00873941">
              <w:t>-</w:t>
            </w:r>
          </w:p>
        </w:tc>
        <w:tc>
          <w:tcPr>
            <w:tcW w:w="879" w:type="pct"/>
            <w:vMerge w:val="restart"/>
            <w:tcBorders>
              <w:top w:val="single" w:sz="4" w:space="0" w:color="auto"/>
              <w:left w:val="single" w:sz="4" w:space="0" w:color="auto"/>
              <w:right w:val="single" w:sz="4" w:space="0" w:color="auto"/>
            </w:tcBorders>
            <w:shd w:val="clear" w:color="auto" w:fill="auto"/>
          </w:tcPr>
          <w:p w14:paraId="0309076D" w14:textId="7FB27C54" w:rsidR="00870171" w:rsidRPr="00873941" w:rsidRDefault="00870171" w:rsidP="0088158A">
            <w:pPr>
              <w:pStyle w:val="TableText0"/>
              <w:keepNext w:val="0"/>
              <w:widowControl w:val="0"/>
              <w:jc w:val="center"/>
              <w:rPr>
                <w:szCs w:val="20"/>
              </w:rPr>
            </w:pPr>
            <w:r w:rsidRPr="00873941">
              <w:rPr>
                <w:szCs w:val="20"/>
              </w:rPr>
              <w:t>0.53 (0.32, 0.89)</w:t>
            </w:r>
          </w:p>
          <w:p w14:paraId="0DD9909E" w14:textId="0DC5E764" w:rsidR="00870171" w:rsidRPr="00873941" w:rsidRDefault="00870171" w:rsidP="0088158A">
            <w:pPr>
              <w:pStyle w:val="TableText0"/>
              <w:keepNext w:val="0"/>
              <w:widowControl w:val="0"/>
              <w:jc w:val="center"/>
            </w:pPr>
            <w:r w:rsidRPr="00873941">
              <w:rPr>
                <w:szCs w:val="20"/>
              </w:rPr>
              <w:t>p=0.014</w:t>
            </w:r>
          </w:p>
        </w:tc>
      </w:tr>
      <w:tr w:rsidR="00870171" w:rsidRPr="00873941" w14:paraId="6071306C" w14:textId="77777777" w:rsidTr="009119B1">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111F235E" w14:textId="07BDBF65" w:rsidR="00870171" w:rsidRPr="00873941" w:rsidRDefault="00870171" w:rsidP="0088158A">
            <w:pPr>
              <w:pStyle w:val="TableText0"/>
              <w:keepNext w:val="0"/>
              <w:widowControl w:val="0"/>
            </w:pPr>
            <w:r w:rsidRPr="00873941">
              <w:t>Median DFS, months (95% CI)</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729C8A70" w14:textId="492BC585" w:rsidR="00870171" w:rsidRPr="00873941" w:rsidRDefault="00870171" w:rsidP="0088158A">
            <w:pPr>
              <w:pStyle w:val="TableText0"/>
              <w:keepNext w:val="0"/>
              <w:widowControl w:val="0"/>
              <w:jc w:val="center"/>
              <w:rPr>
                <w:szCs w:val="20"/>
              </w:rPr>
            </w:pPr>
            <w:r w:rsidRPr="00873941">
              <w:rPr>
                <w:rFonts w:cs="Times New Roman"/>
                <w:szCs w:val="20"/>
              </w:rPr>
              <w:t>Not reached</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A77DADA" w14:textId="15AA807A" w:rsidR="00870171" w:rsidRPr="00873941" w:rsidRDefault="00870171" w:rsidP="0088158A">
            <w:pPr>
              <w:pStyle w:val="TableText0"/>
              <w:keepNext w:val="0"/>
              <w:widowControl w:val="0"/>
              <w:jc w:val="center"/>
              <w:rPr>
                <w:szCs w:val="20"/>
              </w:rPr>
            </w:pPr>
            <w:r w:rsidRPr="00873941">
              <w:rPr>
                <w:rFonts w:cs="Times New Roman"/>
                <w:szCs w:val="20"/>
              </w:rPr>
              <w:t>Not reached</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6313DA40" w14:textId="74D032F7" w:rsidR="00870171" w:rsidRPr="00873941" w:rsidRDefault="00870171" w:rsidP="0088158A">
            <w:pPr>
              <w:pStyle w:val="TableText0"/>
              <w:keepNext w:val="0"/>
              <w:widowControl w:val="0"/>
              <w:jc w:val="center"/>
            </w:pPr>
            <w:r w:rsidRPr="00873941">
              <w:t>Not estimable</w:t>
            </w:r>
          </w:p>
        </w:tc>
        <w:tc>
          <w:tcPr>
            <w:tcW w:w="879" w:type="pct"/>
            <w:vMerge/>
            <w:tcBorders>
              <w:left w:val="single" w:sz="4" w:space="0" w:color="auto"/>
              <w:right w:val="single" w:sz="4" w:space="0" w:color="auto"/>
            </w:tcBorders>
            <w:shd w:val="clear" w:color="auto" w:fill="auto"/>
          </w:tcPr>
          <w:p w14:paraId="0BA8A93D" w14:textId="77777777" w:rsidR="00870171" w:rsidRPr="00873941" w:rsidRDefault="00870171" w:rsidP="0088158A">
            <w:pPr>
              <w:pStyle w:val="TableText0"/>
              <w:keepNext w:val="0"/>
              <w:widowControl w:val="0"/>
              <w:jc w:val="center"/>
            </w:pPr>
          </w:p>
        </w:tc>
      </w:tr>
      <w:tr w:rsidR="00870171" w:rsidRPr="00873941" w14:paraId="4B2E7311" w14:textId="77777777" w:rsidTr="009119B1">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2D437156" w14:textId="324CA020" w:rsidR="00870171" w:rsidRPr="00873941" w:rsidRDefault="00870171" w:rsidP="0088158A">
            <w:pPr>
              <w:pStyle w:val="TableText0"/>
              <w:keepNext w:val="0"/>
              <w:widowControl w:val="0"/>
            </w:pPr>
            <w:r w:rsidRPr="00873941">
              <w:t xml:space="preserve">% without disease at 1 year (95% CI) </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0F5FBDF2" w14:textId="4783F6D3" w:rsidR="00870171" w:rsidRPr="00873941" w:rsidRDefault="00870171" w:rsidP="0088158A">
            <w:pPr>
              <w:pStyle w:val="TableText0"/>
              <w:keepNext w:val="0"/>
              <w:widowControl w:val="0"/>
              <w:jc w:val="center"/>
              <w:rPr>
                <w:szCs w:val="20"/>
              </w:rPr>
            </w:pPr>
            <w:r w:rsidRPr="00873941">
              <w:rPr>
                <w:szCs w:val="20"/>
              </w:rPr>
              <w:t>98% (97, 100)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706AE40" w14:textId="0F4CEF6B" w:rsidR="00870171" w:rsidRPr="00873941" w:rsidRDefault="00870171" w:rsidP="0088158A">
            <w:pPr>
              <w:pStyle w:val="TableText0"/>
              <w:keepNext w:val="0"/>
              <w:widowControl w:val="0"/>
              <w:jc w:val="center"/>
              <w:rPr>
                <w:szCs w:val="20"/>
              </w:rPr>
            </w:pPr>
            <w:r w:rsidRPr="00873941">
              <w:rPr>
                <w:szCs w:val="20"/>
              </w:rPr>
              <w:t>90% (85, 96)</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0657B614" w14:textId="15898FE0" w:rsidR="00870171" w:rsidRPr="00873941" w:rsidRDefault="00870171" w:rsidP="0088158A">
            <w:pPr>
              <w:pStyle w:val="TableText0"/>
              <w:keepNext w:val="0"/>
              <w:widowControl w:val="0"/>
              <w:jc w:val="center"/>
            </w:pPr>
            <w:r w:rsidRPr="00873941">
              <w:t>8%</w:t>
            </w:r>
          </w:p>
        </w:tc>
        <w:tc>
          <w:tcPr>
            <w:tcW w:w="879" w:type="pct"/>
            <w:vMerge/>
            <w:tcBorders>
              <w:left w:val="single" w:sz="4" w:space="0" w:color="auto"/>
              <w:right w:val="single" w:sz="4" w:space="0" w:color="auto"/>
            </w:tcBorders>
            <w:shd w:val="clear" w:color="auto" w:fill="auto"/>
          </w:tcPr>
          <w:p w14:paraId="6DF0D529" w14:textId="77777777" w:rsidR="00870171" w:rsidRPr="00873941" w:rsidRDefault="00870171" w:rsidP="0088158A">
            <w:pPr>
              <w:pStyle w:val="TableText0"/>
              <w:keepNext w:val="0"/>
              <w:widowControl w:val="0"/>
              <w:jc w:val="center"/>
            </w:pPr>
          </w:p>
        </w:tc>
      </w:tr>
      <w:tr w:rsidR="00870171" w:rsidRPr="00873941" w14:paraId="11400675" w14:textId="77777777" w:rsidTr="009119B1">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23CF8405" w14:textId="3B652516" w:rsidR="00870171" w:rsidRPr="00873941" w:rsidRDefault="00870171" w:rsidP="0088158A">
            <w:pPr>
              <w:pStyle w:val="TableText0"/>
              <w:keepNext w:val="0"/>
              <w:widowControl w:val="0"/>
            </w:pPr>
            <w:r w:rsidRPr="00873941">
              <w:t>% without disease at 5 years (95% CI)</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6B08833D" w14:textId="49DE08BE" w:rsidR="00870171" w:rsidRPr="00873941" w:rsidRDefault="00870171" w:rsidP="0088158A">
            <w:pPr>
              <w:pStyle w:val="TableText0"/>
              <w:keepNext w:val="0"/>
              <w:widowControl w:val="0"/>
              <w:jc w:val="center"/>
              <w:rPr>
                <w:szCs w:val="20"/>
              </w:rPr>
            </w:pPr>
            <w:r w:rsidRPr="00873941">
              <w:rPr>
                <w:szCs w:val="20"/>
              </w:rPr>
              <w:t>85% (80, 90)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09FA9AE" w14:textId="3053795C" w:rsidR="00870171" w:rsidRPr="00873941" w:rsidRDefault="00870171" w:rsidP="0088158A">
            <w:pPr>
              <w:pStyle w:val="TableText0"/>
              <w:keepNext w:val="0"/>
              <w:widowControl w:val="0"/>
              <w:jc w:val="center"/>
              <w:rPr>
                <w:szCs w:val="20"/>
              </w:rPr>
            </w:pPr>
            <w:r w:rsidRPr="00873941">
              <w:rPr>
                <w:szCs w:val="20"/>
              </w:rPr>
              <w:t>74% (65, 82)</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483D4F0D" w14:textId="3E2612EC" w:rsidR="00870171" w:rsidRPr="00873941" w:rsidRDefault="00870171" w:rsidP="0088158A">
            <w:pPr>
              <w:pStyle w:val="TableText0"/>
              <w:keepNext w:val="0"/>
              <w:widowControl w:val="0"/>
              <w:jc w:val="center"/>
            </w:pPr>
            <w:r w:rsidRPr="00873941">
              <w:t>11%</w:t>
            </w:r>
          </w:p>
        </w:tc>
        <w:tc>
          <w:tcPr>
            <w:tcW w:w="879" w:type="pct"/>
            <w:vMerge/>
            <w:tcBorders>
              <w:left w:val="single" w:sz="4" w:space="0" w:color="auto"/>
              <w:bottom w:val="single" w:sz="4" w:space="0" w:color="auto"/>
              <w:right w:val="single" w:sz="4" w:space="0" w:color="auto"/>
            </w:tcBorders>
            <w:shd w:val="clear" w:color="auto" w:fill="auto"/>
          </w:tcPr>
          <w:p w14:paraId="730E9391" w14:textId="2C3FDD68" w:rsidR="00870171" w:rsidRPr="00873941" w:rsidRDefault="00870171" w:rsidP="0088158A">
            <w:pPr>
              <w:pStyle w:val="TableText0"/>
              <w:keepNext w:val="0"/>
              <w:widowControl w:val="0"/>
              <w:jc w:val="center"/>
            </w:pPr>
          </w:p>
        </w:tc>
      </w:tr>
      <w:tr w:rsidR="00C86E22" w:rsidRPr="00873941" w14:paraId="01420AF0" w14:textId="77777777" w:rsidTr="00C86E2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3C82BB9" w14:textId="4C4D3CD1" w:rsidR="00C86E22" w:rsidRPr="00873941" w:rsidRDefault="00F37EFA" w:rsidP="0088158A">
            <w:pPr>
              <w:pStyle w:val="In-tableHeading"/>
              <w:keepNext w:val="0"/>
              <w:rPr>
                <w:lang w:val="en-AU"/>
              </w:rPr>
            </w:pPr>
            <w:r w:rsidRPr="00873941">
              <w:rPr>
                <w:lang w:val="en-AU"/>
              </w:rPr>
              <w:t>Overall survival (median duration of follow up 60 months)</w:t>
            </w:r>
          </w:p>
        </w:tc>
      </w:tr>
      <w:tr w:rsidR="00F37EFA" w:rsidRPr="00873941" w14:paraId="7D9AC893" w14:textId="77777777" w:rsidTr="00F37EFA">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A313A69" w14:textId="4BFFC824" w:rsidR="00F37EFA" w:rsidRPr="00873941" w:rsidRDefault="00F37EFA" w:rsidP="0088158A">
            <w:pPr>
              <w:pStyle w:val="In-tableHeading"/>
              <w:keepNext w:val="0"/>
              <w:rPr>
                <w:lang w:val="en-AU"/>
              </w:rPr>
            </w:pPr>
            <w:r w:rsidRPr="00873941">
              <w:rPr>
                <w:lang w:val="en-AU"/>
              </w:rPr>
              <w:t>PEONY</w:t>
            </w:r>
          </w:p>
        </w:tc>
      </w:tr>
      <w:tr w:rsidR="00F37EFA" w:rsidRPr="00873941" w14:paraId="38BC5CD7" w14:textId="77777777" w:rsidTr="009119B1">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50D53DCD" w14:textId="637E9F08" w:rsidR="00F37EFA" w:rsidRPr="00873941" w:rsidRDefault="00F37EFA" w:rsidP="0088158A">
            <w:pPr>
              <w:pStyle w:val="TableText0"/>
              <w:keepNext w:val="0"/>
              <w:widowControl w:val="0"/>
            </w:pPr>
            <w:r w:rsidRPr="00873941">
              <w:t xml:space="preserve">Events, n/N (%) </w:t>
            </w:r>
          </w:p>
        </w:tc>
        <w:tc>
          <w:tcPr>
            <w:tcW w:w="786" w:type="pct"/>
            <w:tcBorders>
              <w:top w:val="single" w:sz="4" w:space="0" w:color="auto"/>
              <w:left w:val="single" w:sz="4" w:space="0" w:color="auto"/>
              <w:bottom w:val="single" w:sz="4" w:space="0" w:color="auto"/>
              <w:right w:val="single" w:sz="4" w:space="0" w:color="auto"/>
            </w:tcBorders>
          </w:tcPr>
          <w:p w14:paraId="1FB0B20F" w14:textId="70352274" w:rsidR="00F37EFA" w:rsidRPr="00873941" w:rsidRDefault="00F37EFA" w:rsidP="0088158A">
            <w:pPr>
              <w:pStyle w:val="TableText0"/>
              <w:keepNext w:val="0"/>
              <w:widowControl w:val="0"/>
              <w:jc w:val="center"/>
              <w:rPr>
                <w:szCs w:val="20"/>
              </w:rPr>
            </w:pPr>
            <w:r w:rsidRPr="00873941">
              <w:rPr>
                <w:szCs w:val="20"/>
              </w:rPr>
              <w:t>12/219 (5.5)</w:t>
            </w:r>
          </w:p>
        </w:tc>
        <w:tc>
          <w:tcPr>
            <w:tcW w:w="707" w:type="pct"/>
            <w:tcBorders>
              <w:top w:val="single" w:sz="4" w:space="0" w:color="auto"/>
              <w:left w:val="single" w:sz="4" w:space="0" w:color="auto"/>
              <w:bottom w:val="single" w:sz="4" w:space="0" w:color="auto"/>
              <w:right w:val="single" w:sz="4" w:space="0" w:color="auto"/>
            </w:tcBorders>
          </w:tcPr>
          <w:p w14:paraId="58ABBDAB" w14:textId="4177A783" w:rsidR="00F37EFA" w:rsidRPr="00873941" w:rsidRDefault="00F37EFA" w:rsidP="0088158A">
            <w:pPr>
              <w:pStyle w:val="TableText0"/>
              <w:keepNext w:val="0"/>
              <w:widowControl w:val="0"/>
              <w:jc w:val="center"/>
              <w:rPr>
                <w:szCs w:val="20"/>
              </w:rPr>
            </w:pPr>
            <w:r w:rsidRPr="00873941">
              <w:rPr>
                <w:szCs w:val="20"/>
              </w:rPr>
              <w:t>11/110 (10.0)</w:t>
            </w:r>
          </w:p>
        </w:tc>
        <w:tc>
          <w:tcPr>
            <w:tcW w:w="980" w:type="pct"/>
            <w:tcBorders>
              <w:top w:val="single" w:sz="4" w:space="0" w:color="auto"/>
              <w:left w:val="single" w:sz="4" w:space="0" w:color="auto"/>
              <w:bottom w:val="single" w:sz="4" w:space="0" w:color="auto"/>
              <w:right w:val="single" w:sz="4" w:space="0" w:color="auto"/>
            </w:tcBorders>
          </w:tcPr>
          <w:p w14:paraId="4F982941" w14:textId="266231AC" w:rsidR="00F37EFA" w:rsidRPr="00873941" w:rsidRDefault="00F37EFA" w:rsidP="0088158A">
            <w:pPr>
              <w:pStyle w:val="TableText0"/>
              <w:keepNext w:val="0"/>
              <w:widowControl w:val="0"/>
              <w:jc w:val="center"/>
            </w:pPr>
            <w:r w:rsidRPr="00873941">
              <w:t>-</w:t>
            </w:r>
          </w:p>
        </w:tc>
        <w:tc>
          <w:tcPr>
            <w:tcW w:w="879" w:type="pct"/>
            <w:vMerge w:val="restart"/>
            <w:tcBorders>
              <w:left w:val="single" w:sz="4" w:space="0" w:color="auto"/>
              <w:right w:val="single" w:sz="4" w:space="0" w:color="auto"/>
            </w:tcBorders>
            <w:shd w:val="clear" w:color="auto" w:fill="auto"/>
          </w:tcPr>
          <w:p w14:paraId="0EAC1B71" w14:textId="77777777" w:rsidR="00F37EFA" w:rsidRPr="00873941" w:rsidRDefault="00F37EFA" w:rsidP="0088158A">
            <w:pPr>
              <w:pStyle w:val="TableText0"/>
              <w:keepNext w:val="0"/>
              <w:widowControl w:val="0"/>
              <w:jc w:val="center"/>
            </w:pPr>
            <w:r w:rsidRPr="00873941">
              <w:t>0.53 (0.23, 1.19)</w:t>
            </w:r>
          </w:p>
          <w:p w14:paraId="1B737E2E" w14:textId="7BA58647" w:rsidR="00F37EFA" w:rsidRPr="00873941" w:rsidRDefault="00F37EFA" w:rsidP="0088158A">
            <w:pPr>
              <w:pStyle w:val="TableText0"/>
              <w:keepNext w:val="0"/>
              <w:widowControl w:val="0"/>
              <w:jc w:val="center"/>
            </w:pPr>
            <w:r w:rsidRPr="00873941">
              <w:t>P=0.118</w:t>
            </w:r>
          </w:p>
        </w:tc>
      </w:tr>
      <w:tr w:rsidR="00F37EFA" w:rsidRPr="00873941" w14:paraId="2BA79B10" w14:textId="77777777" w:rsidTr="009119B1">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06FF4543" w14:textId="0BA7E6C0" w:rsidR="00F37EFA" w:rsidRPr="00873941" w:rsidRDefault="00F37EFA" w:rsidP="0088158A">
            <w:pPr>
              <w:pStyle w:val="TableText0"/>
              <w:keepNext w:val="0"/>
              <w:widowControl w:val="0"/>
            </w:pPr>
            <w:r w:rsidRPr="00873941">
              <w:t>Median DFS, months (95% CI)</w:t>
            </w:r>
          </w:p>
        </w:tc>
        <w:tc>
          <w:tcPr>
            <w:tcW w:w="786" w:type="pct"/>
            <w:tcBorders>
              <w:top w:val="single" w:sz="4" w:space="0" w:color="auto"/>
              <w:left w:val="single" w:sz="4" w:space="0" w:color="auto"/>
              <w:bottom w:val="single" w:sz="4" w:space="0" w:color="auto"/>
              <w:right w:val="single" w:sz="4" w:space="0" w:color="auto"/>
            </w:tcBorders>
          </w:tcPr>
          <w:p w14:paraId="0A10C0F5" w14:textId="2018483C" w:rsidR="00F37EFA" w:rsidRPr="00873941" w:rsidRDefault="00F37EFA" w:rsidP="0088158A">
            <w:pPr>
              <w:pStyle w:val="TableText0"/>
              <w:keepNext w:val="0"/>
              <w:widowControl w:val="0"/>
              <w:jc w:val="center"/>
              <w:rPr>
                <w:szCs w:val="20"/>
              </w:rPr>
            </w:pPr>
            <w:r w:rsidRPr="00873941">
              <w:rPr>
                <w:rFonts w:cs="Times New Roman"/>
                <w:szCs w:val="20"/>
              </w:rPr>
              <w:t>Not reached</w:t>
            </w:r>
          </w:p>
        </w:tc>
        <w:tc>
          <w:tcPr>
            <w:tcW w:w="707" w:type="pct"/>
            <w:tcBorders>
              <w:top w:val="single" w:sz="4" w:space="0" w:color="auto"/>
              <w:left w:val="single" w:sz="4" w:space="0" w:color="auto"/>
              <w:bottom w:val="single" w:sz="4" w:space="0" w:color="auto"/>
              <w:right w:val="single" w:sz="4" w:space="0" w:color="auto"/>
            </w:tcBorders>
          </w:tcPr>
          <w:p w14:paraId="3FC73186" w14:textId="5E97FAD7" w:rsidR="00F37EFA" w:rsidRPr="00873941" w:rsidRDefault="00F37EFA" w:rsidP="0088158A">
            <w:pPr>
              <w:pStyle w:val="TableText0"/>
              <w:keepNext w:val="0"/>
              <w:widowControl w:val="0"/>
              <w:jc w:val="center"/>
              <w:rPr>
                <w:szCs w:val="20"/>
              </w:rPr>
            </w:pPr>
            <w:r w:rsidRPr="00873941">
              <w:rPr>
                <w:rFonts w:cs="Times New Roman"/>
                <w:szCs w:val="20"/>
              </w:rPr>
              <w:t>Not reached</w:t>
            </w:r>
          </w:p>
        </w:tc>
        <w:tc>
          <w:tcPr>
            <w:tcW w:w="980" w:type="pct"/>
            <w:tcBorders>
              <w:top w:val="single" w:sz="4" w:space="0" w:color="auto"/>
              <w:left w:val="single" w:sz="4" w:space="0" w:color="auto"/>
              <w:bottom w:val="single" w:sz="4" w:space="0" w:color="auto"/>
              <w:right w:val="single" w:sz="4" w:space="0" w:color="auto"/>
            </w:tcBorders>
          </w:tcPr>
          <w:p w14:paraId="57C3B633" w14:textId="077EEA2B" w:rsidR="00F37EFA" w:rsidRPr="00873941" w:rsidRDefault="00F37EFA" w:rsidP="0088158A">
            <w:pPr>
              <w:pStyle w:val="TableText0"/>
              <w:keepNext w:val="0"/>
              <w:widowControl w:val="0"/>
              <w:jc w:val="center"/>
            </w:pPr>
            <w:r w:rsidRPr="00873941">
              <w:t>Not estimable</w:t>
            </w:r>
          </w:p>
        </w:tc>
        <w:tc>
          <w:tcPr>
            <w:tcW w:w="879" w:type="pct"/>
            <w:vMerge/>
            <w:tcBorders>
              <w:left w:val="single" w:sz="4" w:space="0" w:color="auto"/>
              <w:right w:val="single" w:sz="4" w:space="0" w:color="auto"/>
            </w:tcBorders>
            <w:shd w:val="clear" w:color="auto" w:fill="auto"/>
          </w:tcPr>
          <w:p w14:paraId="0A31982D" w14:textId="77777777" w:rsidR="00F37EFA" w:rsidRPr="00873941" w:rsidRDefault="00F37EFA" w:rsidP="0088158A">
            <w:pPr>
              <w:pStyle w:val="TableText0"/>
              <w:keepNext w:val="0"/>
              <w:widowControl w:val="0"/>
              <w:jc w:val="center"/>
            </w:pPr>
          </w:p>
        </w:tc>
      </w:tr>
      <w:tr w:rsidR="00F37EFA" w:rsidRPr="00873941" w14:paraId="7A8E2467" w14:textId="77777777" w:rsidTr="009119B1">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39C86534" w14:textId="1B8B7116" w:rsidR="00F37EFA" w:rsidRPr="00873941" w:rsidRDefault="00F37EFA" w:rsidP="0088158A">
            <w:pPr>
              <w:pStyle w:val="TableText0"/>
              <w:keepNext w:val="0"/>
              <w:widowControl w:val="0"/>
            </w:pPr>
            <w:r w:rsidRPr="00873941">
              <w:t xml:space="preserve">% alive at 1 year (95% CI) </w:t>
            </w:r>
          </w:p>
        </w:tc>
        <w:tc>
          <w:tcPr>
            <w:tcW w:w="786" w:type="pct"/>
            <w:tcBorders>
              <w:top w:val="single" w:sz="4" w:space="0" w:color="auto"/>
              <w:left w:val="single" w:sz="4" w:space="0" w:color="auto"/>
              <w:bottom w:val="single" w:sz="4" w:space="0" w:color="auto"/>
              <w:right w:val="single" w:sz="4" w:space="0" w:color="auto"/>
            </w:tcBorders>
          </w:tcPr>
          <w:p w14:paraId="57DF61B8" w14:textId="2AEA21DA" w:rsidR="00F37EFA" w:rsidRPr="00873941" w:rsidRDefault="00F37EFA" w:rsidP="0088158A">
            <w:pPr>
              <w:pStyle w:val="TableText0"/>
              <w:keepNext w:val="0"/>
              <w:widowControl w:val="0"/>
              <w:jc w:val="center"/>
              <w:rPr>
                <w:szCs w:val="20"/>
              </w:rPr>
            </w:pPr>
            <w:r w:rsidRPr="00873941">
              <w:rPr>
                <w:szCs w:val="20"/>
              </w:rPr>
              <w:t>100 (99, 100)</w:t>
            </w:r>
          </w:p>
        </w:tc>
        <w:tc>
          <w:tcPr>
            <w:tcW w:w="707" w:type="pct"/>
            <w:tcBorders>
              <w:top w:val="single" w:sz="4" w:space="0" w:color="auto"/>
              <w:left w:val="single" w:sz="4" w:space="0" w:color="auto"/>
              <w:bottom w:val="single" w:sz="4" w:space="0" w:color="auto"/>
              <w:right w:val="single" w:sz="4" w:space="0" w:color="auto"/>
            </w:tcBorders>
          </w:tcPr>
          <w:p w14:paraId="2FB4A3EA" w14:textId="732184CE" w:rsidR="00F37EFA" w:rsidRPr="00873941" w:rsidRDefault="00F37EFA" w:rsidP="0088158A">
            <w:pPr>
              <w:pStyle w:val="TableText0"/>
              <w:keepNext w:val="0"/>
              <w:widowControl w:val="0"/>
              <w:jc w:val="center"/>
              <w:rPr>
                <w:szCs w:val="20"/>
              </w:rPr>
            </w:pPr>
            <w:r w:rsidRPr="00873941">
              <w:rPr>
                <w:szCs w:val="20"/>
              </w:rPr>
              <w:t>100 (100, 1000)</w:t>
            </w:r>
          </w:p>
        </w:tc>
        <w:tc>
          <w:tcPr>
            <w:tcW w:w="980" w:type="pct"/>
            <w:tcBorders>
              <w:top w:val="single" w:sz="4" w:space="0" w:color="auto"/>
              <w:left w:val="single" w:sz="4" w:space="0" w:color="auto"/>
              <w:bottom w:val="single" w:sz="4" w:space="0" w:color="auto"/>
              <w:right w:val="single" w:sz="4" w:space="0" w:color="auto"/>
            </w:tcBorders>
          </w:tcPr>
          <w:p w14:paraId="40011A34" w14:textId="67F0C027" w:rsidR="00F37EFA" w:rsidRPr="00873941" w:rsidRDefault="00F37EFA" w:rsidP="0088158A">
            <w:pPr>
              <w:pStyle w:val="TableText0"/>
              <w:keepNext w:val="0"/>
              <w:widowControl w:val="0"/>
              <w:jc w:val="center"/>
            </w:pPr>
            <w:r w:rsidRPr="00873941">
              <w:t>0%</w:t>
            </w:r>
          </w:p>
        </w:tc>
        <w:tc>
          <w:tcPr>
            <w:tcW w:w="879" w:type="pct"/>
            <w:vMerge/>
            <w:tcBorders>
              <w:left w:val="single" w:sz="4" w:space="0" w:color="auto"/>
              <w:right w:val="single" w:sz="4" w:space="0" w:color="auto"/>
            </w:tcBorders>
            <w:shd w:val="clear" w:color="auto" w:fill="auto"/>
          </w:tcPr>
          <w:p w14:paraId="055720B3" w14:textId="77777777" w:rsidR="00F37EFA" w:rsidRPr="00873941" w:rsidRDefault="00F37EFA" w:rsidP="0088158A">
            <w:pPr>
              <w:pStyle w:val="TableText0"/>
              <w:keepNext w:val="0"/>
              <w:widowControl w:val="0"/>
              <w:jc w:val="center"/>
            </w:pPr>
          </w:p>
        </w:tc>
      </w:tr>
      <w:tr w:rsidR="00F37EFA" w:rsidRPr="00873941" w14:paraId="18410667" w14:textId="77777777" w:rsidTr="009119B1">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47925DEB" w14:textId="494CAE4A" w:rsidR="00F37EFA" w:rsidRPr="00873941" w:rsidRDefault="00F37EFA" w:rsidP="0088158A">
            <w:pPr>
              <w:pStyle w:val="TableText0"/>
              <w:keepNext w:val="0"/>
              <w:widowControl w:val="0"/>
            </w:pPr>
            <w:r w:rsidRPr="00873941">
              <w:t>% alive at 5 years (95% CI)</w:t>
            </w:r>
          </w:p>
        </w:tc>
        <w:tc>
          <w:tcPr>
            <w:tcW w:w="786" w:type="pct"/>
            <w:tcBorders>
              <w:top w:val="single" w:sz="4" w:space="0" w:color="auto"/>
              <w:left w:val="single" w:sz="4" w:space="0" w:color="auto"/>
              <w:bottom w:val="single" w:sz="4" w:space="0" w:color="auto"/>
              <w:right w:val="single" w:sz="4" w:space="0" w:color="auto"/>
            </w:tcBorders>
          </w:tcPr>
          <w:p w14:paraId="5529DF01" w14:textId="1A0898F9" w:rsidR="00F37EFA" w:rsidRPr="00873941" w:rsidRDefault="00F37EFA" w:rsidP="0088158A">
            <w:pPr>
              <w:pStyle w:val="TableText0"/>
              <w:keepNext w:val="0"/>
              <w:widowControl w:val="0"/>
              <w:jc w:val="center"/>
              <w:rPr>
                <w:szCs w:val="20"/>
              </w:rPr>
            </w:pPr>
            <w:r w:rsidRPr="00873941">
              <w:rPr>
                <w:szCs w:val="20"/>
              </w:rPr>
              <w:t>94% (90, 97)</w:t>
            </w:r>
          </w:p>
        </w:tc>
        <w:tc>
          <w:tcPr>
            <w:tcW w:w="707" w:type="pct"/>
            <w:tcBorders>
              <w:top w:val="single" w:sz="4" w:space="0" w:color="auto"/>
              <w:left w:val="single" w:sz="4" w:space="0" w:color="auto"/>
              <w:bottom w:val="single" w:sz="4" w:space="0" w:color="auto"/>
              <w:right w:val="single" w:sz="4" w:space="0" w:color="auto"/>
            </w:tcBorders>
          </w:tcPr>
          <w:p w14:paraId="425D1303" w14:textId="56E14526" w:rsidR="00F37EFA" w:rsidRPr="00873941" w:rsidRDefault="00F37EFA" w:rsidP="0088158A">
            <w:pPr>
              <w:pStyle w:val="TableText0"/>
              <w:keepNext w:val="0"/>
              <w:widowControl w:val="0"/>
              <w:jc w:val="center"/>
              <w:rPr>
                <w:szCs w:val="20"/>
              </w:rPr>
            </w:pPr>
            <w:r w:rsidRPr="00873941">
              <w:rPr>
                <w:szCs w:val="20"/>
              </w:rPr>
              <w:t>90 (84, 96)</w:t>
            </w:r>
          </w:p>
        </w:tc>
        <w:tc>
          <w:tcPr>
            <w:tcW w:w="980" w:type="pct"/>
            <w:tcBorders>
              <w:top w:val="single" w:sz="4" w:space="0" w:color="auto"/>
              <w:left w:val="single" w:sz="4" w:space="0" w:color="auto"/>
              <w:bottom w:val="single" w:sz="4" w:space="0" w:color="auto"/>
              <w:right w:val="single" w:sz="4" w:space="0" w:color="auto"/>
            </w:tcBorders>
          </w:tcPr>
          <w:p w14:paraId="07AF3847" w14:textId="1B26A197" w:rsidR="00F37EFA" w:rsidRPr="00873941" w:rsidRDefault="00F37EFA" w:rsidP="0088158A">
            <w:pPr>
              <w:pStyle w:val="TableText0"/>
              <w:keepNext w:val="0"/>
              <w:widowControl w:val="0"/>
              <w:jc w:val="center"/>
            </w:pPr>
            <w:r w:rsidRPr="00873941">
              <w:t>4%</w:t>
            </w:r>
          </w:p>
        </w:tc>
        <w:tc>
          <w:tcPr>
            <w:tcW w:w="879" w:type="pct"/>
            <w:vMerge/>
            <w:tcBorders>
              <w:left w:val="single" w:sz="4" w:space="0" w:color="auto"/>
              <w:bottom w:val="single" w:sz="4" w:space="0" w:color="auto"/>
              <w:right w:val="single" w:sz="4" w:space="0" w:color="auto"/>
            </w:tcBorders>
            <w:shd w:val="clear" w:color="auto" w:fill="auto"/>
          </w:tcPr>
          <w:p w14:paraId="680EBBA1" w14:textId="77777777" w:rsidR="00F37EFA" w:rsidRPr="00873941" w:rsidRDefault="00F37EFA" w:rsidP="0088158A">
            <w:pPr>
              <w:pStyle w:val="TableText0"/>
              <w:keepNext w:val="0"/>
              <w:widowControl w:val="0"/>
              <w:jc w:val="center"/>
            </w:pPr>
          </w:p>
        </w:tc>
      </w:tr>
    </w:tbl>
    <w:tbl>
      <w:tblPr>
        <w:tblW w:w="5000" w:type="pct"/>
        <w:tblLayout w:type="fixed"/>
        <w:tblCellMar>
          <w:left w:w="28" w:type="dxa"/>
          <w:right w:w="28" w:type="dxa"/>
        </w:tblCellMar>
        <w:tblLook w:val="04A0" w:firstRow="1" w:lastRow="0" w:firstColumn="1" w:lastColumn="0" w:noHBand="0" w:noVBand="1"/>
      </w:tblPr>
      <w:tblGrid>
        <w:gridCol w:w="1150"/>
        <w:gridCol w:w="6"/>
        <w:gridCol w:w="1128"/>
        <w:gridCol w:w="7"/>
        <w:gridCol w:w="1277"/>
        <w:gridCol w:w="1555"/>
        <w:gridCol w:w="1133"/>
        <w:gridCol w:w="1253"/>
        <w:gridCol w:w="1508"/>
      </w:tblGrid>
      <w:tr w:rsidR="0099451E" w:rsidRPr="00873941" w14:paraId="4CB55A42" w14:textId="77777777" w:rsidTr="000369EF">
        <w:tc>
          <w:tcPr>
            <w:tcW w:w="5000" w:type="pct"/>
            <w:gridSpan w:val="9"/>
            <w:tcBorders>
              <w:top w:val="double" w:sz="4" w:space="0" w:color="auto"/>
              <w:left w:val="single" w:sz="4" w:space="0" w:color="auto"/>
              <w:bottom w:val="thickThinSmallGap" w:sz="12" w:space="0" w:color="auto"/>
              <w:right w:val="single" w:sz="4" w:space="0" w:color="auto"/>
            </w:tcBorders>
            <w:shd w:val="clear" w:color="auto" w:fill="auto"/>
            <w:vAlign w:val="center"/>
          </w:tcPr>
          <w:p w14:paraId="5D6D7F31" w14:textId="77777777" w:rsidR="0099451E" w:rsidRPr="00873941" w:rsidRDefault="0099451E" w:rsidP="0088158A">
            <w:pPr>
              <w:pStyle w:val="In-tableHeading"/>
              <w:keepNext w:val="0"/>
              <w:rPr>
                <w:lang w:val="en-AU"/>
              </w:rPr>
            </w:pPr>
            <w:r w:rsidRPr="00873941">
              <w:rPr>
                <w:lang w:val="en-AU"/>
              </w:rPr>
              <w:t xml:space="preserve">Harms </w:t>
            </w:r>
          </w:p>
        </w:tc>
      </w:tr>
      <w:tr w:rsidR="00870171" w:rsidRPr="00873941" w14:paraId="75B2E922" w14:textId="77777777" w:rsidTr="00F37EFA">
        <w:trPr>
          <w:trHeight w:val="70"/>
        </w:trPr>
        <w:tc>
          <w:tcPr>
            <w:tcW w:w="638" w:type="pct"/>
            <w:vMerge w:val="restart"/>
            <w:tcBorders>
              <w:top w:val="thickThinSmallGap" w:sz="12" w:space="0" w:color="auto"/>
              <w:left w:val="single" w:sz="4" w:space="0" w:color="auto"/>
              <w:bottom w:val="single" w:sz="4" w:space="0" w:color="auto"/>
              <w:right w:val="single" w:sz="4" w:space="0" w:color="auto"/>
            </w:tcBorders>
            <w:shd w:val="clear" w:color="auto" w:fill="auto"/>
            <w:vAlign w:val="center"/>
          </w:tcPr>
          <w:p w14:paraId="64547F8C" w14:textId="77777777" w:rsidR="00870171" w:rsidRPr="00873941" w:rsidRDefault="00870171" w:rsidP="0088158A">
            <w:pPr>
              <w:pStyle w:val="In-tableHeading"/>
              <w:keepNext w:val="0"/>
              <w:rPr>
                <w:lang w:val="en-AU"/>
              </w:rPr>
            </w:pPr>
          </w:p>
        </w:tc>
        <w:tc>
          <w:tcPr>
            <w:tcW w:w="629" w:type="pct"/>
            <w:gridSpan w:val="2"/>
            <w:vMerge w:val="restart"/>
            <w:tcBorders>
              <w:top w:val="thickThinSmallGap" w:sz="12" w:space="0" w:color="auto"/>
              <w:left w:val="single" w:sz="4" w:space="0" w:color="auto"/>
              <w:bottom w:val="single" w:sz="4" w:space="0" w:color="auto"/>
              <w:right w:val="single" w:sz="4" w:space="0" w:color="auto"/>
            </w:tcBorders>
            <w:vAlign w:val="center"/>
          </w:tcPr>
          <w:p w14:paraId="54EAC9CB" w14:textId="77777777" w:rsidR="00870171" w:rsidRPr="00873941" w:rsidRDefault="00870171" w:rsidP="0088158A">
            <w:pPr>
              <w:pStyle w:val="In-tableHeading"/>
              <w:keepNext w:val="0"/>
              <w:jc w:val="center"/>
              <w:rPr>
                <w:lang w:val="en-AU"/>
              </w:rPr>
            </w:pPr>
            <w:proofErr w:type="spellStart"/>
            <w:r w:rsidRPr="00873941">
              <w:rPr>
                <w:lang w:val="en-AU"/>
              </w:rPr>
              <w:t>P+T+Chemo</w:t>
            </w:r>
            <w:proofErr w:type="spellEnd"/>
          </w:p>
          <w:p w14:paraId="18AE1B71" w14:textId="4E4C579F" w:rsidR="00870171" w:rsidRPr="00873941" w:rsidRDefault="00870171" w:rsidP="0088158A">
            <w:pPr>
              <w:pStyle w:val="In-tableHeading"/>
              <w:keepNext w:val="0"/>
              <w:jc w:val="center"/>
              <w:rPr>
                <w:lang w:val="en-AU"/>
              </w:rPr>
            </w:pPr>
            <w:r w:rsidRPr="00873941">
              <w:rPr>
                <w:lang w:val="en-AU"/>
              </w:rPr>
              <w:t>n/N</w:t>
            </w:r>
          </w:p>
        </w:tc>
        <w:tc>
          <w:tcPr>
            <w:tcW w:w="712" w:type="pct"/>
            <w:gridSpan w:val="2"/>
            <w:vMerge w:val="restart"/>
            <w:tcBorders>
              <w:top w:val="thickThinSmallGap" w:sz="12" w:space="0" w:color="auto"/>
              <w:left w:val="single" w:sz="4" w:space="0" w:color="auto"/>
              <w:bottom w:val="single" w:sz="4" w:space="0" w:color="auto"/>
              <w:right w:val="single" w:sz="4" w:space="0" w:color="auto"/>
            </w:tcBorders>
            <w:vAlign w:val="center"/>
          </w:tcPr>
          <w:p w14:paraId="2A91D3A0" w14:textId="77777777" w:rsidR="00870171" w:rsidRPr="00873941" w:rsidRDefault="00870171" w:rsidP="0088158A">
            <w:pPr>
              <w:pStyle w:val="In-tableHeading"/>
              <w:keepNext w:val="0"/>
              <w:jc w:val="center"/>
              <w:rPr>
                <w:lang w:val="en-AU"/>
              </w:rPr>
            </w:pPr>
            <w:proofErr w:type="spellStart"/>
            <w:r w:rsidRPr="00873941">
              <w:rPr>
                <w:lang w:val="en-AU"/>
              </w:rPr>
              <w:t>T+Chemo</w:t>
            </w:r>
            <w:proofErr w:type="spellEnd"/>
          </w:p>
          <w:p w14:paraId="6D0B7D43" w14:textId="377063D0" w:rsidR="00870171" w:rsidRPr="00873941" w:rsidRDefault="00870171" w:rsidP="0088158A">
            <w:pPr>
              <w:pStyle w:val="In-tableHeading"/>
              <w:keepNext w:val="0"/>
              <w:jc w:val="center"/>
              <w:rPr>
                <w:lang w:val="en-AU"/>
              </w:rPr>
            </w:pPr>
            <w:r w:rsidRPr="00873941">
              <w:rPr>
                <w:lang w:val="en-AU"/>
              </w:rPr>
              <w:t>n/N</w:t>
            </w:r>
          </w:p>
        </w:tc>
        <w:tc>
          <w:tcPr>
            <w:tcW w:w="862" w:type="pct"/>
            <w:vMerge w:val="restart"/>
            <w:tcBorders>
              <w:top w:val="thickThinSmallGap" w:sz="12" w:space="0" w:color="auto"/>
              <w:left w:val="single" w:sz="4" w:space="0" w:color="auto"/>
              <w:bottom w:val="single" w:sz="4" w:space="0" w:color="auto"/>
              <w:right w:val="single" w:sz="4" w:space="0" w:color="auto"/>
            </w:tcBorders>
            <w:vAlign w:val="center"/>
          </w:tcPr>
          <w:p w14:paraId="6CD15AD0" w14:textId="77777777" w:rsidR="00870171" w:rsidRPr="00873941" w:rsidRDefault="00870171" w:rsidP="0088158A">
            <w:pPr>
              <w:pStyle w:val="In-tableHeading"/>
              <w:keepNext w:val="0"/>
              <w:jc w:val="center"/>
              <w:rPr>
                <w:lang w:val="en-AU"/>
              </w:rPr>
            </w:pPr>
            <w:r w:rsidRPr="00873941">
              <w:rPr>
                <w:lang w:val="en-AU"/>
              </w:rPr>
              <w:t>RR</w:t>
            </w:r>
          </w:p>
          <w:p w14:paraId="3695D7EC" w14:textId="77777777" w:rsidR="00870171" w:rsidRPr="00873941" w:rsidRDefault="00870171" w:rsidP="0088158A">
            <w:pPr>
              <w:pStyle w:val="In-tableHeading"/>
              <w:keepNext w:val="0"/>
              <w:jc w:val="center"/>
              <w:rPr>
                <w:lang w:val="en-AU"/>
              </w:rPr>
            </w:pPr>
            <w:r w:rsidRPr="00873941">
              <w:rPr>
                <w:lang w:val="en-AU"/>
              </w:rPr>
              <w:t>(95% CI)</w:t>
            </w:r>
          </w:p>
        </w:tc>
        <w:tc>
          <w:tcPr>
            <w:tcW w:w="1323" w:type="pct"/>
            <w:gridSpan w:val="2"/>
            <w:tcBorders>
              <w:top w:val="thickThinSmallGap" w:sz="12" w:space="0" w:color="auto"/>
              <w:left w:val="single" w:sz="4" w:space="0" w:color="auto"/>
              <w:bottom w:val="single" w:sz="4" w:space="0" w:color="auto"/>
              <w:right w:val="single" w:sz="4" w:space="0" w:color="auto"/>
            </w:tcBorders>
            <w:vAlign w:val="center"/>
          </w:tcPr>
          <w:p w14:paraId="2D89440A" w14:textId="280160CC" w:rsidR="00870171" w:rsidRPr="00873941" w:rsidRDefault="00870171" w:rsidP="0088158A">
            <w:pPr>
              <w:pStyle w:val="In-tableHeading"/>
              <w:keepNext w:val="0"/>
              <w:jc w:val="center"/>
              <w:rPr>
                <w:lang w:val="en-AU"/>
              </w:rPr>
            </w:pPr>
            <w:r w:rsidRPr="00873941">
              <w:rPr>
                <w:lang w:val="en-AU"/>
              </w:rPr>
              <w:t xml:space="preserve">Event rate/100 </w:t>
            </w:r>
            <w:proofErr w:type="spellStart"/>
            <w:r w:rsidRPr="00873941">
              <w:rPr>
                <w:lang w:val="en-AU"/>
              </w:rPr>
              <w:t>patients</w:t>
            </w:r>
            <w:r w:rsidR="008143EE" w:rsidRPr="00873941">
              <w:rPr>
                <w:vertAlign w:val="superscript"/>
                <w:lang w:val="en-AU"/>
              </w:rPr>
              <w:t>a</w:t>
            </w:r>
            <w:proofErr w:type="spellEnd"/>
          </w:p>
        </w:tc>
        <w:tc>
          <w:tcPr>
            <w:tcW w:w="836" w:type="pct"/>
            <w:vMerge w:val="restart"/>
            <w:tcBorders>
              <w:top w:val="thickThinSmallGap" w:sz="12" w:space="0" w:color="auto"/>
              <w:left w:val="single" w:sz="4" w:space="0" w:color="auto"/>
              <w:bottom w:val="single" w:sz="4" w:space="0" w:color="auto"/>
              <w:right w:val="single" w:sz="4" w:space="0" w:color="auto"/>
            </w:tcBorders>
            <w:vAlign w:val="center"/>
          </w:tcPr>
          <w:p w14:paraId="0603FC2B" w14:textId="77777777" w:rsidR="00870171" w:rsidRPr="00873941" w:rsidRDefault="00870171" w:rsidP="0088158A">
            <w:pPr>
              <w:pStyle w:val="In-tableHeading"/>
              <w:keepNext w:val="0"/>
              <w:jc w:val="center"/>
              <w:rPr>
                <w:lang w:val="en-AU"/>
              </w:rPr>
            </w:pPr>
            <w:r w:rsidRPr="00873941">
              <w:rPr>
                <w:lang w:val="en-AU"/>
              </w:rPr>
              <w:t>RD</w:t>
            </w:r>
          </w:p>
          <w:p w14:paraId="61EDAA80" w14:textId="77777777" w:rsidR="00870171" w:rsidRPr="00873941" w:rsidRDefault="00870171" w:rsidP="0088158A">
            <w:pPr>
              <w:pStyle w:val="In-tableHeading"/>
              <w:keepNext w:val="0"/>
              <w:jc w:val="center"/>
              <w:rPr>
                <w:lang w:val="en-AU"/>
              </w:rPr>
            </w:pPr>
            <w:r w:rsidRPr="00873941">
              <w:rPr>
                <w:lang w:val="en-AU"/>
              </w:rPr>
              <w:t>(95% CI)</w:t>
            </w:r>
          </w:p>
        </w:tc>
      </w:tr>
      <w:tr w:rsidR="00870171" w:rsidRPr="00873941" w14:paraId="479B77C6" w14:textId="77777777" w:rsidTr="00F37EFA">
        <w:trPr>
          <w:trHeight w:val="390"/>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A6A81F" w14:textId="77777777" w:rsidR="00870171" w:rsidRPr="00873941" w:rsidRDefault="00870171" w:rsidP="0088158A">
            <w:pPr>
              <w:pStyle w:val="In-tableHeading"/>
              <w:keepNext w:val="0"/>
              <w:rPr>
                <w:lang w:val="en-AU"/>
              </w:rPr>
            </w:pPr>
          </w:p>
        </w:tc>
        <w:tc>
          <w:tcPr>
            <w:tcW w:w="629" w:type="pct"/>
            <w:gridSpan w:val="2"/>
            <w:vMerge/>
            <w:tcBorders>
              <w:top w:val="single" w:sz="4" w:space="0" w:color="auto"/>
              <w:left w:val="single" w:sz="4" w:space="0" w:color="auto"/>
              <w:bottom w:val="single" w:sz="4" w:space="0" w:color="auto"/>
              <w:right w:val="single" w:sz="4" w:space="0" w:color="auto"/>
            </w:tcBorders>
            <w:vAlign w:val="center"/>
          </w:tcPr>
          <w:p w14:paraId="738CA751" w14:textId="77777777" w:rsidR="00870171" w:rsidRPr="00873941" w:rsidRDefault="00870171" w:rsidP="0088158A">
            <w:pPr>
              <w:pStyle w:val="In-tableHeading"/>
              <w:keepNext w:val="0"/>
              <w:rPr>
                <w:lang w:val="en-AU"/>
              </w:rPr>
            </w:pPr>
          </w:p>
        </w:tc>
        <w:tc>
          <w:tcPr>
            <w:tcW w:w="712" w:type="pct"/>
            <w:gridSpan w:val="2"/>
            <w:vMerge/>
            <w:tcBorders>
              <w:top w:val="single" w:sz="4" w:space="0" w:color="auto"/>
              <w:left w:val="single" w:sz="4" w:space="0" w:color="auto"/>
              <w:bottom w:val="single" w:sz="4" w:space="0" w:color="auto"/>
              <w:right w:val="single" w:sz="4" w:space="0" w:color="auto"/>
            </w:tcBorders>
            <w:vAlign w:val="center"/>
          </w:tcPr>
          <w:p w14:paraId="75FBCA94" w14:textId="77777777" w:rsidR="00870171" w:rsidRPr="00873941" w:rsidRDefault="00870171" w:rsidP="0088158A">
            <w:pPr>
              <w:pStyle w:val="In-tableHeading"/>
              <w:keepNext w:val="0"/>
              <w:rPr>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14:paraId="57978F38" w14:textId="77777777" w:rsidR="00870171" w:rsidRPr="00873941" w:rsidRDefault="00870171" w:rsidP="0088158A">
            <w:pPr>
              <w:pStyle w:val="In-tableHeading"/>
              <w:keepNext w:val="0"/>
              <w:rPr>
                <w:lang w:val="en-AU"/>
              </w:rPr>
            </w:pPr>
          </w:p>
        </w:tc>
        <w:tc>
          <w:tcPr>
            <w:tcW w:w="628" w:type="pct"/>
            <w:tcBorders>
              <w:top w:val="single" w:sz="4" w:space="0" w:color="auto"/>
              <w:left w:val="single" w:sz="4" w:space="0" w:color="auto"/>
              <w:bottom w:val="single" w:sz="4" w:space="0" w:color="auto"/>
              <w:right w:val="single" w:sz="4" w:space="0" w:color="auto"/>
            </w:tcBorders>
            <w:vAlign w:val="center"/>
          </w:tcPr>
          <w:p w14:paraId="6C5E3022" w14:textId="00E5C805" w:rsidR="00870171" w:rsidRPr="00873941" w:rsidRDefault="00C432B6" w:rsidP="0088158A">
            <w:pPr>
              <w:pStyle w:val="In-tableHeading"/>
              <w:keepNext w:val="0"/>
              <w:jc w:val="center"/>
              <w:rPr>
                <w:lang w:val="en-AU"/>
              </w:rPr>
            </w:pPr>
            <w:proofErr w:type="spellStart"/>
            <w:r w:rsidRPr="00873941">
              <w:rPr>
                <w:lang w:val="en-AU"/>
              </w:rPr>
              <w:t>P+T+Chemo</w:t>
            </w:r>
            <w:proofErr w:type="spellEnd"/>
          </w:p>
        </w:tc>
        <w:tc>
          <w:tcPr>
            <w:tcW w:w="695" w:type="pct"/>
            <w:tcBorders>
              <w:top w:val="single" w:sz="4" w:space="0" w:color="auto"/>
              <w:left w:val="single" w:sz="4" w:space="0" w:color="auto"/>
              <w:bottom w:val="single" w:sz="4" w:space="0" w:color="auto"/>
              <w:right w:val="single" w:sz="4" w:space="0" w:color="auto"/>
            </w:tcBorders>
            <w:vAlign w:val="center"/>
          </w:tcPr>
          <w:p w14:paraId="0B50134F" w14:textId="3D543AD8" w:rsidR="00870171" w:rsidRPr="00873941" w:rsidRDefault="00C432B6" w:rsidP="0088158A">
            <w:pPr>
              <w:pStyle w:val="In-tableHeading"/>
              <w:keepNext w:val="0"/>
              <w:jc w:val="center"/>
              <w:rPr>
                <w:lang w:val="en-AU"/>
              </w:rPr>
            </w:pPr>
            <w:proofErr w:type="spellStart"/>
            <w:r w:rsidRPr="00873941">
              <w:rPr>
                <w:lang w:val="en-AU"/>
              </w:rPr>
              <w:t>T+Chemo</w:t>
            </w:r>
            <w:proofErr w:type="spellEnd"/>
          </w:p>
        </w:tc>
        <w:tc>
          <w:tcPr>
            <w:tcW w:w="836" w:type="pct"/>
            <w:vMerge/>
            <w:tcBorders>
              <w:top w:val="single" w:sz="4" w:space="0" w:color="auto"/>
              <w:left w:val="single" w:sz="4" w:space="0" w:color="auto"/>
              <w:bottom w:val="single" w:sz="4" w:space="0" w:color="auto"/>
              <w:right w:val="single" w:sz="4" w:space="0" w:color="auto"/>
            </w:tcBorders>
            <w:vAlign w:val="center"/>
          </w:tcPr>
          <w:p w14:paraId="1A0186C2" w14:textId="77777777" w:rsidR="00870171" w:rsidRPr="00873941" w:rsidRDefault="00870171" w:rsidP="0088158A">
            <w:pPr>
              <w:pStyle w:val="In-tableHeading"/>
              <w:keepNext w:val="0"/>
              <w:rPr>
                <w:lang w:val="en-AU"/>
              </w:rPr>
            </w:pPr>
          </w:p>
        </w:tc>
      </w:tr>
      <w:tr w:rsidR="00870171" w:rsidRPr="00873941" w14:paraId="1290D3E1" w14:textId="77777777" w:rsidTr="003D1DE4">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324EC2B8" w14:textId="5280BF20" w:rsidR="00870171" w:rsidRPr="00873941" w:rsidRDefault="00870171" w:rsidP="0088158A">
            <w:pPr>
              <w:pStyle w:val="In-tableHeading"/>
              <w:keepNext w:val="0"/>
              <w:jc w:val="both"/>
              <w:rPr>
                <w:lang w:val="en-AU"/>
              </w:rPr>
            </w:pPr>
            <w:r w:rsidRPr="00873941">
              <w:rPr>
                <w:lang w:val="en-AU"/>
              </w:rPr>
              <w:t>Serious Adverse Events</w:t>
            </w:r>
            <w:r w:rsidR="003F3213" w:rsidRPr="00873941">
              <w:rPr>
                <w:lang w:val="en-AU"/>
              </w:rPr>
              <w:t xml:space="preserve"> (neoadjuvant treatment period)</w:t>
            </w:r>
          </w:p>
        </w:tc>
      </w:tr>
      <w:tr w:rsidR="00870171" w:rsidRPr="00873941" w14:paraId="572E193B" w14:textId="77777777" w:rsidTr="00F37EFA">
        <w:tc>
          <w:tcPr>
            <w:tcW w:w="6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D19B5" w14:textId="186F20F1" w:rsidR="00870171" w:rsidRPr="00873941" w:rsidRDefault="00870171" w:rsidP="0088158A">
            <w:pPr>
              <w:pStyle w:val="TableText0"/>
              <w:keepNext w:val="0"/>
            </w:pPr>
            <w:r w:rsidRPr="00873941">
              <w:t>NEOSPHERE</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4C700CB8" w14:textId="7F9C9B9B" w:rsidR="00870171" w:rsidRPr="00873941" w:rsidRDefault="003F3213" w:rsidP="0088158A">
            <w:pPr>
              <w:pStyle w:val="TableText0"/>
              <w:keepNext w:val="0"/>
              <w:jc w:val="center"/>
            </w:pPr>
            <w:r w:rsidRPr="00873941">
              <w:t>12/107</w:t>
            </w:r>
          </w:p>
        </w:tc>
        <w:tc>
          <w:tcPr>
            <w:tcW w:w="708" w:type="pct"/>
            <w:tcBorders>
              <w:top w:val="single" w:sz="4" w:space="0" w:color="auto"/>
              <w:left w:val="single" w:sz="4" w:space="0" w:color="auto"/>
              <w:bottom w:val="single" w:sz="4" w:space="0" w:color="auto"/>
              <w:right w:val="single" w:sz="4" w:space="0" w:color="auto"/>
            </w:tcBorders>
            <w:vAlign w:val="center"/>
          </w:tcPr>
          <w:p w14:paraId="01A4D221" w14:textId="3D271A38" w:rsidR="00870171" w:rsidRPr="00873941" w:rsidRDefault="003F3213" w:rsidP="0088158A">
            <w:pPr>
              <w:pStyle w:val="TableText0"/>
              <w:keepNext w:val="0"/>
              <w:jc w:val="center"/>
            </w:pPr>
            <w:r w:rsidRPr="00873941">
              <w:t>18/107</w:t>
            </w:r>
          </w:p>
        </w:tc>
        <w:tc>
          <w:tcPr>
            <w:tcW w:w="862" w:type="pct"/>
            <w:tcBorders>
              <w:top w:val="single" w:sz="4" w:space="0" w:color="auto"/>
              <w:left w:val="single" w:sz="4" w:space="0" w:color="auto"/>
              <w:bottom w:val="single" w:sz="4" w:space="0" w:color="auto"/>
              <w:right w:val="single" w:sz="4" w:space="0" w:color="auto"/>
            </w:tcBorders>
            <w:vAlign w:val="center"/>
          </w:tcPr>
          <w:p w14:paraId="34986F80" w14:textId="5D68B4B6" w:rsidR="00870171" w:rsidRPr="00873941" w:rsidRDefault="003F3213" w:rsidP="0088158A">
            <w:pPr>
              <w:pStyle w:val="TableText0"/>
              <w:keepNext w:val="0"/>
              <w:jc w:val="center"/>
            </w:pPr>
            <w:r w:rsidRPr="00873941">
              <w:t>0.67 (0.34, 1.32)</w:t>
            </w:r>
          </w:p>
        </w:tc>
        <w:tc>
          <w:tcPr>
            <w:tcW w:w="628" w:type="pct"/>
            <w:tcBorders>
              <w:top w:val="single" w:sz="4" w:space="0" w:color="auto"/>
              <w:left w:val="single" w:sz="4" w:space="0" w:color="auto"/>
              <w:bottom w:val="single" w:sz="4" w:space="0" w:color="auto"/>
              <w:right w:val="single" w:sz="4" w:space="0" w:color="auto"/>
            </w:tcBorders>
            <w:vAlign w:val="center"/>
          </w:tcPr>
          <w:p w14:paraId="56FA6411" w14:textId="0D36A253" w:rsidR="00870171" w:rsidRPr="00873941" w:rsidRDefault="00D00114" w:rsidP="0088158A">
            <w:pPr>
              <w:pStyle w:val="TableText0"/>
              <w:keepNext w:val="0"/>
              <w:jc w:val="center"/>
            </w:pPr>
            <w:r w:rsidRPr="00873941">
              <w:t>11</w:t>
            </w:r>
          </w:p>
        </w:tc>
        <w:tc>
          <w:tcPr>
            <w:tcW w:w="695" w:type="pct"/>
            <w:tcBorders>
              <w:top w:val="single" w:sz="4" w:space="0" w:color="auto"/>
              <w:left w:val="single" w:sz="4" w:space="0" w:color="auto"/>
              <w:bottom w:val="single" w:sz="4" w:space="0" w:color="auto"/>
              <w:right w:val="single" w:sz="4" w:space="0" w:color="auto"/>
            </w:tcBorders>
            <w:vAlign w:val="center"/>
          </w:tcPr>
          <w:p w14:paraId="5EDDCB36" w14:textId="71112EE5" w:rsidR="00870171" w:rsidRPr="00873941" w:rsidRDefault="00D00114" w:rsidP="0088158A">
            <w:pPr>
              <w:pStyle w:val="TableText0"/>
              <w:keepNext w:val="0"/>
              <w:jc w:val="center"/>
            </w:pPr>
            <w:r w:rsidRPr="00873941">
              <w:t>17</w:t>
            </w:r>
          </w:p>
        </w:tc>
        <w:tc>
          <w:tcPr>
            <w:tcW w:w="836" w:type="pct"/>
            <w:tcBorders>
              <w:top w:val="single" w:sz="4" w:space="0" w:color="auto"/>
              <w:left w:val="single" w:sz="4" w:space="0" w:color="auto"/>
              <w:bottom w:val="single" w:sz="4" w:space="0" w:color="auto"/>
              <w:right w:val="single" w:sz="4" w:space="0" w:color="auto"/>
            </w:tcBorders>
            <w:vAlign w:val="center"/>
          </w:tcPr>
          <w:p w14:paraId="3D5DEBDC" w14:textId="5D812E5A" w:rsidR="00870171" w:rsidRPr="00873941" w:rsidRDefault="00D00114" w:rsidP="0088158A">
            <w:pPr>
              <w:pStyle w:val="TableText0"/>
              <w:keepNext w:val="0"/>
              <w:jc w:val="center"/>
            </w:pPr>
            <w:r w:rsidRPr="00873941">
              <w:t>-0.06 (-0.15, 0.04)</w:t>
            </w:r>
          </w:p>
        </w:tc>
      </w:tr>
      <w:tr w:rsidR="00870171" w:rsidRPr="00873941" w14:paraId="7F696254" w14:textId="77777777" w:rsidTr="00F37EFA">
        <w:tc>
          <w:tcPr>
            <w:tcW w:w="6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F677A" w14:textId="3175641B" w:rsidR="00870171" w:rsidRPr="00873941" w:rsidRDefault="00870171" w:rsidP="0088158A">
            <w:pPr>
              <w:pStyle w:val="TableText0"/>
              <w:keepNext w:val="0"/>
            </w:pPr>
            <w:r w:rsidRPr="00873941">
              <w:t>PEONY</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53E18DAF" w14:textId="0774A14A" w:rsidR="00870171" w:rsidRPr="00873941" w:rsidRDefault="00D214D6" w:rsidP="0088158A">
            <w:pPr>
              <w:pStyle w:val="TableText0"/>
              <w:keepNext w:val="0"/>
              <w:jc w:val="center"/>
            </w:pPr>
            <w:r w:rsidRPr="00873941">
              <w:t>22/218</w:t>
            </w:r>
          </w:p>
        </w:tc>
        <w:tc>
          <w:tcPr>
            <w:tcW w:w="708" w:type="pct"/>
            <w:tcBorders>
              <w:top w:val="single" w:sz="4" w:space="0" w:color="auto"/>
              <w:left w:val="single" w:sz="4" w:space="0" w:color="auto"/>
              <w:bottom w:val="single" w:sz="4" w:space="0" w:color="auto"/>
              <w:right w:val="single" w:sz="4" w:space="0" w:color="auto"/>
            </w:tcBorders>
            <w:vAlign w:val="center"/>
          </w:tcPr>
          <w:p w14:paraId="0F054EAA" w14:textId="6312EF08" w:rsidR="00870171" w:rsidRPr="00873941" w:rsidRDefault="00D214D6" w:rsidP="0088158A">
            <w:pPr>
              <w:pStyle w:val="TableText0"/>
              <w:keepNext w:val="0"/>
              <w:jc w:val="center"/>
            </w:pPr>
            <w:r w:rsidRPr="00873941">
              <w:t>9/110</w:t>
            </w:r>
          </w:p>
        </w:tc>
        <w:tc>
          <w:tcPr>
            <w:tcW w:w="862" w:type="pct"/>
            <w:tcBorders>
              <w:top w:val="single" w:sz="4" w:space="0" w:color="auto"/>
              <w:left w:val="single" w:sz="4" w:space="0" w:color="auto"/>
              <w:bottom w:val="single" w:sz="4" w:space="0" w:color="auto"/>
              <w:right w:val="single" w:sz="4" w:space="0" w:color="auto"/>
            </w:tcBorders>
            <w:vAlign w:val="center"/>
          </w:tcPr>
          <w:p w14:paraId="59A78C4C" w14:textId="34A70112" w:rsidR="00870171" w:rsidRPr="00873941" w:rsidRDefault="00D214D6" w:rsidP="0088158A">
            <w:pPr>
              <w:pStyle w:val="TableText0"/>
              <w:keepNext w:val="0"/>
              <w:jc w:val="center"/>
            </w:pPr>
            <w:r w:rsidRPr="00873941">
              <w:t>1.29 (0.59, 2.59)</w:t>
            </w:r>
          </w:p>
        </w:tc>
        <w:tc>
          <w:tcPr>
            <w:tcW w:w="628" w:type="pct"/>
            <w:tcBorders>
              <w:top w:val="single" w:sz="4" w:space="0" w:color="auto"/>
              <w:left w:val="single" w:sz="4" w:space="0" w:color="auto"/>
              <w:bottom w:val="single" w:sz="4" w:space="0" w:color="auto"/>
              <w:right w:val="single" w:sz="4" w:space="0" w:color="auto"/>
            </w:tcBorders>
            <w:vAlign w:val="center"/>
          </w:tcPr>
          <w:p w14:paraId="0BBE36D3" w14:textId="4505B7FC" w:rsidR="00870171" w:rsidRPr="00873941" w:rsidRDefault="00D00114" w:rsidP="0088158A">
            <w:pPr>
              <w:pStyle w:val="TableText0"/>
              <w:keepNext w:val="0"/>
              <w:jc w:val="center"/>
            </w:pPr>
            <w:r w:rsidRPr="00873941">
              <w:t>10</w:t>
            </w:r>
          </w:p>
        </w:tc>
        <w:tc>
          <w:tcPr>
            <w:tcW w:w="695" w:type="pct"/>
            <w:tcBorders>
              <w:top w:val="single" w:sz="4" w:space="0" w:color="auto"/>
              <w:left w:val="single" w:sz="4" w:space="0" w:color="auto"/>
              <w:bottom w:val="single" w:sz="4" w:space="0" w:color="auto"/>
              <w:right w:val="single" w:sz="4" w:space="0" w:color="auto"/>
            </w:tcBorders>
            <w:vAlign w:val="center"/>
          </w:tcPr>
          <w:p w14:paraId="1B49EFC2" w14:textId="3B40FA82" w:rsidR="00870171" w:rsidRPr="00873941" w:rsidRDefault="00D00114" w:rsidP="0088158A">
            <w:pPr>
              <w:pStyle w:val="TableText0"/>
              <w:keepNext w:val="0"/>
              <w:jc w:val="center"/>
            </w:pPr>
            <w:r w:rsidRPr="00873941">
              <w:t>8</w:t>
            </w:r>
          </w:p>
        </w:tc>
        <w:tc>
          <w:tcPr>
            <w:tcW w:w="836" w:type="pct"/>
            <w:tcBorders>
              <w:top w:val="single" w:sz="4" w:space="0" w:color="auto"/>
              <w:left w:val="single" w:sz="4" w:space="0" w:color="auto"/>
              <w:bottom w:val="single" w:sz="4" w:space="0" w:color="auto"/>
              <w:right w:val="single" w:sz="4" w:space="0" w:color="auto"/>
            </w:tcBorders>
            <w:vAlign w:val="center"/>
          </w:tcPr>
          <w:p w14:paraId="7E7F944E" w14:textId="02110488" w:rsidR="00870171" w:rsidRPr="00873941" w:rsidRDefault="00D00114" w:rsidP="0088158A">
            <w:pPr>
              <w:pStyle w:val="TableText0"/>
              <w:keepNext w:val="0"/>
              <w:jc w:val="center"/>
            </w:pPr>
            <w:r w:rsidRPr="00873941">
              <w:t>0.02 (-0.05, 0.08)</w:t>
            </w:r>
          </w:p>
        </w:tc>
      </w:tr>
      <w:tr w:rsidR="003571AB" w:rsidRPr="00873941" w14:paraId="5738FF75" w14:textId="77777777" w:rsidTr="00F37EFA">
        <w:tc>
          <w:tcPr>
            <w:tcW w:w="6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9D022" w14:textId="27091A7D" w:rsidR="003571AB" w:rsidRPr="00873941" w:rsidRDefault="003571AB" w:rsidP="0088158A">
            <w:pPr>
              <w:pStyle w:val="TableText0"/>
              <w:keepNext w:val="0"/>
            </w:pPr>
            <w:r w:rsidRPr="00873941">
              <w:t>I-SPY2-PTP</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3BE2663E" w14:textId="1B9F36E7" w:rsidR="003571AB" w:rsidRPr="00873941" w:rsidRDefault="003571AB" w:rsidP="0088158A">
            <w:pPr>
              <w:pStyle w:val="TableText0"/>
              <w:keepNext w:val="0"/>
              <w:jc w:val="center"/>
            </w:pPr>
            <w:r w:rsidRPr="00873941">
              <w:t>NR</w:t>
            </w:r>
          </w:p>
        </w:tc>
        <w:tc>
          <w:tcPr>
            <w:tcW w:w="708" w:type="pct"/>
            <w:tcBorders>
              <w:top w:val="single" w:sz="4" w:space="0" w:color="auto"/>
              <w:left w:val="single" w:sz="4" w:space="0" w:color="auto"/>
              <w:bottom w:val="single" w:sz="4" w:space="0" w:color="auto"/>
              <w:right w:val="single" w:sz="4" w:space="0" w:color="auto"/>
            </w:tcBorders>
            <w:vAlign w:val="center"/>
          </w:tcPr>
          <w:p w14:paraId="777933B5" w14:textId="4609EAD3" w:rsidR="003571AB" w:rsidRPr="00873941" w:rsidRDefault="003571AB" w:rsidP="0088158A">
            <w:pPr>
              <w:pStyle w:val="TableText0"/>
              <w:keepNext w:val="0"/>
              <w:jc w:val="center"/>
            </w:pPr>
            <w:r w:rsidRPr="00873941">
              <w:t>NR</w:t>
            </w:r>
          </w:p>
        </w:tc>
        <w:tc>
          <w:tcPr>
            <w:tcW w:w="862" w:type="pct"/>
            <w:tcBorders>
              <w:top w:val="single" w:sz="4" w:space="0" w:color="auto"/>
              <w:left w:val="single" w:sz="4" w:space="0" w:color="auto"/>
              <w:bottom w:val="single" w:sz="4" w:space="0" w:color="auto"/>
              <w:right w:val="single" w:sz="4" w:space="0" w:color="auto"/>
            </w:tcBorders>
            <w:vAlign w:val="center"/>
          </w:tcPr>
          <w:p w14:paraId="7FC1A920" w14:textId="7A195337" w:rsidR="003571AB" w:rsidRPr="00873941" w:rsidRDefault="003571AB" w:rsidP="0088158A">
            <w:pPr>
              <w:pStyle w:val="TableText0"/>
              <w:keepNext w:val="0"/>
              <w:jc w:val="center"/>
            </w:pPr>
            <w:r w:rsidRPr="00873941">
              <w:t>-</w:t>
            </w:r>
          </w:p>
        </w:tc>
        <w:tc>
          <w:tcPr>
            <w:tcW w:w="628" w:type="pct"/>
            <w:tcBorders>
              <w:top w:val="single" w:sz="4" w:space="0" w:color="auto"/>
              <w:left w:val="single" w:sz="4" w:space="0" w:color="auto"/>
              <w:bottom w:val="single" w:sz="4" w:space="0" w:color="auto"/>
              <w:right w:val="single" w:sz="4" w:space="0" w:color="auto"/>
            </w:tcBorders>
            <w:vAlign w:val="center"/>
          </w:tcPr>
          <w:p w14:paraId="438232ED" w14:textId="3131AD71" w:rsidR="003571AB" w:rsidRPr="00873941" w:rsidRDefault="003571AB" w:rsidP="0088158A">
            <w:pPr>
              <w:pStyle w:val="TableText0"/>
              <w:keepNext w:val="0"/>
              <w:jc w:val="center"/>
            </w:pPr>
            <w:r w:rsidRPr="00873941">
              <w:t>-</w:t>
            </w:r>
          </w:p>
        </w:tc>
        <w:tc>
          <w:tcPr>
            <w:tcW w:w="695" w:type="pct"/>
            <w:tcBorders>
              <w:top w:val="single" w:sz="4" w:space="0" w:color="auto"/>
              <w:left w:val="single" w:sz="4" w:space="0" w:color="auto"/>
              <w:bottom w:val="single" w:sz="4" w:space="0" w:color="auto"/>
              <w:right w:val="single" w:sz="4" w:space="0" w:color="auto"/>
            </w:tcBorders>
            <w:vAlign w:val="center"/>
          </w:tcPr>
          <w:p w14:paraId="74E88323" w14:textId="282DA2FA" w:rsidR="003571AB" w:rsidRPr="00873941" w:rsidRDefault="003571AB" w:rsidP="0088158A">
            <w:pPr>
              <w:pStyle w:val="TableText0"/>
              <w:keepNext w:val="0"/>
              <w:jc w:val="center"/>
            </w:pPr>
            <w:r w:rsidRPr="00873941">
              <w:t>-</w:t>
            </w:r>
          </w:p>
        </w:tc>
        <w:tc>
          <w:tcPr>
            <w:tcW w:w="836" w:type="pct"/>
            <w:tcBorders>
              <w:top w:val="single" w:sz="4" w:space="0" w:color="auto"/>
              <w:left w:val="single" w:sz="4" w:space="0" w:color="auto"/>
              <w:bottom w:val="single" w:sz="4" w:space="0" w:color="auto"/>
              <w:right w:val="single" w:sz="4" w:space="0" w:color="auto"/>
            </w:tcBorders>
            <w:vAlign w:val="center"/>
          </w:tcPr>
          <w:p w14:paraId="16FBDC24" w14:textId="2A03E20D" w:rsidR="003571AB" w:rsidRPr="00873941" w:rsidRDefault="003571AB" w:rsidP="0088158A">
            <w:pPr>
              <w:pStyle w:val="TableText0"/>
              <w:keepNext w:val="0"/>
              <w:jc w:val="center"/>
            </w:pPr>
            <w:r w:rsidRPr="00873941">
              <w:t>-</w:t>
            </w:r>
          </w:p>
        </w:tc>
      </w:tr>
      <w:tr w:rsidR="003571AB" w:rsidRPr="00873941" w14:paraId="67C6E0E6" w14:textId="77777777" w:rsidTr="00F37EFA">
        <w:tc>
          <w:tcPr>
            <w:tcW w:w="6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7AF01" w14:textId="2E733726" w:rsidR="003571AB" w:rsidRPr="00873941" w:rsidRDefault="003571AB" w:rsidP="0088158A">
            <w:pPr>
              <w:pStyle w:val="TableText0"/>
              <w:keepNext w:val="0"/>
            </w:pPr>
            <w:r w:rsidRPr="00873941">
              <w:t>I-SPY2-AC</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7221A34F" w14:textId="0B1B1995" w:rsidR="003571AB" w:rsidRPr="00873941" w:rsidRDefault="003571AB" w:rsidP="0088158A">
            <w:pPr>
              <w:pStyle w:val="TableText0"/>
              <w:keepNext w:val="0"/>
              <w:jc w:val="center"/>
            </w:pPr>
            <w:r w:rsidRPr="00873941">
              <w:t>NR</w:t>
            </w:r>
          </w:p>
        </w:tc>
        <w:tc>
          <w:tcPr>
            <w:tcW w:w="708" w:type="pct"/>
            <w:tcBorders>
              <w:top w:val="single" w:sz="4" w:space="0" w:color="auto"/>
              <w:left w:val="single" w:sz="4" w:space="0" w:color="auto"/>
              <w:bottom w:val="single" w:sz="4" w:space="0" w:color="auto"/>
              <w:right w:val="single" w:sz="4" w:space="0" w:color="auto"/>
            </w:tcBorders>
            <w:vAlign w:val="center"/>
          </w:tcPr>
          <w:p w14:paraId="0F8307C3" w14:textId="29B11796" w:rsidR="003571AB" w:rsidRPr="00873941" w:rsidRDefault="003571AB" w:rsidP="0088158A">
            <w:pPr>
              <w:pStyle w:val="TableText0"/>
              <w:keepNext w:val="0"/>
              <w:jc w:val="center"/>
            </w:pPr>
            <w:r w:rsidRPr="00873941">
              <w:t>NR</w:t>
            </w:r>
          </w:p>
        </w:tc>
        <w:tc>
          <w:tcPr>
            <w:tcW w:w="862" w:type="pct"/>
            <w:tcBorders>
              <w:top w:val="single" w:sz="4" w:space="0" w:color="auto"/>
              <w:left w:val="single" w:sz="4" w:space="0" w:color="auto"/>
              <w:bottom w:val="single" w:sz="4" w:space="0" w:color="auto"/>
              <w:right w:val="single" w:sz="4" w:space="0" w:color="auto"/>
            </w:tcBorders>
            <w:vAlign w:val="center"/>
          </w:tcPr>
          <w:p w14:paraId="30CD7345" w14:textId="389A6AA7" w:rsidR="003571AB" w:rsidRPr="00873941" w:rsidRDefault="003571AB" w:rsidP="0088158A">
            <w:pPr>
              <w:pStyle w:val="TableText0"/>
              <w:keepNext w:val="0"/>
              <w:jc w:val="center"/>
            </w:pPr>
            <w:r w:rsidRPr="00873941">
              <w:t>-</w:t>
            </w:r>
          </w:p>
        </w:tc>
        <w:tc>
          <w:tcPr>
            <w:tcW w:w="628" w:type="pct"/>
            <w:tcBorders>
              <w:top w:val="single" w:sz="4" w:space="0" w:color="auto"/>
              <w:left w:val="single" w:sz="4" w:space="0" w:color="auto"/>
              <w:bottom w:val="single" w:sz="4" w:space="0" w:color="auto"/>
              <w:right w:val="single" w:sz="4" w:space="0" w:color="auto"/>
            </w:tcBorders>
            <w:vAlign w:val="center"/>
          </w:tcPr>
          <w:p w14:paraId="54CBF715" w14:textId="59D79321" w:rsidR="003571AB" w:rsidRPr="00873941" w:rsidRDefault="003571AB" w:rsidP="0088158A">
            <w:pPr>
              <w:pStyle w:val="TableText0"/>
              <w:keepNext w:val="0"/>
              <w:jc w:val="center"/>
            </w:pPr>
            <w:r w:rsidRPr="00873941">
              <w:t>-</w:t>
            </w:r>
          </w:p>
        </w:tc>
        <w:tc>
          <w:tcPr>
            <w:tcW w:w="695" w:type="pct"/>
            <w:tcBorders>
              <w:top w:val="single" w:sz="4" w:space="0" w:color="auto"/>
              <w:left w:val="single" w:sz="4" w:space="0" w:color="auto"/>
              <w:bottom w:val="single" w:sz="4" w:space="0" w:color="auto"/>
              <w:right w:val="single" w:sz="4" w:space="0" w:color="auto"/>
            </w:tcBorders>
            <w:vAlign w:val="center"/>
          </w:tcPr>
          <w:p w14:paraId="2FD2B261" w14:textId="79D20F75" w:rsidR="003571AB" w:rsidRPr="00873941" w:rsidRDefault="003571AB" w:rsidP="0088158A">
            <w:pPr>
              <w:pStyle w:val="TableText0"/>
              <w:keepNext w:val="0"/>
              <w:jc w:val="center"/>
            </w:pPr>
            <w:r w:rsidRPr="00873941">
              <w:t>-</w:t>
            </w:r>
          </w:p>
        </w:tc>
        <w:tc>
          <w:tcPr>
            <w:tcW w:w="836" w:type="pct"/>
            <w:tcBorders>
              <w:top w:val="single" w:sz="4" w:space="0" w:color="auto"/>
              <w:left w:val="single" w:sz="4" w:space="0" w:color="auto"/>
              <w:bottom w:val="single" w:sz="4" w:space="0" w:color="auto"/>
              <w:right w:val="single" w:sz="4" w:space="0" w:color="auto"/>
            </w:tcBorders>
            <w:vAlign w:val="center"/>
          </w:tcPr>
          <w:p w14:paraId="4111ED3C" w14:textId="7203E416" w:rsidR="003571AB" w:rsidRPr="00873941" w:rsidRDefault="003571AB" w:rsidP="0088158A">
            <w:pPr>
              <w:pStyle w:val="TableText0"/>
              <w:keepNext w:val="0"/>
              <w:jc w:val="center"/>
            </w:pPr>
            <w:r w:rsidRPr="00873941">
              <w:t>-</w:t>
            </w:r>
          </w:p>
        </w:tc>
      </w:tr>
      <w:tr w:rsidR="003571AB" w:rsidRPr="00873941" w14:paraId="5137EB4F" w14:textId="77777777" w:rsidTr="003D1DE4">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8AE31F" w14:textId="791FEA58" w:rsidR="003571AB" w:rsidRPr="00873941" w:rsidRDefault="003571AB" w:rsidP="0088158A">
            <w:pPr>
              <w:pStyle w:val="In-tableHeading"/>
              <w:keepNext w:val="0"/>
              <w:rPr>
                <w:lang w:val="en-AU"/>
              </w:rPr>
            </w:pPr>
            <w:r w:rsidRPr="00873941">
              <w:rPr>
                <w:lang w:val="en-AU"/>
              </w:rPr>
              <w:t>Adverse events of Grade ≥3 severity (neoadjuvant treatment period)</w:t>
            </w:r>
          </w:p>
        </w:tc>
      </w:tr>
      <w:tr w:rsidR="003571AB" w:rsidRPr="00873941" w14:paraId="4D02EC43" w14:textId="77777777" w:rsidTr="00F37EFA">
        <w:tc>
          <w:tcPr>
            <w:tcW w:w="6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B27BD" w14:textId="19B19372" w:rsidR="003571AB" w:rsidRPr="00873941" w:rsidRDefault="003571AB" w:rsidP="0088158A">
            <w:pPr>
              <w:pStyle w:val="TableText0"/>
              <w:keepNext w:val="0"/>
            </w:pPr>
            <w:r w:rsidRPr="00873941">
              <w:t>NEOSPHERE</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03406909" w14:textId="00BD2F81" w:rsidR="003571AB" w:rsidRPr="00873941" w:rsidRDefault="003571AB" w:rsidP="0088158A">
            <w:pPr>
              <w:pStyle w:val="TableText0"/>
              <w:keepNext w:val="0"/>
              <w:jc w:val="center"/>
            </w:pPr>
            <w:r w:rsidRPr="00873941">
              <w:t>65/107</w:t>
            </w:r>
          </w:p>
        </w:tc>
        <w:tc>
          <w:tcPr>
            <w:tcW w:w="708" w:type="pct"/>
            <w:tcBorders>
              <w:top w:val="single" w:sz="4" w:space="0" w:color="auto"/>
              <w:left w:val="single" w:sz="4" w:space="0" w:color="auto"/>
              <w:bottom w:val="single" w:sz="4" w:space="0" w:color="auto"/>
              <w:right w:val="single" w:sz="4" w:space="0" w:color="auto"/>
            </w:tcBorders>
            <w:vAlign w:val="center"/>
          </w:tcPr>
          <w:p w14:paraId="590A3CE9" w14:textId="079056EC" w:rsidR="003571AB" w:rsidRPr="00873941" w:rsidRDefault="003571AB" w:rsidP="0088158A">
            <w:pPr>
              <w:pStyle w:val="TableText0"/>
              <w:keepNext w:val="0"/>
              <w:jc w:val="center"/>
            </w:pPr>
            <w:r w:rsidRPr="00873941">
              <w:t>80/107</w:t>
            </w:r>
          </w:p>
        </w:tc>
        <w:tc>
          <w:tcPr>
            <w:tcW w:w="862" w:type="pct"/>
            <w:tcBorders>
              <w:top w:val="single" w:sz="4" w:space="0" w:color="auto"/>
              <w:left w:val="single" w:sz="4" w:space="0" w:color="auto"/>
              <w:bottom w:val="single" w:sz="4" w:space="0" w:color="auto"/>
              <w:right w:val="single" w:sz="4" w:space="0" w:color="auto"/>
            </w:tcBorders>
            <w:vAlign w:val="center"/>
          </w:tcPr>
          <w:p w14:paraId="4D0C578D" w14:textId="79288C58" w:rsidR="003571AB" w:rsidRPr="00873941" w:rsidRDefault="003571AB" w:rsidP="0088158A">
            <w:pPr>
              <w:pStyle w:val="TableText0"/>
              <w:keepNext w:val="0"/>
              <w:jc w:val="center"/>
            </w:pPr>
            <w:r w:rsidRPr="00873941">
              <w:t>0.81 (0.67, 0.98)</w:t>
            </w:r>
          </w:p>
        </w:tc>
        <w:tc>
          <w:tcPr>
            <w:tcW w:w="628" w:type="pct"/>
            <w:tcBorders>
              <w:top w:val="single" w:sz="4" w:space="0" w:color="auto"/>
              <w:left w:val="single" w:sz="4" w:space="0" w:color="auto"/>
              <w:bottom w:val="single" w:sz="4" w:space="0" w:color="auto"/>
              <w:right w:val="single" w:sz="4" w:space="0" w:color="auto"/>
            </w:tcBorders>
            <w:vAlign w:val="center"/>
          </w:tcPr>
          <w:p w14:paraId="6D8792EA" w14:textId="4467A6DA" w:rsidR="003571AB" w:rsidRPr="00873941" w:rsidRDefault="00D00114" w:rsidP="0088158A">
            <w:pPr>
              <w:pStyle w:val="TableText0"/>
              <w:keepNext w:val="0"/>
              <w:jc w:val="center"/>
            </w:pPr>
            <w:r w:rsidRPr="00873941">
              <w:t>61</w:t>
            </w:r>
          </w:p>
        </w:tc>
        <w:tc>
          <w:tcPr>
            <w:tcW w:w="695" w:type="pct"/>
            <w:tcBorders>
              <w:top w:val="single" w:sz="4" w:space="0" w:color="auto"/>
              <w:left w:val="single" w:sz="4" w:space="0" w:color="auto"/>
              <w:bottom w:val="single" w:sz="4" w:space="0" w:color="auto"/>
              <w:right w:val="single" w:sz="4" w:space="0" w:color="auto"/>
            </w:tcBorders>
            <w:vAlign w:val="center"/>
          </w:tcPr>
          <w:p w14:paraId="051BFAEC" w14:textId="48A831AE" w:rsidR="003571AB" w:rsidRPr="00873941" w:rsidRDefault="00D00114" w:rsidP="0088158A">
            <w:pPr>
              <w:pStyle w:val="TableText0"/>
              <w:keepNext w:val="0"/>
              <w:jc w:val="center"/>
            </w:pPr>
            <w:r w:rsidRPr="00873941">
              <w:t>75</w:t>
            </w:r>
          </w:p>
        </w:tc>
        <w:tc>
          <w:tcPr>
            <w:tcW w:w="836" w:type="pct"/>
            <w:tcBorders>
              <w:top w:val="single" w:sz="4" w:space="0" w:color="auto"/>
              <w:left w:val="single" w:sz="4" w:space="0" w:color="auto"/>
              <w:bottom w:val="single" w:sz="4" w:space="0" w:color="auto"/>
              <w:right w:val="single" w:sz="4" w:space="0" w:color="auto"/>
            </w:tcBorders>
            <w:vAlign w:val="center"/>
          </w:tcPr>
          <w:p w14:paraId="4BBA8165" w14:textId="69DEA9AD" w:rsidR="003571AB" w:rsidRPr="00873941" w:rsidRDefault="005E5BB2" w:rsidP="0088158A">
            <w:pPr>
              <w:pStyle w:val="TableText0"/>
              <w:keepNext w:val="0"/>
              <w:jc w:val="center"/>
            </w:pPr>
            <w:r w:rsidRPr="00873941">
              <w:t>-0.14 (-0.26, -0.02)</w:t>
            </w:r>
          </w:p>
        </w:tc>
      </w:tr>
      <w:tr w:rsidR="003571AB" w:rsidRPr="00873941" w14:paraId="30FFBCDF" w14:textId="77777777" w:rsidTr="00F37EFA">
        <w:tc>
          <w:tcPr>
            <w:tcW w:w="6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9815F" w14:textId="4C7232E3" w:rsidR="003571AB" w:rsidRPr="00873941" w:rsidRDefault="003571AB" w:rsidP="0088158A">
            <w:pPr>
              <w:pStyle w:val="TableText0"/>
              <w:keepNext w:val="0"/>
            </w:pPr>
            <w:r w:rsidRPr="00873941">
              <w:t>PEONY</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2864FB85" w14:textId="1022EA31" w:rsidR="003571AB" w:rsidRPr="00873941" w:rsidRDefault="003571AB" w:rsidP="0088158A">
            <w:pPr>
              <w:pStyle w:val="TableText0"/>
              <w:keepNext w:val="0"/>
              <w:jc w:val="center"/>
            </w:pPr>
            <w:r w:rsidRPr="00873941">
              <w:t>106/218</w:t>
            </w:r>
          </w:p>
        </w:tc>
        <w:tc>
          <w:tcPr>
            <w:tcW w:w="708" w:type="pct"/>
            <w:tcBorders>
              <w:top w:val="single" w:sz="4" w:space="0" w:color="auto"/>
              <w:left w:val="single" w:sz="4" w:space="0" w:color="auto"/>
              <w:bottom w:val="single" w:sz="4" w:space="0" w:color="auto"/>
              <w:right w:val="single" w:sz="4" w:space="0" w:color="auto"/>
            </w:tcBorders>
            <w:vAlign w:val="center"/>
          </w:tcPr>
          <w:p w14:paraId="4511E745" w14:textId="153E23D0" w:rsidR="003571AB" w:rsidRPr="00873941" w:rsidRDefault="003571AB" w:rsidP="0088158A">
            <w:pPr>
              <w:pStyle w:val="TableText0"/>
              <w:keepNext w:val="0"/>
              <w:jc w:val="center"/>
            </w:pPr>
            <w:r w:rsidRPr="00873941">
              <w:t>46/110</w:t>
            </w:r>
          </w:p>
        </w:tc>
        <w:tc>
          <w:tcPr>
            <w:tcW w:w="862" w:type="pct"/>
            <w:tcBorders>
              <w:top w:val="single" w:sz="4" w:space="0" w:color="auto"/>
              <w:left w:val="single" w:sz="4" w:space="0" w:color="auto"/>
              <w:bottom w:val="single" w:sz="4" w:space="0" w:color="auto"/>
              <w:right w:val="single" w:sz="4" w:space="0" w:color="auto"/>
            </w:tcBorders>
            <w:vAlign w:val="center"/>
          </w:tcPr>
          <w:p w14:paraId="5AE2269E" w14:textId="7380EB74" w:rsidR="003571AB" w:rsidRPr="00873941" w:rsidRDefault="003571AB" w:rsidP="0088158A">
            <w:pPr>
              <w:pStyle w:val="TableText0"/>
              <w:keepNext w:val="0"/>
              <w:jc w:val="center"/>
            </w:pPr>
            <w:r w:rsidRPr="00873941">
              <w:t>1.16 (0.90, 1.51)</w:t>
            </w:r>
          </w:p>
        </w:tc>
        <w:tc>
          <w:tcPr>
            <w:tcW w:w="628" w:type="pct"/>
            <w:tcBorders>
              <w:top w:val="single" w:sz="4" w:space="0" w:color="auto"/>
              <w:left w:val="single" w:sz="4" w:space="0" w:color="auto"/>
              <w:bottom w:val="single" w:sz="4" w:space="0" w:color="auto"/>
              <w:right w:val="single" w:sz="4" w:space="0" w:color="auto"/>
            </w:tcBorders>
            <w:vAlign w:val="center"/>
          </w:tcPr>
          <w:p w14:paraId="30F07276" w14:textId="50C097E4" w:rsidR="003571AB" w:rsidRPr="00873941" w:rsidRDefault="00D00114" w:rsidP="0088158A">
            <w:pPr>
              <w:pStyle w:val="TableText0"/>
              <w:keepNext w:val="0"/>
              <w:jc w:val="center"/>
            </w:pPr>
            <w:r w:rsidRPr="00873941">
              <w:t>49</w:t>
            </w:r>
          </w:p>
        </w:tc>
        <w:tc>
          <w:tcPr>
            <w:tcW w:w="695" w:type="pct"/>
            <w:tcBorders>
              <w:top w:val="single" w:sz="4" w:space="0" w:color="auto"/>
              <w:left w:val="single" w:sz="4" w:space="0" w:color="auto"/>
              <w:bottom w:val="single" w:sz="4" w:space="0" w:color="auto"/>
              <w:right w:val="single" w:sz="4" w:space="0" w:color="auto"/>
            </w:tcBorders>
            <w:vAlign w:val="center"/>
          </w:tcPr>
          <w:p w14:paraId="1363E466" w14:textId="090EFA35" w:rsidR="003571AB" w:rsidRPr="00873941" w:rsidRDefault="00D00114" w:rsidP="0088158A">
            <w:pPr>
              <w:pStyle w:val="TableText0"/>
              <w:keepNext w:val="0"/>
              <w:jc w:val="center"/>
            </w:pPr>
            <w:r w:rsidRPr="00873941">
              <w:t>42</w:t>
            </w:r>
          </w:p>
        </w:tc>
        <w:tc>
          <w:tcPr>
            <w:tcW w:w="836" w:type="pct"/>
            <w:tcBorders>
              <w:top w:val="single" w:sz="4" w:space="0" w:color="auto"/>
              <w:left w:val="single" w:sz="4" w:space="0" w:color="auto"/>
              <w:bottom w:val="single" w:sz="4" w:space="0" w:color="auto"/>
              <w:right w:val="single" w:sz="4" w:space="0" w:color="auto"/>
            </w:tcBorders>
            <w:vAlign w:val="center"/>
          </w:tcPr>
          <w:p w14:paraId="7A3DD420" w14:textId="1FA021D3" w:rsidR="003571AB" w:rsidRPr="00873941" w:rsidRDefault="005E5BB2" w:rsidP="0088158A">
            <w:pPr>
              <w:pStyle w:val="TableText0"/>
              <w:keepNext w:val="0"/>
              <w:jc w:val="center"/>
            </w:pPr>
            <w:r w:rsidRPr="00873941">
              <w:t>0.07 (-0.05, 0.18)</w:t>
            </w:r>
          </w:p>
        </w:tc>
      </w:tr>
      <w:tr w:rsidR="003571AB" w:rsidRPr="00873941" w14:paraId="774798A0" w14:textId="77777777" w:rsidTr="00F37EFA">
        <w:tc>
          <w:tcPr>
            <w:tcW w:w="6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74390" w14:textId="05768553" w:rsidR="003571AB" w:rsidRPr="00873941" w:rsidRDefault="003571AB" w:rsidP="0088158A">
            <w:pPr>
              <w:pStyle w:val="TableText0"/>
              <w:keepNext w:val="0"/>
            </w:pPr>
            <w:r w:rsidRPr="00873941">
              <w:t>I-SPY2-PTP</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05E7A0E4" w14:textId="72DEF05C" w:rsidR="003571AB" w:rsidRPr="00873941" w:rsidRDefault="003571AB" w:rsidP="0088158A">
            <w:pPr>
              <w:pStyle w:val="TableText0"/>
              <w:keepNext w:val="0"/>
              <w:jc w:val="center"/>
            </w:pPr>
            <w:r w:rsidRPr="00873941">
              <w:t>5/45</w:t>
            </w:r>
          </w:p>
        </w:tc>
        <w:tc>
          <w:tcPr>
            <w:tcW w:w="708" w:type="pct"/>
            <w:tcBorders>
              <w:top w:val="single" w:sz="4" w:space="0" w:color="auto"/>
              <w:left w:val="single" w:sz="4" w:space="0" w:color="auto"/>
              <w:bottom w:val="single" w:sz="4" w:space="0" w:color="auto"/>
              <w:right w:val="single" w:sz="4" w:space="0" w:color="auto"/>
            </w:tcBorders>
            <w:vAlign w:val="center"/>
          </w:tcPr>
          <w:p w14:paraId="2213F970" w14:textId="41B9F94C" w:rsidR="003571AB" w:rsidRPr="00873941" w:rsidRDefault="003571AB" w:rsidP="0088158A">
            <w:pPr>
              <w:pStyle w:val="TableText0"/>
              <w:keepNext w:val="0"/>
              <w:jc w:val="center"/>
            </w:pPr>
            <w:r w:rsidRPr="00873941">
              <w:t>3/31</w:t>
            </w:r>
          </w:p>
        </w:tc>
        <w:tc>
          <w:tcPr>
            <w:tcW w:w="862" w:type="pct"/>
            <w:tcBorders>
              <w:top w:val="single" w:sz="4" w:space="0" w:color="auto"/>
              <w:left w:val="single" w:sz="4" w:space="0" w:color="auto"/>
              <w:bottom w:val="single" w:sz="4" w:space="0" w:color="auto"/>
              <w:right w:val="single" w:sz="4" w:space="0" w:color="auto"/>
            </w:tcBorders>
            <w:vAlign w:val="center"/>
          </w:tcPr>
          <w:p w14:paraId="73550768" w14:textId="56416B88" w:rsidR="003571AB" w:rsidRPr="00873941" w:rsidRDefault="005E5BB2" w:rsidP="0088158A">
            <w:pPr>
              <w:pStyle w:val="TableText0"/>
              <w:keepNext w:val="0"/>
              <w:jc w:val="center"/>
            </w:pPr>
            <w:r w:rsidRPr="00873941">
              <w:t>1.15 (0.30, 4.46)</w:t>
            </w:r>
          </w:p>
        </w:tc>
        <w:tc>
          <w:tcPr>
            <w:tcW w:w="628" w:type="pct"/>
            <w:tcBorders>
              <w:top w:val="single" w:sz="4" w:space="0" w:color="auto"/>
              <w:left w:val="single" w:sz="4" w:space="0" w:color="auto"/>
              <w:bottom w:val="single" w:sz="4" w:space="0" w:color="auto"/>
              <w:right w:val="single" w:sz="4" w:space="0" w:color="auto"/>
            </w:tcBorders>
            <w:vAlign w:val="center"/>
          </w:tcPr>
          <w:p w14:paraId="200A078C" w14:textId="351CF973" w:rsidR="003571AB" w:rsidRPr="00873941" w:rsidRDefault="00D00114" w:rsidP="0088158A">
            <w:pPr>
              <w:pStyle w:val="TableText0"/>
              <w:keepNext w:val="0"/>
              <w:jc w:val="center"/>
            </w:pPr>
            <w:r w:rsidRPr="00873941">
              <w:t>11</w:t>
            </w:r>
          </w:p>
        </w:tc>
        <w:tc>
          <w:tcPr>
            <w:tcW w:w="695" w:type="pct"/>
            <w:tcBorders>
              <w:top w:val="single" w:sz="4" w:space="0" w:color="auto"/>
              <w:left w:val="single" w:sz="4" w:space="0" w:color="auto"/>
              <w:bottom w:val="single" w:sz="4" w:space="0" w:color="auto"/>
              <w:right w:val="single" w:sz="4" w:space="0" w:color="auto"/>
            </w:tcBorders>
            <w:vAlign w:val="center"/>
          </w:tcPr>
          <w:p w14:paraId="3BD0512A" w14:textId="30DC520F" w:rsidR="003571AB" w:rsidRPr="00873941" w:rsidRDefault="00D00114" w:rsidP="0088158A">
            <w:pPr>
              <w:pStyle w:val="TableText0"/>
              <w:keepNext w:val="0"/>
              <w:jc w:val="center"/>
            </w:pPr>
            <w:r w:rsidRPr="00873941">
              <w:t>10</w:t>
            </w:r>
          </w:p>
        </w:tc>
        <w:tc>
          <w:tcPr>
            <w:tcW w:w="836" w:type="pct"/>
            <w:tcBorders>
              <w:top w:val="single" w:sz="4" w:space="0" w:color="auto"/>
              <w:left w:val="single" w:sz="4" w:space="0" w:color="auto"/>
              <w:bottom w:val="single" w:sz="4" w:space="0" w:color="auto"/>
              <w:right w:val="single" w:sz="4" w:space="0" w:color="auto"/>
            </w:tcBorders>
            <w:vAlign w:val="center"/>
          </w:tcPr>
          <w:p w14:paraId="41C680CA" w14:textId="64BA6C53" w:rsidR="003571AB" w:rsidRPr="00873941" w:rsidRDefault="005E5BB2" w:rsidP="0088158A">
            <w:pPr>
              <w:pStyle w:val="TableText0"/>
              <w:keepNext w:val="0"/>
              <w:jc w:val="center"/>
            </w:pPr>
            <w:r w:rsidRPr="00873941">
              <w:t>0.01 (-0.12, 0.15)</w:t>
            </w:r>
          </w:p>
        </w:tc>
      </w:tr>
      <w:tr w:rsidR="003571AB" w:rsidRPr="00873941" w14:paraId="2114383A" w14:textId="77777777" w:rsidTr="00F37EFA">
        <w:tc>
          <w:tcPr>
            <w:tcW w:w="6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40F6B" w14:textId="372900F6" w:rsidR="003571AB" w:rsidRPr="00873941" w:rsidRDefault="003571AB" w:rsidP="0088158A">
            <w:pPr>
              <w:pStyle w:val="TableText0"/>
              <w:keepNext w:val="0"/>
            </w:pPr>
            <w:r w:rsidRPr="00873941">
              <w:t>I-SPY2-AC</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58803A36" w14:textId="3105A7B7" w:rsidR="003571AB" w:rsidRPr="00873941" w:rsidRDefault="003571AB" w:rsidP="0088158A">
            <w:pPr>
              <w:pStyle w:val="TableText0"/>
              <w:keepNext w:val="0"/>
              <w:jc w:val="center"/>
            </w:pPr>
            <w:r w:rsidRPr="00873941">
              <w:t>4/40</w:t>
            </w:r>
          </w:p>
        </w:tc>
        <w:tc>
          <w:tcPr>
            <w:tcW w:w="708" w:type="pct"/>
            <w:tcBorders>
              <w:top w:val="single" w:sz="4" w:space="0" w:color="auto"/>
              <w:left w:val="single" w:sz="4" w:space="0" w:color="auto"/>
              <w:bottom w:val="single" w:sz="4" w:space="0" w:color="auto"/>
              <w:right w:val="single" w:sz="4" w:space="0" w:color="auto"/>
            </w:tcBorders>
            <w:vAlign w:val="center"/>
          </w:tcPr>
          <w:p w14:paraId="4A460840" w14:textId="388BEB71" w:rsidR="003571AB" w:rsidRPr="00873941" w:rsidRDefault="003571AB" w:rsidP="0088158A">
            <w:pPr>
              <w:pStyle w:val="TableText0"/>
              <w:keepNext w:val="0"/>
              <w:jc w:val="center"/>
            </w:pPr>
            <w:r w:rsidRPr="00873941">
              <w:t>3/28</w:t>
            </w:r>
          </w:p>
        </w:tc>
        <w:tc>
          <w:tcPr>
            <w:tcW w:w="862" w:type="pct"/>
            <w:tcBorders>
              <w:top w:val="single" w:sz="4" w:space="0" w:color="auto"/>
              <w:left w:val="single" w:sz="4" w:space="0" w:color="auto"/>
              <w:bottom w:val="single" w:sz="4" w:space="0" w:color="auto"/>
              <w:right w:val="single" w:sz="4" w:space="0" w:color="auto"/>
            </w:tcBorders>
            <w:vAlign w:val="center"/>
          </w:tcPr>
          <w:p w14:paraId="7BB768E5" w14:textId="36AF9830" w:rsidR="003571AB" w:rsidRPr="00873941" w:rsidRDefault="005E5BB2" w:rsidP="0088158A">
            <w:pPr>
              <w:pStyle w:val="TableText0"/>
              <w:keepNext w:val="0"/>
              <w:jc w:val="center"/>
            </w:pPr>
            <w:r w:rsidRPr="00873941">
              <w:t>0.93 (0.23, 3.85)</w:t>
            </w:r>
          </w:p>
        </w:tc>
        <w:tc>
          <w:tcPr>
            <w:tcW w:w="628" w:type="pct"/>
            <w:tcBorders>
              <w:top w:val="single" w:sz="4" w:space="0" w:color="auto"/>
              <w:left w:val="single" w:sz="4" w:space="0" w:color="auto"/>
              <w:bottom w:val="single" w:sz="4" w:space="0" w:color="auto"/>
              <w:right w:val="single" w:sz="4" w:space="0" w:color="auto"/>
            </w:tcBorders>
            <w:vAlign w:val="center"/>
          </w:tcPr>
          <w:p w14:paraId="46401DBD" w14:textId="49EFEAA4" w:rsidR="003571AB" w:rsidRPr="00873941" w:rsidRDefault="00D00114" w:rsidP="0088158A">
            <w:pPr>
              <w:pStyle w:val="TableText0"/>
              <w:keepNext w:val="0"/>
              <w:jc w:val="center"/>
            </w:pPr>
            <w:r w:rsidRPr="00873941">
              <w:t>10</w:t>
            </w:r>
          </w:p>
        </w:tc>
        <w:tc>
          <w:tcPr>
            <w:tcW w:w="695" w:type="pct"/>
            <w:tcBorders>
              <w:top w:val="single" w:sz="4" w:space="0" w:color="auto"/>
              <w:left w:val="single" w:sz="4" w:space="0" w:color="auto"/>
              <w:bottom w:val="single" w:sz="4" w:space="0" w:color="auto"/>
              <w:right w:val="single" w:sz="4" w:space="0" w:color="auto"/>
            </w:tcBorders>
            <w:vAlign w:val="center"/>
          </w:tcPr>
          <w:p w14:paraId="24C1C1F0" w14:textId="5EA2B8A4" w:rsidR="003571AB" w:rsidRPr="00873941" w:rsidRDefault="00D00114" w:rsidP="0088158A">
            <w:pPr>
              <w:pStyle w:val="TableText0"/>
              <w:keepNext w:val="0"/>
              <w:jc w:val="center"/>
            </w:pPr>
            <w:r w:rsidRPr="00873941">
              <w:t>11</w:t>
            </w:r>
          </w:p>
        </w:tc>
        <w:tc>
          <w:tcPr>
            <w:tcW w:w="836" w:type="pct"/>
            <w:tcBorders>
              <w:top w:val="single" w:sz="4" w:space="0" w:color="auto"/>
              <w:left w:val="single" w:sz="4" w:space="0" w:color="auto"/>
              <w:bottom w:val="single" w:sz="4" w:space="0" w:color="auto"/>
              <w:right w:val="single" w:sz="4" w:space="0" w:color="auto"/>
            </w:tcBorders>
            <w:vAlign w:val="center"/>
          </w:tcPr>
          <w:p w14:paraId="3839EBB4" w14:textId="6A8BC1E0" w:rsidR="003571AB" w:rsidRPr="00873941" w:rsidRDefault="005E5BB2" w:rsidP="0088158A">
            <w:pPr>
              <w:pStyle w:val="TableText0"/>
              <w:keepNext w:val="0"/>
              <w:jc w:val="center"/>
            </w:pPr>
            <w:r w:rsidRPr="00873941">
              <w:t>-0.01 (-0.15, 0.14)</w:t>
            </w:r>
          </w:p>
        </w:tc>
      </w:tr>
      <w:tr w:rsidR="003571AB" w:rsidRPr="00873941" w14:paraId="0CE62953" w14:textId="77777777" w:rsidTr="003D1DE4">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42EA7C0" w14:textId="4F318BB8" w:rsidR="003571AB" w:rsidRPr="00873941" w:rsidRDefault="003571AB" w:rsidP="0088158A">
            <w:pPr>
              <w:pStyle w:val="In-tableHeading"/>
              <w:keepNext w:val="0"/>
              <w:rPr>
                <w:lang w:val="en-AU"/>
              </w:rPr>
            </w:pPr>
            <w:r w:rsidRPr="00873941">
              <w:rPr>
                <w:lang w:val="en-AU"/>
              </w:rPr>
              <w:t>Diarrhoea of Grade ≥3 severity (neoadjuvant treatment period)</w:t>
            </w:r>
          </w:p>
        </w:tc>
      </w:tr>
      <w:tr w:rsidR="003571AB" w:rsidRPr="00873941" w14:paraId="488E85F7" w14:textId="77777777" w:rsidTr="00F37EFA">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4CC0DF2" w14:textId="1F96927D" w:rsidR="003571AB" w:rsidRPr="00873941" w:rsidRDefault="003571AB" w:rsidP="0088158A">
            <w:pPr>
              <w:pStyle w:val="TableText0"/>
              <w:keepNext w:val="0"/>
            </w:pPr>
            <w:r w:rsidRPr="00873941">
              <w:t>NEOSPHERE</w:t>
            </w:r>
          </w:p>
        </w:tc>
        <w:tc>
          <w:tcPr>
            <w:tcW w:w="633" w:type="pct"/>
            <w:gridSpan w:val="3"/>
            <w:tcBorders>
              <w:top w:val="single" w:sz="4" w:space="0" w:color="auto"/>
              <w:left w:val="single" w:sz="4" w:space="0" w:color="auto"/>
              <w:bottom w:val="single" w:sz="4" w:space="0" w:color="auto"/>
              <w:right w:val="single" w:sz="4" w:space="0" w:color="auto"/>
            </w:tcBorders>
            <w:vAlign w:val="center"/>
          </w:tcPr>
          <w:p w14:paraId="533FF0FA" w14:textId="722210A8" w:rsidR="003571AB" w:rsidRPr="00873941" w:rsidRDefault="003571AB" w:rsidP="0088158A">
            <w:pPr>
              <w:pStyle w:val="TableText0"/>
              <w:keepNext w:val="0"/>
              <w:jc w:val="center"/>
            </w:pPr>
            <w:r w:rsidRPr="00873941">
              <w:t>6/107</w:t>
            </w:r>
          </w:p>
        </w:tc>
        <w:tc>
          <w:tcPr>
            <w:tcW w:w="708" w:type="pct"/>
            <w:tcBorders>
              <w:top w:val="single" w:sz="4" w:space="0" w:color="auto"/>
              <w:left w:val="single" w:sz="4" w:space="0" w:color="auto"/>
              <w:bottom w:val="single" w:sz="4" w:space="0" w:color="auto"/>
              <w:right w:val="single" w:sz="4" w:space="0" w:color="auto"/>
            </w:tcBorders>
            <w:vAlign w:val="center"/>
          </w:tcPr>
          <w:p w14:paraId="570C8E98" w14:textId="0FF69D8D" w:rsidR="003571AB" w:rsidRPr="00873941" w:rsidRDefault="003571AB" w:rsidP="0088158A">
            <w:pPr>
              <w:pStyle w:val="TableText0"/>
              <w:keepNext w:val="0"/>
              <w:jc w:val="center"/>
            </w:pPr>
            <w:r w:rsidRPr="00873941">
              <w:t>4/107</w:t>
            </w:r>
          </w:p>
        </w:tc>
        <w:tc>
          <w:tcPr>
            <w:tcW w:w="862" w:type="pct"/>
            <w:tcBorders>
              <w:top w:val="single" w:sz="4" w:space="0" w:color="auto"/>
              <w:left w:val="single" w:sz="4" w:space="0" w:color="auto"/>
              <w:bottom w:val="single" w:sz="4" w:space="0" w:color="auto"/>
              <w:right w:val="single" w:sz="4" w:space="0" w:color="auto"/>
            </w:tcBorders>
            <w:vAlign w:val="center"/>
          </w:tcPr>
          <w:p w14:paraId="53E2463A" w14:textId="0DD31721" w:rsidR="003571AB" w:rsidRPr="00873941" w:rsidRDefault="005E5BB2" w:rsidP="0088158A">
            <w:pPr>
              <w:pStyle w:val="TableText0"/>
              <w:keepNext w:val="0"/>
              <w:jc w:val="center"/>
            </w:pPr>
            <w:r w:rsidRPr="00873941">
              <w:t>1.50 (0.44, 5.17)</w:t>
            </w:r>
          </w:p>
        </w:tc>
        <w:tc>
          <w:tcPr>
            <w:tcW w:w="628" w:type="pct"/>
            <w:tcBorders>
              <w:top w:val="single" w:sz="4" w:space="0" w:color="auto"/>
              <w:left w:val="single" w:sz="4" w:space="0" w:color="auto"/>
              <w:bottom w:val="single" w:sz="4" w:space="0" w:color="auto"/>
              <w:right w:val="single" w:sz="4" w:space="0" w:color="auto"/>
            </w:tcBorders>
            <w:vAlign w:val="center"/>
          </w:tcPr>
          <w:p w14:paraId="2AAD0C9E" w14:textId="23926530" w:rsidR="003571AB" w:rsidRPr="00873941" w:rsidRDefault="00D00114" w:rsidP="0088158A">
            <w:pPr>
              <w:pStyle w:val="TableText0"/>
              <w:keepNext w:val="0"/>
              <w:jc w:val="center"/>
            </w:pPr>
            <w:r w:rsidRPr="00873941">
              <w:t>6</w:t>
            </w:r>
          </w:p>
        </w:tc>
        <w:tc>
          <w:tcPr>
            <w:tcW w:w="695" w:type="pct"/>
            <w:tcBorders>
              <w:top w:val="single" w:sz="4" w:space="0" w:color="auto"/>
              <w:left w:val="single" w:sz="4" w:space="0" w:color="auto"/>
              <w:bottom w:val="single" w:sz="4" w:space="0" w:color="auto"/>
              <w:right w:val="single" w:sz="4" w:space="0" w:color="auto"/>
            </w:tcBorders>
            <w:vAlign w:val="center"/>
          </w:tcPr>
          <w:p w14:paraId="4BC9D24E" w14:textId="69F1BC81" w:rsidR="003571AB" w:rsidRPr="00873941" w:rsidRDefault="00D00114" w:rsidP="0088158A">
            <w:pPr>
              <w:pStyle w:val="TableText0"/>
              <w:keepNext w:val="0"/>
              <w:jc w:val="center"/>
            </w:pPr>
            <w:r w:rsidRPr="00873941">
              <w:t>4</w:t>
            </w:r>
          </w:p>
        </w:tc>
        <w:tc>
          <w:tcPr>
            <w:tcW w:w="836" w:type="pct"/>
            <w:tcBorders>
              <w:top w:val="single" w:sz="4" w:space="0" w:color="auto"/>
              <w:left w:val="single" w:sz="4" w:space="0" w:color="auto"/>
              <w:bottom w:val="single" w:sz="4" w:space="0" w:color="auto"/>
              <w:right w:val="single" w:sz="4" w:space="0" w:color="auto"/>
            </w:tcBorders>
            <w:vAlign w:val="center"/>
          </w:tcPr>
          <w:p w14:paraId="4575857A" w14:textId="7878FAF2" w:rsidR="003571AB" w:rsidRPr="00873941" w:rsidRDefault="005E5BB2" w:rsidP="0088158A">
            <w:pPr>
              <w:pStyle w:val="TableText0"/>
              <w:keepNext w:val="0"/>
              <w:jc w:val="center"/>
            </w:pPr>
            <w:r w:rsidRPr="00873941">
              <w:t>0.02 (-0.04, 0.08)</w:t>
            </w:r>
          </w:p>
        </w:tc>
      </w:tr>
      <w:tr w:rsidR="003571AB" w:rsidRPr="00873941" w14:paraId="280A1A24" w14:textId="77777777" w:rsidTr="00F37EFA">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F452905" w14:textId="6E7E8FA9" w:rsidR="003571AB" w:rsidRPr="00873941" w:rsidRDefault="003571AB" w:rsidP="0088158A">
            <w:pPr>
              <w:pStyle w:val="TableText0"/>
              <w:keepNext w:val="0"/>
            </w:pPr>
            <w:r w:rsidRPr="00873941">
              <w:t>PEONY</w:t>
            </w:r>
          </w:p>
        </w:tc>
        <w:tc>
          <w:tcPr>
            <w:tcW w:w="633" w:type="pct"/>
            <w:gridSpan w:val="3"/>
            <w:tcBorders>
              <w:top w:val="single" w:sz="4" w:space="0" w:color="auto"/>
              <w:left w:val="single" w:sz="4" w:space="0" w:color="auto"/>
              <w:bottom w:val="single" w:sz="4" w:space="0" w:color="auto"/>
              <w:right w:val="single" w:sz="4" w:space="0" w:color="auto"/>
            </w:tcBorders>
            <w:vAlign w:val="center"/>
          </w:tcPr>
          <w:p w14:paraId="5B437896" w14:textId="7DA61675" w:rsidR="003571AB" w:rsidRPr="00873941" w:rsidRDefault="003571AB" w:rsidP="0088158A">
            <w:pPr>
              <w:pStyle w:val="TableText0"/>
              <w:keepNext w:val="0"/>
              <w:jc w:val="center"/>
            </w:pPr>
            <w:r w:rsidRPr="00873941">
              <w:t>NR</w:t>
            </w:r>
          </w:p>
        </w:tc>
        <w:tc>
          <w:tcPr>
            <w:tcW w:w="708" w:type="pct"/>
            <w:tcBorders>
              <w:top w:val="single" w:sz="4" w:space="0" w:color="auto"/>
              <w:left w:val="single" w:sz="4" w:space="0" w:color="auto"/>
              <w:bottom w:val="single" w:sz="4" w:space="0" w:color="auto"/>
              <w:right w:val="single" w:sz="4" w:space="0" w:color="auto"/>
            </w:tcBorders>
            <w:vAlign w:val="center"/>
          </w:tcPr>
          <w:p w14:paraId="4675EF2E" w14:textId="2CE9815E" w:rsidR="003571AB" w:rsidRPr="00873941" w:rsidRDefault="003571AB" w:rsidP="0088158A">
            <w:pPr>
              <w:pStyle w:val="TableText0"/>
              <w:keepNext w:val="0"/>
              <w:jc w:val="center"/>
            </w:pPr>
            <w:r w:rsidRPr="00873941">
              <w:t>NR</w:t>
            </w:r>
          </w:p>
        </w:tc>
        <w:tc>
          <w:tcPr>
            <w:tcW w:w="862" w:type="pct"/>
            <w:tcBorders>
              <w:top w:val="single" w:sz="4" w:space="0" w:color="auto"/>
              <w:left w:val="single" w:sz="4" w:space="0" w:color="auto"/>
              <w:bottom w:val="single" w:sz="4" w:space="0" w:color="auto"/>
              <w:right w:val="single" w:sz="4" w:space="0" w:color="auto"/>
            </w:tcBorders>
            <w:vAlign w:val="center"/>
          </w:tcPr>
          <w:p w14:paraId="356585A3" w14:textId="1913A204" w:rsidR="003571AB" w:rsidRPr="00873941" w:rsidRDefault="003571AB" w:rsidP="0088158A">
            <w:pPr>
              <w:pStyle w:val="TableText0"/>
              <w:keepNext w:val="0"/>
              <w:jc w:val="center"/>
            </w:pPr>
            <w:r w:rsidRPr="00873941">
              <w:t>-</w:t>
            </w:r>
          </w:p>
        </w:tc>
        <w:tc>
          <w:tcPr>
            <w:tcW w:w="628" w:type="pct"/>
            <w:tcBorders>
              <w:top w:val="single" w:sz="4" w:space="0" w:color="auto"/>
              <w:left w:val="single" w:sz="4" w:space="0" w:color="auto"/>
              <w:bottom w:val="single" w:sz="4" w:space="0" w:color="auto"/>
              <w:right w:val="single" w:sz="4" w:space="0" w:color="auto"/>
            </w:tcBorders>
            <w:vAlign w:val="center"/>
          </w:tcPr>
          <w:p w14:paraId="12C49476" w14:textId="213B2A9A" w:rsidR="003571AB" w:rsidRPr="00873941" w:rsidRDefault="003571AB" w:rsidP="0088158A">
            <w:pPr>
              <w:pStyle w:val="TableText0"/>
              <w:keepNext w:val="0"/>
              <w:jc w:val="center"/>
            </w:pPr>
            <w:r w:rsidRPr="00873941">
              <w:t>-</w:t>
            </w:r>
          </w:p>
        </w:tc>
        <w:tc>
          <w:tcPr>
            <w:tcW w:w="695" w:type="pct"/>
            <w:tcBorders>
              <w:top w:val="single" w:sz="4" w:space="0" w:color="auto"/>
              <w:left w:val="single" w:sz="4" w:space="0" w:color="auto"/>
              <w:bottom w:val="single" w:sz="4" w:space="0" w:color="auto"/>
              <w:right w:val="single" w:sz="4" w:space="0" w:color="auto"/>
            </w:tcBorders>
            <w:vAlign w:val="center"/>
          </w:tcPr>
          <w:p w14:paraId="1A8028F8" w14:textId="75DE23CB" w:rsidR="003571AB" w:rsidRPr="00873941" w:rsidRDefault="003571AB" w:rsidP="0088158A">
            <w:pPr>
              <w:pStyle w:val="TableText0"/>
              <w:keepNext w:val="0"/>
              <w:jc w:val="center"/>
            </w:pPr>
            <w:r w:rsidRPr="00873941">
              <w:t>-</w:t>
            </w:r>
          </w:p>
        </w:tc>
        <w:tc>
          <w:tcPr>
            <w:tcW w:w="836" w:type="pct"/>
            <w:tcBorders>
              <w:top w:val="single" w:sz="4" w:space="0" w:color="auto"/>
              <w:left w:val="single" w:sz="4" w:space="0" w:color="auto"/>
              <w:bottom w:val="single" w:sz="4" w:space="0" w:color="auto"/>
              <w:right w:val="single" w:sz="4" w:space="0" w:color="auto"/>
            </w:tcBorders>
            <w:vAlign w:val="center"/>
          </w:tcPr>
          <w:p w14:paraId="41B06B1D" w14:textId="66101862" w:rsidR="003571AB" w:rsidRPr="00873941" w:rsidRDefault="003571AB" w:rsidP="0088158A">
            <w:pPr>
              <w:pStyle w:val="TableText0"/>
              <w:keepNext w:val="0"/>
              <w:jc w:val="center"/>
            </w:pPr>
            <w:r w:rsidRPr="00873941">
              <w:t>-</w:t>
            </w:r>
          </w:p>
        </w:tc>
      </w:tr>
      <w:tr w:rsidR="003571AB" w:rsidRPr="00873941" w14:paraId="201915D4" w14:textId="77777777" w:rsidTr="00F37EFA">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DB72B1" w14:textId="46F35BD4" w:rsidR="003571AB" w:rsidRPr="00873941" w:rsidRDefault="003571AB" w:rsidP="0088158A">
            <w:pPr>
              <w:pStyle w:val="TableText0"/>
              <w:keepNext w:val="0"/>
            </w:pPr>
            <w:r w:rsidRPr="00873941">
              <w:t>I-SPY2-PTP</w:t>
            </w:r>
          </w:p>
        </w:tc>
        <w:tc>
          <w:tcPr>
            <w:tcW w:w="633" w:type="pct"/>
            <w:gridSpan w:val="3"/>
            <w:tcBorders>
              <w:top w:val="single" w:sz="4" w:space="0" w:color="auto"/>
              <w:left w:val="single" w:sz="4" w:space="0" w:color="auto"/>
              <w:bottom w:val="single" w:sz="4" w:space="0" w:color="auto"/>
              <w:right w:val="single" w:sz="4" w:space="0" w:color="auto"/>
            </w:tcBorders>
            <w:vAlign w:val="center"/>
          </w:tcPr>
          <w:p w14:paraId="2FCBD1EF" w14:textId="51E07CEF" w:rsidR="003571AB" w:rsidRPr="00873941" w:rsidRDefault="003571AB" w:rsidP="0088158A">
            <w:pPr>
              <w:pStyle w:val="TableText0"/>
              <w:keepNext w:val="0"/>
              <w:jc w:val="center"/>
            </w:pPr>
            <w:r w:rsidRPr="00873941">
              <w:t>0</w:t>
            </w:r>
          </w:p>
        </w:tc>
        <w:tc>
          <w:tcPr>
            <w:tcW w:w="708" w:type="pct"/>
            <w:tcBorders>
              <w:top w:val="single" w:sz="4" w:space="0" w:color="auto"/>
              <w:left w:val="single" w:sz="4" w:space="0" w:color="auto"/>
              <w:bottom w:val="single" w:sz="4" w:space="0" w:color="auto"/>
              <w:right w:val="single" w:sz="4" w:space="0" w:color="auto"/>
            </w:tcBorders>
            <w:vAlign w:val="center"/>
          </w:tcPr>
          <w:p w14:paraId="39418B4D" w14:textId="21A622FC" w:rsidR="003571AB" w:rsidRPr="00873941" w:rsidRDefault="003571AB" w:rsidP="0088158A">
            <w:pPr>
              <w:pStyle w:val="TableText0"/>
              <w:keepNext w:val="0"/>
              <w:jc w:val="center"/>
            </w:pPr>
            <w:r w:rsidRPr="00873941">
              <w:t>1/31</w:t>
            </w:r>
          </w:p>
        </w:tc>
        <w:tc>
          <w:tcPr>
            <w:tcW w:w="862" w:type="pct"/>
            <w:tcBorders>
              <w:top w:val="single" w:sz="4" w:space="0" w:color="auto"/>
              <w:left w:val="single" w:sz="4" w:space="0" w:color="auto"/>
              <w:bottom w:val="single" w:sz="4" w:space="0" w:color="auto"/>
              <w:right w:val="single" w:sz="4" w:space="0" w:color="auto"/>
            </w:tcBorders>
            <w:vAlign w:val="center"/>
          </w:tcPr>
          <w:p w14:paraId="2289DBC5" w14:textId="4144D12E" w:rsidR="003571AB" w:rsidRPr="00873941" w:rsidRDefault="005E5BB2" w:rsidP="0088158A">
            <w:pPr>
              <w:pStyle w:val="TableText0"/>
              <w:keepNext w:val="0"/>
              <w:jc w:val="center"/>
            </w:pPr>
            <w:r w:rsidRPr="00873941">
              <w:t>0.23 (0.01, 5.51)</w:t>
            </w:r>
          </w:p>
        </w:tc>
        <w:tc>
          <w:tcPr>
            <w:tcW w:w="628" w:type="pct"/>
            <w:tcBorders>
              <w:top w:val="single" w:sz="4" w:space="0" w:color="auto"/>
              <w:left w:val="single" w:sz="4" w:space="0" w:color="auto"/>
              <w:bottom w:val="single" w:sz="4" w:space="0" w:color="auto"/>
              <w:right w:val="single" w:sz="4" w:space="0" w:color="auto"/>
            </w:tcBorders>
            <w:vAlign w:val="center"/>
          </w:tcPr>
          <w:p w14:paraId="1DC0E365" w14:textId="47616E87" w:rsidR="003571AB" w:rsidRPr="00873941" w:rsidRDefault="00D00114" w:rsidP="0088158A">
            <w:pPr>
              <w:pStyle w:val="TableText0"/>
              <w:keepNext w:val="0"/>
              <w:jc w:val="center"/>
            </w:pPr>
            <w:r w:rsidRPr="00873941">
              <w:t>NE</w:t>
            </w:r>
          </w:p>
        </w:tc>
        <w:tc>
          <w:tcPr>
            <w:tcW w:w="695" w:type="pct"/>
            <w:tcBorders>
              <w:top w:val="single" w:sz="4" w:space="0" w:color="auto"/>
              <w:left w:val="single" w:sz="4" w:space="0" w:color="auto"/>
              <w:bottom w:val="single" w:sz="4" w:space="0" w:color="auto"/>
              <w:right w:val="single" w:sz="4" w:space="0" w:color="auto"/>
            </w:tcBorders>
            <w:vAlign w:val="center"/>
          </w:tcPr>
          <w:p w14:paraId="0BE05078" w14:textId="79D99D77" w:rsidR="003571AB" w:rsidRPr="00873941" w:rsidRDefault="00D00114" w:rsidP="0088158A">
            <w:pPr>
              <w:pStyle w:val="TableText0"/>
              <w:keepNext w:val="0"/>
              <w:jc w:val="center"/>
            </w:pPr>
            <w:r w:rsidRPr="00873941">
              <w:t>3</w:t>
            </w:r>
          </w:p>
        </w:tc>
        <w:tc>
          <w:tcPr>
            <w:tcW w:w="836" w:type="pct"/>
            <w:tcBorders>
              <w:top w:val="single" w:sz="4" w:space="0" w:color="auto"/>
              <w:left w:val="single" w:sz="4" w:space="0" w:color="auto"/>
              <w:bottom w:val="single" w:sz="4" w:space="0" w:color="auto"/>
              <w:right w:val="single" w:sz="4" w:space="0" w:color="auto"/>
            </w:tcBorders>
            <w:vAlign w:val="center"/>
          </w:tcPr>
          <w:p w14:paraId="377BB69A" w14:textId="25067AE5" w:rsidR="003571AB" w:rsidRPr="00873941" w:rsidRDefault="005E5BB2" w:rsidP="0088158A">
            <w:pPr>
              <w:pStyle w:val="TableText0"/>
              <w:keepNext w:val="0"/>
              <w:jc w:val="center"/>
            </w:pPr>
            <w:r w:rsidRPr="00873941">
              <w:t>-0.03 (-0.11, 0.05)</w:t>
            </w:r>
          </w:p>
        </w:tc>
      </w:tr>
      <w:tr w:rsidR="003571AB" w:rsidRPr="00873941" w14:paraId="4F4B3174" w14:textId="77777777" w:rsidTr="00F37EFA">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0E6856" w14:textId="01169C07" w:rsidR="003571AB" w:rsidRPr="00873941" w:rsidRDefault="003571AB" w:rsidP="0088158A">
            <w:pPr>
              <w:pStyle w:val="TableText0"/>
              <w:keepNext w:val="0"/>
            </w:pPr>
            <w:r w:rsidRPr="00873941">
              <w:t>I-SPY2-AC</w:t>
            </w:r>
          </w:p>
        </w:tc>
        <w:tc>
          <w:tcPr>
            <w:tcW w:w="633" w:type="pct"/>
            <w:gridSpan w:val="3"/>
            <w:tcBorders>
              <w:top w:val="single" w:sz="4" w:space="0" w:color="auto"/>
              <w:left w:val="single" w:sz="4" w:space="0" w:color="auto"/>
              <w:bottom w:val="single" w:sz="4" w:space="0" w:color="auto"/>
              <w:right w:val="single" w:sz="4" w:space="0" w:color="auto"/>
            </w:tcBorders>
            <w:vAlign w:val="center"/>
          </w:tcPr>
          <w:p w14:paraId="57C572B9" w14:textId="3D2610E5" w:rsidR="003571AB" w:rsidRPr="00873941" w:rsidRDefault="003571AB" w:rsidP="0088158A">
            <w:pPr>
              <w:pStyle w:val="TableText0"/>
              <w:keepNext w:val="0"/>
              <w:jc w:val="center"/>
            </w:pPr>
            <w:r w:rsidRPr="00873941">
              <w:t>0</w:t>
            </w:r>
          </w:p>
        </w:tc>
        <w:tc>
          <w:tcPr>
            <w:tcW w:w="708" w:type="pct"/>
            <w:tcBorders>
              <w:top w:val="single" w:sz="4" w:space="0" w:color="auto"/>
              <w:left w:val="single" w:sz="4" w:space="0" w:color="auto"/>
              <w:bottom w:val="single" w:sz="4" w:space="0" w:color="auto"/>
              <w:right w:val="single" w:sz="4" w:space="0" w:color="auto"/>
            </w:tcBorders>
            <w:vAlign w:val="center"/>
          </w:tcPr>
          <w:p w14:paraId="4CCF07FC" w14:textId="7862F170" w:rsidR="003571AB" w:rsidRPr="00873941" w:rsidRDefault="003571AB" w:rsidP="0088158A">
            <w:pPr>
              <w:pStyle w:val="TableText0"/>
              <w:keepNext w:val="0"/>
              <w:jc w:val="center"/>
            </w:pPr>
            <w:r w:rsidRPr="00873941">
              <w:t>0</w:t>
            </w:r>
          </w:p>
        </w:tc>
        <w:tc>
          <w:tcPr>
            <w:tcW w:w="862" w:type="pct"/>
            <w:tcBorders>
              <w:top w:val="single" w:sz="4" w:space="0" w:color="auto"/>
              <w:left w:val="single" w:sz="4" w:space="0" w:color="auto"/>
              <w:bottom w:val="single" w:sz="4" w:space="0" w:color="auto"/>
              <w:right w:val="single" w:sz="4" w:space="0" w:color="auto"/>
            </w:tcBorders>
            <w:vAlign w:val="center"/>
          </w:tcPr>
          <w:p w14:paraId="3D723426" w14:textId="77D7D1D2" w:rsidR="003571AB" w:rsidRPr="00873941" w:rsidRDefault="003571AB" w:rsidP="0088158A">
            <w:pPr>
              <w:pStyle w:val="TableText0"/>
              <w:keepNext w:val="0"/>
              <w:jc w:val="center"/>
            </w:pPr>
            <w:r w:rsidRPr="00873941">
              <w:t>NE</w:t>
            </w:r>
          </w:p>
        </w:tc>
        <w:tc>
          <w:tcPr>
            <w:tcW w:w="628" w:type="pct"/>
            <w:tcBorders>
              <w:top w:val="single" w:sz="4" w:space="0" w:color="auto"/>
              <w:left w:val="single" w:sz="4" w:space="0" w:color="auto"/>
              <w:bottom w:val="single" w:sz="4" w:space="0" w:color="auto"/>
              <w:right w:val="single" w:sz="4" w:space="0" w:color="auto"/>
            </w:tcBorders>
            <w:vAlign w:val="center"/>
          </w:tcPr>
          <w:p w14:paraId="61477B55" w14:textId="71729D89" w:rsidR="003571AB" w:rsidRPr="00873941" w:rsidRDefault="003571AB" w:rsidP="0088158A">
            <w:pPr>
              <w:pStyle w:val="TableText0"/>
              <w:keepNext w:val="0"/>
              <w:jc w:val="center"/>
            </w:pPr>
            <w:r w:rsidRPr="00873941">
              <w:t>NE</w:t>
            </w:r>
          </w:p>
        </w:tc>
        <w:tc>
          <w:tcPr>
            <w:tcW w:w="695" w:type="pct"/>
            <w:tcBorders>
              <w:top w:val="single" w:sz="4" w:space="0" w:color="auto"/>
              <w:left w:val="single" w:sz="4" w:space="0" w:color="auto"/>
              <w:bottom w:val="single" w:sz="4" w:space="0" w:color="auto"/>
              <w:right w:val="single" w:sz="4" w:space="0" w:color="auto"/>
            </w:tcBorders>
            <w:vAlign w:val="center"/>
          </w:tcPr>
          <w:p w14:paraId="0E534A71" w14:textId="40AFFBE7" w:rsidR="003571AB" w:rsidRPr="00873941" w:rsidRDefault="003571AB" w:rsidP="0088158A">
            <w:pPr>
              <w:pStyle w:val="TableText0"/>
              <w:keepNext w:val="0"/>
              <w:jc w:val="center"/>
            </w:pPr>
            <w:r w:rsidRPr="00873941">
              <w:t>NE</w:t>
            </w:r>
          </w:p>
        </w:tc>
        <w:tc>
          <w:tcPr>
            <w:tcW w:w="836" w:type="pct"/>
            <w:tcBorders>
              <w:top w:val="single" w:sz="4" w:space="0" w:color="auto"/>
              <w:left w:val="single" w:sz="4" w:space="0" w:color="auto"/>
              <w:bottom w:val="single" w:sz="4" w:space="0" w:color="auto"/>
              <w:right w:val="single" w:sz="4" w:space="0" w:color="auto"/>
            </w:tcBorders>
            <w:vAlign w:val="center"/>
          </w:tcPr>
          <w:p w14:paraId="2C5B8D5F" w14:textId="00BE66F9" w:rsidR="003571AB" w:rsidRPr="00873941" w:rsidRDefault="003571AB" w:rsidP="0088158A">
            <w:pPr>
              <w:pStyle w:val="TableText0"/>
              <w:keepNext w:val="0"/>
              <w:jc w:val="center"/>
            </w:pPr>
            <w:r w:rsidRPr="00873941">
              <w:t>NE</w:t>
            </w:r>
          </w:p>
        </w:tc>
      </w:tr>
      <w:tr w:rsidR="003571AB" w:rsidRPr="00873941" w14:paraId="5B39CF15" w14:textId="77777777" w:rsidTr="00870171">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02309C1" w14:textId="1BE13C34" w:rsidR="003571AB" w:rsidRPr="00873941" w:rsidRDefault="003571AB" w:rsidP="0088158A">
            <w:pPr>
              <w:pStyle w:val="In-tableHeading"/>
              <w:keepNext w:val="0"/>
              <w:rPr>
                <w:lang w:val="en-AU"/>
              </w:rPr>
            </w:pPr>
            <w:r w:rsidRPr="00873941">
              <w:rPr>
                <w:lang w:val="en-AU"/>
              </w:rPr>
              <w:t>Left ventricular systolic dysfunction (any grade) (overall study period)</w:t>
            </w:r>
          </w:p>
        </w:tc>
      </w:tr>
      <w:tr w:rsidR="003571AB" w:rsidRPr="00873941" w14:paraId="18BCD8BE" w14:textId="77777777" w:rsidTr="00F37EFA">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FB58C09" w14:textId="54EAF51A" w:rsidR="003571AB" w:rsidRPr="00873941" w:rsidRDefault="003571AB" w:rsidP="0088158A">
            <w:pPr>
              <w:pStyle w:val="TableText0"/>
              <w:keepNext w:val="0"/>
            </w:pPr>
            <w:r w:rsidRPr="00873941">
              <w:t>NEOSPHERE</w:t>
            </w:r>
          </w:p>
        </w:tc>
        <w:tc>
          <w:tcPr>
            <w:tcW w:w="633" w:type="pct"/>
            <w:gridSpan w:val="3"/>
            <w:tcBorders>
              <w:top w:val="single" w:sz="4" w:space="0" w:color="auto"/>
              <w:left w:val="single" w:sz="4" w:space="0" w:color="auto"/>
              <w:bottom w:val="single" w:sz="4" w:space="0" w:color="auto"/>
              <w:right w:val="single" w:sz="4" w:space="0" w:color="auto"/>
            </w:tcBorders>
            <w:vAlign w:val="center"/>
          </w:tcPr>
          <w:p w14:paraId="32C9FB1B" w14:textId="6E3EB3B0" w:rsidR="003571AB" w:rsidRPr="00873941" w:rsidRDefault="003571AB" w:rsidP="0088158A">
            <w:pPr>
              <w:pStyle w:val="TableText0"/>
              <w:keepNext w:val="0"/>
              <w:jc w:val="center"/>
            </w:pPr>
            <w:r w:rsidRPr="00873941">
              <w:t>3/107</w:t>
            </w:r>
          </w:p>
        </w:tc>
        <w:tc>
          <w:tcPr>
            <w:tcW w:w="708" w:type="pct"/>
            <w:tcBorders>
              <w:top w:val="single" w:sz="4" w:space="0" w:color="auto"/>
              <w:left w:val="single" w:sz="4" w:space="0" w:color="auto"/>
              <w:bottom w:val="single" w:sz="4" w:space="0" w:color="auto"/>
              <w:right w:val="single" w:sz="4" w:space="0" w:color="auto"/>
            </w:tcBorders>
            <w:vAlign w:val="center"/>
          </w:tcPr>
          <w:p w14:paraId="09B2F961" w14:textId="76805DD8" w:rsidR="003571AB" w:rsidRPr="00873941" w:rsidRDefault="003571AB" w:rsidP="0088158A">
            <w:pPr>
              <w:pStyle w:val="TableText0"/>
              <w:keepNext w:val="0"/>
              <w:jc w:val="center"/>
            </w:pPr>
            <w:r w:rsidRPr="00873941">
              <w:t>0</w:t>
            </w:r>
          </w:p>
        </w:tc>
        <w:tc>
          <w:tcPr>
            <w:tcW w:w="862" w:type="pct"/>
            <w:tcBorders>
              <w:top w:val="single" w:sz="4" w:space="0" w:color="auto"/>
              <w:left w:val="single" w:sz="4" w:space="0" w:color="auto"/>
              <w:bottom w:val="single" w:sz="4" w:space="0" w:color="auto"/>
              <w:right w:val="single" w:sz="4" w:space="0" w:color="auto"/>
            </w:tcBorders>
            <w:vAlign w:val="center"/>
          </w:tcPr>
          <w:p w14:paraId="3215A50D" w14:textId="56321850" w:rsidR="003571AB" w:rsidRPr="00873941" w:rsidRDefault="005E5BB2" w:rsidP="0088158A">
            <w:pPr>
              <w:pStyle w:val="TableText0"/>
              <w:keepNext w:val="0"/>
              <w:jc w:val="center"/>
            </w:pPr>
            <w:r w:rsidRPr="00873941">
              <w:t>7.00 (0.37, 133.90)</w:t>
            </w:r>
          </w:p>
        </w:tc>
        <w:tc>
          <w:tcPr>
            <w:tcW w:w="628" w:type="pct"/>
            <w:tcBorders>
              <w:top w:val="single" w:sz="4" w:space="0" w:color="auto"/>
              <w:left w:val="single" w:sz="4" w:space="0" w:color="auto"/>
              <w:bottom w:val="single" w:sz="4" w:space="0" w:color="auto"/>
              <w:right w:val="single" w:sz="4" w:space="0" w:color="auto"/>
            </w:tcBorders>
            <w:vAlign w:val="center"/>
          </w:tcPr>
          <w:p w14:paraId="0369C103" w14:textId="7FDA04A9" w:rsidR="003571AB" w:rsidRPr="00873941" w:rsidRDefault="00D00114" w:rsidP="0088158A">
            <w:pPr>
              <w:pStyle w:val="TableText0"/>
              <w:keepNext w:val="0"/>
              <w:jc w:val="center"/>
            </w:pPr>
            <w:r w:rsidRPr="00873941">
              <w:t>3</w:t>
            </w:r>
          </w:p>
        </w:tc>
        <w:tc>
          <w:tcPr>
            <w:tcW w:w="695" w:type="pct"/>
            <w:tcBorders>
              <w:top w:val="single" w:sz="4" w:space="0" w:color="auto"/>
              <w:left w:val="single" w:sz="4" w:space="0" w:color="auto"/>
              <w:bottom w:val="single" w:sz="4" w:space="0" w:color="auto"/>
              <w:right w:val="single" w:sz="4" w:space="0" w:color="auto"/>
            </w:tcBorders>
            <w:vAlign w:val="center"/>
          </w:tcPr>
          <w:p w14:paraId="0B1E490A" w14:textId="0118B5A0" w:rsidR="003571AB" w:rsidRPr="00873941" w:rsidRDefault="00D00114" w:rsidP="0088158A">
            <w:pPr>
              <w:pStyle w:val="TableText0"/>
              <w:keepNext w:val="0"/>
              <w:jc w:val="center"/>
            </w:pPr>
            <w:r w:rsidRPr="00873941">
              <w:t>NE</w:t>
            </w:r>
          </w:p>
        </w:tc>
        <w:tc>
          <w:tcPr>
            <w:tcW w:w="836" w:type="pct"/>
            <w:tcBorders>
              <w:top w:val="single" w:sz="4" w:space="0" w:color="auto"/>
              <w:left w:val="single" w:sz="4" w:space="0" w:color="auto"/>
              <w:bottom w:val="single" w:sz="4" w:space="0" w:color="auto"/>
              <w:right w:val="single" w:sz="4" w:space="0" w:color="auto"/>
            </w:tcBorders>
            <w:vAlign w:val="center"/>
          </w:tcPr>
          <w:p w14:paraId="23E4B9E9" w14:textId="45BECFF6" w:rsidR="003571AB" w:rsidRPr="00873941" w:rsidRDefault="005E5BB2" w:rsidP="0088158A">
            <w:pPr>
              <w:pStyle w:val="TableText0"/>
              <w:keepNext w:val="0"/>
              <w:jc w:val="center"/>
            </w:pPr>
            <w:r w:rsidRPr="00873941">
              <w:t>0.03 (-0.01, 0.06)</w:t>
            </w:r>
          </w:p>
        </w:tc>
      </w:tr>
      <w:tr w:rsidR="005E5BB2" w:rsidRPr="00873941" w14:paraId="3E497486" w14:textId="77777777" w:rsidTr="00F37EFA">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0F23D98" w14:textId="54C9CE85" w:rsidR="005E5BB2" w:rsidRPr="00873941" w:rsidRDefault="005E5BB2" w:rsidP="0088158A">
            <w:pPr>
              <w:pStyle w:val="TableText0"/>
              <w:keepNext w:val="0"/>
            </w:pPr>
            <w:r w:rsidRPr="00873941">
              <w:t>PEONY</w:t>
            </w:r>
          </w:p>
        </w:tc>
        <w:tc>
          <w:tcPr>
            <w:tcW w:w="633" w:type="pct"/>
            <w:gridSpan w:val="3"/>
            <w:tcBorders>
              <w:top w:val="single" w:sz="4" w:space="0" w:color="auto"/>
              <w:left w:val="single" w:sz="4" w:space="0" w:color="auto"/>
              <w:bottom w:val="single" w:sz="4" w:space="0" w:color="auto"/>
              <w:right w:val="single" w:sz="4" w:space="0" w:color="auto"/>
            </w:tcBorders>
            <w:vAlign w:val="center"/>
          </w:tcPr>
          <w:p w14:paraId="0831A38C" w14:textId="1514BDA1" w:rsidR="005E5BB2" w:rsidRPr="00873941" w:rsidRDefault="005E5BB2" w:rsidP="0088158A">
            <w:pPr>
              <w:pStyle w:val="TableText0"/>
              <w:keepNext w:val="0"/>
              <w:jc w:val="center"/>
            </w:pPr>
            <w:r w:rsidRPr="00873941">
              <w:t>0</w:t>
            </w:r>
          </w:p>
        </w:tc>
        <w:tc>
          <w:tcPr>
            <w:tcW w:w="708" w:type="pct"/>
            <w:tcBorders>
              <w:top w:val="single" w:sz="4" w:space="0" w:color="auto"/>
              <w:left w:val="single" w:sz="4" w:space="0" w:color="auto"/>
              <w:bottom w:val="single" w:sz="4" w:space="0" w:color="auto"/>
              <w:right w:val="single" w:sz="4" w:space="0" w:color="auto"/>
            </w:tcBorders>
            <w:vAlign w:val="center"/>
          </w:tcPr>
          <w:p w14:paraId="735BF597" w14:textId="57BB9218" w:rsidR="005E5BB2" w:rsidRPr="00873941" w:rsidRDefault="005E5BB2" w:rsidP="0088158A">
            <w:pPr>
              <w:pStyle w:val="TableText0"/>
              <w:keepNext w:val="0"/>
              <w:jc w:val="center"/>
            </w:pPr>
            <w:r w:rsidRPr="00873941">
              <w:t>0</w:t>
            </w:r>
          </w:p>
        </w:tc>
        <w:tc>
          <w:tcPr>
            <w:tcW w:w="862" w:type="pct"/>
            <w:tcBorders>
              <w:top w:val="single" w:sz="4" w:space="0" w:color="auto"/>
              <w:left w:val="single" w:sz="4" w:space="0" w:color="auto"/>
              <w:bottom w:val="single" w:sz="4" w:space="0" w:color="auto"/>
              <w:right w:val="single" w:sz="4" w:space="0" w:color="auto"/>
            </w:tcBorders>
            <w:vAlign w:val="center"/>
          </w:tcPr>
          <w:p w14:paraId="29E9A9DA" w14:textId="3DF52DED" w:rsidR="005E5BB2" w:rsidRPr="00873941" w:rsidRDefault="005E5BB2" w:rsidP="0088158A">
            <w:pPr>
              <w:pStyle w:val="TableText0"/>
              <w:keepNext w:val="0"/>
              <w:jc w:val="center"/>
            </w:pPr>
            <w:r w:rsidRPr="00873941">
              <w:t>NE</w:t>
            </w:r>
          </w:p>
        </w:tc>
        <w:tc>
          <w:tcPr>
            <w:tcW w:w="628" w:type="pct"/>
            <w:tcBorders>
              <w:top w:val="single" w:sz="4" w:space="0" w:color="auto"/>
              <w:left w:val="single" w:sz="4" w:space="0" w:color="auto"/>
              <w:bottom w:val="single" w:sz="4" w:space="0" w:color="auto"/>
              <w:right w:val="single" w:sz="4" w:space="0" w:color="auto"/>
            </w:tcBorders>
            <w:vAlign w:val="center"/>
          </w:tcPr>
          <w:p w14:paraId="0425DDC0" w14:textId="01EFBDD6" w:rsidR="005E5BB2" w:rsidRPr="00873941" w:rsidRDefault="005E5BB2" w:rsidP="0088158A">
            <w:pPr>
              <w:pStyle w:val="TableText0"/>
              <w:keepNext w:val="0"/>
              <w:jc w:val="center"/>
            </w:pPr>
            <w:r w:rsidRPr="00873941">
              <w:t>NE</w:t>
            </w:r>
          </w:p>
        </w:tc>
        <w:tc>
          <w:tcPr>
            <w:tcW w:w="695" w:type="pct"/>
            <w:tcBorders>
              <w:top w:val="single" w:sz="4" w:space="0" w:color="auto"/>
              <w:left w:val="single" w:sz="4" w:space="0" w:color="auto"/>
              <w:bottom w:val="single" w:sz="4" w:space="0" w:color="auto"/>
              <w:right w:val="single" w:sz="4" w:space="0" w:color="auto"/>
            </w:tcBorders>
            <w:vAlign w:val="center"/>
          </w:tcPr>
          <w:p w14:paraId="3BB8C227" w14:textId="65525AF6" w:rsidR="005E5BB2" w:rsidRPr="00873941" w:rsidRDefault="005E5BB2" w:rsidP="0088158A">
            <w:pPr>
              <w:pStyle w:val="TableText0"/>
              <w:keepNext w:val="0"/>
              <w:jc w:val="center"/>
            </w:pPr>
            <w:r w:rsidRPr="00873941">
              <w:t>NE</w:t>
            </w:r>
          </w:p>
        </w:tc>
        <w:tc>
          <w:tcPr>
            <w:tcW w:w="836" w:type="pct"/>
            <w:tcBorders>
              <w:top w:val="single" w:sz="4" w:space="0" w:color="auto"/>
              <w:left w:val="single" w:sz="4" w:space="0" w:color="auto"/>
              <w:bottom w:val="single" w:sz="4" w:space="0" w:color="auto"/>
              <w:right w:val="single" w:sz="4" w:space="0" w:color="auto"/>
            </w:tcBorders>
            <w:vAlign w:val="center"/>
          </w:tcPr>
          <w:p w14:paraId="39FD1CDF" w14:textId="23786D42" w:rsidR="005E5BB2" w:rsidRPr="00873941" w:rsidRDefault="005E5BB2" w:rsidP="0088158A">
            <w:pPr>
              <w:pStyle w:val="TableText0"/>
              <w:keepNext w:val="0"/>
              <w:jc w:val="center"/>
            </w:pPr>
            <w:r w:rsidRPr="00873941">
              <w:t>NE</w:t>
            </w:r>
          </w:p>
        </w:tc>
      </w:tr>
      <w:tr w:rsidR="005E5BB2" w:rsidRPr="00873941" w14:paraId="7DE0A1F8" w14:textId="77777777" w:rsidTr="00F37EFA">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81B96F0" w14:textId="1E80F921" w:rsidR="005E5BB2" w:rsidRPr="00873941" w:rsidRDefault="005E5BB2" w:rsidP="0088158A">
            <w:pPr>
              <w:pStyle w:val="TableText0"/>
              <w:keepNext w:val="0"/>
            </w:pPr>
            <w:r w:rsidRPr="00873941">
              <w:t>I-SPY2-PTP</w:t>
            </w:r>
          </w:p>
        </w:tc>
        <w:tc>
          <w:tcPr>
            <w:tcW w:w="633" w:type="pct"/>
            <w:gridSpan w:val="3"/>
            <w:tcBorders>
              <w:top w:val="single" w:sz="4" w:space="0" w:color="auto"/>
              <w:left w:val="single" w:sz="4" w:space="0" w:color="auto"/>
              <w:bottom w:val="single" w:sz="4" w:space="0" w:color="auto"/>
              <w:right w:val="single" w:sz="4" w:space="0" w:color="auto"/>
            </w:tcBorders>
            <w:vAlign w:val="center"/>
          </w:tcPr>
          <w:p w14:paraId="057A674F" w14:textId="4F757908" w:rsidR="005E5BB2" w:rsidRPr="00873941" w:rsidRDefault="005E5BB2" w:rsidP="0088158A">
            <w:pPr>
              <w:pStyle w:val="TableText0"/>
              <w:keepNext w:val="0"/>
              <w:jc w:val="center"/>
            </w:pPr>
            <w:r w:rsidRPr="00873941">
              <w:t>NR</w:t>
            </w:r>
          </w:p>
        </w:tc>
        <w:tc>
          <w:tcPr>
            <w:tcW w:w="708" w:type="pct"/>
            <w:tcBorders>
              <w:top w:val="single" w:sz="4" w:space="0" w:color="auto"/>
              <w:left w:val="single" w:sz="4" w:space="0" w:color="auto"/>
              <w:bottom w:val="single" w:sz="4" w:space="0" w:color="auto"/>
              <w:right w:val="single" w:sz="4" w:space="0" w:color="auto"/>
            </w:tcBorders>
            <w:vAlign w:val="center"/>
          </w:tcPr>
          <w:p w14:paraId="43D9E750" w14:textId="68B11945" w:rsidR="005E5BB2" w:rsidRPr="00873941" w:rsidRDefault="005E5BB2" w:rsidP="0088158A">
            <w:pPr>
              <w:pStyle w:val="TableText0"/>
              <w:keepNext w:val="0"/>
              <w:jc w:val="center"/>
            </w:pPr>
            <w:r w:rsidRPr="00873941">
              <w:t>NR</w:t>
            </w:r>
          </w:p>
        </w:tc>
        <w:tc>
          <w:tcPr>
            <w:tcW w:w="862" w:type="pct"/>
            <w:tcBorders>
              <w:top w:val="single" w:sz="4" w:space="0" w:color="auto"/>
              <w:left w:val="single" w:sz="4" w:space="0" w:color="auto"/>
              <w:bottom w:val="single" w:sz="4" w:space="0" w:color="auto"/>
              <w:right w:val="single" w:sz="4" w:space="0" w:color="auto"/>
            </w:tcBorders>
            <w:vAlign w:val="center"/>
          </w:tcPr>
          <w:p w14:paraId="198BC8F3" w14:textId="4B726142" w:rsidR="005E5BB2" w:rsidRPr="00873941" w:rsidRDefault="005E5BB2" w:rsidP="0088158A">
            <w:pPr>
              <w:pStyle w:val="TableText0"/>
              <w:keepNext w:val="0"/>
              <w:jc w:val="center"/>
            </w:pPr>
            <w:r w:rsidRPr="00873941">
              <w:t>-</w:t>
            </w:r>
          </w:p>
        </w:tc>
        <w:tc>
          <w:tcPr>
            <w:tcW w:w="628" w:type="pct"/>
            <w:tcBorders>
              <w:top w:val="single" w:sz="4" w:space="0" w:color="auto"/>
              <w:left w:val="single" w:sz="4" w:space="0" w:color="auto"/>
              <w:bottom w:val="single" w:sz="4" w:space="0" w:color="auto"/>
              <w:right w:val="single" w:sz="4" w:space="0" w:color="auto"/>
            </w:tcBorders>
            <w:vAlign w:val="center"/>
          </w:tcPr>
          <w:p w14:paraId="22A8C06F" w14:textId="3A872BB3" w:rsidR="005E5BB2" w:rsidRPr="00873941" w:rsidRDefault="005E5BB2" w:rsidP="0088158A">
            <w:pPr>
              <w:pStyle w:val="TableText0"/>
              <w:keepNext w:val="0"/>
              <w:jc w:val="center"/>
            </w:pPr>
            <w:r w:rsidRPr="00873941">
              <w:t>-</w:t>
            </w:r>
          </w:p>
        </w:tc>
        <w:tc>
          <w:tcPr>
            <w:tcW w:w="695" w:type="pct"/>
            <w:tcBorders>
              <w:top w:val="single" w:sz="4" w:space="0" w:color="auto"/>
              <w:left w:val="single" w:sz="4" w:space="0" w:color="auto"/>
              <w:bottom w:val="single" w:sz="4" w:space="0" w:color="auto"/>
              <w:right w:val="single" w:sz="4" w:space="0" w:color="auto"/>
            </w:tcBorders>
            <w:vAlign w:val="center"/>
          </w:tcPr>
          <w:p w14:paraId="3EEB37F8" w14:textId="37C5E50D" w:rsidR="005E5BB2" w:rsidRPr="00873941" w:rsidRDefault="005E5BB2" w:rsidP="0088158A">
            <w:pPr>
              <w:pStyle w:val="TableText0"/>
              <w:keepNext w:val="0"/>
              <w:jc w:val="center"/>
            </w:pPr>
            <w:r w:rsidRPr="00873941">
              <w:t>-</w:t>
            </w:r>
          </w:p>
        </w:tc>
        <w:tc>
          <w:tcPr>
            <w:tcW w:w="836" w:type="pct"/>
            <w:tcBorders>
              <w:top w:val="single" w:sz="4" w:space="0" w:color="auto"/>
              <w:left w:val="single" w:sz="4" w:space="0" w:color="auto"/>
              <w:bottom w:val="single" w:sz="4" w:space="0" w:color="auto"/>
              <w:right w:val="single" w:sz="4" w:space="0" w:color="auto"/>
            </w:tcBorders>
            <w:vAlign w:val="center"/>
          </w:tcPr>
          <w:p w14:paraId="60CEF02C" w14:textId="5ABB4887" w:rsidR="005E5BB2" w:rsidRPr="00873941" w:rsidRDefault="005E5BB2" w:rsidP="0088158A">
            <w:pPr>
              <w:pStyle w:val="TableText0"/>
              <w:keepNext w:val="0"/>
              <w:jc w:val="center"/>
            </w:pPr>
            <w:r w:rsidRPr="00873941">
              <w:t>-</w:t>
            </w:r>
          </w:p>
        </w:tc>
      </w:tr>
      <w:tr w:rsidR="005E5BB2" w:rsidRPr="00873941" w14:paraId="7196089F" w14:textId="77777777" w:rsidTr="00F37EFA">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26A2541" w14:textId="54E23BF5" w:rsidR="005E5BB2" w:rsidRPr="00873941" w:rsidRDefault="005E5BB2" w:rsidP="0088158A">
            <w:pPr>
              <w:pStyle w:val="TableText0"/>
              <w:keepNext w:val="0"/>
            </w:pPr>
            <w:r w:rsidRPr="00873941">
              <w:t>I-SPY2-AC</w:t>
            </w:r>
          </w:p>
        </w:tc>
        <w:tc>
          <w:tcPr>
            <w:tcW w:w="633" w:type="pct"/>
            <w:gridSpan w:val="3"/>
            <w:tcBorders>
              <w:top w:val="single" w:sz="4" w:space="0" w:color="auto"/>
              <w:left w:val="single" w:sz="4" w:space="0" w:color="auto"/>
              <w:bottom w:val="single" w:sz="4" w:space="0" w:color="auto"/>
              <w:right w:val="single" w:sz="4" w:space="0" w:color="auto"/>
            </w:tcBorders>
            <w:vAlign w:val="center"/>
          </w:tcPr>
          <w:p w14:paraId="4D241950" w14:textId="50F4DCE5" w:rsidR="005E5BB2" w:rsidRPr="00873941" w:rsidRDefault="005E5BB2" w:rsidP="0088158A">
            <w:pPr>
              <w:pStyle w:val="TableText0"/>
              <w:keepNext w:val="0"/>
              <w:jc w:val="center"/>
            </w:pPr>
            <w:r w:rsidRPr="00873941">
              <w:t>NR</w:t>
            </w:r>
          </w:p>
        </w:tc>
        <w:tc>
          <w:tcPr>
            <w:tcW w:w="708" w:type="pct"/>
            <w:tcBorders>
              <w:top w:val="single" w:sz="4" w:space="0" w:color="auto"/>
              <w:left w:val="single" w:sz="4" w:space="0" w:color="auto"/>
              <w:bottom w:val="single" w:sz="4" w:space="0" w:color="auto"/>
              <w:right w:val="single" w:sz="4" w:space="0" w:color="auto"/>
            </w:tcBorders>
            <w:vAlign w:val="center"/>
          </w:tcPr>
          <w:p w14:paraId="7CEBDEB6" w14:textId="5CCB30BB" w:rsidR="005E5BB2" w:rsidRPr="00873941" w:rsidRDefault="005E5BB2" w:rsidP="0088158A">
            <w:pPr>
              <w:pStyle w:val="TableText0"/>
              <w:keepNext w:val="0"/>
              <w:jc w:val="center"/>
            </w:pPr>
            <w:r w:rsidRPr="00873941">
              <w:t>NR</w:t>
            </w:r>
          </w:p>
        </w:tc>
        <w:tc>
          <w:tcPr>
            <w:tcW w:w="862" w:type="pct"/>
            <w:tcBorders>
              <w:top w:val="single" w:sz="4" w:space="0" w:color="auto"/>
              <w:left w:val="single" w:sz="4" w:space="0" w:color="auto"/>
              <w:bottom w:val="single" w:sz="4" w:space="0" w:color="auto"/>
              <w:right w:val="single" w:sz="4" w:space="0" w:color="auto"/>
            </w:tcBorders>
            <w:vAlign w:val="center"/>
          </w:tcPr>
          <w:p w14:paraId="7FCBE559" w14:textId="7E0A0D65" w:rsidR="005E5BB2" w:rsidRPr="00873941" w:rsidRDefault="005E5BB2" w:rsidP="0088158A">
            <w:pPr>
              <w:pStyle w:val="TableText0"/>
              <w:keepNext w:val="0"/>
              <w:jc w:val="center"/>
            </w:pPr>
            <w:r w:rsidRPr="00873941">
              <w:t>-</w:t>
            </w:r>
          </w:p>
        </w:tc>
        <w:tc>
          <w:tcPr>
            <w:tcW w:w="628" w:type="pct"/>
            <w:tcBorders>
              <w:top w:val="single" w:sz="4" w:space="0" w:color="auto"/>
              <w:left w:val="single" w:sz="4" w:space="0" w:color="auto"/>
              <w:bottom w:val="single" w:sz="4" w:space="0" w:color="auto"/>
              <w:right w:val="single" w:sz="4" w:space="0" w:color="auto"/>
            </w:tcBorders>
            <w:vAlign w:val="center"/>
          </w:tcPr>
          <w:p w14:paraId="4C2A83A3" w14:textId="6EA44A4A" w:rsidR="005E5BB2" w:rsidRPr="00873941" w:rsidRDefault="005E5BB2" w:rsidP="0088158A">
            <w:pPr>
              <w:pStyle w:val="TableText0"/>
              <w:keepNext w:val="0"/>
              <w:jc w:val="center"/>
            </w:pPr>
            <w:r w:rsidRPr="00873941">
              <w:t>-</w:t>
            </w:r>
          </w:p>
        </w:tc>
        <w:tc>
          <w:tcPr>
            <w:tcW w:w="695" w:type="pct"/>
            <w:tcBorders>
              <w:top w:val="single" w:sz="4" w:space="0" w:color="auto"/>
              <w:left w:val="single" w:sz="4" w:space="0" w:color="auto"/>
              <w:bottom w:val="single" w:sz="4" w:space="0" w:color="auto"/>
              <w:right w:val="single" w:sz="4" w:space="0" w:color="auto"/>
            </w:tcBorders>
            <w:vAlign w:val="center"/>
          </w:tcPr>
          <w:p w14:paraId="1608EB3E" w14:textId="3DF0FC37" w:rsidR="005E5BB2" w:rsidRPr="00873941" w:rsidRDefault="005E5BB2" w:rsidP="0088158A">
            <w:pPr>
              <w:pStyle w:val="TableText0"/>
              <w:keepNext w:val="0"/>
              <w:jc w:val="center"/>
            </w:pPr>
            <w:r w:rsidRPr="00873941">
              <w:t>-</w:t>
            </w:r>
          </w:p>
        </w:tc>
        <w:tc>
          <w:tcPr>
            <w:tcW w:w="836" w:type="pct"/>
            <w:tcBorders>
              <w:top w:val="single" w:sz="4" w:space="0" w:color="auto"/>
              <w:left w:val="single" w:sz="4" w:space="0" w:color="auto"/>
              <w:bottom w:val="single" w:sz="4" w:space="0" w:color="auto"/>
              <w:right w:val="single" w:sz="4" w:space="0" w:color="auto"/>
            </w:tcBorders>
            <w:vAlign w:val="center"/>
          </w:tcPr>
          <w:p w14:paraId="6F3579FE" w14:textId="5DDA419A" w:rsidR="005E5BB2" w:rsidRPr="00873941" w:rsidRDefault="005E5BB2" w:rsidP="0088158A">
            <w:pPr>
              <w:pStyle w:val="TableText0"/>
              <w:keepNext w:val="0"/>
              <w:jc w:val="center"/>
            </w:pPr>
            <w:r w:rsidRPr="00873941">
              <w:t>-</w:t>
            </w:r>
          </w:p>
        </w:tc>
      </w:tr>
    </w:tbl>
    <w:p w14:paraId="67D9843F" w14:textId="0BA5F24B" w:rsidR="00620C25" w:rsidRPr="00873941" w:rsidRDefault="00620C25" w:rsidP="0088158A">
      <w:pPr>
        <w:pStyle w:val="TableFigureFooter"/>
      </w:pPr>
      <w:r w:rsidRPr="00873941">
        <w:t>Source: Table</w:t>
      </w:r>
      <w:r w:rsidR="000369EF" w:rsidRPr="00873941">
        <w:t xml:space="preserve">s </w:t>
      </w:r>
      <w:r w:rsidR="0002298D" w:rsidRPr="00873941">
        <w:t xml:space="preserve">2-19, </w:t>
      </w:r>
      <w:r w:rsidR="000369EF" w:rsidRPr="00873941">
        <w:t>2-22</w:t>
      </w:r>
      <w:r w:rsidRPr="00873941">
        <w:t xml:space="preserve">, </w:t>
      </w:r>
      <w:r w:rsidR="0002298D" w:rsidRPr="00873941">
        <w:t xml:space="preserve">2-32, 2-33, </w:t>
      </w:r>
      <w:r w:rsidR="003F3213" w:rsidRPr="00873941">
        <w:t>2-36,</w:t>
      </w:r>
      <w:r w:rsidR="00D214D6" w:rsidRPr="00873941">
        <w:t xml:space="preserve"> 2-38, 2-39, 2-48,</w:t>
      </w:r>
      <w:r w:rsidR="003F3213" w:rsidRPr="00873941">
        <w:t xml:space="preserve"> </w:t>
      </w:r>
      <w:r w:rsidR="00D214D6" w:rsidRPr="00873941">
        <w:t xml:space="preserve">&amp; 2-52, </w:t>
      </w:r>
      <w:r w:rsidRPr="00873941">
        <w:t>pp</w:t>
      </w:r>
      <w:r w:rsidR="0002298D" w:rsidRPr="00873941">
        <w:t xml:space="preserve">82, </w:t>
      </w:r>
      <w:r w:rsidR="000369EF" w:rsidRPr="00873941">
        <w:t>84-85</w:t>
      </w:r>
      <w:r w:rsidR="0002298D" w:rsidRPr="00873941">
        <w:t>, 92</w:t>
      </w:r>
      <w:r w:rsidR="003F3213" w:rsidRPr="00873941">
        <w:t>, 94</w:t>
      </w:r>
      <w:r w:rsidR="00D214D6" w:rsidRPr="00873941">
        <w:t xml:space="preserve">, 99, 101,111 &amp; 115 </w:t>
      </w:r>
      <w:r w:rsidRPr="00873941">
        <w:t xml:space="preserve">of the </w:t>
      </w:r>
      <w:r w:rsidR="000369EF" w:rsidRPr="00873941">
        <w:t>re</w:t>
      </w:r>
      <w:r w:rsidRPr="00873941">
        <w:t>submission</w:t>
      </w:r>
      <w:r w:rsidR="000113BA" w:rsidRPr="00873941">
        <w:t xml:space="preserve">; </w:t>
      </w:r>
      <w:r w:rsidR="00870171" w:rsidRPr="00873941">
        <w:t xml:space="preserve">pp149-150, NEOSPHERE CSR Feb 2015, </w:t>
      </w:r>
      <w:r w:rsidR="000113BA" w:rsidRPr="00873941">
        <w:t>Table 11, PEONY CSR March 2022</w:t>
      </w:r>
      <w:r w:rsidR="003571AB" w:rsidRPr="00873941">
        <w:t>, Clark 2021</w:t>
      </w:r>
      <w:r w:rsidRPr="00873941">
        <w:t>.</w:t>
      </w:r>
      <w:r w:rsidR="00D92D9D" w:rsidRPr="00873941">
        <w:br/>
      </w:r>
      <w:r w:rsidR="00767185" w:rsidRPr="00873941">
        <w:t>AC=</w:t>
      </w:r>
      <w:r w:rsidR="003571AB" w:rsidRPr="00873941">
        <w:t xml:space="preserve">anthracycline; </w:t>
      </w:r>
      <w:r w:rsidRPr="00873941">
        <w:t xml:space="preserve">HR = hazard ratio; PBO = placebo; </w:t>
      </w:r>
      <w:r w:rsidR="00767185" w:rsidRPr="00873941">
        <w:t>PTP=pertuzumab</w:t>
      </w:r>
      <w:r w:rsidR="00B973FB" w:rsidRPr="00873941">
        <w:t xml:space="preserve"> </w:t>
      </w:r>
      <w:r w:rsidR="00767185" w:rsidRPr="00873941">
        <w:t>+</w:t>
      </w:r>
      <w:r w:rsidR="00B973FB" w:rsidRPr="00873941">
        <w:t xml:space="preserve"> </w:t>
      </w:r>
      <w:r w:rsidR="00767185" w:rsidRPr="00873941">
        <w:t>trastuzumab</w:t>
      </w:r>
      <w:r w:rsidR="00B973FB" w:rsidRPr="00873941">
        <w:t xml:space="preserve"> </w:t>
      </w:r>
      <w:r w:rsidR="00767185" w:rsidRPr="00873941">
        <w:t>+</w:t>
      </w:r>
      <w:r w:rsidR="00B973FB" w:rsidRPr="00873941">
        <w:t xml:space="preserve"> </w:t>
      </w:r>
      <w:r w:rsidR="00767185" w:rsidRPr="00873941">
        <w:t xml:space="preserve">paclitaxel; </w:t>
      </w:r>
      <w:r w:rsidRPr="00873941">
        <w:t>RD = risk difference; RR = risk ratio</w:t>
      </w:r>
    </w:p>
    <w:p w14:paraId="5F8E4859" w14:textId="2952FD15" w:rsidR="0070232F" w:rsidRPr="00873941" w:rsidRDefault="00B973FB" w:rsidP="0088158A">
      <w:pPr>
        <w:pStyle w:val="TableFigureFooter"/>
      </w:pPr>
      <w:r w:rsidRPr="00873941">
        <w:rPr>
          <w:vertAlign w:val="superscript"/>
        </w:rPr>
        <w:t>a</w:t>
      </w:r>
      <w:r w:rsidR="00B62715" w:rsidRPr="00873941">
        <w:t xml:space="preserve"> </w:t>
      </w:r>
      <w:r w:rsidRPr="00873941">
        <w:t>Neoadjuvant period</w:t>
      </w:r>
      <w:r w:rsidR="00B62715" w:rsidRPr="00873941">
        <w:t xml:space="preserve">: </w:t>
      </w:r>
      <w:r w:rsidRPr="00873941">
        <w:t>NEOSPHERE</w:t>
      </w:r>
      <w:r w:rsidR="00B62715" w:rsidRPr="00873941">
        <w:t xml:space="preserve"> = </w:t>
      </w:r>
      <w:r w:rsidRPr="00873941">
        <w:t>4 cycles (12 weeks)</w:t>
      </w:r>
      <w:r w:rsidR="00B62715" w:rsidRPr="00873941">
        <w:t xml:space="preserve">; </w:t>
      </w:r>
      <w:r w:rsidRPr="00873941">
        <w:t>PEONY</w:t>
      </w:r>
      <w:r w:rsidR="00B62715" w:rsidRPr="00873941">
        <w:t xml:space="preserve"> = </w:t>
      </w:r>
      <w:r w:rsidRPr="00873941">
        <w:t>6 cycles (1</w:t>
      </w:r>
      <w:r w:rsidR="00B62715" w:rsidRPr="00873941">
        <w:t xml:space="preserve">8 </w:t>
      </w:r>
      <w:r w:rsidRPr="00873941">
        <w:t>weeks)</w:t>
      </w:r>
      <w:r w:rsidR="00B62715" w:rsidRPr="00873941">
        <w:t xml:space="preserve">; </w:t>
      </w:r>
      <w:r w:rsidR="008143EE" w:rsidRPr="00873941">
        <w:t>I-SPY2-PTP = 4 cycles (12 weeks); I-SPY2-AC = 4 cycles (8-12 weeks at treating physicians</w:t>
      </w:r>
      <w:r w:rsidR="00960809" w:rsidRPr="00873941">
        <w:t>’</w:t>
      </w:r>
      <w:r w:rsidR="008143EE" w:rsidRPr="00873941">
        <w:t xml:space="preserve"> discretion); </w:t>
      </w:r>
      <w:r w:rsidRPr="00873941">
        <w:t xml:space="preserve">Meta-analysis = neoadjuvant period varied across trials and studies. </w:t>
      </w:r>
    </w:p>
    <w:p w14:paraId="2D2777CC" w14:textId="77777777" w:rsidR="00F37EFA" w:rsidRPr="00873941" w:rsidRDefault="00F37EFA" w:rsidP="0070232F">
      <w:pPr>
        <w:pStyle w:val="3-BodyText"/>
        <w:rPr>
          <w:rFonts w:ascii="Times New Roman" w:hAnsi="Times New Roman" w:cs="Times New Roman"/>
        </w:rPr>
      </w:pPr>
      <w:bookmarkStart w:id="63" w:name="_Toc22897644"/>
      <w:r w:rsidRPr="00873941">
        <w:t>On</w:t>
      </w:r>
      <w:r w:rsidRPr="00873941">
        <w:rPr>
          <w:rFonts w:ascii="Times New Roman" w:hAnsi="Times New Roman" w:cs="Times New Roman"/>
        </w:rPr>
        <w:t xml:space="preserve"> </w:t>
      </w:r>
      <w:r w:rsidRPr="00873941">
        <w:t xml:space="preserve">the basis of direct evidence presented by the submission, for every 100 patients treated with </w:t>
      </w:r>
      <w:proofErr w:type="spellStart"/>
      <w:r w:rsidRPr="00873941">
        <w:t>P+T+Chemo</w:t>
      </w:r>
      <w:proofErr w:type="spellEnd"/>
      <w:r w:rsidRPr="00873941">
        <w:t xml:space="preserve"> in comparison with </w:t>
      </w:r>
      <w:proofErr w:type="spellStart"/>
      <w:r w:rsidRPr="00873941">
        <w:t>T+Chemo</w:t>
      </w:r>
      <w:proofErr w:type="spellEnd"/>
      <w:r w:rsidRPr="00873941">
        <w:t xml:space="preserve"> in the neoadjuvant setting:</w:t>
      </w:r>
      <w:r w:rsidRPr="00873941">
        <w:rPr>
          <w:rFonts w:ascii="Times New Roman" w:hAnsi="Times New Roman" w:cs="Times New Roman"/>
        </w:rPr>
        <w:t xml:space="preserve"> </w:t>
      </w:r>
    </w:p>
    <w:p w14:paraId="34A227FE" w14:textId="61630571" w:rsidR="00F37EFA" w:rsidRPr="00873941" w:rsidRDefault="00F37EFA" w:rsidP="00C37360">
      <w:pPr>
        <w:pStyle w:val="ListParagraph"/>
        <w:numPr>
          <w:ilvl w:val="0"/>
          <w:numId w:val="10"/>
        </w:numPr>
        <w:snapToGrid w:val="0"/>
        <w:ind w:left="1134" w:hanging="357"/>
        <w:jc w:val="both"/>
      </w:pPr>
      <w:r w:rsidRPr="00873941">
        <w:t>Approximately 17-18 additional patients would have breast pathological complete response</w:t>
      </w:r>
      <w:r w:rsidR="00A14150" w:rsidRPr="00873941">
        <w:t xml:space="preserve"> (absence of invasive cancer in the breast, but invasive disease in the lymph nodes is permitted)</w:t>
      </w:r>
      <w:r w:rsidRPr="00873941">
        <w:t>.</w:t>
      </w:r>
    </w:p>
    <w:p w14:paraId="4BE51C88" w14:textId="34218218" w:rsidR="00F37EFA" w:rsidRPr="00873941" w:rsidRDefault="00F37EFA" w:rsidP="00C37360">
      <w:pPr>
        <w:pStyle w:val="ListParagraph"/>
        <w:numPr>
          <w:ilvl w:val="0"/>
          <w:numId w:val="10"/>
        </w:numPr>
        <w:snapToGrid w:val="0"/>
        <w:ind w:left="1134" w:hanging="357"/>
        <w:jc w:val="both"/>
      </w:pPr>
      <w:r w:rsidRPr="00873941">
        <w:t>Approximately 16-</w:t>
      </w:r>
      <w:r w:rsidR="00946135" w:rsidRPr="00873941">
        <w:t xml:space="preserve">18 </w:t>
      </w:r>
      <w:r w:rsidRPr="00873941">
        <w:t>additional patients would have total pathological complete response</w:t>
      </w:r>
      <w:r w:rsidR="00A14150" w:rsidRPr="00873941">
        <w:t xml:space="preserve"> (absence of invasive cancer in the breast and axillary lymph nodes)</w:t>
      </w:r>
      <w:r w:rsidRPr="00873941">
        <w:t>.</w:t>
      </w:r>
    </w:p>
    <w:p w14:paraId="2F845E68" w14:textId="312D5BC3" w:rsidR="00F37EFA" w:rsidRPr="00873941" w:rsidRDefault="00F37EFA" w:rsidP="00C37360">
      <w:pPr>
        <w:pStyle w:val="ListParagraph"/>
        <w:numPr>
          <w:ilvl w:val="0"/>
          <w:numId w:val="10"/>
        </w:numPr>
        <w:snapToGrid w:val="0"/>
        <w:ind w:left="1134" w:hanging="357"/>
        <w:jc w:val="both"/>
      </w:pPr>
      <w:r w:rsidRPr="00873941">
        <w:t>Approximately 11 additional patients would remain disease-free after 5 years (based on the PEONY trial</w:t>
      </w:r>
      <w:r w:rsidR="00BA2AAE" w:rsidRPr="00873941">
        <w:t>).</w:t>
      </w:r>
      <w:r w:rsidRPr="00873941">
        <w:t xml:space="preserve"> The NEOSPHERE trial did not observe a significant improvement in the number of patients remaining disease free or surviving overall.</w:t>
      </w:r>
    </w:p>
    <w:p w14:paraId="4FE9BB64" w14:textId="7C2E4142" w:rsidR="00BA2AAE" w:rsidRPr="00873941" w:rsidRDefault="00BA2AAE" w:rsidP="00C37360">
      <w:pPr>
        <w:pStyle w:val="ListParagraph"/>
        <w:numPr>
          <w:ilvl w:val="0"/>
          <w:numId w:val="10"/>
        </w:numPr>
        <w:snapToGrid w:val="0"/>
        <w:ind w:left="1134" w:hanging="357"/>
        <w:jc w:val="both"/>
      </w:pPr>
      <w:r w:rsidRPr="00873941">
        <w:t>There would be no difference in overall survival after 5 years.</w:t>
      </w:r>
    </w:p>
    <w:p w14:paraId="04267CD3" w14:textId="25F84EE0" w:rsidR="00F37EFA" w:rsidRPr="00873941" w:rsidRDefault="00A14150" w:rsidP="00C37360">
      <w:pPr>
        <w:pStyle w:val="ListParagraph"/>
        <w:numPr>
          <w:ilvl w:val="0"/>
          <w:numId w:val="10"/>
        </w:numPr>
        <w:snapToGrid w:val="0"/>
        <w:ind w:left="1134" w:hanging="357"/>
        <w:jc w:val="both"/>
      </w:pPr>
      <w:r w:rsidRPr="00873941">
        <w:t>Up to</w:t>
      </w:r>
      <w:r w:rsidR="00BA2AAE" w:rsidRPr="00873941">
        <w:t xml:space="preserve"> </w:t>
      </w:r>
      <w:r w:rsidR="00F37EFA" w:rsidRPr="00873941">
        <w:t xml:space="preserve">2 additional patients would </w:t>
      </w:r>
      <w:r w:rsidR="00BA2AAE" w:rsidRPr="00873941">
        <w:t xml:space="preserve">experience </w:t>
      </w:r>
      <w:r w:rsidR="00F37EFA" w:rsidRPr="00873941">
        <w:t>a serious adverse event</w:t>
      </w:r>
      <w:r w:rsidRPr="00873941">
        <w:t xml:space="preserve"> (based on the PEONY trial)</w:t>
      </w:r>
      <w:r w:rsidR="00F37EFA" w:rsidRPr="00873941">
        <w:t>.</w:t>
      </w:r>
    </w:p>
    <w:p w14:paraId="1433AAAF" w14:textId="58962170" w:rsidR="00BA2AAE" w:rsidRPr="00873941" w:rsidRDefault="00A14150" w:rsidP="00C37360">
      <w:pPr>
        <w:pStyle w:val="ListParagraph"/>
        <w:numPr>
          <w:ilvl w:val="0"/>
          <w:numId w:val="10"/>
        </w:numPr>
        <w:snapToGrid w:val="0"/>
        <w:ind w:left="1134" w:hanging="357"/>
        <w:jc w:val="both"/>
      </w:pPr>
      <w:r w:rsidRPr="00873941">
        <w:t>Up to</w:t>
      </w:r>
      <w:r w:rsidR="00BA2AAE" w:rsidRPr="00873941">
        <w:t xml:space="preserve"> 7 additional patients would experience an adverse event of Grade ≥3 severity (severe or disabling or requires hospitalisation)</w:t>
      </w:r>
      <w:r w:rsidRPr="00873941">
        <w:t xml:space="preserve"> (based on the </w:t>
      </w:r>
      <w:r w:rsidR="00C432B6" w:rsidRPr="00873941">
        <w:t>PEONY trial)</w:t>
      </w:r>
      <w:r w:rsidR="00BA2AAE" w:rsidRPr="00873941">
        <w:t>.</w:t>
      </w:r>
    </w:p>
    <w:p w14:paraId="538F513D" w14:textId="2CCBD1BF" w:rsidR="00F37EFA" w:rsidRPr="00873941" w:rsidRDefault="00C432B6" w:rsidP="00C37360">
      <w:pPr>
        <w:pStyle w:val="ListParagraph"/>
        <w:numPr>
          <w:ilvl w:val="0"/>
          <w:numId w:val="10"/>
        </w:numPr>
        <w:snapToGrid w:val="0"/>
        <w:ind w:left="1134" w:hanging="357"/>
        <w:jc w:val="both"/>
      </w:pPr>
      <w:r w:rsidRPr="00873941">
        <w:lastRenderedPageBreak/>
        <w:t>Up to</w:t>
      </w:r>
      <w:r w:rsidR="00BA2AAE" w:rsidRPr="00873941">
        <w:t xml:space="preserve"> 2 </w:t>
      </w:r>
      <w:r w:rsidR="00F37EFA" w:rsidRPr="00873941">
        <w:t>additional patients would experience diarrhoea of Grade ≥3 severity (diarrhoea that is severe or disabling or requires hospitalisation)</w:t>
      </w:r>
      <w:r w:rsidRPr="00873941">
        <w:t xml:space="preserve"> (based on the NEOSPHERE trial)</w:t>
      </w:r>
      <w:r w:rsidR="00F37EFA" w:rsidRPr="00873941">
        <w:t>.</w:t>
      </w:r>
    </w:p>
    <w:p w14:paraId="2BF52701" w14:textId="1D6E9CED" w:rsidR="00BA2AAE" w:rsidRPr="00873941" w:rsidRDefault="00BA2AAE" w:rsidP="00C37360">
      <w:pPr>
        <w:pStyle w:val="ListParagraph"/>
        <w:numPr>
          <w:ilvl w:val="0"/>
          <w:numId w:val="10"/>
        </w:numPr>
        <w:snapToGrid w:val="0"/>
        <w:ind w:left="1134" w:hanging="357"/>
        <w:jc w:val="both"/>
      </w:pPr>
      <w:r w:rsidRPr="00873941">
        <w:t>Approximately 3 additional patients would experience left ventricular systolic dysfunction (based on the NEOSPHERE trial).</w:t>
      </w:r>
    </w:p>
    <w:p w14:paraId="5F809B77" w14:textId="77777777" w:rsidR="001458AE" w:rsidRPr="00873941" w:rsidRDefault="001458AE" w:rsidP="001458AE">
      <w:pPr>
        <w:pStyle w:val="4-SubsectionHeading"/>
      </w:pPr>
      <w:bookmarkStart w:id="64" w:name="_Toc188444277"/>
      <w:r w:rsidRPr="00873941">
        <w:t>Clinical claim</w:t>
      </w:r>
      <w:bookmarkEnd w:id="63"/>
      <w:bookmarkEnd w:id="64"/>
    </w:p>
    <w:p w14:paraId="1F8663BA" w14:textId="00C3B693" w:rsidR="00642E4A" w:rsidRPr="00B66841" w:rsidRDefault="005F7588" w:rsidP="00E9094A">
      <w:pPr>
        <w:pStyle w:val="3-BodyText"/>
        <w:rPr>
          <w:rFonts w:eastAsia="Calibri"/>
        </w:rPr>
      </w:pPr>
      <w:r w:rsidRPr="00B66841">
        <w:rPr>
          <w:rFonts w:eastAsia="Calibri"/>
        </w:rPr>
        <w:t xml:space="preserve">The </w:t>
      </w:r>
      <w:r w:rsidR="00A931FF" w:rsidRPr="00B66841">
        <w:rPr>
          <w:rFonts w:eastAsia="Calibri"/>
        </w:rPr>
        <w:t>re</w:t>
      </w:r>
      <w:r w:rsidRPr="00B66841">
        <w:rPr>
          <w:rFonts w:eastAsia="Calibri"/>
        </w:rPr>
        <w:t xml:space="preserve">submission described </w:t>
      </w:r>
      <w:proofErr w:type="spellStart"/>
      <w:r w:rsidR="008F2A3C" w:rsidRPr="00B66841">
        <w:rPr>
          <w:rFonts w:eastAsia="Calibri"/>
        </w:rPr>
        <w:t>P+T+Chemo</w:t>
      </w:r>
      <w:proofErr w:type="spellEnd"/>
      <w:r w:rsidRPr="00B66841">
        <w:rPr>
          <w:rFonts w:eastAsia="Calibri"/>
        </w:rPr>
        <w:t xml:space="preserve"> as superior in terms of eff</w:t>
      </w:r>
      <w:r w:rsidR="008F2A3C" w:rsidRPr="00B66841">
        <w:rPr>
          <w:rFonts w:eastAsia="Calibri"/>
        </w:rPr>
        <w:t>icacy</w:t>
      </w:r>
      <w:r w:rsidRPr="00B66841">
        <w:rPr>
          <w:rFonts w:eastAsia="Calibri"/>
        </w:rPr>
        <w:t xml:space="preserve"> compared to </w:t>
      </w:r>
      <w:proofErr w:type="spellStart"/>
      <w:r w:rsidR="008F2A3C" w:rsidRPr="00B66841">
        <w:rPr>
          <w:rFonts w:eastAsia="Calibri"/>
        </w:rPr>
        <w:t>T+Chem</w:t>
      </w:r>
      <w:r w:rsidR="00642E4A" w:rsidRPr="00B66841">
        <w:rPr>
          <w:rFonts w:eastAsia="Calibri"/>
        </w:rPr>
        <w:t>o</w:t>
      </w:r>
      <w:proofErr w:type="spellEnd"/>
      <w:r w:rsidR="009B0FEC" w:rsidRPr="00B66841">
        <w:rPr>
          <w:rFonts w:eastAsia="Calibri"/>
        </w:rPr>
        <w:t xml:space="preserve"> for patients with high risk </w:t>
      </w:r>
      <w:proofErr w:type="spellStart"/>
      <w:r w:rsidR="009B0FEC" w:rsidRPr="00B66841">
        <w:rPr>
          <w:rFonts w:eastAsia="Calibri"/>
        </w:rPr>
        <w:t>eBC</w:t>
      </w:r>
      <w:proofErr w:type="spellEnd"/>
      <w:r w:rsidR="009B0FEC" w:rsidRPr="00B66841">
        <w:rPr>
          <w:rFonts w:eastAsia="Calibri"/>
        </w:rPr>
        <w:t>, when added to trastuzumab and chemotherapy in the neoadjuvant setting</w:t>
      </w:r>
      <w:r w:rsidRPr="00B66841">
        <w:rPr>
          <w:rFonts w:eastAsia="Calibri"/>
        </w:rPr>
        <w:t xml:space="preserve">. </w:t>
      </w:r>
      <w:r w:rsidR="00642E4A" w:rsidRPr="00B66841">
        <w:rPr>
          <w:rFonts w:eastAsia="Calibri"/>
        </w:rPr>
        <w:t xml:space="preserve">The efficacy claim was unchanged from the March 2020 submission. </w:t>
      </w:r>
      <w:r w:rsidRPr="00B66841">
        <w:rPr>
          <w:rFonts w:eastAsia="Calibri"/>
        </w:rPr>
        <w:t>T</w:t>
      </w:r>
      <w:r w:rsidR="007D58FC" w:rsidRPr="00B66841">
        <w:rPr>
          <w:rFonts w:eastAsia="Calibri"/>
        </w:rPr>
        <w:t>he evaluation considered t</w:t>
      </w:r>
      <w:r w:rsidRPr="00B66841">
        <w:rPr>
          <w:rFonts w:eastAsia="Calibri"/>
        </w:rPr>
        <w:t xml:space="preserve">his claim was </w:t>
      </w:r>
      <w:r w:rsidR="007C70FF" w:rsidRPr="00B66841">
        <w:rPr>
          <w:rFonts w:eastAsia="Calibri"/>
        </w:rPr>
        <w:t>adequately supported but the magnitude of the effect</w:t>
      </w:r>
      <w:r w:rsidR="00642E4A" w:rsidRPr="00B66841">
        <w:rPr>
          <w:rFonts w:eastAsia="Calibri"/>
        </w:rPr>
        <w:t xml:space="preserve"> was uncertain</w:t>
      </w:r>
      <w:r w:rsidRPr="00B66841">
        <w:rPr>
          <w:rFonts w:eastAsia="Calibri"/>
        </w:rPr>
        <w:t>.</w:t>
      </w:r>
      <w:r w:rsidR="007C70FF" w:rsidRPr="00B66841">
        <w:rPr>
          <w:rFonts w:eastAsia="Calibri"/>
        </w:rPr>
        <w:t xml:space="preserve"> </w:t>
      </w:r>
      <w:r w:rsidR="007D58FC" w:rsidRPr="00B66841">
        <w:rPr>
          <w:rFonts w:eastAsia="Calibri"/>
        </w:rPr>
        <w:t xml:space="preserve">The ESC considered that the clinical claim of superior </w:t>
      </w:r>
      <w:r w:rsidR="002E75B4" w:rsidRPr="00B66841">
        <w:rPr>
          <w:rFonts w:eastAsia="Calibri"/>
        </w:rPr>
        <w:t>efficacy based on improvement in the rate</w:t>
      </w:r>
      <w:r w:rsidR="00214801" w:rsidRPr="00B66841">
        <w:rPr>
          <w:rFonts w:eastAsia="Calibri"/>
        </w:rPr>
        <w:t>s</w:t>
      </w:r>
      <w:r w:rsidR="002E75B4" w:rsidRPr="00B66841">
        <w:rPr>
          <w:rFonts w:eastAsia="Calibri"/>
        </w:rPr>
        <w:t xml:space="preserve"> of pCR </w:t>
      </w:r>
      <w:r w:rsidR="00A85DB3" w:rsidRPr="00B66841">
        <w:rPr>
          <w:rFonts w:eastAsia="Calibri"/>
        </w:rPr>
        <w:t>was reasonable</w:t>
      </w:r>
      <w:r w:rsidR="00214801" w:rsidRPr="00B66841">
        <w:rPr>
          <w:rFonts w:eastAsia="Calibri"/>
        </w:rPr>
        <w:t xml:space="preserve">, </w:t>
      </w:r>
      <w:r w:rsidR="00D245D9" w:rsidRPr="00B66841">
        <w:rPr>
          <w:rFonts w:eastAsia="Calibri"/>
        </w:rPr>
        <w:t xml:space="preserve">but noted that pCR was a surrogate endpoint for </w:t>
      </w:r>
      <w:r w:rsidR="00475238" w:rsidRPr="00B66841">
        <w:t>risk of recurrence</w:t>
      </w:r>
      <w:r w:rsidR="00332DA9" w:rsidRPr="00B66841">
        <w:t xml:space="preserve"> and survival outcomes</w:t>
      </w:r>
      <w:r w:rsidR="00966A5C" w:rsidRPr="00B66841">
        <w:t>. The ESC considered the evidence supported the claim that pCR is likely to be associated with decreased risk of disease recurrence and improved survival outcomes, however noted that the quantification of the surrogate relationship was uncertain.</w:t>
      </w:r>
    </w:p>
    <w:p w14:paraId="7F613CD1" w14:textId="7482635A" w:rsidR="005F7588" w:rsidRPr="002709A5" w:rsidRDefault="005F7588" w:rsidP="00E9094A">
      <w:pPr>
        <w:pStyle w:val="3-BodyText"/>
        <w:rPr>
          <w:rFonts w:eastAsia="Calibri"/>
        </w:rPr>
      </w:pPr>
      <w:r w:rsidRPr="00873941">
        <w:rPr>
          <w:rFonts w:eastAsia="Calibri"/>
        </w:rPr>
        <w:t xml:space="preserve">The </w:t>
      </w:r>
      <w:r w:rsidR="00644AF6" w:rsidRPr="00873941">
        <w:rPr>
          <w:rFonts w:eastAsia="Calibri"/>
        </w:rPr>
        <w:t>re</w:t>
      </w:r>
      <w:r w:rsidRPr="00873941">
        <w:rPr>
          <w:rFonts w:eastAsia="Calibri"/>
        </w:rPr>
        <w:t xml:space="preserve">submission described </w:t>
      </w:r>
      <w:proofErr w:type="spellStart"/>
      <w:r w:rsidR="00642E4A" w:rsidRPr="00873941">
        <w:rPr>
          <w:rFonts w:eastAsia="Calibri"/>
        </w:rPr>
        <w:t>P+T+Chemo</w:t>
      </w:r>
      <w:proofErr w:type="spellEnd"/>
      <w:r w:rsidRPr="00873941">
        <w:rPr>
          <w:rFonts w:eastAsia="Calibri"/>
        </w:rPr>
        <w:t xml:space="preserve"> as inferior</w:t>
      </w:r>
      <w:r w:rsidR="00642E4A" w:rsidRPr="00873941">
        <w:rPr>
          <w:rFonts w:eastAsia="Calibri"/>
        </w:rPr>
        <w:t xml:space="preserve">, yet manageable, comparative safety </w:t>
      </w:r>
      <w:r w:rsidRPr="00873941">
        <w:rPr>
          <w:rFonts w:eastAsia="Calibri"/>
        </w:rPr>
        <w:t xml:space="preserve">to </w:t>
      </w:r>
      <w:proofErr w:type="spellStart"/>
      <w:r w:rsidR="00642E4A" w:rsidRPr="00873941">
        <w:rPr>
          <w:rFonts w:eastAsia="Calibri"/>
        </w:rPr>
        <w:t>T+Chemo</w:t>
      </w:r>
      <w:proofErr w:type="spellEnd"/>
      <w:r w:rsidR="00642E4A" w:rsidRPr="00873941">
        <w:rPr>
          <w:rFonts w:eastAsia="Calibri"/>
        </w:rPr>
        <w:t>. The March 2020 submission made a claim of non-</w:t>
      </w:r>
      <w:r w:rsidR="00642E4A" w:rsidRPr="002709A5">
        <w:rPr>
          <w:rFonts w:eastAsia="Calibri"/>
        </w:rPr>
        <w:t>inferior safety. The</w:t>
      </w:r>
      <w:r w:rsidR="0091309D" w:rsidRPr="002709A5">
        <w:rPr>
          <w:rFonts w:eastAsia="Calibri"/>
        </w:rPr>
        <w:t xml:space="preserve"> ESC considered the </w:t>
      </w:r>
      <w:r w:rsidR="00642E4A" w:rsidRPr="002709A5">
        <w:rPr>
          <w:rFonts w:eastAsia="Calibri"/>
        </w:rPr>
        <w:t>claim of inferior safety was reasonable.</w:t>
      </w:r>
      <w:r w:rsidRPr="002709A5">
        <w:rPr>
          <w:rFonts w:eastAsia="Calibri"/>
        </w:rPr>
        <w:t xml:space="preserve"> </w:t>
      </w:r>
    </w:p>
    <w:p w14:paraId="1BC05380" w14:textId="285B6AAF" w:rsidR="00551FA3" w:rsidRPr="002709A5" w:rsidRDefault="00551FA3" w:rsidP="00551FA3">
      <w:pPr>
        <w:widowControl w:val="0"/>
        <w:numPr>
          <w:ilvl w:val="1"/>
          <w:numId w:val="5"/>
        </w:numPr>
        <w:spacing w:after="120"/>
        <w:rPr>
          <w:rFonts w:asciiTheme="minorHAnsi" w:hAnsiTheme="minorHAnsi"/>
          <w:snapToGrid w:val="0"/>
          <w:szCs w:val="20"/>
        </w:rPr>
      </w:pPr>
      <w:bookmarkStart w:id="65" w:name="_Hlk76376200"/>
      <w:r w:rsidRPr="002709A5">
        <w:rPr>
          <w:rFonts w:asciiTheme="minorHAnsi" w:hAnsiTheme="minorHAnsi"/>
          <w:iCs/>
          <w:snapToGrid w:val="0"/>
        </w:rPr>
        <w:t>The</w:t>
      </w:r>
      <w:r w:rsidRPr="002709A5">
        <w:rPr>
          <w:rFonts w:asciiTheme="minorHAnsi" w:hAnsiTheme="minorHAnsi"/>
          <w:snapToGrid w:val="0"/>
          <w:szCs w:val="20"/>
        </w:rPr>
        <w:t xml:space="preserve"> PBAC considered that the claim of superior comparative effectiveness was reasonable.</w:t>
      </w:r>
    </w:p>
    <w:p w14:paraId="3C50072E" w14:textId="3F66E658" w:rsidR="00551FA3" w:rsidRPr="002709A5" w:rsidRDefault="00551FA3" w:rsidP="00551FA3">
      <w:pPr>
        <w:widowControl w:val="0"/>
        <w:numPr>
          <w:ilvl w:val="1"/>
          <w:numId w:val="5"/>
        </w:numPr>
        <w:spacing w:after="120"/>
        <w:rPr>
          <w:rFonts w:asciiTheme="minorHAnsi" w:hAnsiTheme="minorHAnsi"/>
          <w:snapToGrid w:val="0"/>
          <w:szCs w:val="20"/>
        </w:rPr>
      </w:pPr>
      <w:r w:rsidRPr="002709A5">
        <w:rPr>
          <w:rFonts w:asciiTheme="minorHAnsi" w:hAnsiTheme="minorHAnsi"/>
          <w:snapToGrid w:val="0"/>
          <w:szCs w:val="20"/>
        </w:rPr>
        <w:t>The PBAC considered that the claim of inferior comparative safety was reasonable.</w:t>
      </w:r>
    </w:p>
    <w:bookmarkEnd w:id="65"/>
    <w:p w14:paraId="64670213" w14:textId="77777777" w:rsidR="00551FA3" w:rsidRPr="00B66841" w:rsidRDefault="00551FA3" w:rsidP="008442AC">
      <w:pPr>
        <w:pStyle w:val="3-BodyText"/>
        <w:numPr>
          <w:ilvl w:val="0"/>
          <w:numId w:val="0"/>
        </w:numPr>
        <w:rPr>
          <w:rFonts w:eastAsia="Calibri"/>
        </w:rPr>
      </w:pPr>
    </w:p>
    <w:p w14:paraId="4E807A67" w14:textId="62F15688" w:rsidR="001458AE" w:rsidRPr="00873941" w:rsidRDefault="001458AE" w:rsidP="001458AE">
      <w:pPr>
        <w:pStyle w:val="4-SubsectionHeading"/>
      </w:pPr>
      <w:bookmarkStart w:id="66" w:name="_Toc22897645"/>
      <w:bookmarkStart w:id="67" w:name="_Toc188444278"/>
      <w:r w:rsidRPr="00873941">
        <w:t>Economic analysis</w:t>
      </w:r>
      <w:bookmarkEnd w:id="66"/>
      <w:bookmarkEnd w:id="67"/>
      <w:r w:rsidRPr="00873941">
        <w:t xml:space="preserve"> </w:t>
      </w:r>
    </w:p>
    <w:p w14:paraId="34553738" w14:textId="04BCC155" w:rsidR="006F4300" w:rsidRPr="00873941" w:rsidRDefault="006F4300" w:rsidP="0073177E">
      <w:pPr>
        <w:pStyle w:val="3-BodyText"/>
      </w:pPr>
      <w:bookmarkStart w:id="68" w:name="_Toc22897646"/>
      <w:bookmarkStart w:id="69" w:name="_Ref104805102"/>
      <w:r w:rsidRPr="00873941">
        <w:t xml:space="preserve">The resubmission presented a modelled economic evaluation comparing </w:t>
      </w:r>
      <w:proofErr w:type="spellStart"/>
      <w:r w:rsidRPr="00873941">
        <w:t>P+T+Chemo</w:t>
      </w:r>
      <w:proofErr w:type="spellEnd"/>
      <w:r w:rsidRPr="00873941">
        <w:t xml:space="preserve"> versus </w:t>
      </w:r>
      <w:proofErr w:type="spellStart"/>
      <w:r w:rsidRPr="00873941">
        <w:t>T+Chemo</w:t>
      </w:r>
      <w:proofErr w:type="spellEnd"/>
      <w:r w:rsidRPr="00873941">
        <w:t xml:space="preserve"> in the neoadjuvant setting for patients with HER2-positive high-risk </w:t>
      </w:r>
      <w:proofErr w:type="spellStart"/>
      <w:r w:rsidRPr="00873941">
        <w:t>eBC</w:t>
      </w:r>
      <w:proofErr w:type="spellEnd"/>
      <w:r w:rsidRPr="00873941">
        <w:t xml:space="preserve">. The type of economic evaluation presented was a cost-effectiveness and cost-utility analysis. The economic evaluation was changed from the March 2020 submission and was largely based on the economic model presented for T-DM1 </w:t>
      </w:r>
      <w:r w:rsidR="00904DF7" w:rsidRPr="00873941">
        <w:t xml:space="preserve">(November 2019 submission) </w:t>
      </w:r>
      <w:r w:rsidRPr="00873941">
        <w:t xml:space="preserve">as an adjuvant treatment for patients with </w:t>
      </w:r>
      <w:proofErr w:type="spellStart"/>
      <w:r w:rsidRPr="00873941">
        <w:t>eBC</w:t>
      </w:r>
      <w:proofErr w:type="spellEnd"/>
      <w:r w:rsidRPr="00873941">
        <w:t xml:space="preserve"> and residual disease.</w:t>
      </w:r>
      <w:r w:rsidR="00A81BF8" w:rsidRPr="00873941">
        <w:t xml:space="preserve"> </w:t>
      </w:r>
      <w:r w:rsidR="00A81BF8" w:rsidRPr="00B66841">
        <w:rPr>
          <w:rFonts w:eastAsia="Times New Roman" w:cs="Arial"/>
          <w:snapToGrid w:val="0"/>
          <w:szCs w:val="20"/>
        </w:rPr>
        <w:t xml:space="preserve">A neoadjuvant decision tree was added to the T-DM1 Markov structure and an additional </w:t>
      </w:r>
      <w:r w:rsidR="00982247" w:rsidRPr="00B66841">
        <w:rPr>
          <w:rFonts w:eastAsia="Times New Roman" w:cs="Arial"/>
          <w:snapToGrid w:val="0"/>
          <w:szCs w:val="20"/>
        </w:rPr>
        <w:t>data were</w:t>
      </w:r>
      <w:r w:rsidR="00A81BF8" w:rsidRPr="00B66841">
        <w:rPr>
          <w:rFonts w:eastAsia="Times New Roman" w:cs="Arial"/>
          <w:snapToGrid w:val="0"/>
          <w:szCs w:val="20"/>
        </w:rPr>
        <w:t xml:space="preserve"> added to reflect survival following pCR (</w:t>
      </w:r>
      <w:r w:rsidR="00F0223F" w:rsidRPr="00B66841">
        <w:rPr>
          <w:rFonts w:eastAsia="Times New Roman" w:cs="Arial"/>
          <w:snapToGrid w:val="0"/>
          <w:szCs w:val="20"/>
        </w:rPr>
        <w:t xml:space="preserve">using the </w:t>
      </w:r>
      <w:r w:rsidR="00A81BF8" w:rsidRPr="00B66841">
        <w:rPr>
          <w:rFonts w:eastAsia="Times New Roman" w:cs="Arial"/>
          <w:snapToGrid w:val="0"/>
          <w:szCs w:val="20"/>
        </w:rPr>
        <w:t>HR from Swain 2022)</w:t>
      </w:r>
      <w:r w:rsidR="00A81BF8" w:rsidRPr="00B66841">
        <w:rPr>
          <w:rFonts w:eastAsia="Times New Roman" w:cs="Arial"/>
          <w:bCs/>
          <w:snapToGrid w:val="0"/>
          <w:szCs w:val="20"/>
        </w:rPr>
        <w:t>.</w:t>
      </w:r>
    </w:p>
    <w:p w14:paraId="222975C2" w14:textId="6123F36A" w:rsidR="006F4300" w:rsidRPr="00873941" w:rsidRDefault="0073177E" w:rsidP="004D16E5">
      <w:pPr>
        <w:pStyle w:val="3-BodyText"/>
        <w:spacing w:after="240"/>
        <w:rPr>
          <w:color w:val="000000" w:themeColor="text1"/>
        </w:rPr>
      </w:pPr>
      <w:r w:rsidRPr="00873941">
        <w:rPr>
          <w:color w:val="000000" w:themeColor="text1"/>
        </w:rPr>
        <w:fldChar w:fldCharType="begin"/>
      </w:r>
      <w:r w:rsidRPr="00873941">
        <w:rPr>
          <w:color w:val="000000" w:themeColor="text1"/>
        </w:rPr>
        <w:instrText xml:space="preserve"> REF _Ref185110281 \h </w:instrText>
      </w:r>
      <w:r w:rsidRPr="00873941">
        <w:rPr>
          <w:color w:val="000000" w:themeColor="text1"/>
        </w:rPr>
      </w:r>
      <w:r w:rsidRPr="00873941">
        <w:rPr>
          <w:color w:val="000000" w:themeColor="text1"/>
        </w:rPr>
        <w:fldChar w:fldCharType="separate"/>
      </w:r>
      <w:r w:rsidR="000B094B" w:rsidRPr="00873941">
        <w:t xml:space="preserve">Table </w:t>
      </w:r>
      <w:r w:rsidR="000B094B">
        <w:rPr>
          <w:noProof/>
        </w:rPr>
        <w:t>13</w:t>
      </w:r>
      <w:r w:rsidRPr="00873941">
        <w:rPr>
          <w:color w:val="000000" w:themeColor="text1"/>
        </w:rPr>
        <w:fldChar w:fldCharType="end"/>
      </w:r>
      <w:r w:rsidRPr="00873941">
        <w:rPr>
          <w:color w:val="000000" w:themeColor="text1"/>
        </w:rPr>
        <w:t xml:space="preserve"> </w:t>
      </w:r>
      <w:r w:rsidR="006F4300" w:rsidRPr="00873941">
        <w:rPr>
          <w:color w:val="000000" w:themeColor="text1"/>
        </w:rPr>
        <w:t>summarises the key components of the economic evaluation.</w:t>
      </w:r>
      <w:r w:rsidR="006260D2" w:rsidRPr="00873941">
        <w:rPr>
          <w:color w:val="000000" w:themeColor="text1"/>
        </w:rPr>
        <w:t xml:space="preserve"> </w:t>
      </w:r>
    </w:p>
    <w:p w14:paraId="2B6CBBB9" w14:textId="63508016" w:rsidR="0073177E" w:rsidRPr="00873941" w:rsidRDefault="0073177E" w:rsidP="0073177E">
      <w:pPr>
        <w:pStyle w:val="Caption"/>
      </w:pPr>
      <w:bookmarkStart w:id="70" w:name="_Ref185110281"/>
      <w:r w:rsidRPr="00873941">
        <w:t xml:space="preserve">Table </w:t>
      </w:r>
      <w:r w:rsidR="008442AC">
        <w:fldChar w:fldCharType="begin"/>
      </w:r>
      <w:r w:rsidR="008442AC">
        <w:instrText xml:space="preserve"> SEQ Table \* ARABIC </w:instrText>
      </w:r>
      <w:r w:rsidR="008442AC">
        <w:fldChar w:fldCharType="separate"/>
      </w:r>
      <w:r w:rsidR="000B094B">
        <w:rPr>
          <w:noProof/>
        </w:rPr>
        <w:t>13</w:t>
      </w:r>
      <w:r w:rsidR="008442AC">
        <w:rPr>
          <w:noProof/>
        </w:rPr>
        <w:fldChar w:fldCharType="end"/>
      </w:r>
      <w:bookmarkEnd w:id="70"/>
      <w:r w:rsidRPr="00873941">
        <w:t>: Summary of model structure, key inputs and rationale</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Summary of model structure, key inputs and rationale"/>
      </w:tblPr>
      <w:tblGrid>
        <w:gridCol w:w="1127"/>
        <w:gridCol w:w="7800"/>
      </w:tblGrid>
      <w:tr w:rsidR="006260D2" w:rsidRPr="00873941" w14:paraId="17786EA6" w14:textId="77777777" w:rsidTr="006260D2">
        <w:trPr>
          <w:tblHeader/>
        </w:trPr>
        <w:tc>
          <w:tcPr>
            <w:tcW w:w="631" w:type="pct"/>
            <w:tcBorders>
              <w:top w:val="single" w:sz="4" w:space="0" w:color="auto"/>
              <w:left w:val="single" w:sz="4" w:space="0" w:color="auto"/>
              <w:bottom w:val="single" w:sz="4" w:space="0" w:color="auto"/>
              <w:right w:val="single" w:sz="4" w:space="0" w:color="auto"/>
            </w:tcBorders>
            <w:vAlign w:val="center"/>
            <w:hideMark/>
          </w:tcPr>
          <w:p w14:paraId="29DED2A2" w14:textId="77777777" w:rsidR="006260D2" w:rsidRPr="00873941" w:rsidRDefault="006260D2">
            <w:pPr>
              <w:pStyle w:val="TableFigureHeading"/>
            </w:pPr>
            <w:r w:rsidRPr="00873941">
              <w:t>Component</w:t>
            </w:r>
          </w:p>
        </w:tc>
        <w:tc>
          <w:tcPr>
            <w:tcW w:w="4369" w:type="pct"/>
            <w:tcBorders>
              <w:top w:val="single" w:sz="4" w:space="0" w:color="auto"/>
              <w:left w:val="single" w:sz="4" w:space="0" w:color="auto"/>
              <w:bottom w:val="single" w:sz="4" w:space="0" w:color="auto"/>
              <w:right w:val="single" w:sz="4" w:space="0" w:color="auto"/>
            </w:tcBorders>
            <w:vAlign w:val="center"/>
            <w:hideMark/>
          </w:tcPr>
          <w:p w14:paraId="054A890D" w14:textId="77777777" w:rsidR="006260D2" w:rsidRPr="00873941" w:rsidRDefault="006260D2">
            <w:pPr>
              <w:pStyle w:val="TableFigureHeading"/>
            </w:pPr>
            <w:r w:rsidRPr="00873941">
              <w:t>Summary (March 2025 resubmission)</w:t>
            </w:r>
          </w:p>
        </w:tc>
      </w:tr>
      <w:tr w:rsidR="006260D2" w:rsidRPr="00873941" w14:paraId="53ADADE3" w14:textId="77777777" w:rsidTr="006260D2">
        <w:tc>
          <w:tcPr>
            <w:tcW w:w="631" w:type="pct"/>
            <w:tcBorders>
              <w:top w:val="single" w:sz="4" w:space="0" w:color="auto"/>
              <w:left w:val="single" w:sz="4" w:space="0" w:color="auto"/>
              <w:bottom w:val="single" w:sz="4" w:space="0" w:color="auto"/>
              <w:right w:val="single" w:sz="4" w:space="0" w:color="auto"/>
            </w:tcBorders>
            <w:vAlign w:val="center"/>
            <w:hideMark/>
          </w:tcPr>
          <w:p w14:paraId="02398F41" w14:textId="77777777" w:rsidR="006260D2" w:rsidRPr="00873941" w:rsidRDefault="006260D2">
            <w:pPr>
              <w:pStyle w:val="TableText0"/>
              <w:keepNext w:val="0"/>
              <w:widowControl w:val="0"/>
            </w:pPr>
            <w:r w:rsidRPr="00873941">
              <w:t>Treatments</w:t>
            </w:r>
          </w:p>
        </w:tc>
        <w:tc>
          <w:tcPr>
            <w:tcW w:w="4369" w:type="pct"/>
            <w:tcBorders>
              <w:top w:val="single" w:sz="4" w:space="0" w:color="auto"/>
              <w:left w:val="single" w:sz="4" w:space="0" w:color="auto"/>
              <w:bottom w:val="single" w:sz="4" w:space="0" w:color="auto"/>
              <w:right w:val="single" w:sz="4" w:space="0" w:color="auto"/>
            </w:tcBorders>
            <w:vAlign w:val="center"/>
            <w:hideMark/>
          </w:tcPr>
          <w:p w14:paraId="29074682" w14:textId="77777777" w:rsidR="006260D2" w:rsidRPr="00873941" w:rsidRDefault="006260D2">
            <w:pPr>
              <w:pStyle w:val="TableText0"/>
              <w:keepNext w:val="0"/>
              <w:widowControl w:val="0"/>
            </w:pPr>
            <w:r w:rsidRPr="00873941">
              <w:t xml:space="preserve">Neoadjuvant: </w:t>
            </w:r>
            <w:proofErr w:type="spellStart"/>
            <w:r w:rsidRPr="00873941">
              <w:t>P+T+Chemo</w:t>
            </w:r>
            <w:proofErr w:type="spellEnd"/>
            <w:r w:rsidRPr="00873941">
              <w:t xml:space="preserve"> vs </w:t>
            </w:r>
            <w:proofErr w:type="spellStart"/>
            <w:r w:rsidRPr="00873941">
              <w:t>T+Chemo</w:t>
            </w:r>
            <w:proofErr w:type="spellEnd"/>
          </w:p>
          <w:p w14:paraId="2C811234" w14:textId="6AFF792F" w:rsidR="006260D2" w:rsidRPr="00873941" w:rsidRDefault="006260D2" w:rsidP="006260D2">
            <w:pPr>
              <w:pStyle w:val="TableText0"/>
              <w:keepNext w:val="0"/>
              <w:widowControl w:val="0"/>
            </w:pPr>
            <w:r w:rsidRPr="00873941">
              <w:t xml:space="preserve">Adjuvant: T-DM1 or </w:t>
            </w:r>
            <w:r w:rsidR="00981050" w:rsidRPr="00873941">
              <w:t>trastuzumab</w:t>
            </w:r>
          </w:p>
          <w:p w14:paraId="71226AB0" w14:textId="40D53377" w:rsidR="006260D2" w:rsidRPr="00873941" w:rsidRDefault="006260D2" w:rsidP="006260D2">
            <w:pPr>
              <w:pStyle w:val="TableText0"/>
              <w:keepNext w:val="0"/>
              <w:widowControl w:val="0"/>
            </w:pPr>
            <w:r w:rsidRPr="00873941">
              <w:lastRenderedPageBreak/>
              <w:t>Subsequent therapies:</w:t>
            </w:r>
            <w:r w:rsidR="00FA3CE6">
              <w:t xml:space="preserve">  </w:t>
            </w:r>
            <w:r w:rsidRPr="00873941">
              <w:t xml:space="preserve"> </w:t>
            </w:r>
          </w:p>
          <w:p w14:paraId="62CEAD64" w14:textId="04F7607F" w:rsidR="006260D2" w:rsidRPr="00873941" w:rsidRDefault="006260D2">
            <w:pPr>
              <w:pStyle w:val="TableText0"/>
              <w:keepNext w:val="0"/>
              <w:widowControl w:val="0"/>
            </w:pPr>
            <w:r w:rsidRPr="00873941">
              <w:t>Locoregional recurrence</w:t>
            </w:r>
            <w:r w:rsidR="00981050" w:rsidRPr="00873941">
              <w:t>:</w:t>
            </w:r>
            <w:r w:rsidRPr="00873941">
              <w:t xml:space="preserve"> </w:t>
            </w:r>
            <w:r w:rsidR="00981050" w:rsidRPr="00873941">
              <w:t>trastuzumab</w:t>
            </w:r>
          </w:p>
          <w:p w14:paraId="2DDEB40A" w14:textId="5325ECD0" w:rsidR="006260D2" w:rsidRPr="00873941" w:rsidRDefault="006260D2">
            <w:pPr>
              <w:pStyle w:val="TableText0"/>
              <w:keepNext w:val="0"/>
              <w:widowControl w:val="0"/>
              <w:rPr>
                <w:highlight w:val="yellow"/>
              </w:rPr>
            </w:pPr>
            <w:r w:rsidRPr="00873941">
              <w:t>Distance recurrence</w:t>
            </w:r>
            <w:r w:rsidR="00981050" w:rsidRPr="00873941">
              <w:t>:</w:t>
            </w:r>
            <w:r w:rsidRPr="00873941">
              <w:t xml:space="preserve"> T-DM1 or T-</w:t>
            </w:r>
            <w:proofErr w:type="spellStart"/>
            <w:r w:rsidRPr="00873941">
              <w:t>DXd</w:t>
            </w:r>
            <w:proofErr w:type="spellEnd"/>
            <w:r w:rsidRPr="00873941">
              <w:t xml:space="preserve"> or P+T</w:t>
            </w:r>
          </w:p>
        </w:tc>
      </w:tr>
      <w:tr w:rsidR="006260D2" w:rsidRPr="00873941" w14:paraId="3958B0BC" w14:textId="77777777" w:rsidTr="006260D2">
        <w:tc>
          <w:tcPr>
            <w:tcW w:w="631" w:type="pct"/>
            <w:tcBorders>
              <w:top w:val="single" w:sz="4" w:space="0" w:color="auto"/>
              <w:left w:val="single" w:sz="4" w:space="0" w:color="auto"/>
              <w:bottom w:val="single" w:sz="4" w:space="0" w:color="auto"/>
              <w:right w:val="single" w:sz="4" w:space="0" w:color="auto"/>
            </w:tcBorders>
            <w:vAlign w:val="center"/>
            <w:hideMark/>
          </w:tcPr>
          <w:p w14:paraId="48F4B787" w14:textId="77777777" w:rsidR="006260D2" w:rsidRPr="00873941" w:rsidRDefault="006260D2">
            <w:pPr>
              <w:pStyle w:val="TableText0"/>
              <w:keepNext w:val="0"/>
              <w:widowControl w:val="0"/>
            </w:pPr>
            <w:r w:rsidRPr="00873941">
              <w:lastRenderedPageBreak/>
              <w:t>Time horizon</w:t>
            </w:r>
          </w:p>
        </w:tc>
        <w:tc>
          <w:tcPr>
            <w:tcW w:w="4369" w:type="pct"/>
            <w:tcBorders>
              <w:top w:val="single" w:sz="4" w:space="0" w:color="auto"/>
              <w:left w:val="single" w:sz="4" w:space="0" w:color="auto"/>
              <w:bottom w:val="single" w:sz="4" w:space="0" w:color="auto"/>
              <w:right w:val="single" w:sz="4" w:space="0" w:color="auto"/>
            </w:tcBorders>
            <w:vAlign w:val="center"/>
            <w:hideMark/>
          </w:tcPr>
          <w:p w14:paraId="5D524CC9" w14:textId="019ADD17" w:rsidR="006260D2" w:rsidRPr="00873941" w:rsidRDefault="006260D2">
            <w:pPr>
              <w:pStyle w:val="TableText0"/>
              <w:keepNext w:val="0"/>
              <w:widowControl w:val="0"/>
            </w:pPr>
            <w:r w:rsidRPr="00873941">
              <w:t xml:space="preserve">40 years in the model base case. </w:t>
            </w:r>
          </w:p>
        </w:tc>
      </w:tr>
      <w:tr w:rsidR="006260D2" w:rsidRPr="00873941" w14:paraId="60C34F92" w14:textId="77777777" w:rsidTr="006260D2">
        <w:tc>
          <w:tcPr>
            <w:tcW w:w="631" w:type="pct"/>
            <w:tcBorders>
              <w:top w:val="single" w:sz="4" w:space="0" w:color="auto"/>
              <w:left w:val="single" w:sz="4" w:space="0" w:color="auto"/>
              <w:bottom w:val="single" w:sz="4" w:space="0" w:color="auto"/>
              <w:right w:val="single" w:sz="4" w:space="0" w:color="auto"/>
            </w:tcBorders>
            <w:vAlign w:val="center"/>
            <w:hideMark/>
          </w:tcPr>
          <w:p w14:paraId="1A80DD7D" w14:textId="77777777" w:rsidR="006260D2" w:rsidRPr="00873941" w:rsidRDefault="006260D2">
            <w:pPr>
              <w:pStyle w:val="TableText0"/>
              <w:keepNext w:val="0"/>
              <w:widowControl w:val="0"/>
            </w:pPr>
            <w:r w:rsidRPr="00873941">
              <w:t>Outcomes</w:t>
            </w:r>
          </w:p>
        </w:tc>
        <w:tc>
          <w:tcPr>
            <w:tcW w:w="4369" w:type="pct"/>
            <w:tcBorders>
              <w:top w:val="single" w:sz="4" w:space="0" w:color="auto"/>
              <w:left w:val="single" w:sz="4" w:space="0" w:color="auto"/>
              <w:bottom w:val="single" w:sz="4" w:space="0" w:color="auto"/>
              <w:right w:val="single" w:sz="4" w:space="0" w:color="auto"/>
            </w:tcBorders>
            <w:vAlign w:val="center"/>
            <w:hideMark/>
          </w:tcPr>
          <w:p w14:paraId="756C8F53" w14:textId="77777777" w:rsidR="006260D2" w:rsidRPr="00873941" w:rsidRDefault="006260D2">
            <w:pPr>
              <w:pStyle w:val="TableText0"/>
              <w:keepNext w:val="0"/>
              <w:widowControl w:val="0"/>
            </w:pPr>
            <w:r w:rsidRPr="00873941">
              <w:t>Life years and QALYs gained</w:t>
            </w:r>
          </w:p>
        </w:tc>
      </w:tr>
      <w:tr w:rsidR="006260D2" w:rsidRPr="00873941" w14:paraId="0B203FC8" w14:textId="77777777" w:rsidTr="006260D2">
        <w:tc>
          <w:tcPr>
            <w:tcW w:w="631" w:type="pct"/>
            <w:tcBorders>
              <w:top w:val="single" w:sz="4" w:space="0" w:color="auto"/>
              <w:left w:val="single" w:sz="4" w:space="0" w:color="auto"/>
              <w:bottom w:val="single" w:sz="4" w:space="0" w:color="auto"/>
              <w:right w:val="single" w:sz="4" w:space="0" w:color="auto"/>
            </w:tcBorders>
            <w:vAlign w:val="center"/>
            <w:hideMark/>
          </w:tcPr>
          <w:p w14:paraId="3FD08DF3" w14:textId="77777777" w:rsidR="006260D2" w:rsidRPr="00873941" w:rsidRDefault="006260D2">
            <w:pPr>
              <w:pStyle w:val="TableText0"/>
              <w:keepNext w:val="0"/>
              <w:widowControl w:val="0"/>
            </w:pPr>
            <w:r w:rsidRPr="00873941">
              <w:t>Methods used to generate results</w:t>
            </w:r>
          </w:p>
        </w:tc>
        <w:tc>
          <w:tcPr>
            <w:tcW w:w="4369" w:type="pct"/>
            <w:tcBorders>
              <w:top w:val="single" w:sz="4" w:space="0" w:color="auto"/>
              <w:left w:val="single" w:sz="4" w:space="0" w:color="auto"/>
              <w:bottom w:val="single" w:sz="4" w:space="0" w:color="auto"/>
              <w:right w:val="single" w:sz="4" w:space="0" w:color="auto"/>
            </w:tcBorders>
            <w:vAlign w:val="center"/>
            <w:hideMark/>
          </w:tcPr>
          <w:p w14:paraId="0F31F8BE" w14:textId="2D2077C0" w:rsidR="006260D2" w:rsidRPr="00873941" w:rsidRDefault="006260D2">
            <w:pPr>
              <w:pStyle w:val="TableText0"/>
              <w:keepNext w:val="0"/>
              <w:widowControl w:val="0"/>
            </w:pPr>
            <w:r w:rsidRPr="00873941">
              <w:t xml:space="preserve">Decision tree to reflect neoadjuvant treatment + Markov model. </w:t>
            </w:r>
            <w:r w:rsidRPr="00873941">
              <w:rPr>
                <w:color w:val="000000" w:themeColor="text1"/>
              </w:rPr>
              <w:t>This approach allowed for adjuvant treatment with T-DM1, which is used in clinical practice.</w:t>
            </w:r>
          </w:p>
        </w:tc>
      </w:tr>
      <w:tr w:rsidR="006260D2" w:rsidRPr="00873941" w14:paraId="5FAC7AB1" w14:textId="77777777" w:rsidTr="006260D2">
        <w:tc>
          <w:tcPr>
            <w:tcW w:w="631" w:type="pct"/>
            <w:tcBorders>
              <w:top w:val="single" w:sz="4" w:space="0" w:color="auto"/>
              <w:left w:val="single" w:sz="4" w:space="0" w:color="auto"/>
              <w:bottom w:val="single" w:sz="4" w:space="0" w:color="auto"/>
              <w:right w:val="single" w:sz="4" w:space="0" w:color="auto"/>
            </w:tcBorders>
            <w:vAlign w:val="center"/>
            <w:hideMark/>
          </w:tcPr>
          <w:p w14:paraId="6F3B9C51" w14:textId="77777777" w:rsidR="006260D2" w:rsidRPr="00873941" w:rsidRDefault="006260D2">
            <w:pPr>
              <w:pStyle w:val="TableText0"/>
              <w:keepNext w:val="0"/>
              <w:widowControl w:val="0"/>
            </w:pPr>
            <w:r w:rsidRPr="00873941">
              <w:t>Health states</w:t>
            </w:r>
          </w:p>
        </w:tc>
        <w:tc>
          <w:tcPr>
            <w:tcW w:w="4369" w:type="pct"/>
            <w:tcBorders>
              <w:top w:val="single" w:sz="4" w:space="0" w:color="auto"/>
              <w:left w:val="single" w:sz="4" w:space="0" w:color="auto"/>
              <w:bottom w:val="single" w:sz="4" w:space="0" w:color="auto"/>
              <w:right w:val="single" w:sz="4" w:space="0" w:color="auto"/>
            </w:tcBorders>
            <w:vAlign w:val="center"/>
            <w:hideMark/>
          </w:tcPr>
          <w:p w14:paraId="690AD579" w14:textId="519EC3A9" w:rsidR="006260D2" w:rsidRPr="00873941" w:rsidRDefault="006260D2">
            <w:pPr>
              <w:pStyle w:val="TableText0"/>
              <w:keepNext w:val="0"/>
              <w:widowControl w:val="0"/>
            </w:pPr>
            <w:r w:rsidRPr="00873941">
              <w:t xml:space="preserve">6 health states: </w:t>
            </w:r>
            <w:proofErr w:type="spellStart"/>
            <w:r w:rsidRPr="00873941">
              <w:t>iDFS</w:t>
            </w:r>
            <w:proofErr w:type="spellEnd"/>
            <w:r w:rsidRPr="00873941">
              <w:t xml:space="preserve">, locoregional recurrence, remission, metastatic recurrence (1st line </w:t>
            </w:r>
            <w:proofErr w:type="spellStart"/>
            <w:r w:rsidRPr="00873941">
              <w:t>mBC</w:t>
            </w:r>
            <w:proofErr w:type="spellEnd"/>
            <w:r w:rsidRPr="00873941">
              <w:t xml:space="preserve"> and 2nd line </w:t>
            </w:r>
            <w:proofErr w:type="spellStart"/>
            <w:r w:rsidRPr="00873941">
              <w:t>mBC</w:t>
            </w:r>
            <w:proofErr w:type="spellEnd"/>
            <w:r w:rsidRPr="00873941">
              <w:t xml:space="preserve">), death). Metastatic recurrence was stratified by time to relapse (&lt;18 months or ≥18 months). </w:t>
            </w:r>
            <w:proofErr w:type="spellStart"/>
            <w:r w:rsidRPr="00873941">
              <w:t>iDFS</w:t>
            </w:r>
            <w:proofErr w:type="spellEnd"/>
            <w:r w:rsidRPr="00873941">
              <w:t xml:space="preserve"> was stratified by on/off treatment. This was consistent with other models for </w:t>
            </w:r>
            <w:proofErr w:type="spellStart"/>
            <w:r w:rsidRPr="00873941">
              <w:t>eBC</w:t>
            </w:r>
            <w:proofErr w:type="spellEnd"/>
            <w:r w:rsidR="00DF3B26" w:rsidRPr="00873941">
              <w:t>.</w:t>
            </w:r>
          </w:p>
        </w:tc>
      </w:tr>
      <w:tr w:rsidR="006260D2" w:rsidRPr="00873941" w14:paraId="0991D17A" w14:textId="77777777" w:rsidTr="006260D2">
        <w:tc>
          <w:tcPr>
            <w:tcW w:w="631" w:type="pct"/>
            <w:tcBorders>
              <w:top w:val="single" w:sz="4" w:space="0" w:color="auto"/>
              <w:left w:val="single" w:sz="4" w:space="0" w:color="auto"/>
              <w:bottom w:val="single" w:sz="4" w:space="0" w:color="auto"/>
              <w:right w:val="single" w:sz="4" w:space="0" w:color="auto"/>
            </w:tcBorders>
            <w:vAlign w:val="center"/>
            <w:hideMark/>
          </w:tcPr>
          <w:p w14:paraId="76EBBC2D" w14:textId="77777777" w:rsidR="006260D2" w:rsidRPr="00873941" w:rsidRDefault="006260D2">
            <w:pPr>
              <w:pStyle w:val="TableText0"/>
              <w:keepNext w:val="0"/>
              <w:widowControl w:val="0"/>
            </w:pPr>
            <w:r w:rsidRPr="00873941">
              <w:t>Cycle length</w:t>
            </w:r>
          </w:p>
        </w:tc>
        <w:tc>
          <w:tcPr>
            <w:tcW w:w="4369" w:type="pct"/>
            <w:tcBorders>
              <w:top w:val="single" w:sz="4" w:space="0" w:color="auto"/>
              <w:left w:val="single" w:sz="4" w:space="0" w:color="auto"/>
              <w:bottom w:val="single" w:sz="4" w:space="0" w:color="auto"/>
              <w:right w:val="single" w:sz="4" w:space="0" w:color="auto"/>
            </w:tcBorders>
            <w:vAlign w:val="center"/>
            <w:hideMark/>
          </w:tcPr>
          <w:p w14:paraId="0D1F6C7E" w14:textId="77777777" w:rsidR="006260D2" w:rsidRPr="00873941" w:rsidRDefault="006260D2">
            <w:pPr>
              <w:pStyle w:val="TableText0"/>
              <w:keepNext w:val="0"/>
              <w:widowControl w:val="0"/>
            </w:pPr>
            <w:r w:rsidRPr="00873941">
              <w:t>1 week</w:t>
            </w:r>
          </w:p>
        </w:tc>
      </w:tr>
      <w:tr w:rsidR="006260D2" w:rsidRPr="00873941" w14:paraId="4037D214" w14:textId="77777777" w:rsidTr="006260D2">
        <w:tc>
          <w:tcPr>
            <w:tcW w:w="631" w:type="pct"/>
            <w:tcBorders>
              <w:top w:val="single" w:sz="4" w:space="0" w:color="auto"/>
              <w:left w:val="single" w:sz="4" w:space="0" w:color="auto"/>
              <w:bottom w:val="single" w:sz="4" w:space="0" w:color="auto"/>
              <w:right w:val="single" w:sz="4" w:space="0" w:color="auto"/>
            </w:tcBorders>
            <w:vAlign w:val="center"/>
            <w:hideMark/>
          </w:tcPr>
          <w:p w14:paraId="3A1DF589" w14:textId="77777777" w:rsidR="006260D2" w:rsidRPr="00873941" w:rsidRDefault="006260D2">
            <w:pPr>
              <w:pStyle w:val="TableText0"/>
              <w:keepNext w:val="0"/>
              <w:widowControl w:val="0"/>
            </w:pPr>
            <w:r w:rsidRPr="00873941">
              <w:t>Population</w:t>
            </w:r>
          </w:p>
        </w:tc>
        <w:tc>
          <w:tcPr>
            <w:tcW w:w="4369" w:type="pct"/>
            <w:tcBorders>
              <w:top w:val="single" w:sz="4" w:space="0" w:color="auto"/>
              <w:left w:val="single" w:sz="4" w:space="0" w:color="auto"/>
              <w:bottom w:val="single" w:sz="4" w:space="0" w:color="auto"/>
              <w:right w:val="single" w:sz="4" w:space="0" w:color="auto"/>
            </w:tcBorders>
            <w:vAlign w:val="center"/>
            <w:hideMark/>
          </w:tcPr>
          <w:p w14:paraId="77736A0D" w14:textId="394F7F51" w:rsidR="006260D2" w:rsidRPr="00873941" w:rsidRDefault="006260D2">
            <w:pPr>
              <w:pStyle w:val="TableText0"/>
              <w:keepNext w:val="0"/>
              <w:widowControl w:val="0"/>
            </w:pPr>
            <w:r w:rsidRPr="00873941">
              <w:t xml:space="preserve">Mean age 58.5 years and weight 74.5 kg (IPSOS 2018). </w:t>
            </w:r>
          </w:p>
          <w:p w14:paraId="21B87620" w14:textId="77777777" w:rsidR="006260D2" w:rsidRPr="00873941" w:rsidRDefault="006260D2">
            <w:pPr>
              <w:pStyle w:val="TableText0"/>
              <w:keepNext w:val="0"/>
              <w:widowControl w:val="0"/>
            </w:pPr>
            <w:r w:rsidRPr="00873941">
              <w:t>Patients with locally advanced, inflammatory or early stage HER2 positive breast cancer.</w:t>
            </w:r>
          </w:p>
          <w:p w14:paraId="3C9877C7" w14:textId="52C5179A" w:rsidR="006260D2" w:rsidRPr="00873941" w:rsidRDefault="006260D2">
            <w:pPr>
              <w:pStyle w:val="TableText0"/>
              <w:keepNext w:val="0"/>
              <w:widowControl w:val="0"/>
            </w:pPr>
            <w:r w:rsidRPr="00873941">
              <w:t xml:space="preserve">The reference to support mean age and weight (IPSOS 2018) </w:t>
            </w:r>
            <w:r w:rsidR="00517F48" w:rsidRPr="00873941">
              <w:rPr>
                <w:i/>
                <w:iCs/>
              </w:rPr>
              <w:t>was provided with the PSCR.</w:t>
            </w:r>
          </w:p>
        </w:tc>
      </w:tr>
      <w:tr w:rsidR="006260D2" w:rsidRPr="00873941" w14:paraId="53545B64" w14:textId="77777777" w:rsidTr="006260D2">
        <w:tc>
          <w:tcPr>
            <w:tcW w:w="631" w:type="pct"/>
            <w:tcBorders>
              <w:top w:val="single" w:sz="4" w:space="0" w:color="auto"/>
              <w:left w:val="single" w:sz="4" w:space="0" w:color="auto"/>
              <w:bottom w:val="single" w:sz="4" w:space="0" w:color="auto"/>
              <w:right w:val="single" w:sz="4" w:space="0" w:color="auto"/>
            </w:tcBorders>
            <w:vAlign w:val="center"/>
            <w:hideMark/>
          </w:tcPr>
          <w:p w14:paraId="3883195D" w14:textId="77777777" w:rsidR="006260D2" w:rsidRPr="00873941" w:rsidRDefault="006260D2">
            <w:pPr>
              <w:pStyle w:val="TableText0"/>
              <w:keepNext w:val="0"/>
              <w:widowControl w:val="0"/>
            </w:pPr>
            <w:r w:rsidRPr="00873941">
              <w:t>Probabilities in decision tree</w:t>
            </w:r>
          </w:p>
        </w:tc>
        <w:tc>
          <w:tcPr>
            <w:tcW w:w="4369" w:type="pct"/>
            <w:tcBorders>
              <w:top w:val="single" w:sz="4" w:space="0" w:color="auto"/>
              <w:left w:val="single" w:sz="4" w:space="0" w:color="auto"/>
              <w:bottom w:val="single" w:sz="4" w:space="0" w:color="auto"/>
              <w:right w:val="single" w:sz="4" w:space="0" w:color="auto"/>
            </w:tcBorders>
            <w:vAlign w:val="center"/>
            <w:hideMark/>
          </w:tcPr>
          <w:p w14:paraId="3346D935" w14:textId="2F115136" w:rsidR="006260D2" w:rsidRPr="00873941" w:rsidRDefault="006260D2">
            <w:pPr>
              <w:pStyle w:val="TableText0"/>
              <w:keepNext w:val="0"/>
              <w:widowControl w:val="0"/>
            </w:pPr>
            <w:r w:rsidRPr="00873941">
              <w:t>Response rates (</w:t>
            </w:r>
            <w:proofErr w:type="spellStart"/>
            <w:r w:rsidR="00981050" w:rsidRPr="00873941">
              <w:t>t</w:t>
            </w:r>
            <w:r w:rsidRPr="00873941">
              <w:t>pCR</w:t>
            </w:r>
            <w:proofErr w:type="spellEnd"/>
            <w:r w:rsidRPr="00873941">
              <w:t xml:space="preserve">) for </w:t>
            </w:r>
            <w:proofErr w:type="spellStart"/>
            <w:r w:rsidRPr="00873941">
              <w:t>P+T+Chemo</w:t>
            </w:r>
            <w:proofErr w:type="spellEnd"/>
          </w:p>
          <w:p w14:paraId="40079395" w14:textId="77777777" w:rsidR="006260D2" w:rsidRPr="00873941" w:rsidRDefault="006260D2" w:rsidP="00C37360">
            <w:pPr>
              <w:pStyle w:val="TableText0"/>
              <w:keepNext w:val="0"/>
              <w:widowControl w:val="0"/>
              <w:numPr>
                <w:ilvl w:val="0"/>
                <w:numId w:val="11"/>
              </w:numPr>
            </w:pPr>
            <w:r w:rsidRPr="00873941">
              <w:t>Responders: 59.2%</w:t>
            </w:r>
          </w:p>
          <w:p w14:paraId="7DB57FFC" w14:textId="77777777" w:rsidR="006260D2" w:rsidRPr="00873941" w:rsidRDefault="006260D2" w:rsidP="00C37360">
            <w:pPr>
              <w:pStyle w:val="TableText0"/>
              <w:keepNext w:val="0"/>
              <w:widowControl w:val="0"/>
              <w:numPr>
                <w:ilvl w:val="0"/>
                <w:numId w:val="11"/>
              </w:numPr>
            </w:pPr>
            <w:r w:rsidRPr="00873941">
              <w:t>Non-responders subsequently receiving T-DM1: 30.6%</w:t>
            </w:r>
          </w:p>
          <w:p w14:paraId="36FBE3FA" w14:textId="77777777" w:rsidR="006260D2" w:rsidRPr="00873941" w:rsidRDefault="006260D2" w:rsidP="00C37360">
            <w:pPr>
              <w:pStyle w:val="TableText0"/>
              <w:keepNext w:val="0"/>
              <w:widowControl w:val="0"/>
              <w:numPr>
                <w:ilvl w:val="0"/>
                <w:numId w:val="11"/>
              </w:numPr>
            </w:pPr>
            <w:r w:rsidRPr="00873941">
              <w:t>Non-responders subsequently receiving adjuvant trastuzumab:10.2%</w:t>
            </w:r>
          </w:p>
          <w:p w14:paraId="7865CA5B" w14:textId="50D7D757" w:rsidR="006260D2" w:rsidRPr="00873941" w:rsidRDefault="006260D2">
            <w:pPr>
              <w:pStyle w:val="TableText0"/>
              <w:keepNext w:val="0"/>
              <w:widowControl w:val="0"/>
            </w:pPr>
            <w:r w:rsidRPr="00873941">
              <w:t>Response rates (</w:t>
            </w:r>
            <w:proofErr w:type="spellStart"/>
            <w:r w:rsidR="00981050" w:rsidRPr="00873941">
              <w:t>t</w:t>
            </w:r>
            <w:r w:rsidRPr="00873941">
              <w:t>pCR</w:t>
            </w:r>
            <w:proofErr w:type="spellEnd"/>
            <w:r w:rsidRPr="00873941">
              <w:t xml:space="preserve">) for </w:t>
            </w:r>
            <w:proofErr w:type="spellStart"/>
            <w:r w:rsidRPr="00873941">
              <w:t>T+Chemo</w:t>
            </w:r>
            <w:proofErr w:type="spellEnd"/>
            <w:r w:rsidRPr="00873941">
              <w:t>:</w:t>
            </w:r>
          </w:p>
          <w:p w14:paraId="7410EB68" w14:textId="77777777" w:rsidR="006260D2" w:rsidRPr="00873941" w:rsidRDefault="006260D2" w:rsidP="00C37360">
            <w:pPr>
              <w:pStyle w:val="TableText0"/>
              <w:keepNext w:val="0"/>
              <w:widowControl w:val="0"/>
              <w:numPr>
                <w:ilvl w:val="0"/>
                <w:numId w:val="11"/>
              </w:numPr>
            </w:pPr>
            <w:r w:rsidRPr="00873941">
              <w:t>Responders: 41.8%</w:t>
            </w:r>
          </w:p>
          <w:p w14:paraId="4823F9C7" w14:textId="77777777" w:rsidR="006260D2" w:rsidRPr="00873941" w:rsidRDefault="006260D2" w:rsidP="00C37360">
            <w:pPr>
              <w:pStyle w:val="TableText0"/>
              <w:keepNext w:val="0"/>
              <w:widowControl w:val="0"/>
              <w:numPr>
                <w:ilvl w:val="0"/>
                <w:numId w:val="11"/>
              </w:numPr>
            </w:pPr>
            <w:r w:rsidRPr="00873941">
              <w:t>Non-responders subsequently receiving T-DM1: 43.7%</w:t>
            </w:r>
          </w:p>
          <w:p w14:paraId="27323105" w14:textId="77777777" w:rsidR="006260D2" w:rsidRPr="00873941" w:rsidRDefault="006260D2" w:rsidP="00C37360">
            <w:pPr>
              <w:pStyle w:val="TableText0"/>
              <w:keepNext w:val="0"/>
              <w:widowControl w:val="0"/>
              <w:numPr>
                <w:ilvl w:val="0"/>
                <w:numId w:val="11"/>
              </w:numPr>
            </w:pPr>
            <w:r w:rsidRPr="00873941">
              <w:t>Non-responders subsequently receiving adjuvant trastuzumab:14.6%</w:t>
            </w:r>
          </w:p>
          <w:p w14:paraId="4B8F4B9B" w14:textId="28C1B928" w:rsidR="006260D2" w:rsidRPr="00873941" w:rsidRDefault="006260D2">
            <w:pPr>
              <w:pStyle w:val="TableText0"/>
              <w:keepNext w:val="0"/>
              <w:widowControl w:val="0"/>
            </w:pPr>
            <w:r w:rsidRPr="00873941">
              <w:t xml:space="preserve">Based on </w:t>
            </w:r>
            <w:bookmarkStart w:id="71" w:name="_Hlk184975623"/>
            <w:r w:rsidRPr="00873941">
              <w:t>a meta-analysis of studies of neoadjuvant regimens containing anthracycline chemotherapy (14 observational studies and the I-SPY2 trial)</w:t>
            </w:r>
            <w:bookmarkEnd w:id="71"/>
            <w:r w:rsidRPr="00873941">
              <w:t xml:space="preserve"> (</w:t>
            </w:r>
            <w:r w:rsidR="00C52D5A" w:rsidRPr="00873941">
              <w:fldChar w:fldCharType="begin"/>
            </w:r>
            <w:r w:rsidR="00C52D5A" w:rsidRPr="00873941">
              <w:instrText xml:space="preserve"> REF _Ref187424447 \h </w:instrText>
            </w:r>
            <w:r w:rsidR="00C52D5A" w:rsidRPr="00873941">
              <w:fldChar w:fldCharType="separate"/>
            </w:r>
            <w:r w:rsidR="000B094B" w:rsidRPr="00873941">
              <w:t xml:space="preserve">Figure </w:t>
            </w:r>
            <w:r w:rsidR="000B094B">
              <w:rPr>
                <w:noProof/>
              </w:rPr>
              <w:t>3</w:t>
            </w:r>
            <w:r w:rsidR="00C52D5A" w:rsidRPr="00873941">
              <w:fldChar w:fldCharType="end"/>
            </w:r>
            <w:r w:rsidR="00CB6375" w:rsidRPr="00873941">
              <w:fldChar w:fldCharType="begin"/>
            </w:r>
            <w:r w:rsidR="00CB6375" w:rsidRPr="00873941">
              <w:instrText xml:space="preserve"> REF _Ref184767826 \h </w:instrText>
            </w:r>
            <w:r w:rsidR="00CB6375" w:rsidRPr="00873941">
              <w:fldChar w:fldCharType="separate"/>
            </w:r>
            <w:r w:rsidR="000B094B" w:rsidRPr="00873941">
              <w:t xml:space="preserve">Table </w:t>
            </w:r>
            <w:r w:rsidR="000B094B">
              <w:rPr>
                <w:noProof/>
              </w:rPr>
              <w:t>8</w:t>
            </w:r>
            <w:r w:rsidR="00CB6375" w:rsidRPr="00873941">
              <w:fldChar w:fldCharType="end"/>
            </w:r>
            <w:r w:rsidRPr="00873941">
              <w:t xml:space="preserve">) and an assumed </w:t>
            </w:r>
            <w:r w:rsidR="00471EB9" w:rsidRPr="00471EB9">
              <w:rPr>
                <w:color w:val="000000"/>
                <w:spacing w:val="53"/>
                <w:shd w:val="solid" w:color="000000" w:fill="000000"/>
                <w:fitText w:val="330" w:id="-694408192"/>
                <w14:textFill>
                  <w14:solidFill>
                    <w14:srgbClr w14:val="000000">
                      <w14:alpha w14:val="100000"/>
                    </w14:srgbClr>
                  </w14:solidFill>
                </w14:textFill>
              </w:rPr>
              <w:t>|||</w:t>
            </w:r>
            <w:r w:rsidR="00471EB9" w:rsidRPr="00471EB9">
              <w:rPr>
                <w:color w:val="000000"/>
                <w:spacing w:val="1"/>
                <w:shd w:val="solid" w:color="000000" w:fill="000000"/>
                <w:fitText w:val="330" w:id="-694408192"/>
                <w14:textFill>
                  <w14:solidFill>
                    <w14:srgbClr w14:val="000000">
                      <w14:alpha w14:val="100000"/>
                    </w14:srgbClr>
                  </w14:solidFill>
                </w14:textFill>
              </w:rPr>
              <w:t>|</w:t>
            </w:r>
            <w:r w:rsidRPr="00873941">
              <w:t>% uptake rate for T-DM1.</w:t>
            </w:r>
            <w:r w:rsidR="00FA3CE6">
              <w:t xml:space="preserve"> </w:t>
            </w:r>
          </w:p>
        </w:tc>
      </w:tr>
      <w:tr w:rsidR="006260D2" w:rsidRPr="00873941" w14:paraId="69A14C62" w14:textId="77777777" w:rsidTr="006260D2">
        <w:tc>
          <w:tcPr>
            <w:tcW w:w="631" w:type="pct"/>
            <w:tcBorders>
              <w:top w:val="single" w:sz="4" w:space="0" w:color="auto"/>
              <w:left w:val="single" w:sz="4" w:space="0" w:color="auto"/>
              <w:bottom w:val="single" w:sz="4" w:space="0" w:color="auto"/>
              <w:right w:val="single" w:sz="4" w:space="0" w:color="auto"/>
            </w:tcBorders>
            <w:vAlign w:val="center"/>
            <w:hideMark/>
          </w:tcPr>
          <w:p w14:paraId="6642DC40" w14:textId="77777777" w:rsidR="006260D2" w:rsidRPr="00873941" w:rsidRDefault="006260D2">
            <w:pPr>
              <w:pStyle w:val="TableText0"/>
              <w:keepNext w:val="0"/>
              <w:widowControl w:val="0"/>
            </w:pPr>
            <w:r w:rsidRPr="00873941">
              <w:t>Transition probabilities in Markov model</w:t>
            </w:r>
          </w:p>
        </w:tc>
        <w:tc>
          <w:tcPr>
            <w:tcW w:w="4369" w:type="pct"/>
            <w:tcBorders>
              <w:top w:val="single" w:sz="4" w:space="0" w:color="auto"/>
              <w:left w:val="single" w:sz="4" w:space="0" w:color="auto"/>
              <w:bottom w:val="single" w:sz="4" w:space="0" w:color="auto"/>
              <w:right w:val="single" w:sz="4" w:space="0" w:color="auto"/>
            </w:tcBorders>
            <w:vAlign w:val="center"/>
          </w:tcPr>
          <w:p w14:paraId="1D3CD5DD" w14:textId="57477681" w:rsidR="006260D2" w:rsidRPr="00873941" w:rsidRDefault="006260D2" w:rsidP="00616140">
            <w:pPr>
              <w:pStyle w:val="TableText0"/>
              <w:keepNext w:val="0"/>
              <w:widowControl w:val="0"/>
              <w:rPr>
                <w:u w:val="single"/>
              </w:rPr>
            </w:pPr>
            <w:proofErr w:type="spellStart"/>
            <w:r w:rsidRPr="00873941">
              <w:rPr>
                <w:u w:val="single"/>
              </w:rPr>
              <w:t>iDFS</w:t>
            </w:r>
            <w:proofErr w:type="spellEnd"/>
            <w:r w:rsidRPr="00873941">
              <w:rPr>
                <w:u w:val="single"/>
              </w:rPr>
              <w:t xml:space="preserve"> to locoregional recurrence (non-responders)</w:t>
            </w:r>
          </w:p>
          <w:p w14:paraId="7457A074" w14:textId="276E2CA2" w:rsidR="006260D2" w:rsidRPr="00873941" w:rsidRDefault="006260D2">
            <w:pPr>
              <w:pStyle w:val="TableText0"/>
              <w:keepNext w:val="0"/>
              <w:widowControl w:val="0"/>
            </w:pPr>
            <w:r w:rsidRPr="00873941">
              <w:t xml:space="preserve">The KATHERINE trial (investigating TDM-1 vs trastuzumab in </w:t>
            </w:r>
            <w:proofErr w:type="spellStart"/>
            <w:r w:rsidRPr="00873941">
              <w:t>eBC</w:t>
            </w:r>
            <w:proofErr w:type="spellEnd"/>
            <w:r w:rsidRPr="00873941">
              <w:t xml:space="preserve">). </w:t>
            </w:r>
          </w:p>
          <w:p w14:paraId="3B1F4A61" w14:textId="7CC17E6F" w:rsidR="006260D2" w:rsidRPr="00873941" w:rsidRDefault="006260D2">
            <w:pPr>
              <w:pStyle w:val="TableText0"/>
              <w:keepNext w:val="0"/>
              <w:widowControl w:val="0"/>
            </w:pPr>
            <w:r w:rsidRPr="00873941">
              <w:t xml:space="preserve">The risk of disease recurrence (HR) in patients with pCR from neoadjuvant therapy </w:t>
            </w:r>
            <w:bookmarkStart w:id="72" w:name="_Hlk185149801"/>
            <w:r w:rsidRPr="00873941">
              <w:t>relative to those who had residual disease (non-responders) was based on Swain (2022)</w:t>
            </w:r>
            <w:bookmarkEnd w:id="72"/>
            <w:r w:rsidRPr="00873941">
              <w:t xml:space="preserve">. </w:t>
            </w:r>
          </w:p>
          <w:p w14:paraId="3A753B43" w14:textId="77777777" w:rsidR="006260D2" w:rsidRPr="001C47C2" w:rsidRDefault="006260D2">
            <w:pPr>
              <w:pStyle w:val="TableText0"/>
              <w:keepNext w:val="0"/>
              <w:widowControl w:val="0"/>
              <w:rPr>
                <w:sz w:val="8"/>
                <w:szCs w:val="8"/>
              </w:rPr>
            </w:pPr>
          </w:p>
          <w:p w14:paraId="2E337F86" w14:textId="77777777" w:rsidR="006260D2" w:rsidRPr="00873941" w:rsidRDefault="006260D2" w:rsidP="00616140">
            <w:pPr>
              <w:pStyle w:val="TableText0"/>
              <w:keepNext w:val="0"/>
              <w:widowControl w:val="0"/>
              <w:rPr>
                <w:u w:val="single"/>
              </w:rPr>
            </w:pPr>
            <w:r w:rsidRPr="00873941">
              <w:rPr>
                <w:u w:val="single"/>
              </w:rPr>
              <w:t>Locoregional recurrence to remission</w:t>
            </w:r>
          </w:p>
          <w:p w14:paraId="64928DF7" w14:textId="261C75B7" w:rsidR="006260D2" w:rsidRPr="00873941" w:rsidRDefault="006260D2">
            <w:pPr>
              <w:pStyle w:val="TableText0"/>
              <w:keepNext w:val="0"/>
              <w:widowControl w:val="0"/>
            </w:pPr>
            <w:r w:rsidRPr="00873941">
              <w:t xml:space="preserve">Proportion of patients leaving </w:t>
            </w:r>
            <w:proofErr w:type="spellStart"/>
            <w:r w:rsidRPr="00873941">
              <w:t>iDFS</w:t>
            </w:r>
            <w:proofErr w:type="spellEnd"/>
            <w:r w:rsidRPr="00873941">
              <w:t xml:space="preserve"> and experiencing a locoregional recurrence was based on the KATHERINE trial. </w:t>
            </w:r>
          </w:p>
          <w:p w14:paraId="724C57D8" w14:textId="77777777" w:rsidR="006260D2" w:rsidRPr="001C47C2" w:rsidRDefault="006260D2">
            <w:pPr>
              <w:pStyle w:val="TableText0"/>
              <w:keepNext w:val="0"/>
              <w:widowControl w:val="0"/>
              <w:rPr>
                <w:sz w:val="8"/>
                <w:szCs w:val="8"/>
              </w:rPr>
            </w:pPr>
          </w:p>
          <w:p w14:paraId="50D22883" w14:textId="486B60F5" w:rsidR="006260D2" w:rsidRPr="00873941" w:rsidRDefault="006260D2">
            <w:pPr>
              <w:pStyle w:val="TableText0"/>
              <w:keepNext w:val="0"/>
              <w:widowControl w:val="0"/>
            </w:pPr>
            <w:r w:rsidRPr="00873941">
              <w:rPr>
                <w:u w:val="single"/>
              </w:rPr>
              <w:t>Remission to 1</w:t>
            </w:r>
            <w:r w:rsidRPr="00873941">
              <w:rPr>
                <w:u w:val="single"/>
                <w:vertAlign w:val="superscript"/>
              </w:rPr>
              <w:t>st</w:t>
            </w:r>
            <w:r w:rsidRPr="00873941">
              <w:rPr>
                <w:u w:val="single"/>
              </w:rPr>
              <w:t xml:space="preserve"> line </w:t>
            </w:r>
            <w:proofErr w:type="spellStart"/>
            <w:r w:rsidRPr="00873941">
              <w:rPr>
                <w:u w:val="single"/>
              </w:rPr>
              <w:t>mBC</w:t>
            </w:r>
            <w:proofErr w:type="spellEnd"/>
          </w:p>
          <w:p w14:paraId="3E6F52E1" w14:textId="43F37D54" w:rsidR="006260D2" w:rsidRPr="00873941" w:rsidRDefault="006260D2">
            <w:pPr>
              <w:pStyle w:val="TableText0"/>
              <w:keepNext w:val="0"/>
              <w:widowControl w:val="0"/>
            </w:pPr>
            <w:r w:rsidRPr="00873941">
              <w:t>Remission to metastatic recurrence was based on Hamilton (2015). Hamilton (2015) estimated the risk of second malignancy post adjuvant radiation therapy. These patients were treated with RT and/or systemic chemotherapy and/or hormone therapy. However, no patients received targeted therapy.</w:t>
            </w:r>
          </w:p>
          <w:p w14:paraId="4FCB5DE6" w14:textId="77777777" w:rsidR="006260D2" w:rsidRPr="001C47C2" w:rsidRDefault="006260D2">
            <w:pPr>
              <w:pStyle w:val="TableText0"/>
              <w:keepNext w:val="0"/>
              <w:widowControl w:val="0"/>
              <w:rPr>
                <w:sz w:val="8"/>
                <w:szCs w:val="8"/>
              </w:rPr>
            </w:pPr>
          </w:p>
          <w:p w14:paraId="0182B08A" w14:textId="77777777" w:rsidR="006260D2" w:rsidRPr="00873941" w:rsidRDefault="006260D2" w:rsidP="009F1201">
            <w:pPr>
              <w:pStyle w:val="TableText0"/>
              <w:keepNext w:val="0"/>
              <w:widowControl w:val="0"/>
              <w:rPr>
                <w:u w:val="single"/>
              </w:rPr>
            </w:pPr>
            <w:r w:rsidRPr="00873941">
              <w:rPr>
                <w:u w:val="single"/>
              </w:rPr>
              <w:t>Remission to death</w:t>
            </w:r>
          </w:p>
          <w:p w14:paraId="03C6BE53" w14:textId="41FE0A49" w:rsidR="006260D2" w:rsidRPr="00873941" w:rsidRDefault="006260D2" w:rsidP="009F1201">
            <w:pPr>
              <w:pStyle w:val="TableText0"/>
              <w:keepNext w:val="0"/>
              <w:widowControl w:val="0"/>
            </w:pPr>
            <w:r w:rsidRPr="00873941">
              <w:t xml:space="preserve">The KATHERINE trial. The CLEOPATRA trial was used in the </w:t>
            </w:r>
            <w:proofErr w:type="spellStart"/>
            <w:r w:rsidRPr="00873941">
              <w:t>mBC</w:t>
            </w:r>
            <w:proofErr w:type="spellEnd"/>
            <w:r w:rsidRPr="00873941">
              <w:t xml:space="preserve"> pertuzumab PBAC 2014 submission. </w:t>
            </w:r>
          </w:p>
          <w:p w14:paraId="3F57D238" w14:textId="77777777" w:rsidR="006260D2" w:rsidRPr="001C47C2" w:rsidRDefault="006260D2" w:rsidP="009F1201">
            <w:pPr>
              <w:pStyle w:val="TableText0"/>
              <w:keepNext w:val="0"/>
              <w:widowControl w:val="0"/>
              <w:rPr>
                <w:sz w:val="8"/>
                <w:szCs w:val="8"/>
              </w:rPr>
            </w:pPr>
          </w:p>
          <w:p w14:paraId="11DB7B26" w14:textId="552E364C" w:rsidR="006260D2" w:rsidRPr="00873941" w:rsidRDefault="006260D2">
            <w:pPr>
              <w:pStyle w:val="TableText0"/>
              <w:keepNext w:val="0"/>
              <w:widowControl w:val="0"/>
            </w:pPr>
            <w:r w:rsidRPr="00873941">
              <w:rPr>
                <w:u w:val="single"/>
              </w:rPr>
              <w:t>1</w:t>
            </w:r>
            <w:r w:rsidRPr="00873941">
              <w:rPr>
                <w:u w:val="single"/>
                <w:vertAlign w:val="superscript"/>
              </w:rPr>
              <w:t>st</w:t>
            </w:r>
            <w:r w:rsidRPr="00873941">
              <w:rPr>
                <w:u w:val="single"/>
              </w:rPr>
              <w:t xml:space="preserve"> line </w:t>
            </w:r>
            <w:proofErr w:type="spellStart"/>
            <w:r w:rsidRPr="00873941">
              <w:rPr>
                <w:u w:val="single"/>
              </w:rPr>
              <w:t>mBC</w:t>
            </w:r>
            <w:proofErr w:type="spellEnd"/>
            <w:r w:rsidRPr="00873941">
              <w:rPr>
                <w:u w:val="single"/>
              </w:rPr>
              <w:t xml:space="preserve"> to 2</w:t>
            </w:r>
            <w:r w:rsidRPr="00873941">
              <w:rPr>
                <w:u w:val="single"/>
                <w:vertAlign w:val="superscript"/>
              </w:rPr>
              <w:t>nd</w:t>
            </w:r>
            <w:r w:rsidRPr="00873941">
              <w:rPr>
                <w:u w:val="single"/>
              </w:rPr>
              <w:t xml:space="preserve"> line </w:t>
            </w:r>
            <w:proofErr w:type="spellStart"/>
            <w:r w:rsidRPr="00873941">
              <w:rPr>
                <w:u w:val="single"/>
              </w:rPr>
              <w:t>mBC</w:t>
            </w:r>
            <w:proofErr w:type="spellEnd"/>
            <w:r w:rsidRPr="00873941">
              <w:rPr>
                <w:u w:val="single"/>
              </w:rPr>
              <w:t xml:space="preserve"> and death; 2</w:t>
            </w:r>
            <w:r w:rsidRPr="00873941">
              <w:rPr>
                <w:u w:val="single"/>
                <w:vertAlign w:val="superscript"/>
              </w:rPr>
              <w:t>nd</w:t>
            </w:r>
            <w:r w:rsidRPr="00873941">
              <w:rPr>
                <w:u w:val="single"/>
              </w:rPr>
              <w:t xml:space="preserve"> line </w:t>
            </w:r>
            <w:proofErr w:type="spellStart"/>
            <w:r w:rsidRPr="00873941">
              <w:rPr>
                <w:u w:val="single"/>
              </w:rPr>
              <w:t>mBC</w:t>
            </w:r>
            <w:proofErr w:type="spellEnd"/>
            <w:r w:rsidRPr="00873941">
              <w:rPr>
                <w:u w:val="single"/>
              </w:rPr>
              <w:t xml:space="preserve"> to death</w:t>
            </w:r>
          </w:p>
          <w:p w14:paraId="012CB2F8" w14:textId="04FA01AF" w:rsidR="006260D2" w:rsidRPr="00873941" w:rsidRDefault="006260D2">
            <w:pPr>
              <w:pStyle w:val="TableText0"/>
              <w:keepNext w:val="0"/>
              <w:widowControl w:val="0"/>
            </w:pPr>
            <w:r w:rsidRPr="00873941">
              <w:t xml:space="preserve">Metastatic recurrence to progression and death was based on the EMILIA (investigating TDM-1 in </w:t>
            </w:r>
            <w:proofErr w:type="spellStart"/>
            <w:r w:rsidRPr="00873941">
              <w:t>mBC</w:t>
            </w:r>
            <w:proofErr w:type="spellEnd"/>
            <w:r w:rsidRPr="00873941">
              <w:t xml:space="preserve">), CLEOPATRA (investigating </w:t>
            </w:r>
            <w:proofErr w:type="spellStart"/>
            <w:r w:rsidRPr="00873941">
              <w:t>P+T+Chemo</w:t>
            </w:r>
            <w:proofErr w:type="spellEnd"/>
            <w:r w:rsidRPr="00873941">
              <w:t xml:space="preserve"> in </w:t>
            </w:r>
            <w:proofErr w:type="spellStart"/>
            <w:r w:rsidRPr="00873941">
              <w:t>mBC</w:t>
            </w:r>
            <w:proofErr w:type="spellEnd"/>
            <w:r w:rsidRPr="00873941">
              <w:t>), and DESTINY Breast- DB03 (DB03) (investigating T-</w:t>
            </w:r>
            <w:proofErr w:type="spellStart"/>
            <w:r w:rsidRPr="00873941">
              <w:t>DXd</w:t>
            </w:r>
            <w:proofErr w:type="spellEnd"/>
            <w:r w:rsidRPr="00873941">
              <w:t xml:space="preserve"> in </w:t>
            </w:r>
            <w:proofErr w:type="spellStart"/>
            <w:r w:rsidRPr="00873941">
              <w:t>mBC</w:t>
            </w:r>
            <w:proofErr w:type="spellEnd"/>
            <w:r w:rsidRPr="00873941">
              <w:t xml:space="preserve">) trials. </w:t>
            </w:r>
          </w:p>
          <w:p w14:paraId="5768E6B1" w14:textId="78B19B32" w:rsidR="006260D2" w:rsidRPr="00873941" w:rsidRDefault="006260D2">
            <w:pPr>
              <w:pStyle w:val="TableText0"/>
              <w:keepNext w:val="0"/>
              <w:widowControl w:val="0"/>
            </w:pPr>
            <w:r w:rsidRPr="00873941">
              <w:t xml:space="preserve">The resubmission assumed an uptake rate of </w:t>
            </w:r>
            <w:r w:rsidR="00471EB9" w:rsidRPr="00471EB9">
              <w:rPr>
                <w:color w:val="000000"/>
                <w:spacing w:val="53"/>
                <w:shd w:val="solid" w:color="000000" w:fill="000000"/>
                <w:fitText w:val="330" w:id="-694408191"/>
                <w14:textFill>
                  <w14:solidFill>
                    <w14:srgbClr w14:val="000000">
                      <w14:alpha w14:val="100000"/>
                    </w14:srgbClr>
                  </w14:solidFill>
                </w14:textFill>
              </w:rPr>
              <w:t>|||</w:t>
            </w:r>
            <w:r w:rsidR="00471EB9" w:rsidRPr="00471EB9">
              <w:rPr>
                <w:color w:val="000000"/>
                <w:spacing w:val="1"/>
                <w:shd w:val="solid" w:color="000000" w:fill="000000"/>
                <w:fitText w:val="330" w:id="-694408191"/>
                <w14:textFill>
                  <w14:solidFill>
                    <w14:srgbClr w14:val="000000">
                      <w14:alpha w14:val="100000"/>
                    </w14:srgbClr>
                  </w14:solidFill>
                </w14:textFill>
              </w:rPr>
              <w:t>|</w:t>
            </w:r>
            <w:r w:rsidRPr="00873941">
              <w:t>% for (T-</w:t>
            </w:r>
            <w:proofErr w:type="spellStart"/>
            <w:r w:rsidRPr="00873941">
              <w:t>DXd</w:t>
            </w:r>
            <w:proofErr w:type="spellEnd"/>
            <w:r w:rsidRPr="00873941">
              <w:t>) in each eligible population. The previous submission did not use T-</w:t>
            </w:r>
            <w:proofErr w:type="spellStart"/>
            <w:r w:rsidRPr="00873941">
              <w:t>DXd</w:t>
            </w:r>
            <w:proofErr w:type="spellEnd"/>
            <w:r w:rsidRPr="00873941">
              <w:t xml:space="preserve"> in the economic model. </w:t>
            </w:r>
            <w:r w:rsidR="00471EB9" w:rsidRPr="00471EB9">
              <w:rPr>
                <w:color w:val="000000"/>
                <w:spacing w:val="49"/>
                <w:shd w:val="solid" w:color="000000" w:fill="000000"/>
                <w:fitText w:val="320" w:id="-694408190"/>
                <w14:textFill>
                  <w14:solidFill>
                    <w14:srgbClr w14:val="000000">
                      <w14:alpha w14:val="100000"/>
                    </w14:srgbClr>
                  </w14:solidFill>
                </w14:textFill>
              </w:rPr>
              <w:t>|||</w:t>
            </w:r>
            <w:r w:rsidR="00471EB9" w:rsidRPr="00471EB9">
              <w:rPr>
                <w:color w:val="000000"/>
                <w:spacing w:val="3"/>
                <w:shd w:val="solid" w:color="000000" w:fill="000000"/>
                <w:fitText w:val="320" w:id="-694408190"/>
                <w14:textFill>
                  <w14:solidFill>
                    <w14:srgbClr w14:val="000000">
                      <w14:alpha w14:val="100000"/>
                    </w14:srgbClr>
                  </w14:solidFill>
                </w14:textFill>
              </w:rPr>
              <w:t>|</w:t>
            </w:r>
            <w:proofErr w:type="spellStart"/>
            <w:r w:rsidRPr="00873941">
              <w:rPr>
                <w:u w:val="single"/>
              </w:rPr>
              <w:t>All cause</w:t>
            </w:r>
            <w:proofErr w:type="spellEnd"/>
            <w:r w:rsidRPr="00873941">
              <w:rPr>
                <w:u w:val="single"/>
              </w:rPr>
              <w:t xml:space="preserve"> mortality</w:t>
            </w:r>
          </w:p>
          <w:p w14:paraId="3BC758AA" w14:textId="36E20C1A" w:rsidR="006260D2" w:rsidRPr="00873941" w:rsidRDefault="006260D2">
            <w:pPr>
              <w:pStyle w:val="TableText0"/>
              <w:keepNext w:val="0"/>
              <w:widowControl w:val="0"/>
            </w:pPr>
            <w:r w:rsidRPr="00873941">
              <w:t xml:space="preserve">All-cause mortality rates were based on ABS Life Tables. </w:t>
            </w:r>
          </w:p>
        </w:tc>
      </w:tr>
      <w:tr w:rsidR="006260D2" w:rsidRPr="00873941" w14:paraId="4F50B91D" w14:textId="77777777" w:rsidTr="006260D2">
        <w:tc>
          <w:tcPr>
            <w:tcW w:w="631" w:type="pct"/>
            <w:tcBorders>
              <w:top w:val="single" w:sz="4" w:space="0" w:color="auto"/>
              <w:left w:val="single" w:sz="4" w:space="0" w:color="auto"/>
              <w:bottom w:val="single" w:sz="4" w:space="0" w:color="auto"/>
              <w:right w:val="single" w:sz="4" w:space="0" w:color="auto"/>
            </w:tcBorders>
            <w:vAlign w:val="center"/>
            <w:hideMark/>
          </w:tcPr>
          <w:p w14:paraId="6BFC2CDB" w14:textId="77777777" w:rsidR="006260D2" w:rsidRPr="00873941" w:rsidRDefault="006260D2">
            <w:pPr>
              <w:pStyle w:val="TableText0"/>
              <w:keepNext w:val="0"/>
              <w:widowControl w:val="0"/>
            </w:pPr>
            <w:r w:rsidRPr="00873941">
              <w:t>Extrapolation method</w:t>
            </w:r>
          </w:p>
        </w:tc>
        <w:tc>
          <w:tcPr>
            <w:tcW w:w="4369" w:type="pct"/>
            <w:tcBorders>
              <w:top w:val="single" w:sz="4" w:space="0" w:color="auto"/>
              <w:left w:val="single" w:sz="4" w:space="0" w:color="auto"/>
              <w:bottom w:val="single" w:sz="4" w:space="0" w:color="auto"/>
              <w:right w:val="single" w:sz="4" w:space="0" w:color="auto"/>
            </w:tcBorders>
          </w:tcPr>
          <w:p w14:paraId="4B26920F" w14:textId="77777777" w:rsidR="006260D2" w:rsidRPr="00873941" w:rsidRDefault="006260D2">
            <w:pPr>
              <w:pStyle w:val="TableText0"/>
              <w:widowControl w:val="0"/>
              <w:rPr>
                <w:u w:val="single"/>
              </w:rPr>
            </w:pPr>
            <w:r w:rsidRPr="00873941">
              <w:rPr>
                <w:u w:val="single"/>
              </w:rPr>
              <w:t>Recurrence, progression and survival</w:t>
            </w:r>
          </w:p>
          <w:p w14:paraId="21BE2A1C" w14:textId="4E34C4B5" w:rsidR="006260D2" w:rsidRPr="00873941" w:rsidRDefault="006260D2">
            <w:pPr>
              <w:pStyle w:val="TableText0"/>
              <w:keepNext w:val="0"/>
              <w:widowControl w:val="0"/>
            </w:pPr>
            <w:r w:rsidRPr="00873941">
              <w:t xml:space="preserve">Kaplan-Meier data was used for </w:t>
            </w:r>
            <w:proofErr w:type="spellStart"/>
            <w:r w:rsidRPr="00873941">
              <w:t>iDFS</w:t>
            </w:r>
            <w:proofErr w:type="spellEnd"/>
            <w:r w:rsidRPr="00873941">
              <w:t xml:space="preserve"> from the KATHERINE trial until median follow-up</w:t>
            </w:r>
            <w:r w:rsidR="003054CB" w:rsidRPr="00873941">
              <w:t xml:space="preserve"> (truncation point)</w:t>
            </w:r>
            <w:r w:rsidRPr="00873941">
              <w:t xml:space="preserve"> (probability of remaining in </w:t>
            </w:r>
            <w:proofErr w:type="spellStart"/>
            <w:r w:rsidRPr="00873941">
              <w:t>iDFS</w:t>
            </w:r>
            <w:proofErr w:type="spellEnd"/>
            <w:r w:rsidRPr="00873941">
              <w:t>: 41.2 months), and then independent exponential functions were fitted to each treatment arm based on goodness of fit.</w:t>
            </w:r>
            <w:r w:rsidR="00CD1162" w:rsidRPr="00873941">
              <w:t xml:space="preserve"> </w:t>
            </w:r>
          </w:p>
          <w:p w14:paraId="47292C18" w14:textId="69B4FC1D" w:rsidR="006260D2" w:rsidRPr="00873941" w:rsidRDefault="006260D2">
            <w:pPr>
              <w:pStyle w:val="TableText0"/>
              <w:keepNext w:val="0"/>
              <w:widowControl w:val="0"/>
            </w:pPr>
            <w:r w:rsidRPr="00873941">
              <w:t>Based on historical PBAC guidance (2006), trastuzumab’s effect was assumed to be null after 5 years.</w:t>
            </w:r>
          </w:p>
          <w:p w14:paraId="27406DF0" w14:textId="77777777" w:rsidR="00E90262" w:rsidRPr="00873941" w:rsidRDefault="00E90262">
            <w:pPr>
              <w:pStyle w:val="TableText0"/>
              <w:keepNext w:val="0"/>
              <w:widowControl w:val="0"/>
            </w:pPr>
          </w:p>
          <w:p w14:paraId="01E2E888" w14:textId="77777777" w:rsidR="006260D2" w:rsidRPr="00873941" w:rsidRDefault="006260D2">
            <w:pPr>
              <w:pStyle w:val="TableText0"/>
              <w:widowControl w:val="0"/>
              <w:rPr>
                <w:u w:val="single"/>
              </w:rPr>
            </w:pPr>
            <w:r w:rsidRPr="00873941">
              <w:rPr>
                <w:u w:val="single"/>
              </w:rPr>
              <w:lastRenderedPageBreak/>
              <w:t>Treatment effect</w:t>
            </w:r>
          </w:p>
          <w:p w14:paraId="42D21E28" w14:textId="021E5634" w:rsidR="006260D2" w:rsidRPr="00873941" w:rsidRDefault="006260D2" w:rsidP="00BF7531">
            <w:pPr>
              <w:pStyle w:val="TableText0"/>
              <w:keepNext w:val="0"/>
              <w:widowControl w:val="0"/>
              <w:rPr>
                <w:color w:val="000000" w:themeColor="text1"/>
              </w:rPr>
            </w:pPr>
            <w:r w:rsidRPr="00873941">
              <w:t xml:space="preserve">A time limited treatment effect was included by applying the treatment effect to 7 years, followed by linear convergence to </w:t>
            </w:r>
            <w:proofErr w:type="spellStart"/>
            <w:r w:rsidRPr="00873941">
              <w:rPr>
                <w:iCs/>
              </w:rPr>
              <w:t>iDFS</w:t>
            </w:r>
            <w:proofErr w:type="spellEnd"/>
            <w:r w:rsidRPr="00873941">
              <w:rPr>
                <w:iCs/>
              </w:rPr>
              <w:t xml:space="preserve"> </w:t>
            </w:r>
            <w:r w:rsidRPr="00873941">
              <w:t xml:space="preserve">HR=1 (null effect) by year 10. </w:t>
            </w:r>
            <w:r w:rsidRPr="00873941">
              <w:rPr>
                <w:iCs/>
              </w:rPr>
              <w:t xml:space="preserve">The choice of 10 years was based on the HERA (n=5,102) and BCIRG-006 (n=3,222) trials. </w:t>
            </w:r>
          </w:p>
          <w:p w14:paraId="78251591" w14:textId="77777777" w:rsidR="006260D2" w:rsidRPr="00873941" w:rsidRDefault="006260D2">
            <w:pPr>
              <w:pStyle w:val="TableText0"/>
              <w:keepNext w:val="0"/>
              <w:widowControl w:val="0"/>
            </w:pPr>
          </w:p>
          <w:p w14:paraId="41B94626" w14:textId="77777777" w:rsidR="006260D2" w:rsidRPr="00873941" w:rsidRDefault="006260D2">
            <w:pPr>
              <w:pStyle w:val="TableText0"/>
              <w:widowControl w:val="0"/>
              <w:rPr>
                <w:u w:val="single"/>
              </w:rPr>
            </w:pPr>
            <w:r w:rsidRPr="00873941">
              <w:rPr>
                <w:u w:val="single"/>
              </w:rPr>
              <w:t>Remission</w:t>
            </w:r>
          </w:p>
          <w:p w14:paraId="7BC4FDFC" w14:textId="74C51753" w:rsidR="006260D2" w:rsidRPr="00873941" w:rsidRDefault="006260D2">
            <w:pPr>
              <w:pStyle w:val="TableText0"/>
              <w:keepNext w:val="0"/>
              <w:widowControl w:val="0"/>
              <w:rPr>
                <w:i/>
              </w:rPr>
            </w:pPr>
            <w:r w:rsidRPr="00873941">
              <w:t>A sustained remission adjustment was applied from the median follow-up (patients who achieved sustained remission) of the KATHERINE trial, increasing to 95% at 10 years.</w:t>
            </w:r>
            <w:r w:rsidRPr="00873941">
              <w:rPr>
                <w:i/>
                <w:iCs/>
              </w:rPr>
              <w:t xml:space="preserve"> </w:t>
            </w:r>
          </w:p>
        </w:tc>
      </w:tr>
      <w:tr w:rsidR="006260D2" w:rsidRPr="00873941" w14:paraId="60F4CF52" w14:textId="77777777" w:rsidTr="006260D2">
        <w:tc>
          <w:tcPr>
            <w:tcW w:w="631" w:type="pct"/>
            <w:tcBorders>
              <w:top w:val="single" w:sz="4" w:space="0" w:color="auto"/>
              <w:left w:val="single" w:sz="4" w:space="0" w:color="auto"/>
              <w:bottom w:val="single" w:sz="4" w:space="0" w:color="auto"/>
              <w:right w:val="single" w:sz="4" w:space="0" w:color="auto"/>
            </w:tcBorders>
            <w:vAlign w:val="center"/>
            <w:hideMark/>
          </w:tcPr>
          <w:p w14:paraId="66DA5E15" w14:textId="77777777" w:rsidR="006260D2" w:rsidRPr="00873941" w:rsidRDefault="006260D2">
            <w:pPr>
              <w:pStyle w:val="TableText0"/>
              <w:keepNext w:val="0"/>
              <w:widowControl w:val="0"/>
            </w:pPr>
            <w:r w:rsidRPr="00873941">
              <w:lastRenderedPageBreak/>
              <w:t>Health related quality of life</w:t>
            </w:r>
          </w:p>
        </w:tc>
        <w:tc>
          <w:tcPr>
            <w:tcW w:w="4369" w:type="pct"/>
            <w:tcBorders>
              <w:top w:val="single" w:sz="4" w:space="0" w:color="auto"/>
              <w:left w:val="single" w:sz="4" w:space="0" w:color="auto"/>
              <w:bottom w:val="single" w:sz="4" w:space="0" w:color="auto"/>
              <w:right w:val="single" w:sz="4" w:space="0" w:color="auto"/>
            </w:tcBorders>
            <w:vAlign w:val="center"/>
          </w:tcPr>
          <w:p w14:paraId="41F80D78" w14:textId="481CC55C" w:rsidR="006260D2" w:rsidRPr="00873941" w:rsidRDefault="006260D2">
            <w:pPr>
              <w:pStyle w:val="TableText0"/>
              <w:keepNext w:val="0"/>
              <w:widowControl w:val="0"/>
            </w:pPr>
            <w:r w:rsidRPr="00873941">
              <w:t xml:space="preserve">The KATHERINE trial was used to estimate utilities for the </w:t>
            </w:r>
            <w:proofErr w:type="spellStart"/>
            <w:r w:rsidRPr="00873941">
              <w:t>iDFS</w:t>
            </w:r>
            <w:proofErr w:type="spellEnd"/>
            <w:r w:rsidRPr="00873941">
              <w:t xml:space="preserve">, locoregional recurrence, and remission health states. </w:t>
            </w:r>
          </w:p>
          <w:p w14:paraId="642985D0" w14:textId="77777777" w:rsidR="006260D2" w:rsidRPr="00873941" w:rsidRDefault="006260D2">
            <w:pPr>
              <w:pStyle w:val="TableText0"/>
              <w:keepNext w:val="0"/>
              <w:widowControl w:val="0"/>
            </w:pPr>
          </w:p>
          <w:p w14:paraId="27FF78DF" w14:textId="12CC3E28" w:rsidR="006260D2" w:rsidRPr="00873941" w:rsidRDefault="006260D2">
            <w:pPr>
              <w:pStyle w:val="TableText0"/>
              <w:keepNext w:val="0"/>
              <w:widowControl w:val="0"/>
            </w:pPr>
            <w:r w:rsidRPr="00873941">
              <w:t xml:space="preserve">Lloyd (2006) was used to estimate utilities for metastatic recurrence. </w:t>
            </w:r>
          </w:p>
          <w:p w14:paraId="0ECCC39A" w14:textId="77777777" w:rsidR="006260D2" w:rsidRPr="00873941" w:rsidRDefault="006260D2">
            <w:pPr>
              <w:pStyle w:val="TableText0"/>
              <w:keepNext w:val="0"/>
              <w:widowControl w:val="0"/>
            </w:pPr>
          </w:p>
          <w:p w14:paraId="14F04787" w14:textId="7AF0705D" w:rsidR="006260D2" w:rsidRPr="00873941" w:rsidRDefault="006260D2">
            <w:pPr>
              <w:pStyle w:val="TableText0"/>
              <w:keepNext w:val="0"/>
              <w:widowControl w:val="0"/>
            </w:pPr>
            <w:proofErr w:type="spellStart"/>
            <w:r w:rsidRPr="00873941">
              <w:t>iDFS</w:t>
            </w:r>
            <w:proofErr w:type="spellEnd"/>
            <w:r w:rsidRPr="00873941">
              <w:t xml:space="preserve"> on treatment = 0.786, </w:t>
            </w:r>
            <w:proofErr w:type="spellStart"/>
            <w:r w:rsidRPr="00873941">
              <w:t>iDFS</w:t>
            </w:r>
            <w:proofErr w:type="spellEnd"/>
            <w:r w:rsidRPr="00873941">
              <w:t xml:space="preserve"> off treatment = 0.799, locoregional recurrence = 0.786, remission 0.799, 1st line </w:t>
            </w:r>
            <w:proofErr w:type="spellStart"/>
            <w:r w:rsidRPr="00873941">
              <w:t>mBC</w:t>
            </w:r>
            <w:proofErr w:type="spellEnd"/>
            <w:r w:rsidRPr="00873941">
              <w:t xml:space="preserve"> = 0.753, 2nd line </w:t>
            </w:r>
            <w:proofErr w:type="spellStart"/>
            <w:r w:rsidRPr="00873941">
              <w:t>mBC</w:t>
            </w:r>
            <w:proofErr w:type="spellEnd"/>
            <w:r w:rsidRPr="00873941">
              <w:t xml:space="preserve"> = 0.481. The model assumed that patients experiencing locoregional recurrence would have the same utility as patients in </w:t>
            </w:r>
            <w:proofErr w:type="spellStart"/>
            <w:r w:rsidRPr="00873941">
              <w:t>iDFS</w:t>
            </w:r>
            <w:proofErr w:type="spellEnd"/>
            <w:r w:rsidRPr="00873941">
              <w:t xml:space="preserve"> on treatment and patients in remission would have the same utility as patients in </w:t>
            </w:r>
            <w:proofErr w:type="spellStart"/>
            <w:r w:rsidRPr="00873941">
              <w:t>iDFS</w:t>
            </w:r>
            <w:proofErr w:type="spellEnd"/>
            <w:r w:rsidRPr="00873941">
              <w:t xml:space="preserve"> off treatment. The type of systematic therapies used at different treatment phases could impact utilities and the QALY due to varying toxicity and adverse events. Nonetheless, the assumption was consistent with previous submissions for pertuzumab in </w:t>
            </w:r>
            <w:proofErr w:type="spellStart"/>
            <w:r w:rsidRPr="00873941">
              <w:t>eBC</w:t>
            </w:r>
            <w:proofErr w:type="spellEnd"/>
            <w:r w:rsidRPr="00873941">
              <w:t xml:space="preserve"> and was considered by the PBAC to be reasonable (Table 9, para. 6.31, pertuzumab PSD, July 2018 PBAC meeting and Table 10, para. 6.27, pertuzumab PSD, March 2019 PBAC meeting).</w:t>
            </w:r>
            <w:r w:rsidRPr="00873941">
              <w:rPr>
                <w:color w:val="000000" w:themeColor="text1"/>
              </w:rPr>
              <w:t xml:space="preserve"> </w:t>
            </w:r>
          </w:p>
        </w:tc>
      </w:tr>
      <w:tr w:rsidR="006260D2" w:rsidRPr="00873941" w14:paraId="2264BBF2" w14:textId="77777777" w:rsidTr="006260D2">
        <w:tc>
          <w:tcPr>
            <w:tcW w:w="631" w:type="pct"/>
            <w:tcBorders>
              <w:top w:val="single" w:sz="4" w:space="0" w:color="auto"/>
              <w:left w:val="single" w:sz="4" w:space="0" w:color="auto"/>
              <w:bottom w:val="single" w:sz="4" w:space="0" w:color="auto"/>
              <w:right w:val="single" w:sz="4" w:space="0" w:color="auto"/>
            </w:tcBorders>
            <w:vAlign w:val="center"/>
            <w:hideMark/>
          </w:tcPr>
          <w:p w14:paraId="2AC26F5B" w14:textId="77777777" w:rsidR="006260D2" w:rsidRPr="00873941" w:rsidRDefault="006260D2">
            <w:pPr>
              <w:pStyle w:val="TableText0"/>
              <w:keepNext w:val="0"/>
              <w:widowControl w:val="0"/>
            </w:pPr>
            <w:r w:rsidRPr="00873941">
              <w:t>Costs</w:t>
            </w:r>
          </w:p>
        </w:tc>
        <w:tc>
          <w:tcPr>
            <w:tcW w:w="4369" w:type="pct"/>
            <w:tcBorders>
              <w:top w:val="single" w:sz="4" w:space="0" w:color="auto"/>
              <w:left w:val="single" w:sz="4" w:space="0" w:color="auto"/>
              <w:bottom w:val="single" w:sz="4" w:space="0" w:color="auto"/>
              <w:right w:val="single" w:sz="4" w:space="0" w:color="auto"/>
            </w:tcBorders>
            <w:vAlign w:val="center"/>
          </w:tcPr>
          <w:p w14:paraId="6A646BF2" w14:textId="19213740" w:rsidR="006260D2" w:rsidRPr="00873941" w:rsidRDefault="006260D2">
            <w:pPr>
              <w:pStyle w:val="TableText0"/>
              <w:widowControl w:val="0"/>
            </w:pPr>
            <w:r w:rsidRPr="00873941">
              <w:t>Pertuzumab (1 × 420mg vial) = $</w:t>
            </w:r>
            <w:r w:rsidR="00471EB9" w:rsidRPr="00471EB9">
              <w:rPr>
                <w:color w:val="000000"/>
                <w:spacing w:val="53"/>
                <w:shd w:val="solid" w:color="000000" w:fill="000000"/>
                <w:fitText w:val="330" w:id="-694408189"/>
                <w14:textFill>
                  <w14:solidFill>
                    <w14:srgbClr w14:val="000000">
                      <w14:alpha w14:val="100000"/>
                    </w14:srgbClr>
                  </w14:solidFill>
                </w14:textFill>
              </w:rPr>
              <w:t>|||</w:t>
            </w:r>
            <w:r w:rsidR="00471EB9" w:rsidRPr="00471EB9">
              <w:rPr>
                <w:color w:val="000000"/>
                <w:spacing w:val="1"/>
                <w:shd w:val="solid" w:color="000000" w:fill="000000"/>
                <w:fitText w:val="330" w:id="-694408189"/>
                <w14:textFill>
                  <w14:solidFill>
                    <w14:srgbClr w14:val="000000">
                      <w14:alpha w14:val="100000"/>
                    </w14:srgbClr>
                  </w14:solidFill>
                </w14:textFill>
              </w:rPr>
              <w:t>|</w:t>
            </w:r>
            <w:r w:rsidRPr="00873941">
              <w:t xml:space="preserve"> (proposed AEMP for </w:t>
            </w:r>
            <w:proofErr w:type="spellStart"/>
            <w:r w:rsidRPr="00873941">
              <w:t>eBC</w:t>
            </w:r>
            <w:proofErr w:type="spellEnd"/>
            <w:r w:rsidRPr="00873941">
              <w:t>).</w:t>
            </w:r>
          </w:p>
          <w:p w14:paraId="298E1E2C" w14:textId="6E3ACBAA" w:rsidR="006260D2" w:rsidRPr="00873941" w:rsidRDefault="006260D2">
            <w:pPr>
              <w:pStyle w:val="TableText0"/>
              <w:widowControl w:val="0"/>
            </w:pPr>
            <w:r w:rsidRPr="00873941">
              <w:t>Pertuzumab (1 × 420mg vial) = $</w:t>
            </w:r>
            <w:r w:rsidR="00471EB9" w:rsidRPr="00471EB9">
              <w:rPr>
                <w:color w:val="000000"/>
                <w:spacing w:val="53"/>
                <w:shd w:val="solid" w:color="000000" w:fill="000000"/>
                <w:fitText w:val="330" w:id="-694408188"/>
                <w14:textFill>
                  <w14:solidFill>
                    <w14:srgbClr w14:val="000000">
                      <w14:alpha w14:val="100000"/>
                    </w14:srgbClr>
                  </w14:solidFill>
                </w14:textFill>
              </w:rPr>
              <w:t>|||</w:t>
            </w:r>
            <w:r w:rsidR="00471EB9" w:rsidRPr="00471EB9">
              <w:rPr>
                <w:color w:val="000000"/>
                <w:spacing w:val="1"/>
                <w:shd w:val="solid" w:color="000000" w:fill="000000"/>
                <w:fitText w:val="330" w:id="-694408188"/>
                <w14:textFill>
                  <w14:solidFill>
                    <w14:srgbClr w14:val="000000">
                      <w14:alpha w14:val="100000"/>
                    </w14:srgbClr>
                  </w14:solidFill>
                </w14:textFill>
              </w:rPr>
              <w:t>|</w:t>
            </w:r>
            <w:r w:rsidRPr="00873941">
              <w:t xml:space="preserve"> (</w:t>
            </w:r>
            <w:r w:rsidRPr="000C5D39">
              <w:t>published</w:t>
            </w:r>
            <w:r w:rsidRPr="00873941">
              <w:t xml:space="preserve"> AEMP for </w:t>
            </w:r>
            <w:proofErr w:type="spellStart"/>
            <w:r w:rsidRPr="00873941">
              <w:t>mBC</w:t>
            </w:r>
            <w:proofErr w:type="spellEnd"/>
            <w:r w:rsidRPr="00873941">
              <w:t>).</w:t>
            </w:r>
          </w:p>
          <w:p w14:paraId="4C28501B" w14:textId="77777777" w:rsidR="006260D2" w:rsidRPr="00873941" w:rsidRDefault="006260D2">
            <w:pPr>
              <w:pStyle w:val="TableText0"/>
              <w:widowControl w:val="0"/>
              <w:rPr>
                <w:color w:val="000000" w:themeColor="text1"/>
              </w:rPr>
            </w:pPr>
          </w:p>
          <w:p w14:paraId="111BCBC6" w14:textId="77777777" w:rsidR="006260D2" w:rsidRPr="00873941" w:rsidRDefault="006260D2" w:rsidP="00174287">
            <w:pPr>
              <w:pStyle w:val="TableText0"/>
              <w:keepNext w:val="0"/>
              <w:widowControl w:val="0"/>
            </w:pPr>
            <w:r w:rsidRPr="00873941">
              <w:t>T-DM1 = $4,058.25 (published)</w:t>
            </w:r>
          </w:p>
          <w:p w14:paraId="72652D77" w14:textId="77777777" w:rsidR="006260D2" w:rsidRPr="00873941" w:rsidRDefault="006260D2" w:rsidP="00174287">
            <w:pPr>
              <w:pStyle w:val="TableText0"/>
              <w:keepNext w:val="0"/>
              <w:widowControl w:val="0"/>
            </w:pPr>
            <w:r w:rsidRPr="00873941">
              <w:t>Trastuzumab 1</w:t>
            </w:r>
            <w:r w:rsidRPr="00873941">
              <w:rPr>
                <w:vertAlign w:val="superscript"/>
              </w:rPr>
              <w:t>st</w:t>
            </w:r>
            <w:r w:rsidRPr="00873941">
              <w:t xml:space="preserve"> cycle = $464.72 (AEMP)</w:t>
            </w:r>
          </w:p>
          <w:p w14:paraId="2E8E1376" w14:textId="5172C1E8" w:rsidR="006260D2" w:rsidRPr="00873941" w:rsidRDefault="006260D2" w:rsidP="00174287">
            <w:pPr>
              <w:pStyle w:val="TableText0"/>
              <w:keepNext w:val="0"/>
              <w:widowControl w:val="0"/>
            </w:pPr>
            <w:r w:rsidRPr="00873941">
              <w:t>Trastuzumab 2-14 cycles = $414.20 (AEMP)</w:t>
            </w:r>
          </w:p>
          <w:p w14:paraId="2C9A02EC" w14:textId="77777777" w:rsidR="006260D2" w:rsidRPr="00873941" w:rsidRDefault="006260D2">
            <w:pPr>
              <w:pStyle w:val="TableText0"/>
              <w:widowControl w:val="0"/>
              <w:rPr>
                <w:color w:val="000000" w:themeColor="text1"/>
              </w:rPr>
            </w:pPr>
          </w:p>
          <w:p w14:paraId="4195F8A5" w14:textId="19E0D865" w:rsidR="006260D2" w:rsidRPr="00873941" w:rsidRDefault="006260D2">
            <w:pPr>
              <w:pStyle w:val="TableText0"/>
              <w:widowControl w:val="0"/>
              <w:rPr>
                <w:color w:val="000000" w:themeColor="text1"/>
              </w:rPr>
            </w:pPr>
            <w:r w:rsidRPr="00873941">
              <w:rPr>
                <w:color w:val="000000" w:themeColor="text1"/>
              </w:rPr>
              <w:t>The resubmission estimated that a neoadjuvant course of pertuzumab was expected to consist of 4.45 cycles of the drug for a total of 5.45 vials (420 mg) due to a loading dose of 840 mg in the first cycle</w:t>
            </w:r>
            <w:r w:rsidR="003D3150" w:rsidRPr="00873941">
              <w:rPr>
                <w:color w:val="000000" w:themeColor="text1"/>
              </w:rPr>
              <w:t>.</w:t>
            </w:r>
          </w:p>
          <w:p w14:paraId="5D091B87" w14:textId="77777777" w:rsidR="006260D2" w:rsidRPr="00873941" w:rsidRDefault="006260D2">
            <w:pPr>
              <w:pStyle w:val="TableText0"/>
              <w:widowControl w:val="0"/>
            </w:pPr>
          </w:p>
          <w:p w14:paraId="4AC885D6" w14:textId="0C7F9B0E" w:rsidR="006260D2" w:rsidRPr="00873941" w:rsidRDefault="006260D2">
            <w:pPr>
              <w:pStyle w:val="TableText0"/>
              <w:keepNext w:val="0"/>
              <w:widowControl w:val="0"/>
            </w:pPr>
            <w:r w:rsidRPr="00873941">
              <w:t>Cost data of neoadjuvant medicines, adjuvant medicines, medical services, post-progression therapies was from MBS and PBS. The assumptions regarding the utilisation of T-DM1 (</w:t>
            </w:r>
            <w:r w:rsidR="00471EB9" w:rsidRPr="00471EB9">
              <w:rPr>
                <w:color w:val="000000"/>
                <w:spacing w:val="53"/>
                <w:shd w:val="solid" w:color="000000" w:fill="000000"/>
                <w:fitText w:val="330" w:id="-694408187"/>
                <w14:textFill>
                  <w14:solidFill>
                    <w14:srgbClr w14:val="000000">
                      <w14:alpha w14:val="100000"/>
                    </w14:srgbClr>
                  </w14:solidFill>
                </w14:textFill>
              </w:rPr>
              <w:t>|||</w:t>
            </w:r>
            <w:r w:rsidR="00471EB9" w:rsidRPr="00471EB9">
              <w:rPr>
                <w:color w:val="000000"/>
                <w:spacing w:val="1"/>
                <w:shd w:val="solid" w:color="000000" w:fill="000000"/>
                <w:fitText w:val="330" w:id="-694408187"/>
                <w14:textFill>
                  <w14:solidFill>
                    <w14:srgbClr w14:val="000000">
                      <w14:alpha w14:val="100000"/>
                    </w14:srgbClr>
                  </w14:solidFill>
                </w14:textFill>
              </w:rPr>
              <w:t>|</w:t>
            </w:r>
            <w:r w:rsidRPr="00873941">
              <w:t>%) and T-</w:t>
            </w:r>
            <w:proofErr w:type="spellStart"/>
            <w:r w:rsidRPr="00873941">
              <w:t>DXd</w:t>
            </w:r>
            <w:proofErr w:type="spellEnd"/>
            <w:r w:rsidRPr="00873941">
              <w:t xml:space="preserve"> (</w:t>
            </w:r>
            <w:r w:rsidR="00471EB9">
              <w:rPr>
                <w:color w:val="000000"/>
                <w:spacing w:val="52"/>
                <w:shd w:val="solid" w:color="000000" w:fill="000000"/>
                <w:fitText w:val="330" w:id="-694408186"/>
                <w14:textFill>
                  <w14:solidFill>
                    <w14:srgbClr w14:val="000000">
                      <w14:alpha w14:val="100000"/>
                    </w14:srgbClr>
                  </w14:solidFill>
                </w14:textFill>
              </w:rPr>
              <w:t>|||</w:t>
            </w:r>
            <w:r w:rsidR="00471EB9">
              <w:rPr>
                <w:color w:val="000000"/>
                <w:spacing w:val="2"/>
                <w:shd w:val="solid" w:color="000000" w:fill="000000"/>
                <w:fitText w:val="330" w:id="-694408186"/>
                <w14:textFill>
                  <w14:solidFill>
                    <w14:srgbClr w14:val="000000">
                      <w14:alpha w14:val="100000"/>
                    </w14:srgbClr>
                  </w14:solidFill>
                </w14:textFill>
              </w:rPr>
              <w:t>|</w:t>
            </w:r>
            <w:r w:rsidRPr="00873941">
              <w:t xml:space="preserve">%) in </w:t>
            </w:r>
            <w:proofErr w:type="spellStart"/>
            <w:r w:rsidRPr="00873941">
              <w:t>mBC</w:t>
            </w:r>
            <w:proofErr w:type="spellEnd"/>
            <w:r w:rsidRPr="00873941">
              <w:t xml:space="preserve"> setting were uncertain.</w:t>
            </w:r>
          </w:p>
          <w:p w14:paraId="09C33FF5" w14:textId="77777777" w:rsidR="006260D2" w:rsidRPr="00873941" w:rsidRDefault="006260D2">
            <w:pPr>
              <w:pStyle w:val="TableText0"/>
              <w:keepNext w:val="0"/>
              <w:widowControl w:val="0"/>
            </w:pPr>
          </w:p>
          <w:p w14:paraId="22794BFC" w14:textId="45AEC9DC" w:rsidR="006260D2" w:rsidRPr="00873941" w:rsidRDefault="006260D2">
            <w:pPr>
              <w:pStyle w:val="TableText0"/>
              <w:keepNext w:val="0"/>
              <w:widowControl w:val="0"/>
            </w:pPr>
            <w:r w:rsidRPr="00873941">
              <w:t xml:space="preserve">The cost per hospitalisation and adverse event costs were based on AR-DRGs from the NHCDC National Cost Weights for AR-DRG v10.0 - Round 23 (2018-19). An updated NHCDC National Cost Weights for AR-DRG v11.0 - (2020-21) was available. </w:t>
            </w:r>
          </w:p>
        </w:tc>
      </w:tr>
    </w:tbl>
    <w:p w14:paraId="0D8AEBA3" w14:textId="0923855F" w:rsidR="006F4300" w:rsidRPr="00873941" w:rsidRDefault="006F4300" w:rsidP="006F4300">
      <w:pPr>
        <w:pStyle w:val="FooterTableFigure"/>
        <w:widowControl w:val="0"/>
      </w:pPr>
      <w:r w:rsidRPr="00873941">
        <w:t xml:space="preserve">Source: Table 3-1, p144 of the resubmission, Section 3.4.1, p57 of the resubmission and Section 3.6.1, p174 of the resubmission. </w:t>
      </w:r>
    </w:p>
    <w:p w14:paraId="257E92F3" w14:textId="602D9CA7" w:rsidR="006F4300" w:rsidRPr="00873941" w:rsidRDefault="006F4300" w:rsidP="006F4300">
      <w:pPr>
        <w:pStyle w:val="FooterTableFigure"/>
        <w:widowControl w:val="0"/>
      </w:pPr>
      <w:r w:rsidRPr="00873941">
        <w:t xml:space="preserve">ABS= Australian Bureau of Statistics; AEMP= approved ex-manufacturer price; AR-DRG= Australian refined diagnosis-related group; </w:t>
      </w:r>
      <w:proofErr w:type="spellStart"/>
      <w:r w:rsidRPr="00873941">
        <w:t>eBC</w:t>
      </w:r>
      <w:proofErr w:type="spellEnd"/>
      <w:r w:rsidRPr="00873941">
        <w:t xml:space="preserve">= early breast cancer; HER2= human epidermal growth factor receptor 2; HR = hazard ratio; ICER= incremental cost-effectiveness ratio; </w:t>
      </w:r>
      <w:proofErr w:type="spellStart"/>
      <w:r w:rsidRPr="00873941">
        <w:t>iDFS</w:t>
      </w:r>
      <w:proofErr w:type="spellEnd"/>
      <w:r w:rsidRPr="00873941">
        <w:t xml:space="preserve">= invasive disease free survival; LY= life years; </w:t>
      </w:r>
      <w:proofErr w:type="spellStart"/>
      <w:r w:rsidRPr="00873941">
        <w:t>mBC</w:t>
      </w:r>
      <w:proofErr w:type="spellEnd"/>
      <w:r w:rsidRPr="00873941">
        <w:t xml:space="preserve">= metastatic breast cancer; MBS= Medicare Benefits Schedule; mg= milligram; m= number of patients; NHCDC= National Hospital Cost Data Collection; OS= overall survival; PBS= Pharmaceutical Benefits Scheme; pCR= pathological complete response; PFS= progression-free survival; </w:t>
      </w:r>
      <w:r w:rsidR="00904DF7" w:rsidRPr="00873941">
        <w:t xml:space="preserve">P+T= pertuzumab + trastuzumab; </w:t>
      </w:r>
      <w:proofErr w:type="spellStart"/>
      <w:r w:rsidRPr="00873941">
        <w:t>P+T+Chemo</w:t>
      </w:r>
      <w:proofErr w:type="spellEnd"/>
      <w:r w:rsidRPr="00873941">
        <w:t xml:space="preserve"> = pertuzumab + trastuzumab + chemotherapy; </w:t>
      </w:r>
      <w:r w:rsidR="00904DF7" w:rsidRPr="00873941">
        <w:t xml:space="preserve">T= trastuzumab; </w:t>
      </w:r>
      <w:proofErr w:type="spellStart"/>
      <w:r w:rsidRPr="00873941">
        <w:t>T+Chemo</w:t>
      </w:r>
      <w:proofErr w:type="spellEnd"/>
      <w:r w:rsidRPr="00873941">
        <w:t xml:space="preserve"> = trastuzumab + chemotherapy; T-DM1= trastuzumab emtansine; T-</w:t>
      </w:r>
      <w:proofErr w:type="spellStart"/>
      <w:r w:rsidRPr="00873941">
        <w:t>DXd</w:t>
      </w:r>
      <w:proofErr w:type="spellEnd"/>
      <w:r w:rsidRPr="00873941">
        <w:t xml:space="preserve">= trastuzumab </w:t>
      </w:r>
      <w:proofErr w:type="spellStart"/>
      <w:r w:rsidRPr="00873941">
        <w:t>deruxtecan</w:t>
      </w:r>
      <w:proofErr w:type="spellEnd"/>
      <w:r w:rsidRPr="00873941">
        <w:t>; QALY= quality adjusted life year.</w:t>
      </w:r>
    </w:p>
    <w:p w14:paraId="1B049DE0" w14:textId="1B06A41F" w:rsidR="000574C0" w:rsidRPr="00873941" w:rsidRDefault="00BF6B42" w:rsidP="001B35D9">
      <w:pPr>
        <w:pStyle w:val="3-BodyText"/>
        <w:rPr>
          <w:color w:val="000000" w:themeColor="text1"/>
        </w:rPr>
      </w:pPr>
      <w:r w:rsidRPr="00873941">
        <w:rPr>
          <w:color w:val="000000" w:themeColor="text1"/>
        </w:rPr>
        <w:t xml:space="preserve">The structure of the model for this resubmission comprised of </w:t>
      </w:r>
      <w:r w:rsidR="00BF7531" w:rsidRPr="00873941">
        <w:rPr>
          <w:color w:val="000000" w:themeColor="text1"/>
        </w:rPr>
        <w:t>2</w:t>
      </w:r>
      <w:r w:rsidRPr="00873941">
        <w:rPr>
          <w:color w:val="000000" w:themeColor="text1"/>
        </w:rPr>
        <w:t xml:space="preserve"> phases corresponding to the neoadjuvant and adjuvant settings. </w:t>
      </w:r>
      <w:r w:rsidR="000574C0" w:rsidRPr="00873941">
        <w:rPr>
          <w:color w:val="000000" w:themeColor="text1"/>
        </w:rPr>
        <w:t xml:space="preserve">The model compared a neoadjuvant regimen that contained pertuzumab with one that did not. </w:t>
      </w:r>
      <w:r w:rsidRPr="00873941">
        <w:rPr>
          <w:color w:val="000000" w:themeColor="text1"/>
        </w:rPr>
        <w:t xml:space="preserve">The economic model assumed that patients who </w:t>
      </w:r>
      <w:r w:rsidR="006030AD" w:rsidRPr="00873941">
        <w:rPr>
          <w:color w:val="000000" w:themeColor="text1"/>
        </w:rPr>
        <w:t xml:space="preserve">did not have </w:t>
      </w:r>
      <w:proofErr w:type="spellStart"/>
      <w:r w:rsidR="00961822" w:rsidRPr="00873941">
        <w:rPr>
          <w:color w:val="000000" w:themeColor="text1"/>
        </w:rPr>
        <w:t>t</w:t>
      </w:r>
      <w:r w:rsidR="006030AD" w:rsidRPr="00873941">
        <w:rPr>
          <w:color w:val="000000" w:themeColor="text1"/>
        </w:rPr>
        <w:t>pCR</w:t>
      </w:r>
      <w:proofErr w:type="spellEnd"/>
      <w:r w:rsidR="006030AD" w:rsidRPr="00873941">
        <w:rPr>
          <w:color w:val="000000" w:themeColor="text1"/>
        </w:rPr>
        <w:t xml:space="preserve"> following neoadjuvant treatment</w:t>
      </w:r>
      <w:r w:rsidR="006030AD" w:rsidRPr="00873941" w:rsidDel="006030AD">
        <w:rPr>
          <w:color w:val="000000" w:themeColor="text1"/>
        </w:rPr>
        <w:t xml:space="preserve"> </w:t>
      </w:r>
      <w:r w:rsidRPr="00873941">
        <w:rPr>
          <w:color w:val="000000" w:themeColor="text1"/>
        </w:rPr>
        <w:t xml:space="preserve">received T-DM1 or trastuzumab in the adjuvant phase, while patients who responded to neoadjuvant treatment received trastuzumab only in the adjuvant phase. </w:t>
      </w:r>
      <w:r w:rsidR="000574C0" w:rsidRPr="00873941">
        <w:t xml:space="preserve">The </w:t>
      </w:r>
      <w:r w:rsidR="000574C0" w:rsidRPr="00873941">
        <w:lastRenderedPageBreak/>
        <w:t xml:space="preserve">improved pCR achieved using </w:t>
      </w:r>
      <w:bookmarkStart w:id="73" w:name="_Hlk185142134"/>
      <w:r w:rsidR="000574C0" w:rsidRPr="00873941">
        <w:t xml:space="preserve">neoadjuvant </w:t>
      </w:r>
      <w:proofErr w:type="spellStart"/>
      <w:r w:rsidR="000574C0" w:rsidRPr="00873941">
        <w:t>P+T+Chemo</w:t>
      </w:r>
      <w:proofErr w:type="spellEnd"/>
      <w:r w:rsidR="000574C0" w:rsidRPr="00873941">
        <w:t xml:space="preserve"> </w:t>
      </w:r>
      <w:bookmarkEnd w:id="73"/>
      <w:r w:rsidR="000574C0" w:rsidRPr="00873941">
        <w:t xml:space="preserve">was translated into reduced utilisation and cost of adjuvant T-DM1, and resulted in an improvement in </w:t>
      </w:r>
      <w:proofErr w:type="spellStart"/>
      <w:r w:rsidR="00904DF7" w:rsidRPr="00873941">
        <w:t>i</w:t>
      </w:r>
      <w:r w:rsidR="000574C0" w:rsidRPr="00873941">
        <w:t>DFS</w:t>
      </w:r>
      <w:proofErr w:type="spellEnd"/>
      <w:r w:rsidR="000574C0" w:rsidRPr="00873941">
        <w:t xml:space="preserve"> and ultimately to an improvement in life years and quality-adjusted life-years (QALYs).</w:t>
      </w:r>
    </w:p>
    <w:p w14:paraId="03D839BD" w14:textId="33DC752A" w:rsidR="006F4300" w:rsidRPr="00873941" w:rsidRDefault="006F4300" w:rsidP="00C42849">
      <w:pPr>
        <w:pStyle w:val="3-BodyText"/>
        <w:spacing w:after="240"/>
        <w:rPr>
          <w:color w:val="000000" w:themeColor="text1"/>
        </w:rPr>
      </w:pPr>
      <w:r w:rsidRPr="00873941">
        <w:rPr>
          <w:color w:val="000000" w:themeColor="text1"/>
        </w:rPr>
        <w:t>The model structure and many of the inputs for this resubmission were based on the economic model accepted by the PBAC for T-DM1 (Table 10, trastuzumab emtansine PSD, November 2019 PBAC meeting), with an additional decision tree to reflect neoadjuvant treatment attached to the front (</w:t>
      </w:r>
      <w:r w:rsidRPr="00873941">
        <w:rPr>
          <w:color w:val="000000" w:themeColor="text1"/>
        </w:rPr>
        <w:fldChar w:fldCharType="begin"/>
      </w:r>
      <w:r w:rsidRPr="00873941">
        <w:rPr>
          <w:color w:val="000000" w:themeColor="text1"/>
        </w:rPr>
        <w:instrText xml:space="preserve"> REF _Ref184732708 \h  \* MERGEFORMAT </w:instrText>
      </w:r>
      <w:r w:rsidRPr="00873941">
        <w:rPr>
          <w:color w:val="000000" w:themeColor="text1"/>
        </w:rPr>
      </w:r>
      <w:r w:rsidRPr="00873941">
        <w:rPr>
          <w:color w:val="000000" w:themeColor="text1"/>
        </w:rPr>
        <w:fldChar w:fldCharType="separate"/>
      </w:r>
      <w:r w:rsidR="000B094B" w:rsidRPr="00873941">
        <w:t xml:space="preserve">Figure </w:t>
      </w:r>
      <w:r w:rsidR="000B094B">
        <w:t>4</w:t>
      </w:r>
      <w:r w:rsidRPr="00873941">
        <w:rPr>
          <w:color w:val="000000" w:themeColor="text1"/>
        </w:rPr>
        <w:fldChar w:fldCharType="end"/>
      </w:r>
      <w:r w:rsidRPr="00873941">
        <w:rPr>
          <w:color w:val="000000" w:themeColor="text1"/>
        </w:rPr>
        <w:t xml:space="preserve">). </w:t>
      </w:r>
    </w:p>
    <w:p w14:paraId="192BC9C0" w14:textId="02CAB4BA" w:rsidR="006F4300" w:rsidRPr="00873941" w:rsidRDefault="006F4300" w:rsidP="00161B2F">
      <w:pPr>
        <w:pStyle w:val="Caption"/>
        <w:ind w:left="709"/>
      </w:pPr>
      <w:bookmarkStart w:id="74" w:name="_Ref184732708"/>
      <w:bookmarkStart w:id="75" w:name="_Ref187238994"/>
      <w:r w:rsidRPr="00873941">
        <w:t xml:space="preserve">Figure </w:t>
      </w:r>
      <w:r w:rsidR="00AC6442">
        <w:fldChar w:fldCharType="begin"/>
      </w:r>
      <w:r w:rsidR="00AC6442">
        <w:instrText xml:space="preserve"> SEQ Figure \* ARABIC </w:instrText>
      </w:r>
      <w:r w:rsidR="00AC6442">
        <w:fldChar w:fldCharType="separate"/>
      </w:r>
      <w:r w:rsidR="000B094B">
        <w:rPr>
          <w:noProof/>
        </w:rPr>
        <w:t>4</w:t>
      </w:r>
      <w:r w:rsidR="00AC6442">
        <w:fldChar w:fldCharType="end"/>
      </w:r>
      <w:bookmarkEnd w:id="74"/>
      <w:bookmarkEnd w:id="75"/>
      <w:r w:rsidRPr="00873941">
        <w:t>: Structure of the neoadjuvant phase of the economic model in this resubmission</w:t>
      </w:r>
    </w:p>
    <w:p w14:paraId="3FE7862B" w14:textId="7127183C" w:rsidR="006F4300" w:rsidRPr="00873941" w:rsidRDefault="006F4300" w:rsidP="006F4300">
      <w:pPr>
        <w:pStyle w:val="3-BodyText"/>
        <w:numPr>
          <w:ilvl w:val="0"/>
          <w:numId w:val="0"/>
        </w:numPr>
        <w:ind w:left="720"/>
        <w:rPr>
          <w:b/>
          <w:bCs/>
          <w:color w:val="000000" w:themeColor="text1"/>
        </w:rPr>
      </w:pPr>
      <w:r w:rsidRPr="00873941">
        <w:rPr>
          <w:noProof/>
        </w:rPr>
        <w:drawing>
          <wp:inline distT="0" distB="0" distL="0" distR="0" wp14:anchorId="68D1A05E" wp14:editId="72A98E33">
            <wp:extent cx="5153025" cy="1228725"/>
            <wp:effectExtent l="0" t="0" r="9525" b="9525"/>
            <wp:docPr id="1684293256" name="Picture 3" descr="Figure 4: Structure of the neoadjuvant phase of the economic model in this re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293256" name="Picture 3" descr="Figure 4: Structure of the neoadjuvant phase of the economic model in this resubmiss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3025" cy="1228725"/>
                    </a:xfrm>
                    <a:prstGeom prst="rect">
                      <a:avLst/>
                    </a:prstGeom>
                    <a:noFill/>
                    <a:ln>
                      <a:noFill/>
                    </a:ln>
                  </pic:spPr>
                </pic:pic>
              </a:graphicData>
            </a:graphic>
          </wp:inline>
        </w:drawing>
      </w:r>
    </w:p>
    <w:p w14:paraId="3012FB09" w14:textId="77777777" w:rsidR="006F4300" w:rsidRPr="00873941" w:rsidRDefault="006F4300" w:rsidP="006F4300">
      <w:pPr>
        <w:pStyle w:val="TableFigureFooter"/>
      </w:pPr>
      <w:r w:rsidRPr="00873941">
        <w:tab/>
        <w:t>Source: Figure 3-1, p142 of the resubmission.</w:t>
      </w:r>
    </w:p>
    <w:p w14:paraId="633552D2" w14:textId="77777777" w:rsidR="006F4300" w:rsidRPr="00873941" w:rsidRDefault="006F4300" w:rsidP="006F4300">
      <w:pPr>
        <w:pStyle w:val="TableFigureFooter"/>
      </w:pPr>
      <w:r w:rsidRPr="00873941">
        <w:tab/>
        <w:t>AC=anthracycline; T=trastuzumab; T-DM1=trastuzumab emtansine.</w:t>
      </w:r>
    </w:p>
    <w:p w14:paraId="0FB7383B" w14:textId="77777777" w:rsidR="006F4300" w:rsidRPr="00873941" w:rsidRDefault="006F4300" w:rsidP="006F4300">
      <w:pPr>
        <w:pStyle w:val="TableFigureFooter"/>
      </w:pPr>
      <w:r w:rsidRPr="00873941">
        <w:tab/>
        <w:t xml:space="preserve">[1] Patient enters the adjuvant phase of the model as a neoadjuvant non-responder, who receives adjuvant trastuzumab and </w:t>
      </w:r>
      <w:r w:rsidRPr="00873941">
        <w:tab/>
        <w:t>accrues the costs and outcomes of adjuvant trastuzumab accordingly.</w:t>
      </w:r>
    </w:p>
    <w:p w14:paraId="02F4DF2B" w14:textId="77777777" w:rsidR="006F4300" w:rsidRPr="00873941" w:rsidRDefault="006F4300" w:rsidP="006F4300">
      <w:pPr>
        <w:pStyle w:val="TableFigureFooter"/>
      </w:pPr>
      <w:r w:rsidRPr="00873941">
        <w:tab/>
        <w:t xml:space="preserve">[2] Patient enters the adjuvant phase of the model as a neoadjuvant non-responder, who receives adjuvant T-DM1 and accrues </w:t>
      </w:r>
      <w:r w:rsidRPr="00873941">
        <w:tab/>
        <w:t>the costs and outcomes of adjuvant T-DM1 accordingly.</w:t>
      </w:r>
    </w:p>
    <w:p w14:paraId="07221CC9" w14:textId="77777777" w:rsidR="006F4300" w:rsidRPr="00873941" w:rsidRDefault="006F4300" w:rsidP="006F4300">
      <w:pPr>
        <w:pStyle w:val="TableFigureFooter"/>
      </w:pPr>
      <w:r w:rsidRPr="00873941">
        <w:tab/>
        <w:t xml:space="preserve">[3] Patient enters the adjuvant phase of the model as a neoadjuvant responder, who receives adjuvant trastuzumab and </w:t>
      </w:r>
      <w:r w:rsidRPr="00873941">
        <w:tab/>
        <w:t>accrues the costs and outcomes of a neoadjuvant responder accordingly.</w:t>
      </w:r>
    </w:p>
    <w:p w14:paraId="42B70C49" w14:textId="58BA903C" w:rsidR="006F4300" w:rsidRPr="00873941" w:rsidRDefault="006F4300" w:rsidP="00EF13AB">
      <w:pPr>
        <w:pStyle w:val="3-BodyText"/>
        <w:rPr>
          <w:color w:val="000000" w:themeColor="text1"/>
        </w:rPr>
      </w:pPr>
      <w:r w:rsidRPr="00873941">
        <w:t xml:space="preserve">The resubmission utilised response rate data combined with an assumed </w:t>
      </w:r>
      <w:r w:rsidR="00471EB9" w:rsidRPr="00471EB9">
        <w:rPr>
          <w:color w:val="000000"/>
          <w:w w:val="62"/>
          <w:shd w:val="solid" w:color="000000" w:fill="000000"/>
          <w:fitText w:val="480" w:id="-694408185"/>
          <w14:textFill>
            <w14:solidFill>
              <w14:srgbClr w14:val="000000">
                <w14:alpha w14:val="100000"/>
              </w14:srgbClr>
            </w14:solidFill>
          </w14:textFill>
        </w:rPr>
        <w:t>|||  ||</w:t>
      </w:r>
      <w:r w:rsidR="00471EB9" w:rsidRPr="00471EB9">
        <w:rPr>
          <w:color w:val="000000"/>
          <w:spacing w:val="2"/>
          <w:w w:val="62"/>
          <w:shd w:val="solid" w:color="000000" w:fill="000000"/>
          <w:fitText w:val="480" w:id="-694408185"/>
          <w14:textFill>
            <w14:solidFill>
              <w14:srgbClr w14:val="000000">
                <w14:alpha w14:val="100000"/>
              </w14:srgbClr>
            </w14:solidFill>
          </w14:textFill>
        </w:rPr>
        <w:t>|</w:t>
      </w:r>
      <w:r w:rsidRPr="00873941">
        <w:t xml:space="preserve">% uptake rate for T-DM1 to estimate neoadjuvant treatment response and determine adjuvant treatment allocation into Markov models 1, 2 and 3 shown in </w:t>
      </w:r>
      <w:r w:rsidRPr="00873941">
        <w:fldChar w:fldCharType="begin"/>
      </w:r>
      <w:r w:rsidRPr="00873941">
        <w:instrText xml:space="preserve"> REF _Ref184732708 \h  \* MERGEFORMAT </w:instrText>
      </w:r>
      <w:r w:rsidRPr="00873941">
        <w:fldChar w:fldCharType="separate"/>
      </w:r>
      <w:r w:rsidR="000B094B" w:rsidRPr="00873941">
        <w:t xml:space="preserve">Figure </w:t>
      </w:r>
      <w:r w:rsidR="000B094B">
        <w:t>4</w:t>
      </w:r>
      <w:r w:rsidRPr="00873941">
        <w:fldChar w:fldCharType="end"/>
      </w:r>
      <w:r w:rsidRPr="00873941">
        <w:t xml:space="preserve">. </w:t>
      </w:r>
      <w:r w:rsidR="00005497" w:rsidRPr="00873941">
        <w:t xml:space="preserve">The assumption regarding the uptake of T-DM1 was uncertain. However, the ICER was not sensitive to the uptake rate of T-DM1. Assuming an uptake rate of 100% reduced the ICER from </w:t>
      </w:r>
      <w:r w:rsidR="0014253E" w:rsidRPr="0014253E">
        <w:t>$25,000 to &lt; $35,000</w:t>
      </w:r>
      <w:r w:rsidR="00C82167">
        <w:t xml:space="preserve"> </w:t>
      </w:r>
      <w:r w:rsidR="00005497" w:rsidRPr="00873941">
        <w:t xml:space="preserve">to </w:t>
      </w:r>
      <w:r w:rsidR="005961F8" w:rsidRPr="005961F8">
        <w:t>$15,000 to &lt; $25,000</w:t>
      </w:r>
      <w:r w:rsidR="00C82167">
        <w:t xml:space="preserve"> </w:t>
      </w:r>
      <w:r w:rsidR="00005497" w:rsidRPr="00873941">
        <w:t>per QALY gained.</w:t>
      </w:r>
    </w:p>
    <w:p w14:paraId="035F1F03" w14:textId="7F41D3B6" w:rsidR="006F4300" w:rsidRPr="00873941" w:rsidRDefault="006F4300" w:rsidP="0073177E">
      <w:pPr>
        <w:pStyle w:val="3-BodyText"/>
        <w:rPr>
          <w:color w:val="000000" w:themeColor="text1"/>
        </w:rPr>
      </w:pPr>
      <w:bookmarkStart w:id="76" w:name="_Ref184973529"/>
      <w:r w:rsidRPr="00873941">
        <w:t xml:space="preserve">The </w:t>
      </w:r>
      <w:r w:rsidR="00082230" w:rsidRPr="00873941">
        <w:t>resubmission</w:t>
      </w:r>
      <w:r w:rsidRPr="00873941">
        <w:t xml:space="preserve"> did not directly apply the clinical evidence in the economic model, however the economic model </w:t>
      </w:r>
      <w:r w:rsidR="00F4320B" w:rsidRPr="00873941">
        <w:t>used</w:t>
      </w:r>
      <w:r w:rsidRPr="00873941">
        <w:t>:</w:t>
      </w:r>
    </w:p>
    <w:p w14:paraId="733559C1" w14:textId="3709279C" w:rsidR="006F4300" w:rsidRPr="00873941" w:rsidRDefault="00684E11" w:rsidP="00C37360">
      <w:pPr>
        <w:pStyle w:val="ListParagraph"/>
        <w:numPr>
          <w:ilvl w:val="0"/>
          <w:numId w:val="10"/>
        </w:numPr>
        <w:snapToGrid w:val="0"/>
        <w:ind w:left="714" w:hanging="357"/>
        <w:jc w:val="both"/>
        <w:rPr>
          <w:color w:val="000000" w:themeColor="text1"/>
        </w:rPr>
      </w:pPr>
      <w:r w:rsidRPr="00873941">
        <w:rPr>
          <w:color w:val="000000" w:themeColor="text1"/>
        </w:rPr>
        <w:t xml:space="preserve">The </w:t>
      </w:r>
      <w:r w:rsidR="006F4300" w:rsidRPr="00873941">
        <w:rPr>
          <w:color w:val="000000" w:themeColor="text1"/>
        </w:rPr>
        <w:t xml:space="preserve">rate of neoadjuvant response (pCR) from a meta-analysis </w:t>
      </w:r>
      <w:r w:rsidRPr="00873941">
        <w:rPr>
          <w:color w:val="000000" w:themeColor="text1"/>
        </w:rPr>
        <w:t xml:space="preserve">of neoadjuvant regimens containing anthracycline chemotherapy </w:t>
      </w:r>
      <w:r w:rsidR="006F4300" w:rsidRPr="00873941">
        <w:rPr>
          <w:color w:val="000000" w:themeColor="text1"/>
        </w:rPr>
        <w:t>(</w:t>
      </w:r>
      <w:r w:rsidR="00F8312A" w:rsidRPr="00873941">
        <w:rPr>
          <w:color w:val="000000" w:themeColor="text1"/>
        </w:rPr>
        <w:t>consisting of</w:t>
      </w:r>
      <w:r w:rsidR="006F4300" w:rsidRPr="00873941">
        <w:rPr>
          <w:color w:val="000000" w:themeColor="text1"/>
        </w:rPr>
        <w:t xml:space="preserve"> 14 observational studies and the I-SPY</w:t>
      </w:r>
      <w:r w:rsidR="00BF7531" w:rsidRPr="00873941">
        <w:rPr>
          <w:color w:val="000000" w:themeColor="text1"/>
        </w:rPr>
        <w:t>2</w:t>
      </w:r>
      <w:r w:rsidR="006F4300" w:rsidRPr="00873941">
        <w:rPr>
          <w:color w:val="000000" w:themeColor="text1"/>
        </w:rPr>
        <w:t xml:space="preserve"> trial) (</w:t>
      </w:r>
      <w:r w:rsidR="00EF38E5" w:rsidRPr="00873941">
        <w:rPr>
          <w:color w:val="000000" w:themeColor="text1"/>
        </w:rPr>
        <w:fldChar w:fldCharType="begin"/>
      </w:r>
      <w:r w:rsidR="00EF38E5" w:rsidRPr="00873941">
        <w:rPr>
          <w:color w:val="000000" w:themeColor="text1"/>
        </w:rPr>
        <w:instrText xml:space="preserve"> REF _Ref184770041 \h </w:instrText>
      </w:r>
      <w:r w:rsidR="009A2102" w:rsidRPr="00873941">
        <w:rPr>
          <w:color w:val="000000" w:themeColor="text1"/>
        </w:rPr>
        <w:instrText xml:space="preserve"> \* MERGEFORMAT </w:instrText>
      </w:r>
      <w:r w:rsidR="00EF38E5" w:rsidRPr="00873941">
        <w:rPr>
          <w:color w:val="000000" w:themeColor="text1"/>
        </w:rPr>
      </w:r>
      <w:r w:rsidR="00EF38E5" w:rsidRPr="00873941">
        <w:rPr>
          <w:color w:val="000000" w:themeColor="text1"/>
        </w:rPr>
        <w:fldChar w:fldCharType="separate"/>
      </w:r>
      <w:r w:rsidR="000B094B">
        <w:rPr>
          <w:b/>
          <w:bCs/>
          <w:color w:val="000000" w:themeColor="text1"/>
          <w:lang w:val="en-US"/>
        </w:rPr>
        <w:t>Error! Reference source not found.</w:t>
      </w:r>
      <w:r w:rsidR="00EF38E5" w:rsidRPr="00873941">
        <w:rPr>
          <w:color w:val="000000" w:themeColor="text1"/>
        </w:rPr>
        <w:fldChar w:fldCharType="end"/>
      </w:r>
      <w:r w:rsidR="006F4300" w:rsidRPr="00873941">
        <w:rPr>
          <w:color w:val="000000" w:themeColor="text1"/>
        </w:rPr>
        <w:t>)</w:t>
      </w:r>
      <w:r w:rsidRPr="00873941">
        <w:rPr>
          <w:color w:val="000000" w:themeColor="text1"/>
        </w:rPr>
        <w:t xml:space="preserve">. </w:t>
      </w:r>
      <w:r w:rsidR="00325999" w:rsidRPr="00873941">
        <w:rPr>
          <w:color w:val="000000" w:themeColor="text1"/>
        </w:rPr>
        <w:t xml:space="preserve">Using the NEOSPHERE trial pCR rate (P+T+ Chemo= 39.3% and T+ Chemo= 21.5%) reduced the incremental cost-effectiveness ratio (ICER) from </w:t>
      </w:r>
      <w:r w:rsidR="0014253E" w:rsidRPr="0014253E">
        <w:rPr>
          <w:color w:val="000000" w:themeColor="text1"/>
        </w:rPr>
        <w:t>$25,000 to &lt; $35,000</w:t>
      </w:r>
      <w:r w:rsidR="0014253E" w:rsidRPr="0014253E" w:rsidDel="0014253E">
        <w:rPr>
          <w:color w:val="000000" w:themeColor="text1"/>
        </w:rPr>
        <w:t xml:space="preserve"> </w:t>
      </w:r>
      <w:r w:rsidR="00325999" w:rsidRPr="00873941">
        <w:rPr>
          <w:color w:val="000000" w:themeColor="text1"/>
        </w:rPr>
        <w:t xml:space="preserve">(base case) to </w:t>
      </w:r>
      <w:r w:rsidR="005961F8" w:rsidRPr="005961F8">
        <w:rPr>
          <w:color w:val="000000" w:themeColor="text1"/>
        </w:rPr>
        <w:t>$15,000 to &lt; $25,000</w:t>
      </w:r>
      <w:r w:rsidR="00325999" w:rsidRPr="00873941">
        <w:rPr>
          <w:color w:val="000000" w:themeColor="text1"/>
        </w:rPr>
        <w:t xml:space="preserve">/QALY gained. </w:t>
      </w:r>
      <w:r w:rsidR="004D1256" w:rsidRPr="00873941">
        <w:rPr>
          <w:color w:val="000000" w:themeColor="text1"/>
        </w:rPr>
        <w:t>The ICER was not sensitive to the</w:t>
      </w:r>
      <w:r w:rsidR="004D1256">
        <w:rPr>
          <w:color w:val="000000" w:themeColor="text1"/>
        </w:rPr>
        <w:t xml:space="preserve"> source of</w:t>
      </w:r>
      <w:r w:rsidR="004D1256" w:rsidRPr="00873941">
        <w:rPr>
          <w:color w:val="000000" w:themeColor="text1"/>
        </w:rPr>
        <w:t xml:space="preserve"> response rates</w:t>
      </w:r>
      <w:r w:rsidR="004D1256">
        <w:rPr>
          <w:color w:val="000000" w:themeColor="text1"/>
        </w:rPr>
        <w:t xml:space="preserve">, however the pre-PBAC response noted that it was sensitive to the difference in response rate compared to </w:t>
      </w:r>
      <w:proofErr w:type="spellStart"/>
      <w:r w:rsidR="004D1256">
        <w:rPr>
          <w:color w:val="000000" w:themeColor="text1"/>
        </w:rPr>
        <w:t>T+Chemo</w:t>
      </w:r>
      <w:proofErr w:type="spellEnd"/>
      <w:r w:rsidR="004D1256" w:rsidRPr="00873941">
        <w:rPr>
          <w:color w:val="000000" w:themeColor="text1"/>
        </w:rPr>
        <w:t>.</w:t>
      </w:r>
    </w:p>
    <w:p w14:paraId="60C12CA2" w14:textId="682C6104" w:rsidR="006F4300" w:rsidRPr="00873941" w:rsidRDefault="00684E11" w:rsidP="00C37360">
      <w:pPr>
        <w:pStyle w:val="ListParagraph"/>
        <w:numPr>
          <w:ilvl w:val="0"/>
          <w:numId w:val="10"/>
        </w:numPr>
        <w:snapToGrid w:val="0"/>
        <w:ind w:left="714" w:hanging="357"/>
        <w:jc w:val="both"/>
        <w:rPr>
          <w:i/>
          <w:iCs/>
          <w:color w:val="000000" w:themeColor="text1"/>
        </w:rPr>
      </w:pPr>
      <w:r w:rsidRPr="00873941">
        <w:t>T</w:t>
      </w:r>
      <w:r w:rsidR="006F4300" w:rsidRPr="00873941">
        <w:t xml:space="preserve">he hazard ratio from Swain (2022) (HR= 0.35) to estimate disease recurrence for participants achieving pCR following neoadjuvant treatment. Swain (2022) </w:t>
      </w:r>
      <w:r w:rsidRPr="00873941">
        <w:t xml:space="preserve">pooled pCR and EFS data from </w:t>
      </w:r>
      <w:r w:rsidR="006F4300" w:rsidRPr="00873941">
        <w:t xml:space="preserve">the NEOSPHERE, TRYPHAENA, BERENICE, </w:t>
      </w:r>
      <w:proofErr w:type="spellStart"/>
      <w:r w:rsidR="006F4300" w:rsidRPr="00873941">
        <w:t>HannaH</w:t>
      </w:r>
      <w:proofErr w:type="spellEnd"/>
      <w:r w:rsidR="006F4300" w:rsidRPr="00873941">
        <w:t xml:space="preserve">, and KRISTINE trials. </w:t>
      </w:r>
      <w:r w:rsidR="006F4300" w:rsidRPr="00873941">
        <w:rPr>
          <w:color w:val="000000" w:themeColor="text1"/>
        </w:rPr>
        <w:t xml:space="preserve">This was </w:t>
      </w:r>
      <w:r w:rsidR="00F8312A" w:rsidRPr="00873941">
        <w:rPr>
          <w:color w:val="000000" w:themeColor="text1"/>
        </w:rPr>
        <w:t>reasonable;</w:t>
      </w:r>
      <w:r w:rsidR="006F4300" w:rsidRPr="00873941">
        <w:rPr>
          <w:color w:val="000000" w:themeColor="text1"/>
        </w:rPr>
        <w:t xml:space="preserve"> however, it introduced uncertainty (see para. </w:t>
      </w:r>
      <w:r w:rsidR="006F4300" w:rsidRPr="00873941">
        <w:fldChar w:fldCharType="begin"/>
      </w:r>
      <w:r w:rsidR="006F4300" w:rsidRPr="00873941">
        <w:rPr>
          <w:color w:val="000000" w:themeColor="text1"/>
        </w:rPr>
        <w:instrText xml:space="preserve"> REF _Ref184846824 \r \h  \* MERGEFORMAT </w:instrText>
      </w:r>
      <w:r w:rsidR="006F4300" w:rsidRPr="00873941">
        <w:fldChar w:fldCharType="separate"/>
      </w:r>
      <w:r w:rsidR="000B094B">
        <w:rPr>
          <w:color w:val="000000" w:themeColor="text1"/>
        </w:rPr>
        <w:t>6.23</w:t>
      </w:r>
      <w:r w:rsidR="006F4300" w:rsidRPr="00873941">
        <w:fldChar w:fldCharType="end"/>
      </w:r>
      <w:r w:rsidR="006F4300" w:rsidRPr="00873941">
        <w:rPr>
          <w:color w:val="000000" w:themeColor="text1"/>
        </w:rPr>
        <w:t xml:space="preserve">). The </w:t>
      </w:r>
      <w:r w:rsidR="006F4300" w:rsidRPr="00873941">
        <w:rPr>
          <w:color w:val="000000" w:themeColor="text1"/>
        </w:rPr>
        <w:lastRenderedPageBreak/>
        <w:t xml:space="preserve">ICER was sensitive to the hazard ratio. </w:t>
      </w:r>
      <w:r w:rsidR="006F4300" w:rsidRPr="00873941">
        <w:t>Increasing the hazard ratio to 0.4</w:t>
      </w:r>
      <w:r w:rsidR="000D67D3" w:rsidRPr="00873941">
        <w:t>6</w:t>
      </w:r>
      <w:r w:rsidR="006F4300" w:rsidRPr="00873941">
        <w:t xml:space="preserve"> [Swain (2022) upper 95% CI] increased the ICER from </w:t>
      </w:r>
      <w:r w:rsidR="007178B9" w:rsidRPr="007178B9">
        <w:t xml:space="preserve">$25,000 to &lt; $35,000 </w:t>
      </w:r>
      <w:r w:rsidR="006F4300" w:rsidRPr="00873941">
        <w:t xml:space="preserve">(base case) to </w:t>
      </w:r>
      <w:r w:rsidR="000A3C7C" w:rsidRPr="000A3C7C">
        <w:t>$45,000 to &lt; $55,000</w:t>
      </w:r>
      <w:r w:rsidR="006F4300" w:rsidRPr="00873941">
        <w:t>/QALY gained.</w:t>
      </w:r>
      <w:bookmarkEnd w:id="76"/>
      <w:r w:rsidR="006030AD" w:rsidRPr="00873941">
        <w:t xml:space="preserve"> </w:t>
      </w:r>
      <w:r w:rsidR="006260D2" w:rsidRPr="00873941">
        <w:t xml:space="preserve">Furthermore, using HR= 0.54 from the NEOSPHERE trial </w:t>
      </w:r>
      <w:r w:rsidR="00C63292" w:rsidRPr="00873941">
        <w:t>(</w:t>
      </w:r>
      <w:r w:rsidR="00C63292" w:rsidRPr="00873941">
        <w:fldChar w:fldCharType="begin"/>
      </w:r>
      <w:r w:rsidR="00C63292" w:rsidRPr="00873941">
        <w:instrText xml:space="preserve"> REF _Ref187425350 \h </w:instrText>
      </w:r>
      <w:r w:rsidR="00961822" w:rsidRPr="00873941">
        <w:instrText xml:space="preserve"> \* MERGEFORMAT </w:instrText>
      </w:r>
      <w:r w:rsidR="00C63292" w:rsidRPr="00873941">
        <w:fldChar w:fldCharType="separate"/>
      </w:r>
      <w:r w:rsidR="000B094B" w:rsidRPr="00873941">
        <w:t xml:space="preserve">Table </w:t>
      </w:r>
      <w:r w:rsidR="000B094B">
        <w:t>9</w:t>
      </w:r>
      <w:r w:rsidR="00C63292" w:rsidRPr="00873941">
        <w:fldChar w:fldCharType="end"/>
      </w:r>
      <w:r w:rsidR="00C63292" w:rsidRPr="00873941">
        <w:t xml:space="preserve">) </w:t>
      </w:r>
      <w:r w:rsidR="006260D2" w:rsidRPr="00873941">
        <w:t xml:space="preserve">increased the ICER from </w:t>
      </w:r>
      <w:r w:rsidR="007178B9" w:rsidRPr="007178B9">
        <w:t xml:space="preserve">$25,000 to &lt; $35,000 </w:t>
      </w:r>
      <w:r w:rsidR="006260D2" w:rsidRPr="00873941">
        <w:t xml:space="preserve">to </w:t>
      </w:r>
      <w:r w:rsidR="00000576" w:rsidRPr="00000576">
        <w:t xml:space="preserve">$95,000 to &lt; $115,000 </w:t>
      </w:r>
      <w:r w:rsidR="006260D2" w:rsidRPr="00873941">
        <w:t>(</w:t>
      </w:r>
      <w:r w:rsidR="00471EB9" w:rsidRPr="005F7B87">
        <w:rPr>
          <w:color w:val="000000"/>
          <w:w w:val="62"/>
          <w:shd w:val="solid" w:color="000000" w:fill="000000"/>
          <w:fitText w:val="480" w:id="-694408184"/>
          <w14:textFill>
            <w14:solidFill>
              <w14:srgbClr w14:val="000000">
                <w14:alpha w14:val="100000"/>
              </w14:srgbClr>
            </w14:solidFill>
          </w14:textFill>
        </w:rPr>
        <w:t>|||  ||</w:t>
      </w:r>
      <w:r w:rsidR="00471EB9" w:rsidRPr="005F7B87">
        <w:rPr>
          <w:color w:val="000000"/>
          <w:spacing w:val="2"/>
          <w:w w:val="62"/>
          <w:shd w:val="solid" w:color="000000" w:fill="000000"/>
          <w:fitText w:val="480" w:id="-694408184"/>
          <w14:textFill>
            <w14:solidFill>
              <w14:srgbClr w14:val="000000">
                <w14:alpha w14:val="100000"/>
              </w14:srgbClr>
            </w14:solidFill>
          </w14:textFill>
        </w:rPr>
        <w:t>|</w:t>
      </w:r>
      <w:r w:rsidR="006260D2" w:rsidRPr="00873941">
        <w:t>% increase)</w:t>
      </w:r>
      <w:r w:rsidR="003054CB" w:rsidRPr="00873941">
        <w:t xml:space="preserve"> per QALY gained</w:t>
      </w:r>
      <w:r w:rsidR="006260D2" w:rsidRPr="00873941">
        <w:t>.</w:t>
      </w:r>
      <w:r w:rsidR="00695780" w:rsidRPr="00B66841">
        <w:t xml:space="preserve"> The</w:t>
      </w:r>
      <w:r w:rsidR="001D5E70" w:rsidRPr="001D5E70">
        <w:rPr>
          <w:rFonts w:ascii="Calibri" w:hAnsi="Calibri"/>
          <w:snapToGrid/>
          <w:color w:val="000000" w:themeColor="text1"/>
        </w:rPr>
        <w:t xml:space="preserve"> </w:t>
      </w:r>
      <w:r w:rsidR="001D5E70" w:rsidRPr="001D5E70">
        <w:t>Pre-Sub-Committee Response</w:t>
      </w:r>
      <w:r w:rsidR="00695780" w:rsidRPr="00B66841">
        <w:t xml:space="preserve"> </w:t>
      </w:r>
      <w:r w:rsidR="001D5E70">
        <w:t>(</w:t>
      </w:r>
      <w:r w:rsidR="00695780" w:rsidRPr="00B66841">
        <w:t>PSCR</w:t>
      </w:r>
      <w:r w:rsidR="00AE2246" w:rsidRPr="00B66841">
        <w:t xml:space="preserve">) </w:t>
      </w:r>
      <w:r w:rsidR="00695780" w:rsidRPr="00B66841">
        <w:t xml:space="preserve">noted that </w:t>
      </w:r>
      <w:r w:rsidR="007E67AE" w:rsidRPr="00B66841">
        <w:t>sensitivity of the model to this value was reasonable given that the reduced risk of disease recurrence is the on</w:t>
      </w:r>
      <w:r w:rsidR="00244FD2" w:rsidRPr="00B66841">
        <w:t>l</w:t>
      </w:r>
      <w:r w:rsidR="007E67AE" w:rsidRPr="00B66841">
        <w:t xml:space="preserve">y </w:t>
      </w:r>
      <w:r w:rsidR="00244FD2" w:rsidRPr="00B66841">
        <w:t>ben</w:t>
      </w:r>
      <w:r w:rsidR="007E67AE" w:rsidRPr="00B66841">
        <w:t xml:space="preserve">efit </w:t>
      </w:r>
      <w:r w:rsidR="00191AC4" w:rsidRPr="00B66841">
        <w:t xml:space="preserve">from achieving pCR </w:t>
      </w:r>
      <w:r w:rsidR="00244FD2" w:rsidRPr="00B66841">
        <w:t>included in the model,</w:t>
      </w:r>
      <w:r w:rsidR="00191AC4" w:rsidRPr="00B66841">
        <w:t xml:space="preserve"> </w:t>
      </w:r>
      <w:r w:rsidR="00735FEC" w:rsidRPr="00B66841">
        <w:t>which does not capture</w:t>
      </w:r>
      <w:r w:rsidR="00E10443" w:rsidRPr="00B66841">
        <w:t xml:space="preserve"> other goals of neoadjuvant therapy (</w:t>
      </w:r>
      <w:r w:rsidR="00AE2246" w:rsidRPr="00B66841">
        <w:t xml:space="preserve">improving tumour </w:t>
      </w:r>
      <w:proofErr w:type="spellStart"/>
      <w:r w:rsidR="00AE2246" w:rsidRPr="00B66841">
        <w:t>resectability</w:t>
      </w:r>
      <w:proofErr w:type="spellEnd"/>
      <w:r w:rsidR="00AE2246" w:rsidRPr="00B66841">
        <w:t xml:space="preserve"> and the feasibility of breast-conserving surgery, decreasing surgical morbidity and extent of surgery, and allowing individualised adjuvant therapy options)</w:t>
      </w:r>
      <w:r w:rsidR="00191AC4" w:rsidRPr="00B66841">
        <w:t>.</w:t>
      </w:r>
      <w:r w:rsidR="004B1E2C">
        <w:t xml:space="preserve"> The pre-PBAC response also noted that </w:t>
      </w:r>
      <w:r w:rsidR="00CD5B4A">
        <w:t xml:space="preserve">use of HRs from the upper 95% CI </w:t>
      </w:r>
      <w:r w:rsidR="002B2A73">
        <w:t xml:space="preserve">from Swain (2022) </w:t>
      </w:r>
      <w:r w:rsidR="00CD5B4A">
        <w:t xml:space="preserve">and from NEOSPHERE represent the most pessimistic </w:t>
      </w:r>
      <w:r w:rsidR="002B2A73">
        <w:t>case (the lowest likely surrogacy relationship)</w:t>
      </w:r>
      <w:r w:rsidR="002E5D71">
        <w:t>.</w:t>
      </w:r>
    </w:p>
    <w:p w14:paraId="6DDA35DD" w14:textId="7087D2B7" w:rsidR="006F4300" w:rsidRPr="00873941" w:rsidRDefault="006F4300" w:rsidP="0073177E">
      <w:pPr>
        <w:pStyle w:val="3-BodyText"/>
        <w:rPr>
          <w:color w:val="000000" w:themeColor="text1"/>
        </w:rPr>
      </w:pPr>
      <w:bookmarkStart w:id="77" w:name="_Ref184897686"/>
      <w:r w:rsidRPr="00873941">
        <w:rPr>
          <w:color w:val="000000" w:themeColor="text1"/>
        </w:rPr>
        <w:t xml:space="preserve">Extrapolation of </w:t>
      </w:r>
      <w:proofErr w:type="spellStart"/>
      <w:r w:rsidRPr="00873941">
        <w:rPr>
          <w:color w:val="000000" w:themeColor="text1"/>
        </w:rPr>
        <w:t>iDFS</w:t>
      </w:r>
      <w:proofErr w:type="spellEnd"/>
      <w:r w:rsidRPr="00873941">
        <w:rPr>
          <w:color w:val="000000" w:themeColor="text1"/>
        </w:rPr>
        <w:t xml:space="preserve"> was conducted in 3 stages: first, parametric extrapolation of Kaplan-Meier data observed in the KATHERINE trial, then application of a time limited treatment effect to </w:t>
      </w:r>
      <w:proofErr w:type="spellStart"/>
      <w:r w:rsidRPr="00873941">
        <w:rPr>
          <w:color w:val="000000" w:themeColor="text1"/>
        </w:rPr>
        <w:t>iDFS</w:t>
      </w:r>
      <w:proofErr w:type="spellEnd"/>
      <w:r w:rsidRPr="00873941">
        <w:rPr>
          <w:color w:val="000000" w:themeColor="text1"/>
        </w:rPr>
        <w:t xml:space="preserve">, and finally, application of a sustained remission adjustment (cure fraction) for a proportion of patients remaining in the </w:t>
      </w:r>
      <w:proofErr w:type="spellStart"/>
      <w:r w:rsidRPr="00873941">
        <w:rPr>
          <w:color w:val="000000" w:themeColor="text1"/>
        </w:rPr>
        <w:t>iDFS</w:t>
      </w:r>
      <w:proofErr w:type="spellEnd"/>
      <w:r w:rsidRPr="00873941">
        <w:rPr>
          <w:color w:val="000000" w:themeColor="text1"/>
        </w:rPr>
        <w:t xml:space="preserve"> health state. </w:t>
      </w:r>
      <w:bookmarkEnd w:id="77"/>
    </w:p>
    <w:p w14:paraId="67515884" w14:textId="747EA12D" w:rsidR="006F4300" w:rsidRPr="00873941" w:rsidRDefault="006F4300" w:rsidP="0073177E">
      <w:pPr>
        <w:pStyle w:val="3-BodyText"/>
        <w:rPr>
          <w:i/>
          <w:iCs/>
          <w:color w:val="000000" w:themeColor="text1"/>
        </w:rPr>
      </w:pPr>
      <w:r w:rsidRPr="00873941">
        <w:rPr>
          <w:color w:val="000000" w:themeColor="text1"/>
        </w:rPr>
        <w:t xml:space="preserve">The resubmission extrapolated the treatment effect to 7 years, with linear convergence to an </w:t>
      </w:r>
      <w:proofErr w:type="spellStart"/>
      <w:r w:rsidRPr="00873941">
        <w:rPr>
          <w:color w:val="000000" w:themeColor="text1"/>
        </w:rPr>
        <w:t>iDFS</w:t>
      </w:r>
      <w:proofErr w:type="spellEnd"/>
      <w:r w:rsidRPr="00873941">
        <w:rPr>
          <w:color w:val="000000" w:themeColor="text1"/>
        </w:rPr>
        <w:t xml:space="preserve"> HR of 1 (treatment effect null) over 3 years (until Year 10).</w:t>
      </w:r>
      <w:r w:rsidR="00FA3CE6">
        <w:rPr>
          <w:color w:val="000000" w:themeColor="text1"/>
        </w:rPr>
        <w:t xml:space="preserve"> </w:t>
      </w:r>
      <w:r w:rsidRPr="00873941">
        <w:rPr>
          <w:color w:val="000000" w:themeColor="text1"/>
        </w:rPr>
        <w:t>The choice of 10 years was based on the HERA (n=5,102) and the BCIRG-006 (n=3,222) trials. The assumptions regarding treatment effects were uncertain, but they had minimal impact on the ICER.</w:t>
      </w:r>
      <w:r w:rsidRPr="00873941">
        <w:rPr>
          <w:i/>
          <w:iCs/>
          <w:color w:val="000000" w:themeColor="text1"/>
        </w:rPr>
        <w:t xml:space="preserve"> </w:t>
      </w:r>
    </w:p>
    <w:p w14:paraId="0555CB34" w14:textId="4F633BC1" w:rsidR="00BF7531" w:rsidRPr="00873941" w:rsidRDefault="006F4300" w:rsidP="0073177E">
      <w:pPr>
        <w:pStyle w:val="3-BodyText"/>
        <w:rPr>
          <w:color w:val="000000" w:themeColor="text1"/>
        </w:rPr>
      </w:pPr>
      <w:bookmarkStart w:id="78" w:name="_Ref185257912"/>
      <w:r w:rsidRPr="00873941">
        <w:rPr>
          <w:color w:val="000000" w:themeColor="text1"/>
        </w:rPr>
        <w:t>The resubmission also applied a</w:t>
      </w:r>
      <w:r w:rsidRPr="00873941">
        <w:t xml:space="preserve"> sustained remission adjustment (cure fraction) from the median follow-up of the KATHERINE trial</w:t>
      </w:r>
      <w:r w:rsidR="00626EA3" w:rsidRPr="00873941">
        <w:t xml:space="preserve"> </w:t>
      </w:r>
      <w:r w:rsidR="00626EA3" w:rsidRPr="00873941">
        <w:rPr>
          <w:color w:val="000000" w:themeColor="text1"/>
        </w:rPr>
        <w:t>(42 months or 3.5 years)</w:t>
      </w:r>
      <w:r w:rsidRPr="00873941">
        <w:t xml:space="preserve">, increasing to 95% at </w:t>
      </w:r>
      <w:r w:rsidR="00626EA3" w:rsidRPr="00873941">
        <w:t xml:space="preserve">10 </w:t>
      </w:r>
      <w:r w:rsidRPr="00873941">
        <w:t xml:space="preserve">years. </w:t>
      </w:r>
      <w:r w:rsidR="00AB5E27" w:rsidRPr="00873941">
        <w:t>Th</w:t>
      </w:r>
      <w:r w:rsidR="00E71DD2" w:rsidRPr="00873941">
        <w:t>e resubmission stated th</w:t>
      </w:r>
      <w:r w:rsidR="00AB5E27" w:rsidRPr="00873941">
        <w:t xml:space="preserve">is </w:t>
      </w:r>
      <w:r w:rsidRPr="00873941">
        <w:t>correction was made to the economic model to account for the time-limited effect of a treatment. However, this correction led to unrealistic survival curves that didn't match the observed patterns in clinical trials. The issue stems from the model's incorrect assumption of a constant or increasing risk of recurrence while the actual risk decreases over time for patients on the treatment.</w:t>
      </w:r>
      <w:r w:rsidRPr="00873941">
        <w:rPr>
          <w:color w:val="000000" w:themeColor="text1"/>
        </w:rPr>
        <w:t xml:space="preserve"> </w:t>
      </w:r>
    </w:p>
    <w:p w14:paraId="36BDBC43" w14:textId="0E3DFB62" w:rsidR="006F4300" w:rsidRPr="00873941" w:rsidRDefault="00AB5E27" w:rsidP="0073177E">
      <w:pPr>
        <w:pStyle w:val="3-BodyText"/>
        <w:rPr>
          <w:color w:val="000000" w:themeColor="text1"/>
        </w:rPr>
      </w:pPr>
      <w:r w:rsidRPr="00873941">
        <w:t xml:space="preserve">The PBAC previously considered a sustained remission adjustment in the T-DM1 submission (Table 11, para. 6.30, trastuzumab emtansine PSD, November 2019 PBAC meeting). While the rationale for the adjustment in the recurrence rate was reasonable, the adjustment applied was uncertain. The resubmission did not present data to support the assumption that the change in the recurrence rate over time for patients treated with T-DM1 or pertuzumab was at least as low (if not lower) as that observed with trastuzumab. </w:t>
      </w:r>
      <w:r w:rsidR="00650DD7" w:rsidRPr="00B66841">
        <w:t>The ESC noted that the sustained remission rate of 95% was consistent with the T-DM1 model, and recalled it previously considered it was reasonable to assume some degree of sustained remission, though 95% was optimistic (para 6.35 trastuzumab emtansine PSD, November 2019 PBAC meeting).</w:t>
      </w:r>
      <w:r w:rsidR="00650DD7" w:rsidRPr="00873941">
        <w:rPr>
          <w:i/>
          <w:iCs/>
        </w:rPr>
        <w:t xml:space="preserve"> </w:t>
      </w:r>
      <w:r w:rsidRPr="00873941">
        <w:t>The sustained remission effect was a key driver of the ICER.</w:t>
      </w:r>
      <w:r w:rsidR="00BF7531" w:rsidRPr="00873941">
        <w:t xml:space="preserve"> Reducing the maximum </w:t>
      </w:r>
      <w:r w:rsidR="00BF7531" w:rsidRPr="00873941">
        <w:lastRenderedPageBreak/>
        <w:t xml:space="preserve">proportion of patients achieving sustained remission to 50% from 95% reduced the ICER/QALY gained to </w:t>
      </w:r>
      <w:r w:rsidR="005F6308" w:rsidRPr="005F6308">
        <w:t xml:space="preserve">$5,000 to &lt; $15,000 </w:t>
      </w:r>
      <w:r w:rsidR="00BF7531" w:rsidRPr="00873941">
        <w:t xml:space="preserve">from </w:t>
      </w:r>
      <w:r w:rsidR="00E84EE5" w:rsidRPr="00E84EE5">
        <w:t>$25,000 to &lt; $35,000</w:t>
      </w:r>
      <w:r w:rsidR="00E84EE5" w:rsidRPr="00E84EE5" w:rsidDel="00E84EE5">
        <w:t xml:space="preserve"> </w:t>
      </w:r>
      <w:r w:rsidR="00BF7531" w:rsidRPr="00873941">
        <w:t>(base case).</w:t>
      </w:r>
      <w:bookmarkEnd w:id="78"/>
      <w:r w:rsidR="00FA3CE6">
        <w:t xml:space="preserve"> </w:t>
      </w:r>
    </w:p>
    <w:p w14:paraId="27EC16EE" w14:textId="77777777" w:rsidR="006F4300" w:rsidRPr="00873941" w:rsidRDefault="006F4300" w:rsidP="0073177E">
      <w:pPr>
        <w:pStyle w:val="3-BodyText"/>
        <w:rPr>
          <w:color w:val="000000" w:themeColor="text1"/>
        </w:rPr>
      </w:pPr>
      <w:r w:rsidRPr="00873941">
        <w:rPr>
          <w:color w:val="000000" w:themeColor="text1"/>
        </w:rPr>
        <w:t xml:space="preserve">The model distributed </w:t>
      </w:r>
      <w:proofErr w:type="spellStart"/>
      <w:r w:rsidRPr="00873941">
        <w:rPr>
          <w:color w:val="000000" w:themeColor="text1"/>
        </w:rPr>
        <w:t>iDFS</w:t>
      </w:r>
      <w:proofErr w:type="spellEnd"/>
      <w:r w:rsidRPr="00873941">
        <w:rPr>
          <w:color w:val="000000" w:themeColor="text1"/>
        </w:rPr>
        <w:t xml:space="preserve"> events as either a distant recurrence or a locoregional/contralateral recurrence to inform health state destinations upon the recurrence event. The distributions for the neoadjuvant non-responders were based on the KATHERINE trial for the patients treated with T-DM1 and trastuzumab. The resubmission assumed that the distribution for neoadjuvant responders would be the same as for T-DM1 treated participants in the KATHERINE trial. This was reasonable. </w:t>
      </w:r>
    </w:p>
    <w:p w14:paraId="273871F8" w14:textId="36EDF465" w:rsidR="006F4300" w:rsidRPr="00873941" w:rsidRDefault="006F4300" w:rsidP="0073177E">
      <w:pPr>
        <w:pStyle w:val="3-BodyText"/>
        <w:rPr>
          <w:color w:val="000000" w:themeColor="text1"/>
        </w:rPr>
      </w:pPr>
      <w:r w:rsidRPr="00873941">
        <w:rPr>
          <w:color w:val="000000" w:themeColor="text1"/>
        </w:rPr>
        <w:t xml:space="preserve">The resubmission subdivided both </w:t>
      </w:r>
      <w:proofErr w:type="spellStart"/>
      <w:r w:rsidRPr="00873941">
        <w:rPr>
          <w:color w:val="000000" w:themeColor="text1"/>
        </w:rPr>
        <w:t>mBC</w:t>
      </w:r>
      <w:proofErr w:type="spellEnd"/>
      <w:r w:rsidRPr="00873941">
        <w:rPr>
          <w:color w:val="000000" w:themeColor="text1"/>
        </w:rPr>
        <w:t xml:space="preserve"> health states into early and late recurrence to more accurately model the disease course of </w:t>
      </w:r>
      <w:proofErr w:type="spellStart"/>
      <w:r w:rsidRPr="00873941">
        <w:rPr>
          <w:color w:val="000000" w:themeColor="text1"/>
        </w:rPr>
        <w:t>mBC</w:t>
      </w:r>
      <w:proofErr w:type="spellEnd"/>
      <w:r w:rsidRPr="00873941">
        <w:rPr>
          <w:color w:val="000000" w:themeColor="text1"/>
        </w:rPr>
        <w:t xml:space="preserve">. </w:t>
      </w:r>
      <w:r w:rsidRPr="00B66841">
        <w:rPr>
          <w:color w:val="000000" w:themeColor="text1"/>
        </w:rPr>
        <w:t>Th</w:t>
      </w:r>
      <w:r w:rsidR="009845EA" w:rsidRPr="00B66841">
        <w:rPr>
          <w:color w:val="000000" w:themeColor="text1"/>
        </w:rPr>
        <w:t>e evaluation considered</w:t>
      </w:r>
      <w:r w:rsidR="009845EA" w:rsidRPr="00873941">
        <w:rPr>
          <w:color w:val="000000" w:themeColor="text1"/>
        </w:rPr>
        <w:t xml:space="preserve"> th</w:t>
      </w:r>
      <w:r w:rsidRPr="00873941">
        <w:rPr>
          <w:color w:val="000000" w:themeColor="text1"/>
        </w:rPr>
        <w:t xml:space="preserve">is was reasonable. The economic model </w:t>
      </w:r>
      <w:r w:rsidR="009845EA" w:rsidRPr="00873941">
        <w:rPr>
          <w:color w:val="000000" w:themeColor="text1"/>
        </w:rPr>
        <w:t>use</w:t>
      </w:r>
      <w:r w:rsidR="00C36817" w:rsidRPr="00873941">
        <w:rPr>
          <w:color w:val="000000" w:themeColor="text1"/>
        </w:rPr>
        <w:t>d</w:t>
      </w:r>
      <w:r w:rsidRPr="00873941">
        <w:rPr>
          <w:color w:val="000000" w:themeColor="text1"/>
        </w:rPr>
        <w:t xml:space="preserve"> trastuzumab </w:t>
      </w:r>
      <w:proofErr w:type="spellStart"/>
      <w:r w:rsidRPr="00873941">
        <w:rPr>
          <w:color w:val="000000" w:themeColor="text1"/>
        </w:rPr>
        <w:t>deruxtecan</w:t>
      </w:r>
      <w:proofErr w:type="spellEnd"/>
      <w:r w:rsidRPr="00873941">
        <w:rPr>
          <w:color w:val="000000" w:themeColor="text1"/>
        </w:rPr>
        <w:t xml:space="preserve"> (T-</w:t>
      </w:r>
      <w:proofErr w:type="spellStart"/>
      <w:r w:rsidRPr="00873941">
        <w:rPr>
          <w:color w:val="000000" w:themeColor="text1"/>
        </w:rPr>
        <w:t>DXd</w:t>
      </w:r>
      <w:proofErr w:type="spellEnd"/>
      <w:r w:rsidRPr="00873941">
        <w:rPr>
          <w:color w:val="000000" w:themeColor="text1"/>
        </w:rPr>
        <w:t xml:space="preserve">), in both the first-line </w:t>
      </w:r>
      <w:proofErr w:type="spellStart"/>
      <w:r w:rsidRPr="00873941">
        <w:rPr>
          <w:color w:val="000000" w:themeColor="text1"/>
        </w:rPr>
        <w:t>mBC</w:t>
      </w:r>
      <w:proofErr w:type="spellEnd"/>
      <w:r w:rsidRPr="00873941">
        <w:rPr>
          <w:color w:val="000000" w:themeColor="text1"/>
        </w:rPr>
        <w:t xml:space="preserve"> setting for patients with an early distant recurrence or in the second-line </w:t>
      </w:r>
      <w:proofErr w:type="spellStart"/>
      <w:r w:rsidRPr="00873941">
        <w:rPr>
          <w:color w:val="000000" w:themeColor="text1"/>
        </w:rPr>
        <w:t>mBC</w:t>
      </w:r>
      <w:proofErr w:type="spellEnd"/>
      <w:r w:rsidRPr="00873941">
        <w:rPr>
          <w:color w:val="000000" w:themeColor="text1"/>
        </w:rPr>
        <w:t xml:space="preserve"> setting. The resubmission assumed an uptake rate of </w:t>
      </w:r>
      <w:r w:rsidR="00471EB9" w:rsidRPr="00471EB9">
        <w:rPr>
          <w:color w:val="000000" w:themeColor="text1"/>
          <w:w w:val="60"/>
          <w:shd w:val="solid" w:color="000000" w:fill="000000"/>
          <w:fitText w:val="470" w:id="-694408183"/>
          <w14:textFill>
            <w14:solidFill>
              <w14:schemeClr w14:val="tx1">
                <w14:alpha w14:val="100000"/>
              </w14:schemeClr>
            </w14:solidFill>
          </w14:textFill>
        </w:rPr>
        <w:t>|||  ||</w:t>
      </w:r>
      <w:r w:rsidR="00471EB9" w:rsidRPr="00471EB9">
        <w:rPr>
          <w:color w:val="000000" w:themeColor="text1"/>
          <w:spacing w:val="6"/>
          <w:w w:val="60"/>
          <w:shd w:val="solid" w:color="000000" w:fill="000000"/>
          <w:fitText w:val="470" w:id="-694408183"/>
          <w14:textFill>
            <w14:solidFill>
              <w14:schemeClr w14:val="tx1">
                <w14:alpha w14:val="100000"/>
              </w14:schemeClr>
            </w14:solidFill>
          </w14:textFill>
        </w:rPr>
        <w:t>|</w:t>
      </w:r>
      <w:r w:rsidRPr="00873941">
        <w:rPr>
          <w:color w:val="000000" w:themeColor="text1"/>
        </w:rPr>
        <w:t>% for T-</w:t>
      </w:r>
      <w:proofErr w:type="spellStart"/>
      <w:r w:rsidRPr="00873941">
        <w:rPr>
          <w:color w:val="000000" w:themeColor="text1"/>
        </w:rPr>
        <w:t>DXd</w:t>
      </w:r>
      <w:proofErr w:type="spellEnd"/>
      <w:r w:rsidRPr="00873941">
        <w:rPr>
          <w:color w:val="000000" w:themeColor="text1"/>
        </w:rPr>
        <w:t xml:space="preserve"> in each eligible population, and the other </w:t>
      </w:r>
      <w:r w:rsidR="00471EB9" w:rsidRPr="00471EB9">
        <w:rPr>
          <w:color w:val="000000" w:themeColor="text1"/>
          <w:w w:val="60"/>
          <w:shd w:val="solid" w:color="000000" w:fill="000000"/>
          <w:fitText w:val="470" w:id="-694408182"/>
          <w14:textFill>
            <w14:solidFill>
              <w14:schemeClr w14:val="tx1">
                <w14:alpha w14:val="100000"/>
              </w14:schemeClr>
            </w14:solidFill>
          </w14:textFill>
        </w:rPr>
        <w:t>|||  ||</w:t>
      </w:r>
      <w:r w:rsidR="00471EB9" w:rsidRPr="00471EB9">
        <w:rPr>
          <w:color w:val="000000" w:themeColor="text1"/>
          <w:spacing w:val="6"/>
          <w:w w:val="60"/>
          <w:shd w:val="solid" w:color="000000" w:fill="000000"/>
          <w:fitText w:val="470" w:id="-694408182"/>
          <w14:textFill>
            <w14:solidFill>
              <w14:schemeClr w14:val="tx1">
                <w14:alpha w14:val="100000"/>
              </w14:schemeClr>
            </w14:solidFill>
          </w14:textFill>
        </w:rPr>
        <w:t>|</w:t>
      </w:r>
      <w:r w:rsidRPr="00873941">
        <w:rPr>
          <w:color w:val="000000" w:themeColor="text1"/>
        </w:rPr>
        <w:t xml:space="preserve">% will be treated with T-DM1. </w:t>
      </w:r>
      <w:r w:rsidR="00510EEE" w:rsidRPr="00873941">
        <w:rPr>
          <w:color w:val="000000" w:themeColor="text1"/>
        </w:rPr>
        <w:t xml:space="preserve">The ICER was not sensitive to the uptake rate. </w:t>
      </w:r>
      <w:r w:rsidRPr="00873941">
        <w:rPr>
          <w:color w:val="000000" w:themeColor="text1"/>
        </w:rPr>
        <w:t>Hazard ratios of 0.28 and 0.55 were applied to the transition probabilities between 1</w:t>
      </w:r>
      <w:r w:rsidRPr="00873941">
        <w:rPr>
          <w:color w:val="000000" w:themeColor="text1"/>
          <w:vertAlign w:val="superscript"/>
        </w:rPr>
        <w:t>st</w:t>
      </w:r>
      <w:r w:rsidRPr="00873941">
        <w:rPr>
          <w:color w:val="000000" w:themeColor="text1"/>
        </w:rPr>
        <w:t xml:space="preserve"> line </w:t>
      </w:r>
      <w:proofErr w:type="spellStart"/>
      <w:r w:rsidRPr="00873941">
        <w:rPr>
          <w:color w:val="000000" w:themeColor="text1"/>
        </w:rPr>
        <w:t>mBC</w:t>
      </w:r>
      <w:proofErr w:type="spellEnd"/>
      <w:r w:rsidRPr="00873941">
        <w:rPr>
          <w:color w:val="000000" w:themeColor="text1"/>
        </w:rPr>
        <w:t xml:space="preserve"> to 2</w:t>
      </w:r>
      <w:r w:rsidRPr="00873941">
        <w:rPr>
          <w:color w:val="000000" w:themeColor="text1"/>
          <w:vertAlign w:val="superscript"/>
        </w:rPr>
        <w:t>nd</w:t>
      </w:r>
      <w:r w:rsidRPr="00873941">
        <w:rPr>
          <w:color w:val="000000" w:themeColor="text1"/>
        </w:rPr>
        <w:t xml:space="preserve"> line </w:t>
      </w:r>
      <w:proofErr w:type="spellStart"/>
      <w:r w:rsidRPr="00873941">
        <w:rPr>
          <w:color w:val="000000" w:themeColor="text1"/>
        </w:rPr>
        <w:t>mBC</w:t>
      </w:r>
      <w:proofErr w:type="spellEnd"/>
      <w:r w:rsidRPr="00873941">
        <w:rPr>
          <w:color w:val="000000" w:themeColor="text1"/>
        </w:rPr>
        <w:t xml:space="preserve"> (early recurrence) and 2</w:t>
      </w:r>
      <w:r w:rsidRPr="00873941">
        <w:rPr>
          <w:color w:val="000000" w:themeColor="text1"/>
          <w:vertAlign w:val="superscript"/>
        </w:rPr>
        <w:t>nd</w:t>
      </w:r>
      <w:r w:rsidRPr="00873941">
        <w:rPr>
          <w:color w:val="000000" w:themeColor="text1"/>
        </w:rPr>
        <w:t xml:space="preserve"> line </w:t>
      </w:r>
      <w:proofErr w:type="spellStart"/>
      <w:r w:rsidRPr="00873941">
        <w:rPr>
          <w:color w:val="000000" w:themeColor="text1"/>
        </w:rPr>
        <w:t>mBC</w:t>
      </w:r>
      <w:proofErr w:type="spellEnd"/>
      <w:r w:rsidRPr="00873941">
        <w:rPr>
          <w:color w:val="000000" w:themeColor="text1"/>
        </w:rPr>
        <w:t xml:space="preserve"> to death for patients receiving T-</w:t>
      </w:r>
      <w:proofErr w:type="spellStart"/>
      <w:r w:rsidRPr="00873941">
        <w:rPr>
          <w:color w:val="000000" w:themeColor="text1"/>
        </w:rPr>
        <w:t>DXd</w:t>
      </w:r>
      <w:proofErr w:type="spellEnd"/>
      <w:r w:rsidRPr="00873941">
        <w:rPr>
          <w:color w:val="000000" w:themeColor="text1"/>
        </w:rPr>
        <w:t xml:space="preserve">, based on data from the DESTINY Breast DB03 (DB03 trial from here on) trial. </w:t>
      </w:r>
      <w:r w:rsidRPr="00873941">
        <w:t>The ESC previously noted that there were significant transitivity issues between the Hamilton (2015), EMILIA and CLEOPATRA trials and the proposed T-DM1 population (para.6.33, trastuzumab emtansine, PSD, November 2019 PBAC meeting). The same would apply to the DB03 trial. It was unclear how these transitivity issues affected the ICER.</w:t>
      </w:r>
    </w:p>
    <w:p w14:paraId="3B78F1D7" w14:textId="6B1D8442" w:rsidR="006F4300" w:rsidRPr="00873941" w:rsidRDefault="006F4300" w:rsidP="0073177E">
      <w:pPr>
        <w:pStyle w:val="3-BodyText"/>
        <w:rPr>
          <w:color w:val="000000" w:themeColor="text1"/>
        </w:rPr>
      </w:pPr>
      <w:r w:rsidRPr="00873941">
        <w:rPr>
          <w:color w:val="000000" w:themeColor="text1"/>
        </w:rPr>
        <w:t xml:space="preserve">The resubmission used utility data from the KATHERINE trial, comparing </w:t>
      </w:r>
      <w:proofErr w:type="spellStart"/>
      <w:r w:rsidRPr="00873941">
        <w:rPr>
          <w:color w:val="000000" w:themeColor="text1"/>
        </w:rPr>
        <w:t>iDFS</w:t>
      </w:r>
      <w:proofErr w:type="spellEnd"/>
      <w:r w:rsidRPr="00873941">
        <w:rPr>
          <w:color w:val="000000" w:themeColor="text1"/>
        </w:rPr>
        <w:t xml:space="preserve"> on/off treatment for </w:t>
      </w:r>
      <w:proofErr w:type="spellStart"/>
      <w:r w:rsidRPr="00873941">
        <w:rPr>
          <w:color w:val="000000" w:themeColor="text1"/>
        </w:rPr>
        <w:t>P+T+Chemo</w:t>
      </w:r>
      <w:proofErr w:type="spellEnd"/>
      <w:r w:rsidRPr="00873941">
        <w:rPr>
          <w:color w:val="000000" w:themeColor="text1"/>
        </w:rPr>
        <w:t xml:space="preserve"> and </w:t>
      </w:r>
      <w:proofErr w:type="spellStart"/>
      <w:r w:rsidRPr="00873941">
        <w:rPr>
          <w:color w:val="000000" w:themeColor="text1"/>
        </w:rPr>
        <w:t>T+Chemo</w:t>
      </w:r>
      <w:proofErr w:type="spellEnd"/>
      <w:r w:rsidRPr="00873941">
        <w:rPr>
          <w:color w:val="000000" w:themeColor="text1"/>
        </w:rPr>
        <w:t xml:space="preserve"> in the adjuvant setting, most representative of the neoadjuvant setting. The resubmission distinguished between time on/off treatment to account for potential differences in health-related quality of life (HRQoL) associated with treatment use. </w:t>
      </w:r>
      <w:r w:rsidRPr="00B66841">
        <w:rPr>
          <w:color w:val="000000" w:themeColor="text1"/>
        </w:rPr>
        <w:t>Th</w:t>
      </w:r>
      <w:r w:rsidR="00510EEE" w:rsidRPr="00B66841">
        <w:rPr>
          <w:color w:val="000000" w:themeColor="text1"/>
        </w:rPr>
        <w:t>e evaluation considered</w:t>
      </w:r>
      <w:r w:rsidR="00510EEE" w:rsidRPr="00873941">
        <w:rPr>
          <w:color w:val="000000" w:themeColor="text1"/>
        </w:rPr>
        <w:t xml:space="preserve"> th</w:t>
      </w:r>
      <w:r w:rsidRPr="00873941">
        <w:rPr>
          <w:color w:val="000000" w:themeColor="text1"/>
        </w:rPr>
        <w:t>is was reasonable. No utility data were collected in the NEOSPHERE trial. The utility values were not a key driver of the ICER.</w:t>
      </w:r>
      <w:r w:rsidRPr="00873941">
        <w:rPr>
          <w:i/>
          <w:iCs/>
          <w:color w:val="000000" w:themeColor="text1"/>
        </w:rPr>
        <w:t xml:space="preserve"> </w:t>
      </w:r>
    </w:p>
    <w:p w14:paraId="29E2882B" w14:textId="7E9A3E47" w:rsidR="006F4300" w:rsidRPr="001421DA" w:rsidRDefault="006F4300" w:rsidP="001421DA">
      <w:pPr>
        <w:pStyle w:val="3-BodyText"/>
        <w:rPr>
          <w:color w:val="000000" w:themeColor="text1"/>
        </w:rPr>
      </w:pPr>
      <w:bookmarkStart w:id="79" w:name="_Ref184903246"/>
      <w:bookmarkStart w:id="80" w:name="_Ref190269466"/>
      <w:r w:rsidRPr="00873941">
        <w:rPr>
          <w:color w:val="000000" w:themeColor="text1"/>
        </w:rPr>
        <w:t xml:space="preserve">The resubmission estimated that a neoadjuvant course of pertuzumab was expected to consist of 4.45 cycles of the drug for a total of 5.45 vials (420 mg) due to a loading dose of 840 mg in the first cycle. </w:t>
      </w:r>
      <w:r w:rsidR="004F14F9" w:rsidRPr="00B66841">
        <w:rPr>
          <w:color w:val="000000" w:themeColor="text1"/>
        </w:rPr>
        <w:t>The</w:t>
      </w:r>
      <w:r w:rsidR="00750D4D">
        <w:rPr>
          <w:color w:val="000000" w:themeColor="text1"/>
        </w:rPr>
        <w:t xml:space="preserve"> </w:t>
      </w:r>
      <w:r w:rsidR="004F14F9" w:rsidRPr="00B66841">
        <w:rPr>
          <w:color w:val="000000" w:themeColor="text1"/>
        </w:rPr>
        <w:t xml:space="preserve">PSCR argued that 4.45 cycles of neoadjuvant pertuzumab is consistent with the clinical evidence presented for the submission and represents the mean treatment duration expected in clinical practice. Conversely, a duration of six cycles represents the maximum possible treatment duration and is not representative of the treated cohort as a whole. </w:t>
      </w:r>
      <w:r w:rsidR="00DB26E9" w:rsidRPr="00B66841">
        <w:rPr>
          <w:color w:val="000000" w:themeColor="text1"/>
        </w:rPr>
        <w:t xml:space="preserve">The ESC noted </w:t>
      </w:r>
      <w:r w:rsidR="002554F8" w:rsidRPr="00B66841">
        <w:rPr>
          <w:color w:val="000000" w:themeColor="text1"/>
        </w:rPr>
        <w:t xml:space="preserve">the number of cycles in the resubmission </w:t>
      </w:r>
      <w:r w:rsidR="00DB26E9" w:rsidRPr="00B66841">
        <w:rPr>
          <w:color w:val="000000" w:themeColor="text1"/>
        </w:rPr>
        <w:t>was based on the weighted average duration of treatment in a mix of trials that allowed either 4 or 6 cycles of neoadjuvant pertuzumab, and considered it was not necessarily representative of clinical practice.</w:t>
      </w:r>
      <w:r w:rsidR="00DB26E9" w:rsidRPr="00873941">
        <w:rPr>
          <w:i/>
          <w:iCs/>
          <w:color w:val="000000" w:themeColor="text1"/>
        </w:rPr>
        <w:t xml:space="preserve"> </w:t>
      </w:r>
      <w:r w:rsidRPr="00873941">
        <w:rPr>
          <w:rFonts w:ascii="Calibri" w:eastAsia="Times New Roman" w:hAnsi="Calibri" w:cs="Arial"/>
          <w:snapToGrid w:val="0"/>
          <w:szCs w:val="24"/>
        </w:rPr>
        <w:t>The proposed PBS indication was for neoadjuvant treatment with pertuzumab in combination with trastuzumab and chemotherapy, up to a maximum of 6 cycles (18 weeks) of therapy</w:t>
      </w:r>
      <w:r w:rsidRPr="00873941">
        <w:rPr>
          <w:rFonts w:ascii="Calibri" w:eastAsia="Times New Roman" w:hAnsi="Calibri" w:cs="Arial"/>
          <w:i/>
          <w:iCs/>
          <w:snapToGrid w:val="0"/>
          <w:szCs w:val="24"/>
        </w:rPr>
        <w:t xml:space="preserve">. </w:t>
      </w:r>
      <w:r w:rsidRPr="00873941">
        <w:rPr>
          <w:rFonts w:ascii="Calibri" w:eastAsia="Times New Roman" w:hAnsi="Calibri" w:cs="Arial"/>
          <w:snapToGrid w:val="0"/>
          <w:szCs w:val="24"/>
        </w:rPr>
        <w:t>The ICER was sensitive to the number of neoadjuvant cycles</w:t>
      </w:r>
      <w:r w:rsidRPr="00873941">
        <w:rPr>
          <w:color w:val="000000" w:themeColor="text1"/>
        </w:rPr>
        <w:t>.</w:t>
      </w:r>
      <w:bookmarkEnd w:id="79"/>
      <w:r w:rsidR="00BF7531" w:rsidRPr="00873941">
        <w:t xml:space="preserve"> </w:t>
      </w:r>
      <w:r w:rsidR="00BF7531" w:rsidRPr="00873941">
        <w:rPr>
          <w:color w:val="000000" w:themeColor="text1"/>
        </w:rPr>
        <w:t xml:space="preserve">Increasing the number </w:t>
      </w:r>
      <w:r w:rsidR="00BF7531" w:rsidRPr="00873941">
        <w:rPr>
          <w:color w:val="000000" w:themeColor="text1"/>
        </w:rPr>
        <w:lastRenderedPageBreak/>
        <w:t xml:space="preserve">of cycles from 4.45 to 6 (based on the proposed PBS restriction) increased the ICER from </w:t>
      </w:r>
      <w:r w:rsidR="00C80935" w:rsidRPr="00C80935">
        <w:rPr>
          <w:color w:val="000000" w:themeColor="text1"/>
        </w:rPr>
        <w:t>$25,000 to &lt; $35,000</w:t>
      </w:r>
      <w:r w:rsidR="002B3631">
        <w:rPr>
          <w:color w:val="000000" w:themeColor="text1"/>
        </w:rPr>
        <w:t xml:space="preserve"> </w:t>
      </w:r>
      <w:r w:rsidR="00BF7531" w:rsidRPr="00873941">
        <w:rPr>
          <w:color w:val="000000" w:themeColor="text1"/>
        </w:rPr>
        <w:t xml:space="preserve">to </w:t>
      </w:r>
      <w:r w:rsidR="00602FBD" w:rsidRPr="00602FBD">
        <w:rPr>
          <w:color w:val="000000" w:themeColor="text1"/>
        </w:rPr>
        <w:t>$45,000 to &lt; $55,000</w:t>
      </w:r>
      <w:r w:rsidR="00BF7531" w:rsidRPr="00873941">
        <w:rPr>
          <w:color w:val="000000" w:themeColor="text1"/>
        </w:rPr>
        <w:t>/QALY gained (</w:t>
      </w:r>
      <w:r w:rsidR="00471EB9" w:rsidRPr="005F7B87">
        <w:rPr>
          <w:color w:val="000000" w:themeColor="text1"/>
          <w:w w:val="60"/>
          <w:shd w:val="solid" w:color="000000" w:fill="000000"/>
          <w:fitText w:val="470" w:id="-694408181"/>
          <w14:textFill>
            <w14:solidFill>
              <w14:schemeClr w14:val="tx1">
                <w14:alpha w14:val="100000"/>
              </w14:schemeClr>
            </w14:solidFill>
          </w14:textFill>
        </w:rPr>
        <w:t>|||  ||</w:t>
      </w:r>
      <w:r w:rsidR="00471EB9" w:rsidRPr="005F7B87">
        <w:rPr>
          <w:color w:val="000000" w:themeColor="text1"/>
          <w:spacing w:val="6"/>
          <w:w w:val="60"/>
          <w:shd w:val="solid" w:color="000000" w:fill="000000"/>
          <w:fitText w:val="470" w:id="-694408181"/>
          <w14:textFill>
            <w14:solidFill>
              <w14:schemeClr w14:val="tx1">
                <w14:alpha w14:val="100000"/>
              </w14:schemeClr>
            </w14:solidFill>
          </w14:textFill>
        </w:rPr>
        <w:t>|</w:t>
      </w:r>
      <w:r w:rsidR="00BF7531" w:rsidRPr="000C5D39">
        <w:rPr>
          <w:color w:val="000000" w:themeColor="text1"/>
        </w:rPr>
        <w:t>% increase</w:t>
      </w:r>
      <w:r w:rsidR="00BF7531" w:rsidRPr="00873941">
        <w:rPr>
          <w:color w:val="000000" w:themeColor="text1"/>
        </w:rPr>
        <w:t>).</w:t>
      </w:r>
      <w:r w:rsidR="004E78FC" w:rsidRPr="00873941">
        <w:rPr>
          <w:rFonts w:ascii="Calibri" w:eastAsia="Times New Roman" w:hAnsi="Calibri" w:cs="Arial"/>
          <w:i/>
          <w:iCs/>
          <w:color w:val="000000" w:themeColor="text1"/>
          <w:szCs w:val="24"/>
        </w:rPr>
        <w:t xml:space="preserve"> </w:t>
      </w:r>
      <w:r w:rsidR="004E78FC" w:rsidRPr="00B66841">
        <w:rPr>
          <w:color w:val="000000" w:themeColor="text1"/>
        </w:rPr>
        <w:t xml:space="preserve">The ESC noted that the model was sensitive to this input and considered information from the existing pertuzumab access program </w:t>
      </w:r>
      <w:r w:rsidR="003E64B8" w:rsidRPr="00B66841">
        <w:rPr>
          <w:color w:val="000000" w:themeColor="text1"/>
        </w:rPr>
        <w:t>may</w:t>
      </w:r>
      <w:r w:rsidR="004E78FC" w:rsidRPr="00B66841">
        <w:rPr>
          <w:color w:val="000000" w:themeColor="text1"/>
        </w:rPr>
        <w:t xml:space="preserve"> be informative.</w:t>
      </w:r>
      <w:r w:rsidR="003E64B8" w:rsidRPr="00B66841">
        <w:rPr>
          <w:color w:val="000000" w:themeColor="text1"/>
        </w:rPr>
        <w:t xml:space="preserve"> </w:t>
      </w:r>
      <w:r w:rsidR="001D1525" w:rsidRPr="00B66841">
        <w:rPr>
          <w:color w:val="000000" w:themeColor="text1"/>
        </w:rPr>
        <w:t xml:space="preserve">The ESC noted it was unclear how the number of cycles of treatment may impact on the proportion of patients with pCR but noted that the model was not </w:t>
      </w:r>
      <w:r w:rsidR="008B645F" w:rsidRPr="00B66841">
        <w:rPr>
          <w:color w:val="000000" w:themeColor="text1"/>
        </w:rPr>
        <w:t xml:space="preserve">sensitive to </w:t>
      </w:r>
      <w:r w:rsidR="00581747" w:rsidRPr="00B66841">
        <w:rPr>
          <w:color w:val="000000" w:themeColor="text1"/>
        </w:rPr>
        <w:t xml:space="preserve">the </w:t>
      </w:r>
      <w:r w:rsidR="008B645F" w:rsidRPr="00B66841">
        <w:rPr>
          <w:color w:val="000000" w:themeColor="text1"/>
        </w:rPr>
        <w:t>response rate</w:t>
      </w:r>
      <w:r w:rsidR="00581747" w:rsidRPr="00B66841">
        <w:rPr>
          <w:color w:val="000000" w:themeColor="text1"/>
        </w:rPr>
        <w:t xml:space="preserve"> applied</w:t>
      </w:r>
      <w:r w:rsidR="008B645F" w:rsidRPr="00B66841">
        <w:rPr>
          <w:color w:val="000000" w:themeColor="text1"/>
        </w:rPr>
        <w:t>.</w:t>
      </w:r>
      <w:bookmarkEnd w:id="80"/>
      <w:r w:rsidR="00E05B35">
        <w:rPr>
          <w:color w:val="000000" w:themeColor="text1"/>
        </w:rPr>
        <w:t xml:space="preserve"> The pre-PBAC response </w:t>
      </w:r>
      <w:r w:rsidR="00FD7044">
        <w:rPr>
          <w:color w:val="000000" w:themeColor="text1"/>
        </w:rPr>
        <w:t>noted that</w:t>
      </w:r>
      <w:r w:rsidR="00CB0382">
        <w:rPr>
          <w:color w:val="000000" w:themeColor="text1"/>
        </w:rPr>
        <w:t xml:space="preserve"> the model was not sensitive to the </w:t>
      </w:r>
      <w:r w:rsidR="00FD7044">
        <w:rPr>
          <w:color w:val="000000" w:themeColor="text1"/>
        </w:rPr>
        <w:t xml:space="preserve">source of </w:t>
      </w:r>
      <w:r w:rsidR="00CB0382">
        <w:rPr>
          <w:color w:val="000000" w:themeColor="text1"/>
        </w:rPr>
        <w:t>response rate</w:t>
      </w:r>
      <w:r w:rsidR="00FD7044">
        <w:rPr>
          <w:color w:val="000000" w:themeColor="text1"/>
        </w:rPr>
        <w:t>, but was sensitive</w:t>
      </w:r>
      <w:r w:rsidR="00A90716" w:rsidRPr="00A90716">
        <w:t xml:space="preserve"> </w:t>
      </w:r>
      <w:r w:rsidR="00A90716">
        <w:t>to the absolute level of response applied in the pertuzumab arm of the model and the difference in the response rate</w:t>
      </w:r>
      <w:r w:rsidR="00CB0382">
        <w:rPr>
          <w:color w:val="000000" w:themeColor="text1"/>
        </w:rPr>
        <w:t xml:space="preserve"> </w:t>
      </w:r>
      <w:r w:rsidR="00A90716">
        <w:rPr>
          <w:color w:val="000000" w:themeColor="text1"/>
        </w:rPr>
        <w:t xml:space="preserve">between arms. </w:t>
      </w:r>
      <w:r w:rsidR="008302D1">
        <w:rPr>
          <w:color w:val="000000" w:themeColor="text1"/>
        </w:rPr>
        <w:t>W</w:t>
      </w:r>
      <w:r w:rsidR="00CB0382" w:rsidRPr="00CB0382">
        <w:rPr>
          <w:color w:val="000000" w:themeColor="text1"/>
        </w:rPr>
        <w:t xml:space="preserve">hen the number of cycles increases to </w:t>
      </w:r>
      <w:r w:rsidR="00471EB9" w:rsidRPr="00471EB9">
        <w:rPr>
          <w:color w:val="000000" w:themeColor="text1"/>
          <w:w w:val="60"/>
          <w:shd w:val="solid" w:color="000000" w:fill="000000"/>
          <w:fitText w:val="470" w:id="-694408180"/>
          <w14:textFill>
            <w14:solidFill>
              <w14:schemeClr w14:val="tx1">
                <w14:alpha w14:val="100000"/>
              </w14:schemeClr>
            </w14:solidFill>
          </w14:textFill>
        </w:rPr>
        <w:t>|||  ||</w:t>
      </w:r>
      <w:r w:rsidR="00471EB9" w:rsidRPr="00471EB9">
        <w:rPr>
          <w:color w:val="000000" w:themeColor="text1"/>
          <w:spacing w:val="6"/>
          <w:w w:val="60"/>
          <w:shd w:val="solid" w:color="000000" w:fill="000000"/>
          <w:fitText w:val="470" w:id="-694408180"/>
          <w14:textFill>
            <w14:solidFill>
              <w14:schemeClr w14:val="tx1">
                <w14:alpha w14:val="100000"/>
              </w14:schemeClr>
            </w14:solidFill>
          </w14:textFill>
        </w:rPr>
        <w:t>|</w:t>
      </w:r>
      <w:r w:rsidR="00CB0382" w:rsidRPr="00CB0382">
        <w:rPr>
          <w:color w:val="000000" w:themeColor="text1"/>
        </w:rPr>
        <w:t xml:space="preserve"> as per the extent of use </w:t>
      </w:r>
      <w:r w:rsidR="00A14405">
        <w:rPr>
          <w:color w:val="000000" w:themeColor="text1"/>
        </w:rPr>
        <w:t>in</w:t>
      </w:r>
      <w:r w:rsidR="00CB0382" w:rsidRPr="00CB0382">
        <w:rPr>
          <w:color w:val="000000" w:themeColor="text1"/>
        </w:rPr>
        <w:t xml:space="preserve"> the access program, without any change in the underlying response rate, the ICER increase</w:t>
      </w:r>
      <w:r w:rsidR="00FC4117">
        <w:rPr>
          <w:color w:val="000000" w:themeColor="text1"/>
        </w:rPr>
        <w:t>d</w:t>
      </w:r>
      <w:r w:rsidR="008302D1">
        <w:rPr>
          <w:color w:val="000000" w:themeColor="text1"/>
        </w:rPr>
        <w:t xml:space="preserve"> </w:t>
      </w:r>
      <w:r w:rsidR="00CB0382" w:rsidRPr="00CB0382">
        <w:rPr>
          <w:color w:val="000000" w:themeColor="text1"/>
        </w:rPr>
        <w:t xml:space="preserve">from </w:t>
      </w:r>
      <w:r w:rsidR="00AE76AA" w:rsidRPr="00AE76AA">
        <w:rPr>
          <w:color w:val="000000" w:themeColor="text1"/>
        </w:rPr>
        <w:t>$25,000 to &lt; $35,000</w:t>
      </w:r>
      <w:r w:rsidR="00CB0382" w:rsidRPr="00CB0382">
        <w:rPr>
          <w:color w:val="000000" w:themeColor="text1"/>
        </w:rPr>
        <w:t xml:space="preserve"> to </w:t>
      </w:r>
      <w:r w:rsidR="006F7D50" w:rsidRPr="006F7D50">
        <w:rPr>
          <w:color w:val="000000" w:themeColor="text1"/>
        </w:rPr>
        <w:t>$35,000 to &lt; $45,000</w:t>
      </w:r>
      <w:r w:rsidR="00E420BD">
        <w:rPr>
          <w:color w:val="000000" w:themeColor="text1"/>
        </w:rPr>
        <w:t>/QALY</w:t>
      </w:r>
      <w:r w:rsidR="00CB0382" w:rsidRPr="00CB0382">
        <w:rPr>
          <w:color w:val="000000" w:themeColor="text1"/>
        </w:rPr>
        <w:t xml:space="preserve">. However, </w:t>
      </w:r>
      <w:r w:rsidR="00B15467">
        <w:rPr>
          <w:color w:val="000000" w:themeColor="text1"/>
        </w:rPr>
        <w:t xml:space="preserve">the pre-PBAC response noted that </w:t>
      </w:r>
      <w:r w:rsidR="00CB0382" w:rsidRPr="00CB0382">
        <w:rPr>
          <w:color w:val="000000" w:themeColor="text1"/>
        </w:rPr>
        <w:t xml:space="preserve">if the response rate was then allowed to increase with this increase in treatment exposure it only needs to increase 2.8 percentage points (to 62.0% from 59.2%; 4.7% in relative terms) for the model result to return to an ICER of </w:t>
      </w:r>
      <w:r w:rsidR="003B7158" w:rsidRPr="003B7158">
        <w:rPr>
          <w:color w:val="000000" w:themeColor="text1"/>
        </w:rPr>
        <w:t>$25,000 to &lt; $35,000</w:t>
      </w:r>
      <w:r w:rsidR="00CB0382" w:rsidRPr="00CB0382">
        <w:rPr>
          <w:color w:val="000000" w:themeColor="text1"/>
        </w:rPr>
        <w:t>.</w:t>
      </w:r>
      <w:r w:rsidRPr="001421DA">
        <w:rPr>
          <w:i/>
          <w:iCs/>
          <w:color w:val="000000" w:themeColor="text1"/>
        </w:rPr>
        <w:t xml:space="preserve"> </w:t>
      </w:r>
      <w:r w:rsidR="0028541A">
        <w:rPr>
          <w:snapToGrid w:val="0"/>
        </w:rPr>
        <w:t xml:space="preserve">A reduction in the pertuzumab price of </w:t>
      </w:r>
      <w:r w:rsidR="00471EB9" w:rsidRPr="00471EB9">
        <w:rPr>
          <w:snapToGrid w:val="0"/>
          <w:color w:val="000000"/>
          <w:w w:val="60"/>
          <w:shd w:val="solid" w:color="000000" w:fill="000000"/>
          <w:fitText w:val="470" w:id="-694408179"/>
          <w14:textFill>
            <w14:solidFill>
              <w14:srgbClr w14:val="000000">
                <w14:alpha w14:val="100000"/>
              </w14:srgbClr>
            </w14:solidFill>
          </w14:textFill>
        </w:rPr>
        <w:t>|||  ||</w:t>
      </w:r>
      <w:r w:rsidR="00471EB9" w:rsidRPr="00471EB9">
        <w:rPr>
          <w:snapToGrid w:val="0"/>
          <w:color w:val="000000"/>
          <w:spacing w:val="6"/>
          <w:w w:val="60"/>
          <w:shd w:val="solid" w:color="000000" w:fill="000000"/>
          <w:fitText w:val="470" w:id="-694408179"/>
          <w14:textFill>
            <w14:solidFill>
              <w14:srgbClr w14:val="000000">
                <w14:alpha w14:val="100000"/>
              </w14:srgbClr>
            </w14:solidFill>
          </w14:textFill>
        </w:rPr>
        <w:t>|</w:t>
      </w:r>
      <w:r w:rsidR="0028541A">
        <w:rPr>
          <w:snapToGrid w:val="0"/>
        </w:rPr>
        <w:t xml:space="preserve">% was required for an ICER of </w:t>
      </w:r>
      <w:r w:rsidR="008A29DD" w:rsidRPr="008A29DD">
        <w:rPr>
          <w:snapToGrid w:val="0"/>
        </w:rPr>
        <w:t>$15,000 to &lt; $25,000</w:t>
      </w:r>
      <w:r w:rsidR="00C82167">
        <w:rPr>
          <w:snapToGrid w:val="0"/>
        </w:rPr>
        <w:t xml:space="preserve"> </w:t>
      </w:r>
      <w:r w:rsidR="0028541A">
        <w:rPr>
          <w:snapToGrid w:val="0"/>
        </w:rPr>
        <w:t xml:space="preserve">per QALY when the model assumed the cost for </w:t>
      </w:r>
      <w:r w:rsidR="00471EB9" w:rsidRPr="005F7B87">
        <w:rPr>
          <w:snapToGrid w:val="0"/>
          <w:color w:val="000000"/>
          <w:w w:val="60"/>
          <w:shd w:val="solid" w:color="000000" w:fill="000000"/>
          <w:fitText w:val="470" w:id="-694408178"/>
          <w14:textFill>
            <w14:solidFill>
              <w14:srgbClr w14:val="000000">
                <w14:alpha w14:val="100000"/>
              </w14:srgbClr>
            </w14:solidFill>
          </w14:textFill>
        </w:rPr>
        <w:t>|||  ||</w:t>
      </w:r>
      <w:r w:rsidR="00471EB9" w:rsidRPr="005F7B87">
        <w:rPr>
          <w:snapToGrid w:val="0"/>
          <w:color w:val="000000"/>
          <w:spacing w:val="6"/>
          <w:w w:val="60"/>
          <w:shd w:val="solid" w:color="000000" w:fill="000000"/>
          <w:fitText w:val="470" w:id="-694408178"/>
          <w14:textFill>
            <w14:solidFill>
              <w14:srgbClr w14:val="000000">
                <w14:alpha w14:val="100000"/>
              </w14:srgbClr>
            </w14:solidFill>
          </w14:textFill>
        </w:rPr>
        <w:t>|</w:t>
      </w:r>
      <w:r w:rsidR="0028541A">
        <w:rPr>
          <w:snapToGrid w:val="0"/>
        </w:rPr>
        <w:t xml:space="preserve"> cycles of treatment.</w:t>
      </w:r>
    </w:p>
    <w:p w14:paraId="728EA2E6" w14:textId="3884BA55" w:rsidR="006F4300" w:rsidRPr="00873941" w:rsidRDefault="006F4300" w:rsidP="00921301">
      <w:pPr>
        <w:pStyle w:val="3-BodyText"/>
      </w:pPr>
      <w:bookmarkStart w:id="81" w:name="_Ref184903372"/>
      <w:bookmarkStart w:id="82" w:name="_Ref185258267"/>
      <w:bookmarkStart w:id="83" w:name="_Ref185259953"/>
      <w:r w:rsidRPr="00873941">
        <w:t xml:space="preserve">The resubmission applied a 40-year time horizon. </w:t>
      </w:r>
      <w:bookmarkStart w:id="84" w:name="_Hlk185142584"/>
      <w:r w:rsidRPr="00AC6FD8">
        <w:t xml:space="preserve">The </w:t>
      </w:r>
      <w:r w:rsidR="00581747" w:rsidRPr="00AC6FD8">
        <w:t>evaluation considered</w:t>
      </w:r>
      <w:r w:rsidR="00581747" w:rsidRPr="00873941">
        <w:t xml:space="preserve"> the </w:t>
      </w:r>
      <w:r w:rsidRPr="00873941">
        <w:t xml:space="preserve">proposed 40-year time horizon was relatively long, given </w:t>
      </w:r>
      <w:r w:rsidR="00174287" w:rsidRPr="00873941">
        <w:t xml:space="preserve">the </w:t>
      </w:r>
      <w:r w:rsidR="00BF7531" w:rsidRPr="00873941">
        <w:t>mean age of patients at the start of the economic evaluation was 58.5 years. T</w:t>
      </w:r>
      <w:r w:rsidRPr="00873941">
        <w:t xml:space="preserve">he average life expectancy of Australian women aged 58 years in 2023 </w:t>
      </w:r>
      <w:r w:rsidR="00BF7531" w:rsidRPr="00873941">
        <w:t xml:space="preserve">was </w:t>
      </w:r>
      <w:r w:rsidRPr="00873941">
        <w:t>86.9 years (AIHW, 2023)</w:t>
      </w:r>
      <w:r w:rsidR="00BF7531" w:rsidRPr="00873941">
        <w:t>.</w:t>
      </w:r>
      <w:r w:rsidR="00174287" w:rsidRPr="00873941">
        <w:t xml:space="preserve"> </w:t>
      </w:r>
      <w:r w:rsidR="00BF7531" w:rsidRPr="00873941">
        <w:t>The model estimated approximately 9% of patients remained alive and free of progressive disease at 98.5 years of age. This assumption may be optimistic as according to the Australian Life Tables 2020-22, only 6.3% of (all Australian) women are expected to reach the age of 99.</w:t>
      </w:r>
      <w:r w:rsidR="00BF7531" w:rsidRPr="00873941">
        <w:rPr>
          <w:i/>
          <w:iCs/>
        </w:rPr>
        <w:t xml:space="preserve"> </w:t>
      </w:r>
      <w:bookmarkEnd w:id="84"/>
      <w:r w:rsidRPr="00873941">
        <w:t xml:space="preserve">The PBAC previously considered the 40-year time horizon used in the T-DM1 submission's base case to be inappropriate, as </w:t>
      </w:r>
      <w:r w:rsidR="00626EA3" w:rsidRPr="00873941">
        <w:t>the median age at diagnosis with HER2+ early breast cancer (</w:t>
      </w:r>
      <w:proofErr w:type="spellStart"/>
      <w:r w:rsidR="00626EA3" w:rsidRPr="00873941">
        <w:t>eBC</w:t>
      </w:r>
      <w:proofErr w:type="spellEnd"/>
      <w:r w:rsidR="00626EA3" w:rsidRPr="00873941">
        <w:t xml:space="preserve">) for women in Australia is 58.5 years </w:t>
      </w:r>
      <w:r w:rsidRPr="00873941">
        <w:t>and considered that greater confidence in establishing cost-effectiveness would be derived by limiting the time horizon to 20 years (para. 7.12, trastuzumab emtansine, PSD, November 2019 PBAC meeting).</w:t>
      </w:r>
      <w:bookmarkEnd w:id="81"/>
      <w:r w:rsidRPr="00873941">
        <w:rPr>
          <w:i/>
          <w:iCs/>
        </w:rPr>
        <w:t xml:space="preserve"> </w:t>
      </w:r>
      <w:bookmarkStart w:id="85" w:name="_Hlk185142860"/>
      <w:r w:rsidRPr="00873941">
        <w:t xml:space="preserve">The ICER was sensitive to the time horizon, but only when the time horizon was shorter than 20 years. </w:t>
      </w:r>
      <w:bookmarkEnd w:id="85"/>
      <w:r w:rsidR="00BF7531" w:rsidRPr="00873941">
        <w:t xml:space="preserve">The ICER increased from </w:t>
      </w:r>
      <w:r w:rsidR="00A37A87" w:rsidRPr="00A37A87">
        <w:t>$25,000 to &lt; $35,000</w:t>
      </w:r>
      <w:r w:rsidR="002B3631">
        <w:t xml:space="preserve"> </w:t>
      </w:r>
      <w:r w:rsidR="00BF7531" w:rsidRPr="00873941">
        <w:t xml:space="preserve">to </w:t>
      </w:r>
      <w:r w:rsidR="005E4B62" w:rsidRPr="005E4B62">
        <w:t>$35,000 to &lt; $45,000</w:t>
      </w:r>
      <w:r w:rsidR="00BF7531" w:rsidRPr="00873941">
        <w:t>/QALY gained when the time horizon was decreased from 40 years to 20 years</w:t>
      </w:r>
      <w:bookmarkEnd w:id="82"/>
      <w:r w:rsidR="00BF7531" w:rsidRPr="00873941">
        <w:t>.</w:t>
      </w:r>
      <w:bookmarkEnd w:id="83"/>
      <w:r w:rsidR="00921301" w:rsidRPr="00873941">
        <w:t xml:space="preserve"> </w:t>
      </w:r>
      <w:r w:rsidR="00921301" w:rsidRPr="00B66841">
        <w:t>The ESC considered a time horizon of 30 years would be more appropriate given the mean age of patients at the start of the economic evaluation and the uncertainty in the longer term modelled outcomes.</w:t>
      </w:r>
    </w:p>
    <w:p w14:paraId="650C441E" w14:textId="0FF3A379" w:rsidR="006F4300" w:rsidRPr="00873941" w:rsidRDefault="006F4300" w:rsidP="0073177E">
      <w:pPr>
        <w:pStyle w:val="3-BodyText"/>
        <w:rPr>
          <w:color w:val="000000" w:themeColor="text1"/>
        </w:rPr>
      </w:pPr>
      <w:r w:rsidRPr="00873941">
        <w:rPr>
          <w:color w:val="000000" w:themeColor="text1"/>
        </w:rPr>
        <w:fldChar w:fldCharType="begin"/>
      </w:r>
      <w:r w:rsidRPr="00873941">
        <w:rPr>
          <w:color w:val="000000" w:themeColor="text1"/>
        </w:rPr>
        <w:instrText xml:space="preserve"> REF _Ref184734437 \h </w:instrText>
      </w:r>
      <w:r w:rsidR="009A2102" w:rsidRPr="00873941">
        <w:rPr>
          <w:color w:val="000000" w:themeColor="text1"/>
        </w:rPr>
        <w:instrText xml:space="preserve"> \* MERGEFORMAT </w:instrText>
      </w:r>
      <w:r w:rsidRPr="00873941">
        <w:rPr>
          <w:color w:val="000000" w:themeColor="text1"/>
        </w:rPr>
      </w:r>
      <w:r w:rsidRPr="00873941">
        <w:rPr>
          <w:color w:val="000000" w:themeColor="text1"/>
        </w:rPr>
        <w:fldChar w:fldCharType="separate"/>
      </w:r>
      <w:r w:rsidR="000B094B" w:rsidRPr="00873941">
        <w:t xml:space="preserve">Figure </w:t>
      </w:r>
      <w:r w:rsidR="000B094B">
        <w:t>5</w:t>
      </w:r>
      <w:r w:rsidRPr="00873941">
        <w:rPr>
          <w:color w:val="000000" w:themeColor="text1"/>
        </w:rPr>
        <w:fldChar w:fldCharType="end"/>
      </w:r>
      <w:r w:rsidRPr="00873941">
        <w:rPr>
          <w:color w:val="000000" w:themeColor="text1"/>
        </w:rPr>
        <w:t xml:space="preserve"> presents modelled </w:t>
      </w:r>
      <w:proofErr w:type="spellStart"/>
      <w:r w:rsidRPr="00873941">
        <w:rPr>
          <w:color w:val="000000" w:themeColor="text1"/>
        </w:rPr>
        <w:t>iDFS</w:t>
      </w:r>
      <w:proofErr w:type="spellEnd"/>
      <w:r w:rsidRPr="00873941">
        <w:rPr>
          <w:color w:val="000000" w:themeColor="text1"/>
        </w:rPr>
        <w:t xml:space="preserve"> and OS for </w:t>
      </w:r>
      <w:r w:rsidR="006F6AD4" w:rsidRPr="00873941">
        <w:rPr>
          <w:color w:val="000000" w:themeColor="text1"/>
        </w:rPr>
        <w:t xml:space="preserve">patients treated with neoadjuvant </w:t>
      </w:r>
      <w:proofErr w:type="spellStart"/>
      <w:r w:rsidRPr="00873941">
        <w:rPr>
          <w:color w:val="000000" w:themeColor="text1"/>
        </w:rPr>
        <w:t>P+T+Chemo</w:t>
      </w:r>
      <w:proofErr w:type="spellEnd"/>
      <w:r w:rsidRPr="00873941">
        <w:rPr>
          <w:color w:val="000000" w:themeColor="text1"/>
        </w:rPr>
        <w:t xml:space="preserve"> and </w:t>
      </w:r>
      <w:proofErr w:type="spellStart"/>
      <w:r w:rsidRPr="00873941">
        <w:rPr>
          <w:color w:val="000000" w:themeColor="text1"/>
        </w:rPr>
        <w:t>T+Chemo</w:t>
      </w:r>
      <w:proofErr w:type="spellEnd"/>
      <w:r w:rsidRPr="00873941">
        <w:rPr>
          <w:color w:val="000000" w:themeColor="text1"/>
        </w:rPr>
        <w:t xml:space="preserve"> over </w:t>
      </w:r>
      <w:r w:rsidR="006F6AD4" w:rsidRPr="00873941">
        <w:rPr>
          <w:color w:val="000000" w:themeColor="text1"/>
        </w:rPr>
        <w:t>5</w:t>
      </w:r>
      <w:r w:rsidRPr="00873941">
        <w:rPr>
          <w:color w:val="000000" w:themeColor="text1"/>
        </w:rPr>
        <w:t xml:space="preserve">0 years. </w:t>
      </w:r>
      <w:r w:rsidR="006F6AD4" w:rsidRPr="00873941">
        <w:rPr>
          <w:color w:val="000000" w:themeColor="text1"/>
        </w:rPr>
        <w:t xml:space="preserve">This figure was generated during the evaluation using the Markov traces </w:t>
      </w:r>
      <w:r w:rsidR="00125186">
        <w:rPr>
          <w:color w:val="000000" w:themeColor="text1"/>
        </w:rPr>
        <w:t xml:space="preserve">of </w:t>
      </w:r>
      <w:r w:rsidR="006F6AD4" w:rsidRPr="00873941">
        <w:rPr>
          <w:color w:val="000000" w:themeColor="text1"/>
        </w:rPr>
        <w:t xml:space="preserve">neoadjuvant response rates for </w:t>
      </w:r>
      <w:proofErr w:type="spellStart"/>
      <w:r w:rsidR="006F6AD4" w:rsidRPr="00873941">
        <w:rPr>
          <w:color w:val="000000" w:themeColor="text1"/>
        </w:rPr>
        <w:t>P+T+Chemo</w:t>
      </w:r>
      <w:proofErr w:type="spellEnd"/>
      <w:r w:rsidR="006F6AD4" w:rsidRPr="00873941">
        <w:rPr>
          <w:color w:val="000000" w:themeColor="text1"/>
        </w:rPr>
        <w:t xml:space="preserve"> and </w:t>
      </w:r>
      <w:proofErr w:type="spellStart"/>
      <w:r w:rsidR="006F6AD4" w:rsidRPr="00873941">
        <w:rPr>
          <w:color w:val="000000" w:themeColor="text1"/>
        </w:rPr>
        <w:t>T+Chemo</w:t>
      </w:r>
      <w:proofErr w:type="spellEnd"/>
      <w:r w:rsidR="006F6AD4" w:rsidRPr="00873941">
        <w:rPr>
          <w:color w:val="000000" w:themeColor="text1"/>
        </w:rPr>
        <w:t xml:space="preserve"> (59.2% and 41.8%, respectively), and uptake of adjuvant T-DM1 for neoadjuvant non-responders.</w:t>
      </w:r>
    </w:p>
    <w:p w14:paraId="229E28C3" w14:textId="092175BC" w:rsidR="006F4300" w:rsidRPr="00873941" w:rsidRDefault="006F4300" w:rsidP="006F4300">
      <w:pPr>
        <w:pStyle w:val="TableFigureHeading"/>
      </w:pPr>
      <w:bookmarkStart w:id="86" w:name="_Ref184734437"/>
      <w:bookmarkStart w:id="87" w:name="_Ref184636666"/>
      <w:r w:rsidRPr="00873941">
        <w:lastRenderedPageBreak/>
        <w:t xml:space="preserve">Figure </w:t>
      </w:r>
      <w:r w:rsidR="00AC6442">
        <w:fldChar w:fldCharType="begin"/>
      </w:r>
      <w:r w:rsidR="00AC6442">
        <w:instrText xml:space="preserve"> SEQ Figure \* ARABIC </w:instrText>
      </w:r>
      <w:r w:rsidR="00AC6442">
        <w:fldChar w:fldCharType="separate"/>
      </w:r>
      <w:r w:rsidR="000B094B">
        <w:rPr>
          <w:noProof/>
        </w:rPr>
        <w:t>5</w:t>
      </w:r>
      <w:r w:rsidR="00AC6442">
        <w:fldChar w:fldCharType="end"/>
      </w:r>
      <w:bookmarkEnd w:id="86"/>
      <w:r w:rsidRPr="00873941">
        <w:t xml:space="preserve">: Modelled </w:t>
      </w:r>
      <w:proofErr w:type="spellStart"/>
      <w:r w:rsidRPr="00873941">
        <w:t>iDFS</w:t>
      </w:r>
      <w:proofErr w:type="spellEnd"/>
      <w:r w:rsidRPr="00873941">
        <w:t xml:space="preserve"> and overall survival for patients treated with </w:t>
      </w:r>
      <w:bookmarkEnd w:id="87"/>
      <w:r w:rsidR="006F6AD4" w:rsidRPr="00873941">
        <w:t xml:space="preserve">neoadjuvant </w:t>
      </w:r>
      <w:proofErr w:type="spellStart"/>
      <w:r w:rsidR="006F6AD4" w:rsidRPr="00873941">
        <w:t>P+T+Chemo</w:t>
      </w:r>
      <w:proofErr w:type="spellEnd"/>
      <w:r w:rsidR="006F6AD4" w:rsidRPr="00873941">
        <w:t xml:space="preserve"> and T-Chemo</w:t>
      </w:r>
    </w:p>
    <w:p w14:paraId="288E8FF7" w14:textId="60E43A3F" w:rsidR="006F4300" w:rsidRPr="00873941" w:rsidRDefault="006F6AD4" w:rsidP="006F4300">
      <w:pPr>
        <w:pStyle w:val="3-BodyText"/>
        <w:numPr>
          <w:ilvl w:val="0"/>
          <w:numId w:val="0"/>
        </w:numPr>
        <w:rPr>
          <w:color w:val="000000" w:themeColor="text1"/>
        </w:rPr>
      </w:pPr>
      <w:r w:rsidRPr="00873941">
        <w:rPr>
          <w:noProof/>
          <w:color w:val="000000" w:themeColor="text1"/>
        </w:rPr>
        <w:drawing>
          <wp:inline distT="0" distB="0" distL="0" distR="0" wp14:anchorId="768AC56D" wp14:editId="3329F6C6">
            <wp:extent cx="5620342" cy="3238500"/>
            <wp:effectExtent l="0" t="0" r="0" b="0"/>
            <wp:docPr id="1220737167" name="Picture 1" descr="Figure 5: Modelled iDFS and overall survival for patients treated with neoadjuvant P+T+Chemo and T-Ch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37167" name="Picture 1" descr="Figure 5: Modelled iDFS and overall survival for patients treated with neoadjuvant P+T+Chemo and T-Chem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4479" cy="3240884"/>
                    </a:xfrm>
                    <a:prstGeom prst="rect">
                      <a:avLst/>
                    </a:prstGeom>
                    <a:noFill/>
                  </pic:spPr>
                </pic:pic>
              </a:graphicData>
            </a:graphic>
          </wp:inline>
        </w:drawing>
      </w:r>
    </w:p>
    <w:p w14:paraId="0035C961" w14:textId="58B2EBF5" w:rsidR="006F4300" w:rsidRPr="00873941" w:rsidRDefault="006F4300" w:rsidP="006F4300">
      <w:pPr>
        <w:pStyle w:val="TableFigureFooter"/>
      </w:pPr>
      <w:r w:rsidRPr="00873941">
        <w:t xml:space="preserve">Source: </w:t>
      </w:r>
      <w:r w:rsidR="006F6AD4" w:rsidRPr="00873941">
        <w:t xml:space="preserve">Generated during the evaluation using survival traces for neoadjuvant responders, neoadjuvant non-responders receiving T-DM1 and trastuzumab, neoadjuvant response rates for </w:t>
      </w:r>
      <w:proofErr w:type="spellStart"/>
      <w:r w:rsidR="006F6AD4" w:rsidRPr="00873941">
        <w:t>P+T+Chemo</w:t>
      </w:r>
      <w:proofErr w:type="spellEnd"/>
      <w:r w:rsidR="006F6AD4" w:rsidRPr="00873941">
        <w:t xml:space="preserve"> and </w:t>
      </w:r>
      <w:proofErr w:type="spellStart"/>
      <w:r w:rsidR="006F6AD4" w:rsidRPr="00873941">
        <w:t>T+Chemo</w:t>
      </w:r>
      <w:proofErr w:type="spellEnd"/>
      <w:r w:rsidR="006F6AD4" w:rsidRPr="00873941">
        <w:t xml:space="preserve"> (59.2% and 41.8%, respectively), and uptake of adjuvant T-DM1 for neoadjuvant non-responders from the </w:t>
      </w:r>
      <w:r w:rsidR="00573901" w:rsidRPr="00873941">
        <w:t>economic model</w:t>
      </w:r>
      <w:r w:rsidR="006F6AD4" w:rsidRPr="00873941">
        <w:t>.</w:t>
      </w:r>
    </w:p>
    <w:p w14:paraId="2A7B4F21" w14:textId="5E1C31B3" w:rsidR="006F4300" w:rsidRPr="00873941" w:rsidRDefault="006F4300" w:rsidP="006F4300">
      <w:pPr>
        <w:pStyle w:val="TableFigureFooter"/>
      </w:pPr>
      <w:proofErr w:type="spellStart"/>
      <w:r w:rsidRPr="00873941">
        <w:t>iDFS</w:t>
      </w:r>
      <w:proofErr w:type="spellEnd"/>
      <w:r w:rsidRPr="00873941">
        <w:t xml:space="preserve">= invasive disease-free survival; OS= overall survival; </w:t>
      </w:r>
      <w:proofErr w:type="spellStart"/>
      <w:r w:rsidR="006F6AD4" w:rsidRPr="00873941">
        <w:t>P+T+Chemo</w:t>
      </w:r>
      <w:proofErr w:type="spellEnd"/>
      <w:r w:rsidR="006F6AD4" w:rsidRPr="00873941">
        <w:t xml:space="preserve">=pertuzumab + trastuzumab + chemotherapy; </w:t>
      </w:r>
      <w:proofErr w:type="spellStart"/>
      <w:r w:rsidR="006F6AD4" w:rsidRPr="00873941">
        <w:t>T+Chemo</w:t>
      </w:r>
      <w:proofErr w:type="spellEnd"/>
      <w:r w:rsidR="006F6AD4" w:rsidRPr="00873941">
        <w:t xml:space="preserve">=trastuzumab + chemotherapy; </w:t>
      </w:r>
      <w:r w:rsidRPr="00873941">
        <w:t>T-DM1= trastuzumab emtansine.</w:t>
      </w:r>
    </w:p>
    <w:p w14:paraId="527F01A2" w14:textId="6BD0F27E" w:rsidR="006F4300" w:rsidRPr="00873941" w:rsidRDefault="006F4300" w:rsidP="0073177E">
      <w:pPr>
        <w:pStyle w:val="3-BodyText"/>
        <w:rPr>
          <w:color w:val="000000" w:themeColor="text1"/>
        </w:rPr>
      </w:pPr>
      <w:r w:rsidRPr="00873941">
        <w:rPr>
          <w:color w:val="000000" w:themeColor="text1"/>
        </w:rPr>
        <w:t xml:space="preserve">Overall, the Markov traces for T-DM1 and trastuzumab appeared reasonable. The model traces applied observed Kaplan-Meier </w:t>
      </w:r>
      <w:proofErr w:type="spellStart"/>
      <w:r w:rsidRPr="00873941">
        <w:rPr>
          <w:color w:val="000000" w:themeColor="text1"/>
        </w:rPr>
        <w:t>iDFS</w:t>
      </w:r>
      <w:proofErr w:type="spellEnd"/>
      <w:r w:rsidRPr="00873941">
        <w:rPr>
          <w:color w:val="000000" w:themeColor="text1"/>
        </w:rPr>
        <w:t xml:space="preserve"> data for the first 41.2 months. The modelled </w:t>
      </w:r>
      <w:proofErr w:type="spellStart"/>
      <w:r w:rsidRPr="00873941">
        <w:rPr>
          <w:color w:val="000000" w:themeColor="text1"/>
        </w:rPr>
        <w:t>iDFS</w:t>
      </w:r>
      <w:proofErr w:type="spellEnd"/>
      <w:r w:rsidRPr="00873941">
        <w:rPr>
          <w:color w:val="000000" w:themeColor="text1"/>
        </w:rPr>
        <w:t xml:space="preserve"> for 10 years was validated through comparison with the observed DFS from the HERA trial. The resubmission conducted no other validation of model traces.</w:t>
      </w:r>
    </w:p>
    <w:p w14:paraId="6D6E95D1" w14:textId="49F3B0B4" w:rsidR="006F4300" w:rsidRPr="00873941" w:rsidRDefault="006F4300" w:rsidP="0073177E">
      <w:pPr>
        <w:pStyle w:val="3-BodyText"/>
        <w:rPr>
          <w:color w:val="000000" w:themeColor="text1"/>
        </w:rPr>
      </w:pPr>
      <w:r w:rsidRPr="00873941">
        <w:rPr>
          <w:color w:val="000000" w:themeColor="text1"/>
        </w:rPr>
        <w:t xml:space="preserve">At the 40-year time horizon, the neoadjuvant responder arm demonstrated a progression-free </w:t>
      </w:r>
      <w:r w:rsidR="00B361DD" w:rsidRPr="00873941">
        <w:rPr>
          <w:color w:val="000000" w:themeColor="text1"/>
        </w:rPr>
        <w:t xml:space="preserve">survival </w:t>
      </w:r>
      <w:r w:rsidRPr="00873941">
        <w:rPr>
          <w:color w:val="000000" w:themeColor="text1"/>
        </w:rPr>
        <w:t xml:space="preserve">rate of 8.8%. For the non-responder arm, this rate was 6% for trastuzumab and </w:t>
      </w:r>
      <w:r w:rsidR="00E37899" w:rsidRPr="00873941">
        <w:rPr>
          <w:color w:val="000000" w:themeColor="text1"/>
        </w:rPr>
        <w:t>7.6</w:t>
      </w:r>
      <w:r w:rsidRPr="00873941">
        <w:rPr>
          <w:color w:val="000000" w:themeColor="text1"/>
        </w:rPr>
        <w:t xml:space="preserve">% for T-DM1 receiving patients. </w:t>
      </w:r>
    </w:p>
    <w:p w14:paraId="45011AA4" w14:textId="6A2871C2" w:rsidR="006F4300" w:rsidRPr="00873941" w:rsidRDefault="006F4300" w:rsidP="00816326">
      <w:pPr>
        <w:pStyle w:val="3-BodyText"/>
        <w:widowControl w:val="0"/>
        <w:spacing w:after="120"/>
        <w:rPr>
          <w:color w:val="000000" w:themeColor="text1"/>
        </w:rPr>
      </w:pPr>
      <w:r w:rsidRPr="00873941">
        <w:rPr>
          <w:color w:val="000000" w:themeColor="text1"/>
        </w:rPr>
        <w:t xml:space="preserve">A summary of the key drivers of the model is shown in </w:t>
      </w:r>
      <w:r w:rsidRPr="00873941">
        <w:rPr>
          <w:color w:val="000000" w:themeColor="text1"/>
        </w:rPr>
        <w:fldChar w:fldCharType="begin"/>
      </w:r>
      <w:r w:rsidRPr="00873941">
        <w:rPr>
          <w:color w:val="000000" w:themeColor="text1"/>
        </w:rPr>
        <w:instrText xml:space="preserve"> REF _Ref184644039 \h </w:instrText>
      </w:r>
      <w:r w:rsidR="00816326" w:rsidRPr="00873941">
        <w:rPr>
          <w:color w:val="000000" w:themeColor="text1"/>
        </w:rPr>
        <w:instrText xml:space="preserve"> \* MERGEFORMAT </w:instrText>
      </w:r>
      <w:r w:rsidRPr="00873941">
        <w:rPr>
          <w:color w:val="000000" w:themeColor="text1"/>
        </w:rPr>
      </w:r>
      <w:r w:rsidRPr="00873941">
        <w:rPr>
          <w:color w:val="000000" w:themeColor="text1"/>
        </w:rPr>
        <w:fldChar w:fldCharType="separate"/>
      </w:r>
      <w:r w:rsidR="000B094B" w:rsidRPr="000B094B">
        <w:rPr>
          <w:color w:val="000000" w:themeColor="text1"/>
        </w:rPr>
        <w:t>Table 14</w:t>
      </w:r>
      <w:r w:rsidRPr="00873941">
        <w:rPr>
          <w:color w:val="000000" w:themeColor="text1"/>
        </w:rPr>
        <w:fldChar w:fldCharType="end"/>
      </w:r>
      <w:r w:rsidRPr="00873941">
        <w:rPr>
          <w:color w:val="000000" w:themeColor="text1"/>
        </w:rPr>
        <w:t>.</w:t>
      </w:r>
    </w:p>
    <w:p w14:paraId="5667D959" w14:textId="2D815BF2" w:rsidR="006F4300" w:rsidRPr="00873941" w:rsidRDefault="006F4300" w:rsidP="00FC4117">
      <w:pPr>
        <w:pStyle w:val="TableFigureHeading"/>
        <w:keepLines/>
        <w:rPr>
          <w:rStyle w:val="CommentReference"/>
          <w:b/>
          <w:szCs w:val="24"/>
        </w:rPr>
      </w:pPr>
      <w:bookmarkStart w:id="88" w:name="_Ref184644039"/>
      <w:r w:rsidRPr="00873941">
        <w:rPr>
          <w:rStyle w:val="CommentReference"/>
          <w:b/>
          <w:szCs w:val="24"/>
        </w:rPr>
        <w:lastRenderedPageBreak/>
        <w:t xml:space="preserve">Table </w:t>
      </w:r>
      <w:r w:rsidRPr="00873941">
        <w:rPr>
          <w:rStyle w:val="CommentReference"/>
          <w:b/>
          <w:szCs w:val="24"/>
        </w:rPr>
        <w:fldChar w:fldCharType="begin"/>
      </w:r>
      <w:r w:rsidRPr="00873941">
        <w:rPr>
          <w:rStyle w:val="CommentReference"/>
          <w:b/>
          <w:szCs w:val="24"/>
        </w:rPr>
        <w:instrText xml:space="preserve"> SEQ Table \* ARABIC </w:instrText>
      </w:r>
      <w:r w:rsidRPr="00873941">
        <w:rPr>
          <w:rStyle w:val="CommentReference"/>
          <w:b/>
          <w:szCs w:val="24"/>
        </w:rPr>
        <w:fldChar w:fldCharType="separate"/>
      </w:r>
      <w:r w:rsidR="000B094B">
        <w:rPr>
          <w:rStyle w:val="CommentReference"/>
          <w:b/>
          <w:noProof/>
          <w:szCs w:val="24"/>
        </w:rPr>
        <w:t>14</w:t>
      </w:r>
      <w:r w:rsidRPr="00873941">
        <w:rPr>
          <w:rStyle w:val="CommentReference"/>
          <w:b/>
          <w:szCs w:val="24"/>
        </w:rPr>
        <w:fldChar w:fldCharType="end"/>
      </w:r>
      <w:bookmarkEnd w:id="88"/>
      <w:r w:rsidRPr="00873941">
        <w:rPr>
          <w:rStyle w:val="CommentReference"/>
          <w:b/>
          <w:szCs w:val="24"/>
        </w:rPr>
        <w:t xml:space="preserve">: Key drivers of the model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Key drivers of the model "/>
      </w:tblPr>
      <w:tblGrid>
        <w:gridCol w:w="1724"/>
        <w:gridCol w:w="3800"/>
        <w:gridCol w:w="3493"/>
      </w:tblGrid>
      <w:tr w:rsidR="006F4300" w:rsidRPr="00873941" w14:paraId="40F733A4" w14:textId="77777777" w:rsidTr="007722A2">
        <w:trPr>
          <w:tblHeader/>
        </w:trPr>
        <w:tc>
          <w:tcPr>
            <w:tcW w:w="956" w:type="pct"/>
            <w:tcBorders>
              <w:top w:val="single" w:sz="4" w:space="0" w:color="auto"/>
              <w:left w:val="single" w:sz="4" w:space="0" w:color="auto"/>
              <w:bottom w:val="single" w:sz="4" w:space="0" w:color="auto"/>
              <w:right w:val="single" w:sz="4" w:space="0" w:color="auto"/>
            </w:tcBorders>
            <w:vAlign w:val="center"/>
            <w:hideMark/>
          </w:tcPr>
          <w:p w14:paraId="690A0804" w14:textId="77777777" w:rsidR="006F4300" w:rsidRPr="00873941" w:rsidRDefault="006F4300" w:rsidP="00FC4117">
            <w:pPr>
              <w:pStyle w:val="TableFigureHeading"/>
              <w:keepLines/>
            </w:pPr>
            <w:r w:rsidRPr="00873941">
              <w:t>Description</w:t>
            </w:r>
          </w:p>
        </w:tc>
        <w:tc>
          <w:tcPr>
            <w:tcW w:w="2107" w:type="pct"/>
            <w:tcBorders>
              <w:top w:val="single" w:sz="4" w:space="0" w:color="auto"/>
              <w:left w:val="single" w:sz="4" w:space="0" w:color="auto"/>
              <w:bottom w:val="single" w:sz="4" w:space="0" w:color="auto"/>
              <w:right w:val="single" w:sz="4" w:space="0" w:color="auto"/>
            </w:tcBorders>
            <w:vAlign w:val="center"/>
            <w:hideMark/>
          </w:tcPr>
          <w:p w14:paraId="40E275BE" w14:textId="77777777" w:rsidR="006F4300" w:rsidRPr="00873941" w:rsidRDefault="006F4300" w:rsidP="00FC4117">
            <w:pPr>
              <w:pStyle w:val="TableFigureHeading"/>
              <w:keepLines/>
              <w:jc w:val="center"/>
            </w:pPr>
            <w:r w:rsidRPr="00873941">
              <w:t>Method/Value</w:t>
            </w:r>
          </w:p>
        </w:tc>
        <w:tc>
          <w:tcPr>
            <w:tcW w:w="1937" w:type="pct"/>
            <w:tcBorders>
              <w:top w:val="single" w:sz="4" w:space="0" w:color="auto"/>
              <w:left w:val="single" w:sz="4" w:space="0" w:color="auto"/>
              <w:bottom w:val="single" w:sz="4" w:space="0" w:color="auto"/>
              <w:right w:val="single" w:sz="4" w:space="0" w:color="auto"/>
            </w:tcBorders>
            <w:vAlign w:val="center"/>
            <w:hideMark/>
          </w:tcPr>
          <w:p w14:paraId="4ACBD044" w14:textId="77777777" w:rsidR="006F4300" w:rsidRPr="00873941" w:rsidRDefault="006F4300" w:rsidP="00FC4117">
            <w:pPr>
              <w:pStyle w:val="TableFigureHeading"/>
              <w:keepLines/>
            </w:pPr>
            <w:r w:rsidRPr="00873941">
              <w:t>Impact</w:t>
            </w:r>
          </w:p>
          <w:p w14:paraId="08019D2B" w14:textId="65DCCDBF" w:rsidR="006F4300" w:rsidRPr="00873941" w:rsidRDefault="006F4300" w:rsidP="00FC4117">
            <w:pPr>
              <w:pStyle w:val="TableFigureHeading"/>
              <w:keepLines/>
            </w:pPr>
            <w:r w:rsidRPr="00873941">
              <w:t>Base case: $</w:t>
            </w:r>
            <w:r w:rsidR="00471EB9" w:rsidRPr="00471EB9">
              <w:rPr>
                <w:color w:val="000000"/>
                <w:spacing w:val="58"/>
                <w:shd w:val="solid" w:color="000000" w:fill="000000"/>
                <w:fitText w:val="360" w:id="-694408177"/>
                <w14:textFill>
                  <w14:solidFill>
                    <w14:srgbClr w14:val="000000">
                      <w14:alpha w14:val="100000"/>
                    </w14:srgbClr>
                  </w14:solidFill>
                </w14:textFill>
              </w:rPr>
              <w:t>|||</w:t>
            </w:r>
            <w:r w:rsidR="00471EB9" w:rsidRPr="00471EB9">
              <w:rPr>
                <w:color w:val="000000"/>
                <w:spacing w:val="3"/>
                <w:shd w:val="solid" w:color="000000" w:fill="000000"/>
                <w:fitText w:val="360" w:id="-694408177"/>
                <w14:textFill>
                  <w14:solidFill>
                    <w14:srgbClr w14:val="000000">
                      <w14:alpha w14:val="100000"/>
                    </w14:srgbClr>
                  </w14:solidFill>
                </w14:textFill>
              </w:rPr>
              <w:t>|</w:t>
            </w:r>
            <w:r w:rsidR="00DF386B" w:rsidRPr="00DF386B">
              <w:rPr>
                <w:vertAlign w:val="superscript"/>
              </w:rPr>
              <w:t>1</w:t>
            </w:r>
            <w:r w:rsidRPr="00873941">
              <w:t>/QALY gained</w:t>
            </w:r>
          </w:p>
        </w:tc>
      </w:tr>
      <w:tr w:rsidR="006F4300" w:rsidRPr="00873941" w14:paraId="4C67641E" w14:textId="77777777" w:rsidTr="007722A2">
        <w:tc>
          <w:tcPr>
            <w:tcW w:w="956" w:type="pct"/>
            <w:tcBorders>
              <w:top w:val="single" w:sz="4" w:space="0" w:color="auto"/>
              <w:left w:val="single" w:sz="4" w:space="0" w:color="auto"/>
              <w:bottom w:val="single" w:sz="4" w:space="0" w:color="auto"/>
              <w:right w:val="single" w:sz="4" w:space="0" w:color="auto"/>
            </w:tcBorders>
            <w:vAlign w:val="center"/>
            <w:hideMark/>
          </w:tcPr>
          <w:p w14:paraId="6684FD2F" w14:textId="77777777" w:rsidR="006F4300" w:rsidRPr="00873941" w:rsidRDefault="006F4300" w:rsidP="00FC4117">
            <w:pPr>
              <w:pStyle w:val="TableText0"/>
              <w:widowControl w:val="0"/>
            </w:pPr>
            <w:r w:rsidRPr="00873941">
              <w:t>Relative risk of disease recurrence</w:t>
            </w:r>
          </w:p>
        </w:tc>
        <w:tc>
          <w:tcPr>
            <w:tcW w:w="2107" w:type="pct"/>
            <w:tcBorders>
              <w:top w:val="single" w:sz="4" w:space="0" w:color="auto"/>
              <w:left w:val="single" w:sz="4" w:space="0" w:color="auto"/>
              <w:bottom w:val="single" w:sz="4" w:space="0" w:color="auto"/>
              <w:right w:val="single" w:sz="4" w:space="0" w:color="auto"/>
            </w:tcBorders>
            <w:vAlign w:val="center"/>
            <w:hideMark/>
          </w:tcPr>
          <w:p w14:paraId="55AED918" w14:textId="4187F7C0" w:rsidR="006F4300" w:rsidRPr="00873941" w:rsidRDefault="006F4300" w:rsidP="00FC4117">
            <w:pPr>
              <w:pStyle w:val="TableText0"/>
              <w:widowControl w:val="0"/>
              <w:rPr>
                <w:i/>
                <w:iCs/>
              </w:rPr>
            </w:pPr>
            <w:r w:rsidRPr="00873941">
              <w:t xml:space="preserve">For neoadjuvant responders, an HR of 0.35 (Swain 2022) was applied to the trastuzumab arm of the KATHERINE trial. </w:t>
            </w:r>
          </w:p>
        </w:tc>
        <w:tc>
          <w:tcPr>
            <w:tcW w:w="1937" w:type="pct"/>
            <w:tcBorders>
              <w:top w:val="single" w:sz="4" w:space="0" w:color="auto"/>
              <w:left w:val="single" w:sz="4" w:space="0" w:color="auto"/>
              <w:bottom w:val="single" w:sz="4" w:space="0" w:color="auto"/>
              <w:right w:val="single" w:sz="4" w:space="0" w:color="auto"/>
            </w:tcBorders>
            <w:vAlign w:val="center"/>
            <w:hideMark/>
          </w:tcPr>
          <w:p w14:paraId="2FCB416A" w14:textId="77777777" w:rsidR="006F4300" w:rsidRPr="00873941" w:rsidRDefault="006F4300" w:rsidP="00FC4117">
            <w:pPr>
              <w:pStyle w:val="TableText0"/>
              <w:widowControl w:val="0"/>
            </w:pPr>
            <w:r w:rsidRPr="00873941">
              <w:t xml:space="preserve">High, favours </w:t>
            </w:r>
            <w:proofErr w:type="spellStart"/>
            <w:r w:rsidRPr="00873941">
              <w:t>P+T+Chemo</w:t>
            </w:r>
            <w:proofErr w:type="spellEnd"/>
          </w:p>
          <w:p w14:paraId="2399553A" w14:textId="20453E18" w:rsidR="006F4300" w:rsidRPr="00873941" w:rsidRDefault="006F4300" w:rsidP="00FC4117">
            <w:pPr>
              <w:pStyle w:val="TableText0"/>
              <w:widowControl w:val="0"/>
            </w:pPr>
            <w:r w:rsidRPr="00873941">
              <w:t xml:space="preserve">ICER </w:t>
            </w:r>
            <w:r w:rsidR="00471EB9" w:rsidRPr="00471EB9">
              <w:rPr>
                <w:color w:val="000000"/>
                <w:spacing w:val="49"/>
                <w:shd w:val="solid" w:color="000000" w:fill="000000"/>
                <w:fitText w:val="320" w:id="-694408176"/>
                <w14:textFill>
                  <w14:solidFill>
                    <w14:srgbClr w14:val="000000">
                      <w14:alpha w14:val="100000"/>
                    </w14:srgbClr>
                  </w14:solidFill>
                </w14:textFill>
              </w:rPr>
              <w:t>|||</w:t>
            </w:r>
            <w:r w:rsidR="00471EB9" w:rsidRPr="00471EB9">
              <w:rPr>
                <w:color w:val="000000"/>
                <w:spacing w:val="3"/>
                <w:shd w:val="solid" w:color="000000" w:fill="000000"/>
                <w:fitText w:val="320" w:id="-694408176"/>
                <w14:textFill>
                  <w14:solidFill>
                    <w14:srgbClr w14:val="000000">
                      <w14:alpha w14:val="100000"/>
                    </w14:srgbClr>
                  </w14:solidFill>
                </w14:textFill>
              </w:rPr>
              <w:t>|</w:t>
            </w:r>
            <w:r w:rsidR="00DF386B" w:rsidRPr="00DF386B">
              <w:rPr>
                <w:vertAlign w:val="superscript"/>
              </w:rPr>
              <w:t>2</w:t>
            </w:r>
            <w:r w:rsidRPr="00873941">
              <w:t>/QALY gained by applying an HR = 0.</w:t>
            </w:r>
            <w:r w:rsidR="000D67D3" w:rsidRPr="00873941">
              <w:t>46</w:t>
            </w:r>
            <w:r w:rsidR="000D67D3" w:rsidRPr="00873941">
              <w:rPr>
                <w:vertAlign w:val="superscript"/>
              </w:rPr>
              <w:t xml:space="preserve"> </w:t>
            </w:r>
            <w:r w:rsidRPr="00873941">
              <w:t xml:space="preserve">(upper 95% CI). </w:t>
            </w:r>
            <w:r w:rsidR="00961822" w:rsidRPr="00873941">
              <w:t xml:space="preserve">Using HR= 0.54 from the NEOSPHERE trial increased the ICER from </w:t>
            </w:r>
            <w:r w:rsidR="00471EB9" w:rsidRPr="00471EB9">
              <w:rPr>
                <w:color w:val="000000"/>
                <w:spacing w:val="53"/>
                <w:shd w:val="solid" w:color="000000" w:fill="000000"/>
                <w:fitText w:val="330" w:id="-694408192"/>
                <w14:textFill>
                  <w14:solidFill>
                    <w14:srgbClr w14:val="000000">
                      <w14:alpha w14:val="100000"/>
                    </w14:srgbClr>
                  </w14:solidFill>
                </w14:textFill>
              </w:rPr>
              <w:t>|||</w:t>
            </w:r>
            <w:r w:rsidR="00471EB9" w:rsidRPr="00471EB9">
              <w:rPr>
                <w:color w:val="000000"/>
                <w:spacing w:val="1"/>
                <w:shd w:val="solid" w:color="000000" w:fill="000000"/>
                <w:fitText w:val="330" w:id="-694408192"/>
                <w14:textFill>
                  <w14:solidFill>
                    <w14:srgbClr w14:val="000000">
                      <w14:alpha w14:val="100000"/>
                    </w14:srgbClr>
                  </w14:solidFill>
                </w14:textFill>
              </w:rPr>
              <w:t>|</w:t>
            </w:r>
            <w:r w:rsidR="00DF386B" w:rsidRPr="00DF386B">
              <w:rPr>
                <w:vertAlign w:val="superscript"/>
              </w:rPr>
              <w:t>1</w:t>
            </w:r>
            <w:r w:rsidR="00961822" w:rsidRPr="00873941">
              <w:t xml:space="preserve"> to </w:t>
            </w:r>
            <w:r w:rsidR="00471EB9" w:rsidRPr="00471EB9">
              <w:rPr>
                <w:color w:val="000000"/>
                <w:spacing w:val="53"/>
                <w:shd w:val="solid" w:color="000000" w:fill="000000"/>
                <w:fitText w:val="330" w:id="-694408191"/>
                <w14:textFill>
                  <w14:solidFill>
                    <w14:srgbClr w14:val="000000">
                      <w14:alpha w14:val="100000"/>
                    </w14:srgbClr>
                  </w14:solidFill>
                </w14:textFill>
              </w:rPr>
              <w:t>|||</w:t>
            </w:r>
            <w:r w:rsidR="00471EB9" w:rsidRPr="00471EB9">
              <w:rPr>
                <w:color w:val="000000"/>
                <w:spacing w:val="1"/>
                <w:shd w:val="solid" w:color="000000" w:fill="000000"/>
                <w:fitText w:val="330" w:id="-694408191"/>
                <w14:textFill>
                  <w14:solidFill>
                    <w14:srgbClr w14:val="000000">
                      <w14:alpha w14:val="100000"/>
                    </w14:srgbClr>
                  </w14:solidFill>
                </w14:textFill>
              </w:rPr>
              <w:t>|</w:t>
            </w:r>
            <w:r w:rsidR="003304DB" w:rsidRPr="003304DB">
              <w:rPr>
                <w:vertAlign w:val="superscript"/>
              </w:rPr>
              <w:t>3</w:t>
            </w:r>
            <w:r w:rsidR="00961822" w:rsidRPr="00873941">
              <w:t>/QALY gained.</w:t>
            </w:r>
          </w:p>
        </w:tc>
      </w:tr>
      <w:tr w:rsidR="006F4300" w:rsidRPr="00873941" w14:paraId="242CC972" w14:textId="77777777" w:rsidTr="007722A2">
        <w:tc>
          <w:tcPr>
            <w:tcW w:w="956" w:type="pct"/>
            <w:tcBorders>
              <w:top w:val="single" w:sz="4" w:space="0" w:color="auto"/>
              <w:left w:val="single" w:sz="4" w:space="0" w:color="auto"/>
              <w:bottom w:val="single" w:sz="4" w:space="0" w:color="auto"/>
              <w:right w:val="single" w:sz="4" w:space="0" w:color="auto"/>
            </w:tcBorders>
            <w:vAlign w:val="center"/>
            <w:hideMark/>
          </w:tcPr>
          <w:p w14:paraId="3578A8C4" w14:textId="77777777" w:rsidR="006F4300" w:rsidRPr="00873941" w:rsidRDefault="006F4300" w:rsidP="00FC4117">
            <w:pPr>
              <w:pStyle w:val="TableText0"/>
              <w:widowControl w:val="0"/>
            </w:pPr>
            <w:r w:rsidRPr="00873941">
              <w:t>Time horizon</w:t>
            </w:r>
          </w:p>
        </w:tc>
        <w:tc>
          <w:tcPr>
            <w:tcW w:w="2107" w:type="pct"/>
            <w:tcBorders>
              <w:top w:val="single" w:sz="4" w:space="0" w:color="auto"/>
              <w:left w:val="single" w:sz="4" w:space="0" w:color="auto"/>
              <w:bottom w:val="single" w:sz="4" w:space="0" w:color="auto"/>
              <w:right w:val="single" w:sz="4" w:space="0" w:color="auto"/>
            </w:tcBorders>
            <w:vAlign w:val="center"/>
            <w:hideMark/>
          </w:tcPr>
          <w:p w14:paraId="70EF472F" w14:textId="45EFDAC4" w:rsidR="006F4300" w:rsidRPr="00873941" w:rsidRDefault="00904DF7" w:rsidP="00FC4117">
            <w:pPr>
              <w:pStyle w:val="TableText0"/>
              <w:widowControl w:val="0"/>
            </w:pPr>
            <w:r w:rsidRPr="00873941">
              <w:t xml:space="preserve">The resubmission applied a 40-year time horizon. </w:t>
            </w:r>
          </w:p>
        </w:tc>
        <w:tc>
          <w:tcPr>
            <w:tcW w:w="1937" w:type="pct"/>
            <w:tcBorders>
              <w:top w:val="single" w:sz="4" w:space="0" w:color="auto"/>
              <w:left w:val="single" w:sz="4" w:space="0" w:color="auto"/>
              <w:bottom w:val="single" w:sz="4" w:space="0" w:color="auto"/>
              <w:right w:val="single" w:sz="4" w:space="0" w:color="auto"/>
            </w:tcBorders>
            <w:vAlign w:val="center"/>
            <w:hideMark/>
          </w:tcPr>
          <w:p w14:paraId="268ACA11" w14:textId="77777777" w:rsidR="006F4300" w:rsidRPr="00873941" w:rsidRDefault="006F4300" w:rsidP="00FC4117">
            <w:pPr>
              <w:pStyle w:val="TableText0"/>
              <w:widowControl w:val="0"/>
            </w:pPr>
            <w:r w:rsidRPr="00873941">
              <w:t xml:space="preserve">High, favours </w:t>
            </w:r>
            <w:proofErr w:type="spellStart"/>
            <w:r w:rsidRPr="00873941">
              <w:t>P+T+Chemo</w:t>
            </w:r>
            <w:proofErr w:type="spellEnd"/>
          </w:p>
          <w:p w14:paraId="3576A88C" w14:textId="49945038" w:rsidR="006F4300" w:rsidRPr="00873941" w:rsidRDefault="006F4300" w:rsidP="00FC4117">
            <w:pPr>
              <w:pStyle w:val="TableText0"/>
              <w:widowControl w:val="0"/>
            </w:pPr>
            <w:r w:rsidRPr="00873941">
              <w:t>ICER =</w:t>
            </w:r>
            <w:r w:rsidR="00471EB9" w:rsidRPr="00471EB9">
              <w:rPr>
                <w:color w:val="000000"/>
                <w:spacing w:val="53"/>
                <w:shd w:val="solid" w:color="000000" w:fill="000000"/>
                <w:fitText w:val="330" w:id="-694408190"/>
                <w14:textFill>
                  <w14:solidFill>
                    <w14:srgbClr w14:val="000000">
                      <w14:alpha w14:val="100000"/>
                    </w14:srgbClr>
                  </w14:solidFill>
                </w14:textFill>
              </w:rPr>
              <w:t>|||</w:t>
            </w:r>
            <w:r w:rsidR="00471EB9" w:rsidRPr="00471EB9">
              <w:rPr>
                <w:color w:val="000000"/>
                <w:spacing w:val="1"/>
                <w:shd w:val="solid" w:color="000000" w:fill="000000"/>
                <w:fitText w:val="330" w:id="-694408190"/>
                <w14:textFill>
                  <w14:solidFill>
                    <w14:srgbClr w14:val="000000">
                      <w14:alpha w14:val="100000"/>
                    </w14:srgbClr>
                  </w14:solidFill>
                </w14:textFill>
              </w:rPr>
              <w:t>|</w:t>
            </w:r>
            <w:r w:rsidR="001A113D" w:rsidRPr="001A113D">
              <w:rPr>
                <w:vertAlign w:val="superscript"/>
              </w:rPr>
              <w:t>4</w:t>
            </w:r>
            <w:r w:rsidRPr="00873941">
              <w:t>/QALY gained assuming 20-year time horizon.</w:t>
            </w:r>
          </w:p>
        </w:tc>
      </w:tr>
      <w:tr w:rsidR="006F4300" w:rsidRPr="00873941" w14:paraId="12F88FC4" w14:textId="77777777" w:rsidTr="007722A2">
        <w:tc>
          <w:tcPr>
            <w:tcW w:w="956" w:type="pct"/>
            <w:tcBorders>
              <w:top w:val="single" w:sz="4" w:space="0" w:color="auto"/>
              <w:left w:val="single" w:sz="4" w:space="0" w:color="auto"/>
              <w:bottom w:val="single" w:sz="4" w:space="0" w:color="auto"/>
              <w:right w:val="single" w:sz="4" w:space="0" w:color="auto"/>
            </w:tcBorders>
            <w:vAlign w:val="center"/>
            <w:hideMark/>
          </w:tcPr>
          <w:p w14:paraId="6538D1EF" w14:textId="77777777" w:rsidR="006F4300" w:rsidRPr="00873941" w:rsidRDefault="006F4300" w:rsidP="00FC4117">
            <w:pPr>
              <w:pStyle w:val="TableText0"/>
              <w:widowControl w:val="0"/>
            </w:pPr>
            <w:r w:rsidRPr="00873941">
              <w:t>Number of neoadjuvant pertuzumab cycles</w:t>
            </w:r>
          </w:p>
        </w:tc>
        <w:tc>
          <w:tcPr>
            <w:tcW w:w="2107" w:type="pct"/>
            <w:tcBorders>
              <w:top w:val="single" w:sz="4" w:space="0" w:color="auto"/>
              <w:left w:val="single" w:sz="4" w:space="0" w:color="auto"/>
              <w:bottom w:val="single" w:sz="4" w:space="0" w:color="auto"/>
              <w:right w:val="single" w:sz="4" w:space="0" w:color="auto"/>
            </w:tcBorders>
            <w:vAlign w:val="center"/>
            <w:hideMark/>
          </w:tcPr>
          <w:p w14:paraId="4FDAAE84" w14:textId="38234C93" w:rsidR="006F4300" w:rsidRPr="00873941" w:rsidRDefault="006F4300" w:rsidP="00FC4117">
            <w:pPr>
              <w:pStyle w:val="TableText0"/>
              <w:widowControl w:val="0"/>
            </w:pPr>
            <w:r w:rsidRPr="00873941">
              <w:t xml:space="preserve">The resubmission estimated that a neoadjuvant course of pertuzumab was expected to consist of 4.45 cycles of the drug. The proposed PBS indication was </w:t>
            </w:r>
            <w:r w:rsidR="00373C62" w:rsidRPr="00873941">
              <w:t>u</w:t>
            </w:r>
            <w:r w:rsidRPr="00873941">
              <w:t>p to a maximum of 6 cycles (18 weeks) of therapy.</w:t>
            </w:r>
          </w:p>
        </w:tc>
        <w:tc>
          <w:tcPr>
            <w:tcW w:w="1937" w:type="pct"/>
            <w:tcBorders>
              <w:top w:val="single" w:sz="4" w:space="0" w:color="auto"/>
              <w:left w:val="single" w:sz="4" w:space="0" w:color="auto"/>
              <w:bottom w:val="single" w:sz="4" w:space="0" w:color="auto"/>
              <w:right w:val="single" w:sz="4" w:space="0" w:color="auto"/>
            </w:tcBorders>
            <w:vAlign w:val="center"/>
            <w:hideMark/>
          </w:tcPr>
          <w:p w14:paraId="1365DEFD" w14:textId="77777777" w:rsidR="006F4300" w:rsidRPr="00873941" w:rsidRDefault="006F4300" w:rsidP="00FC4117">
            <w:pPr>
              <w:pStyle w:val="TableText0"/>
              <w:widowControl w:val="0"/>
            </w:pPr>
            <w:r w:rsidRPr="00873941">
              <w:t xml:space="preserve">High, favours </w:t>
            </w:r>
            <w:proofErr w:type="spellStart"/>
            <w:r w:rsidRPr="00873941">
              <w:t>P+T+Chemo</w:t>
            </w:r>
            <w:proofErr w:type="spellEnd"/>
          </w:p>
          <w:p w14:paraId="46284C01" w14:textId="043EEBAF" w:rsidR="006F4300" w:rsidRPr="00873941" w:rsidRDefault="006F4300" w:rsidP="00FC4117">
            <w:pPr>
              <w:pStyle w:val="TableText0"/>
              <w:widowControl w:val="0"/>
            </w:pPr>
            <w:r w:rsidRPr="00873941">
              <w:t xml:space="preserve">ICER: 6 cycles </w:t>
            </w:r>
            <w:proofErr w:type="gramStart"/>
            <w:r w:rsidRPr="00873941">
              <w:t>was</w:t>
            </w:r>
            <w:proofErr w:type="gramEnd"/>
            <w:r w:rsidRPr="00873941">
              <w:t xml:space="preserve"> </w:t>
            </w:r>
            <w:r w:rsidR="00471EB9" w:rsidRPr="00471EB9">
              <w:rPr>
                <w:color w:val="000000"/>
                <w:spacing w:val="53"/>
                <w:shd w:val="solid" w:color="000000" w:fill="000000"/>
                <w:fitText w:val="330" w:id="-694408189"/>
                <w14:textFill>
                  <w14:solidFill>
                    <w14:srgbClr w14:val="000000">
                      <w14:alpha w14:val="100000"/>
                    </w14:srgbClr>
                  </w14:solidFill>
                </w14:textFill>
              </w:rPr>
              <w:t>|||</w:t>
            </w:r>
            <w:r w:rsidR="00471EB9" w:rsidRPr="00471EB9">
              <w:rPr>
                <w:color w:val="000000"/>
                <w:spacing w:val="1"/>
                <w:shd w:val="solid" w:color="000000" w:fill="000000"/>
                <w:fitText w:val="330" w:id="-694408189"/>
                <w14:textFill>
                  <w14:solidFill>
                    <w14:srgbClr w14:val="000000">
                      <w14:alpha w14:val="100000"/>
                    </w14:srgbClr>
                  </w14:solidFill>
                </w14:textFill>
              </w:rPr>
              <w:t>|</w:t>
            </w:r>
            <w:r w:rsidR="003304DB" w:rsidRPr="00DF386B">
              <w:rPr>
                <w:vertAlign w:val="superscript"/>
              </w:rPr>
              <w:t>2</w:t>
            </w:r>
            <w:r w:rsidRPr="00873941">
              <w:t>/QALY gained.</w:t>
            </w:r>
          </w:p>
        </w:tc>
      </w:tr>
      <w:tr w:rsidR="006F4300" w:rsidRPr="00873941" w14:paraId="4597BA84" w14:textId="77777777" w:rsidTr="007722A2">
        <w:trPr>
          <w:cantSplit/>
        </w:trPr>
        <w:tc>
          <w:tcPr>
            <w:tcW w:w="956" w:type="pct"/>
            <w:tcBorders>
              <w:top w:val="single" w:sz="4" w:space="0" w:color="auto"/>
              <w:left w:val="single" w:sz="4" w:space="0" w:color="auto"/>
              <w:bottom w:val="single" w:sz="4" w:space="0" w:color="auto"/>
              <w:right w:val="single" w:sz="4" w:space="0" w:color="auto"/>
            </w:tcBorders>
            <w:vAlign w:val="center"/>
            <w:hideMark/>
          </w:tcPr>
          <w:p w14:paraId="64B01E07" w14:textId="77777777" w:rsidR="006F4300" w:rsidRPr="00873941" w:rsidRDefault="006F4300" w:rsidP="00FC4117">
            <w:pPr>
              <w:pStyle w:val="TableText0"/>
              <w:widowControl w:val="0"/>
            </w:pPr>
            <w:r w:rsidRPr="00873941">
              <w:t>Sustained remission adjustment</w:t>
            </w:r>
          </w:p>
        </w:tc>
        <w:tc>
          <w:tcPr>
            <w:tcW w:w="2107" w:type="pct"/>
            <w:tcBorders>
              <w:top w:val="single" w:sz="4" w:space="0" w:color="auto"/>
              <w:left w:val="single" w:sz="4" w:space="0" w:color="auto"/>
              <w:bottom w:val="single" w:sz="4" w:space="0" w:color="auto"/>
              <w:right w:val="single" w:sz="4" w:space="0" w:color="auto"/>
            </w:tcBorders>
            <w:vAlign w:val="center"/>
            <w:hideMark/>
          </w:tcPr>
          <w:p w14:paraId="585919E6" w14:textId="110118E1" w:rsidR="006F4300" w:rsidRPr="0032289B" w:rsidRDefault="006105D5" w:rsidP="00FC4117">
            <w:pPr>
              <w:pStyle w:val="TableText0"/>
              <w:widowControl w:val="0"/>
            </w:pPr>
            <w:r w:rsidRPr="0032289B">
              <w:t>A</w:t>
            </w:r>
            <w:r w:rsidR="00F24BA2" w:rsidRPr="0032289B">
              <w:t xml:space="preserve">djustment to reflect </w:t>
            </w:r>
            <w:r w:rsidRPr="0032289B">
              <w:t>the chance of achieving a sustained remission increas</w:t>
            </w:r>
            <w:r w:rsidR="00F24BA2" w:rsidRPr="0032289B">
              <w:t>ing</w:t>
            </w:r>
            <w:r w:rsidRPr="0032289B">
              <w:t xml:space="preserve"> over time</w:t>
            </w:r>
            <w:r w:rsidR="00563EF2" w:rsidRPr="0032289B">
              <w:t xml:space="preserve">, set to a maximum of 95% ten years after treatment initiation </w:t>
            </w:r>
            <w:r w:rsidR="006F4300" w:rsidRPr="0032289B">
              <w:t xml:space="preserve">based on the HERA and BCIRG-006 </w:t>
            </w:r>
            <w:r w:rsidR="00F8312A" w:rsidRPr="0032289B">
              <w:t>trial</w:t>
            </w:r>
            <w:r w:rsidR="006F4300" w:rsidRPr="0032289B">
              <w:t xml:space="preserve"> evidence. </w:t>
            </w:r>
            <w:r w:rsidR="00653B05" w:rsidRPr="0032289B">
              <w:t>Patients who achieved sustained remission are no longer at risk for a recurrence event and only experience risk of death as specified by the background mortality.</w:t>
            </w:r>
          </w:p>
        </w:tc>
        <w:tc>
          <w:tcPr>
            <w:tcW w:w="1937" w:type="pct"/>
            <w:tcBorders>
              <w:top w:val="single" w:sz="4" w:space="0" w:color="auto"/>
              <w:left w:val="single" w:sz="4" w:space="0" w:color="auto"/>
              <w:bottom w:val="single" w:sz="4" w:space="0" w:color="auto"/>
              <w:right w:val="single" w:sz="4" w:space="0" w:color="auto"/>
            </w:tcBorders>
            <w:vAlign w:val="center"/>
          </w:tcPr>
          <w:p w14:paraId="6D435EC0" w14:textId="4DA7FEB0" w:rsidR="006F4300" w:rsidRPr="009A6D6C" w:rsidRDefault="006F4300" w:rsidP="00FC4117">
            <w:pPr>
              <w:pStyle w:val="TableText0"/>
              <w:widowControl w:val="0"/>
            </w:pPr>
            <w:r w:rsidRPr="00873941">
              <w:t xml:space="preserve">High, favours </w:t>
            </w:r>
            <w:proofErr w:type="spellStart"/>
            <w:r w:rsidRPr="00873941">
              <w:t>T+Chemo</w:t>
            </w:r>
            <w:proofErr w:type="spellEnd"/>
            <w:r w:rsidR="00A1109D" w:rsidRPr="00873941">
              <w:t xml:space="preserve"> </w:t>
            </w:r>
            <w:r w:rsidR="00A1109D" w:rsidRPr="009A6D6C">
              <w:t>for all values less than 95%</w:t>
            </w:r>
          </w:p>
          <w:p w14:paraId="4C96CF8E" w14:textId="77777777" w:rsidR="006F4300" w:rsidRPr="00873941" w:rsidRDefault="006F4300" w:rsidP="00FC4117">
            <w:pPr>
              <w:pStyle w:val="TableText0"/>
              <w:widowControl w:val="0"/>
            </w:pPr>
            <w:r w:rsidRPr="00873941">
              <w:t xml:space="preserve">ICER: No sustained remission adjustment </w:t>
            </w:r>
          </w:p>
          <w:p w14:paraId="71542EE3" w14:textId="22DE1349" w:rsidR="006F4300" w:rsidRPr="00873941" w:rsidRDefault="00471EB9" w:rsidP="00FC4117">
            <w:pPr>
              <w:pStyle w:val="TableText0"/>
              <w:widowControl w:val="0"/>
            </w:pPr>
            <w:r w:rsidRPr="00471EB9">
              <w:rPr>
                <w:color w:val="000000"/>
                <w:spacing w:val="53"/>
                <w:shd w:val="solid" w:color="000000" w:fill="000000"/>
                <w:fitText w:val="330" w:id="-694408188"/>
                <w14:textFill>
                  <w14:solidFill>
                    <w14:srgbClr w14:val="000000">
                      <w14:alpha w14:val="100000"/>
                    </w14:srgbClr>
                  </w14:solidFill>
                </w14:textFill>
              </w:rPr>
              <w:t>|||</w:t>
            </w:r>
            <w:r w:rsidRPr="00471EB9">
              <w:rPr>
                <w:color w:val="000000"/>
                <w:spacing w:val="1"/>
                <w:shd w:val="solid" w:color="000000" w:fill="000000"/>
                <w:fitText w:val="330" w:id="-694408188"/>
                <w14:textFill>
                  <w14:solidFill>
                    <w14:srgbClr w14:val="000000">
                      <w14:alpha w14:val="100000"/>
                    </w14:srgbClr>
                  </w14:solidFill>
                </w14:textFill>
              </w:rPr>
              <w:t>|</w:t>
            </w:r>
            <w:r w:rsidR="00755060" w:rsidRPr="00755060">
              <w:rPr>
                <w:vertAlign w:val="superscript"/>
              </w:rPr>
              <w:t>5</w:t>
            </w:r>
            <w:r w:rsidR="006F4300" w:rsidRPr="00873941">
              <w:t xml:space="preserve">/QALY gained. </w:t>
            </w:r>
          </w:p>
        </w:tc>
      </w:tr>
    </w:tbl>
    <w:p w14:paraId="02E5211E" w14:textId="77777777" w:rsidR="006F4300" w:rsidRPr="00873941" w:rsidRDefault="006F4300" w:rsidP="006F4300">
      <w:pPr>
        <w:pStyle w:val="FooterTableFigure"/>
        <w:widowControl w:val="0"/>
      </w:pPr>
      <w:r w:rsidRPr="00873941">
        <w:t xml:space="preserve">Source: Table 3-1, p144 of the resubmission; Table 3-4, p152 of the resubmission; Table 3-5, p155 of the resubmission, and Section 3.2.2, pp149-152 of the resubmission, </w:t>
      </w:r>
    </w:p>
    <w:p w14:paraId="2B342F9A" w14:textId="77777777" w:rsidR="006F4300" w:rsidRPr="00873941" w:rsidRDefault="006F4300" w:rsidP="006F4300">
      <w:pPr>
        <w:pStyle w:val="FooterTableFigure"/>
        <w:widowControl w:val="0"/>
      </w:pPr>
      <w:r w:rsidRPr="00873941">
        <w:t xml:space="preserve">CI = confidence interval; </w:t>
      </w:r>
      <w:proofErr w:type="spellStart"/>
      <w:r w:rsidRPr="00873941">
        <w:t>eBC</w:t>
      </w:r>
      <w:proofErr w:type="spellEnd"/>
      <w:r w:rsidRPr="00873941">
        <w:t xml:space="preserve">= early breast cancer; EFS= </w:t>
      </w:r>
      <w:bookmarkStart w:id="89" w:name="_Hlk182987812"/>
      <w:r w:rsidRPr="00873941">
        <w:t>event free survival</w:t>
      </w:r>
      <w:bookmarkEnd w:id="89"/>
      <w:r w:rsidRPr="00873941">
        <w:t xml:space="preserve">; HER2= human epidermal growth factor receptor 2; HR= hazard ratio; ICER= incremental cost effectiveness ratio; </w:t>
      </w:r>
      <w:proofErr w:type="spellStart"/>
      <w:r w:rsidRPr="00873941">
        <w:t>iDFS</w:t>
      </w:r>
      <w:proofErr w:type="spellEnd"/>
      <w:r w:rsidRPr="00873941">
        <w:t xml:space="preserve">= invasive disease free survival; </w:t>
      </w:r>
      <w:proofErr w:type="spellStart"/>
      <w:r w:rsidRPr="00873941">
        <w:t>mBC</w:t>
      </w:r>
      <w:proofErr w:type="spellEnd"/>
      <w:r w:rsidRPr="00873941">
        <w:t xml:space="preserve">= metastatic breast cancer; PBS= Pharmaceutical Benefits Scheme; pCR= pathological complete response; RCT= randomised control trial; T-DM1= trastuzumab emtansine; </w:t>
      </w:r>
      <w:proofErr w:type="spellStart"/>
      <w:r w:rsidRPr="00873941">
        <w:t>P+T+Chemo</w:t>
      </w:r>
      <w:proofErr w:type="spellEnd"/>
      <w:r w:rsidRPr="00873941">
        <w:t xml:space="preserve"> = pertuzumab + trastuzumab + chemotherapy; QALYs= quality adjusted life years. </w:t>
      </w:r>
    </w:p>
    <w:p w14:paraId="0C12E72A" w14:textId="77777777" w:rsidR="006F4300" w:rsidRPr="00873941" w:rsidRDefault="006F4300" w:rsidP="006F4300">
      <w:pPr>
        <w:pStyle w:val="FooterTableFigure"/>
        <w:widowControl w:val="0"/>
      </w:pPr>
      <w:proofErr w:type="spellStart"/>
      <w:r w:rsidRPr="00873941">
        <w:rPr>
          <w:vertAlign w:val="superscript"/>
        </w:rPr>
        <w:t>a</w:t>
      </w:r>
      <w:proofErr w:type="spellEnd"/>
      <w:r w:rsidRPr="00873941">
        <w:rPr>
          <w:vertAlign w:val="superscript"/>
        </w:rPr>
        <w:t xml:space="preserve"> </w:t>
      </w:r>
      <w:r w:rsidRPr="00873941">
        <w:t xml:space="preserve">The resubmission did not provide a reference for IPSOS (2018). </w:t>
      </w:r>
    </w:p>
    <w:p w14:paraId="672B33A8" w14:textId="77777777" w:rsidR="00DE6265" w:rsidRDefault="006F4300" w:rsidP="00DE6265">
      <w:pPr>
        <w:pStyle w:val="FooterTableFigure"/>
        <w:widowControl w:val="0"/>
      </w:pPr>
      <w:r w:rsidRPr="00873941">
        <w:rPr>
          <w:vertAlign w:val="superscript"/>
        </w:rPr>
        <w:t>b</w:t>
      </w:r>
      <w:r w:rsidRPr="00873941">
        <w:t xml:space="preserve"> Upper 95% confidence limit (HR=0.4</w:t>
      </w:r>
      <w:r w:rsidR="000D67D3" w:rsidRPr="00873941">
        <w:t>6</w:t>
      </w:r>
      <w:r w:rsidRPr="00873941">
        <w:t xml:space="preserve">) of the Swain (2022) point estimate. </w:t>
      </w:r>
    </w:p>
    <w:p w14:paraId="4EDFC753" w14:textId="3D4A51A6" w:rsidR="00DE6265" w:rsidRPr="000A652D" w:rsidRDefault="00DE6265" w:rsidP="00DE6265">
      <w:pPr>
        <w:pStyle w:val="FooterTableFigure"/>
        <w:widowControl w:val="0"/>
        <w:rPr>
          <w:i/>
          <w:iCs/>
        </w:rPr>
      </w:pPr>
      <w:r w:rsidRPr="000A652D">
        <w:rPr>
          <w:i/>
          <w:iCs/>
        </w:rPr>
        <w:t xml:space="preserve">The redacted values correspond to the following ranges: </w:t>
      </w:r>
    </w:p>
    <w:p w14:paraId="67054D17" w14:textId="68138507" w:rsidR="00DE6265" w:rsidRPr="000A652D" w:rsidRDefault="00DE6265" w:rsidP="00DE6265">
      <w:pPr>
        <w:pStyle w:val="FooterTableFigure"/>
        <w:widowControl w:val="0"/>
        <w:rPr>
          <w:i/>
          <w:iCs/>
        </w:rPr>
      </w:pPr>
      <w:r w:rsidRPr="001E055D">
        <w:rPr>
          <w:i/>
          <w:iCs/>
          <w:vertAlign w:val="superscript"/>
        </w:rPr>
        <w:t xml:space="preserve">1 </w:t>
      </w:r>
      <w:r w:rsidRPr="000A652D">
        <w:rPr>
          <w:i/>
          <w:iCs/>
        </w:rPr>
        <w:t xml:space="preserve">$25,000 to &lt; $35,000 </w:t>
      </w:r>
    </w:p>
    <w:p w14:paraId="3BF5A4CA" w14:textId="77777777" w:rsidR="001A113D" w:rsidRPr="000A652D" w:rsidRDefault="00DE6265" w:rsidP="00DE6265">
      <w:pPr>
        <w:pStyle w:val="FooterTableFigure"/>
        <w:widowControl w:val="0"/>
        <w:rPr>
          <w:i/>
          <w:iCs/>
        </w:rPr>
      </w:pPr>
      <w:r w:rsidRPr="001E055D">
        <w:rPr>
          <w:i/>
          <w:iCs/>
          <w:vertAlign w:val="superscript"/>
        </w:rPr>
        <w:t>2</w:t>
      </w:r>
      <w:r w:rsidRPr="000A652D">
        <w:rPr>
          <w:i/>
          <w:iCs/>
        </w:rPr>
        <w:t xml:space="preserve"> $45,000 to &lt; $55,000 </w:t>
      </w:r>
    </w:p>
    <w:p w14:paraId="56CCFAA2" w14:textId="77777777" w:rsidR="00755060" w:rsidRPr="000A652D" w:rsidRDefault="001A113D" w:rsidP="00DE6265">
      <w:pPr>
        <w:pStyle w:val="FooterTableFigure"/>
        <w:widowControl w:val="0"/>
        <w:rPr>
          <w:i/>
          <w:iCs/>
        </w:rPr>
      </w:pPr>
      <w:r w:rsidRPr="001E055D">
        <w:rPr>
          <w:i/>
          <w:iCs/>
          <w:vertAlign w:val="superscript"/>
        </w:rPr>
        <w:t>3</w:t>
      </w:r>
      <w:r w:rsidRPr="000A652D">
        <w:rPr>
          <w:i/>
          <w:iCs/>
        </w:rPr>
        <w:t xml:space="preserve"> $95,000 to &lt; $115,000</w:t>
      </w:r>
      <w:r w:rsidR="00755060" w:rsidRPr="000A652D">
        <w:rPr>
          <w:i/>
          <w:iCs/>
        </w:rPr>
        <w:t xml:space="preserve"> </w:t>
      </w:r>
    </w:p>
    <w:p w14:paraId="26F82FE4" w14:textId="18001908" w:rsidR="007F26D0" w:rsidRPr="000A652D" w:rsidRDefault="00755060" w:rsidP="00DE6265">
      <w:pPr>
        <w:pStyle w:val="FooterTableFigure"/>
        <w:widowControl w:val="0"/>
        <w:rPr>
          <w:i/>
          <w:iCs/>
        </w:rPr>
      </w:pPr>
      <w:r w:rsidRPr="001E055D">
        <w:rPr>
          <w:i/>
          <w:iCs/>
          <w:vertAlign w:val="superscript"/>
        </w:rPr>
        <w:t>4</w:t>
      </w:r>
      <w:r w:rsidRPr="000A652D">
        <w:rPr>
          <w:i/>
          <w:iCs/>
        </w:rPr>
        <w:t xml:space="preserve"> $35,000 to &lt; $45,000</w:t>
      </w:r>
    </w:p>
    <w:p w14:paraId="516B5BE6" w14:textId="463410AC" w:rsidR="00DE6265" w:rsidRPr="000A652D" w:rsidRDefault="00755060" w:rsidP="00DE6265">
      <w:pPr>
        <w:pStyle w:val="FooterTableFigure"/>
        <w:widowControl w:val="0"/>
        <w:rPr>
          <w:i/>
          <w:iCs/>
        </w:rPr>
      </w:pPr>
      <w:r w:rsidRPr="001E055D">
        <w:rPr>
          <w:i/>
          <w:iCs/>
          <w:vertAlign w:val="superscript"/>
        </w:rPr>
        <w:t>5</w:t>
      </w:r>
      <w:r w:rsidR="007F26D0" w:rsidRPr="000A652D">
        <w:rPr>
          <w:i/>
          <w:iCs/>
        </w:rPr>
        <w:t xml:space="preserve"> $0 to &lt; $5,000</w:t>
      </w:r>
    </w:p>
    <w:p w14:paraId="0CAC9162" w14:textId="72241E57" w:rsidR="006F4300" w:rsidRPr="00873941" w:rsidRDefault="006F4300" w:rsidP="0073177E">
      <w:pPr>
        <w:pStyle w:val="3-BodyText"/>
      </w:pPr>
      <w:r w:rsidRPr="00873941">
        <w:t xml:space="preserve">Key drivers of the March 2020 pertuzumab submission economic model were observed PFS benefit, parametric extrapolation of PFS, duration of treatment for </w:t>
      </w:r>
      <w:proofErr w:type="spellStart"/>
      <w:r w:rsidRPr="00873941">
        <w:t>mBC</w:t>
      </w:r>
      <w:proofErr w:type="spellEnd"/>
      <w:r w:rsidRPr="00873941">
        <w:t xml:space="preserve">, costs in </w:t>
      </w:r>
      <w:proofErr w:type="spellStart"/>
      <w:r w:rsidRPr="00873941">
        <w:t>mBC</w:t>
      </w:r>
      <w:proofErr w:type="spellEnd"/>
      <w:r w:rsidRPr="00873941">
        <w:t xml:space="preserve"> and incorrect trastuzumab cost calculation (Table 13, para 6.45, pertuzumab PSD, March 2020 PBAC meeting).</w:t>
      </w:r>
    </w:p>
    <w:p w14:paraId="53521E9D" w14:textId="24A19A37" w:rsidR="006F4300" w:rsidRPr="00873941" w:rsidRDefault="006F4300" w:rsidP="006F4300">
      <w:pPr>
        <w:pStyle w:val="3-BodyText"/>
        <w:numPr>
          <w:ilvl w:val="0"/>
          <w:numId w:val="0"/>
        </w:numPr>
        <w:ind w:left="720" w:hanging="720"/>
        <w:rPr>
          <w:color w:val="000000" w:themeColor="text1"/>
        </w:rPr>
      </w:pPr>
      <w:r w:rsidRPr="00873941">
        <w:rPr>
          <w:color w:val="000000" w:themeColor="text1"/>
        </w:rPr>
        <w:t>6.36</w:t>
      </w:r>
      <w:r w:rsidRPr="00873941">
        <w:rPr>
          <w:color w:val="000000" w:themeColor="text1"/>
        </w:rPr>
        <w:tab/>
      </w:r>
      <w:r w:rsidRPr="00873941">
        <w:rPr>
          <w:color w:val="000000" w:themeColor="text1"/>
        </w:rPr>
        <w:fldChar w:fldCharType="begin"/>
      </w:r>
      <w:r w:rsidRPr="00873941">
        <w:rPr>
          <w:color w:val="000000" w:themeColor="text1"/>
        </w:rPr>
        <w:instrText xml:space="preserve"> REF _Ref184644054 \h </w:instrText>
      </w:r>
      <w:r w:rsidRPr="00873941">
        <w:rPr>
          <w:color w:val="000000" w:themeColor="text1"/>
        </w:rPr>
      </w:r>
      <w:r w:rsidRPr="00873941">
        <w:rPr>
          <w:color w:val="000000" w:themeColor="text1"/>
        </w:rPr>
        <w:fldChar w:fldCharType="separate"/>
      </w:r>
      <w:r w:rsidR="000B094B" w:rsidRPr="00873941">
        <w:t xml:space="preserve">Table </w:t>
      </w:r>
      <w:r w:rsidR="000B094B">
        <w:rPr>
          <w:noProof/>
        </w:rPr>
        <w:t>15</w:t>
      </w:r>
      <w:r w:rsidRPr="00873941">
        <w:rPr>
          <w:color w:val="000000" w:themeColor="text1"/>
        </w:rPr>
        <w:fldChar w:fldCharType="end"/>
      </w:r>
      <w:r w:rsidRPr="00873941">
        <w:rPr>
          <w:color w:val="000000" w:themeColor="text1"/>
        </w:rPr>
        <w:t xml:space="preserve"> presents the results of the stepped economic evaluation. The resubmission only provided incremental costs and outcomes. Treatment-specific costs were estimated during the evaluation.</w:t>
      </w:r>
    </w:p>
    <w:p w14:paraId="106D47DA" w14:textId="1C9E46B8" w:rsidR="006F4300" w:rsidRPr="00873941" w:rsidRDefault="006F4300" w:rsidP="0073177E">
      <w:pPr>
        <w:pStyle w:val="TableFigureHeading"/>
        <w:rPr>
          <w:rStyle w:val="CommentReference"/>
          <w:b/>
          <w:szCs w:val="24"/>
        </w:rPr>
      </w:pPr>
      <w:bookmarkStart w:id="90" w:name="_Ref184644054"/>
      <w:r w:rsidRPr="00873941">
        <w:lastRenderedPageBreak/>
        <w:t xml:space="preserve">Table </w:t>
      </w:r>
      <w:r w:rsidR="00BC65F9">
        <w:fldChar w:fldCharType="begin"/>
      </w:r>
      <w:r w:rsidR="00BC65F9">
        <w:instrText xml:space="preserve"> SEQ Table \* ARABIC </w:instrText>
      </w:r>
      <w:r w:rsidR="00BC65F9">
        <w:fldChar w:fldCharType="separate"/>
      </w:r>
      <w:r w:rsidR="000B094B">
        <w:rPr>
          <w:noProof/>
        </w:rPr>
        <w:t>15</w:t>
      </w:r>
      <w:r w:rsidR="00BC65F9">
        <w:fldChar w:fldCharType="end"/>
      </w:r>
      <w:bookmarkEnd w:id="90"/>
      <w:r w:rsidRPr="00873941">
        <w:t xml:space="preserve">: </w:t>
      </w:r>
      <w:r w:rsidRPr="00873941">
        <w:rPr>
          <w:rStyle w:val="CommentReference"/>
          <w:b/>
          <w:szCs w:val="24"/>
        </w:rPr>
        <w:t>Abbreviated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Abbreviated results of the stepped economic evaluation"/>
      </w:tblPr>
      <w:tblGrid>
        <w:gridCol w:w="2076"/>
        <w:gridCol w:w="47"/>
        <w:gridCol w:w="43"/>
        <w:gridCol w:w="2481"/>
        <w:gridCol w:w="27"/>
        <w:gridCol w:w="31"/>
        <w:gridCol w:w="2112"/>
        <w:gridCol w:w="2200"/>
      </w:tblGrid>
      <w:tr w:rsidR="006F4300" w:rsidRPr="00873941" w14:paraId="0C04782B" w14:textId="77777777" w:rsidTr="006F4300">
        <w:trPr>
          <w:tblHeader/>
        </w:trPr>
        <w:tc>
          <w:tcPr>
            <w:tcW w:w="1201" w:type="pct"/>
            <w:gridSpan w:val="3"/>
            <w:tcBorders>
              <w:top w:val="single" w:sz="4" w:space="0" w:color="auto"/>
              <w:left w:val="single" w:sz="4" w:space="0" w:color="auto"/>
              <w:bottom w:val="single" w:sz="4" w:space="0" w:color="auto"/>
              <w:right w:val="single" w:sz="4" w:space="0" w:color="auto"/>
            </w:tcBorders>
            <w:vAlign w:val="center"/>
            <w:hideMark/>
          </w:tcPr>
          <w:p w14:paraId="4B6A2F5D" w14:textId="77777777" w:rsidR="006F4300" w:rsidRPr="00873941" w:rsidRDefault="006F4300">
            <w:pPr>
              <w:pStyle w:val="In-tableHeading"/>
              <w:rPr>
                <w:lang w:val="en-AU"/>
              </w:rPr>
            </w:pPr>
            <w:r w:rsidRPr="00873941">
              <w:rPr>
                <w:lang w:val="en-AU"/>
              </w:rPr>
              <w:t>Step and component</w:t>
            </w:r>
          </w:p>
        </w:tc>
        <w:tc>
          <w:tcPr>
            <w:tcW w:w="1408" w:type="pct"/>
            <w:gridSpan w:val="3"/>
            <w:tcBorders>
              <w:top w:val="single" w:sz="4" w:space="0" w:color="auto"/>
              <w:left w:val="single" w:sz="4" w:space="0" w:color="auto"/>
              <w:bottom w:val="single" w:sz="4" w:space="0" w:color="auto"/>
              <w:right w:val="single" w:sz="4" w:space="0" w:color="auto"/>
            </w:tcBorders>
            <w:vAlign w:val="center"/>
            <w:hideMark/>
          </w:tcPr>
          <w:p w14:paraId="43A7F354" w14:textId="77777777" w:rsidR="006F4300" w:rsidRPr="00873941" w:rsidRDefault="006F4300">
            <w:pPr>
              <w:pStyle w:val="In-tableHeading"/>
              <w:rPr>
                <w:lang w:val="en-AU"/>
              </w:rPr>
            </w:pPr>
            <w:proofErr w:type="spellStart"/>
            <w:r w:rsidRPr="00873941">
              <w:rPr>
                <w:lang w:val="en-AU"/>
              </w:rPr>
              <w:t>P+T+Chemo</w:t>
            </w:r>
            <w:proofErr w:type="spellEnd"/>
          </w:p>
        </w:tc>
        <w:tc>
          <w:tcPr>
            <w:tcW w:w="1171" w:type="pct"/>
            <w:tcBorders>
              <w:top w:val="single" w:sz="4" w:space="0" w:color="auto"/>
              <w:left w:val="single" w:sz="4" w:space="0" w:color="auto"/>
              <w:bottom w:val="single" w:sz="4" w:space="0" w:color="auto"/>
              <w:right w:val="single" w:sz="4" w:space="0" w:color="auto"/>
            </w:tcBorders>
            <w:vAlign w:val="center"/>
            <w:hideMark/>
          </w:tcPr>
          <w:p w14:paraId="1D2EB09D" w14:textId="77777777" w:rsidR="006F4300" w:rsidRPr="00873941" w:rsidRDefault="006F4300">
            <w:pPr>
              <w:pStyle w:val="In-tableHeading"/>
              <w:rPr>
                <w:lang w:val="en-AU"/>
              </w:rPr>
            </w:pPr>
            <w:proofErr w:type="spellStart"/>
            <w:r w:rsidRPr="00873941">
              <w:rPr>
                <w:lang w:val="en-AU"/>
              </w:rPr>
              <w:t>T+Chemo</w:t>
            </w:r>
            <w:proofErr w:type="spellEnd"/>
          </w:p>
        </w:tc>
        <w:tc>
          <w:tcPr>
            <w:tcW w:w="1220" w:type="pct"/>
            <w:tcBorders>
              <w:top w:val="single" w:sz="4" w:space="0" w:color="auto"/>
              <w:left w:val="single" w:sz="4" w:space="0" w:color="auto"/>
              <w:bottom w:val="single" w:sz="4" w:space="0" w:color="auto"/>
              <w:right w:val="single" w:sz="4" w:space="0" w:color="auto"/>
            </w:tcBorders>
            <w:vAlign w:val="center"/>
            <w:hideMark/>
          </w:tcPr>
          <w:p w14:paraId="233A3B5F" w14:textId="77777777" w:rsidR="006F4300" w:rsidRPr="00873941" w:rsidRDefault="006F4300">
            <w:pPr>
              <w:pStyle w:val="In-tableHeading"/>
              <w:rPr>
                <w:lang w:val="en-AU"/>
              </w:rPr>
            </w:pPr>
            <w:r w:rsidRPr="00873941">
              <w:rPr>
                <w:lang w:val="en-AU"/>
              </w:rPr>
              <w:t>Increment</w:t>
            </w:r>
          </w:p>
        </w:tc>
      </w:tr>
      <w:tr w:rsidR="006F4300" w:rsidRPr="00873941" w14:paraId="0B91E5C9" w14:textId="77777777" w:rsidTr="006F4300">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2282B621" w14:textId="77777777" w:rsidR="006F4300" w:rsidRPr="00873941" w:rsidRDefault="006F4300">
            <w:pPr>
              <w:pStyle w:val="In-tableHeading"/>
              <w:rPr>
                <w:bCs/>
                <w:lang w:val="en-AU"/>
              </w:rPr>
            </w:pPr>
            <w:r w:rsidRPr="00873941">
              <w:rPr>
                <w:lang w:val="en-AU"/>
              </w:rPr>
              <w:t>Step 1: trial-based costs and outcomes (Pertuzumab costs only) – neoadjuvant time horizon</w:t>
            </w:r>
          </w:p>
        </w:tc>
      </w:tr>
      <w:tr w:rsidR="006F4300" w:rsidRPr="00873941" w14:paraId="25F84B16" w14:textId="77777777" w:rsidTr="006F4300">
        <w:tc>
          <w:tcPr>
            <w:tcW w:w="1201" w:type="pct"/>
            <w:gridSpan w:val="3"/>
            <w:tcBorders>
              <w:top w:val="single" w:sz="4" w:space="0" w:color="auto"/>
              <w:left w:val="single" w:sz="4" w:space="0" w:color="auto"/>
              <w:bottom w:val="single" w:sz="4" w:space="0" w:color="auto"/>
              <w:right w:val="single" w:sz="4" w:space="0" w:color="auto"/>
            </w:tcBorders>
            <w:vAlign w:val="center"/>
            <w:hideMark/>
          </w:tcPr>
          <w:p w14:paraId="772902AB" w14:textId="77777777" w:rsidR="006F4300" w:rsidRPr="00873941" w:rsidRDefault="006F4300">
            <w:pPr>
              <w:pStyle w:val="TableText0"/>
              <w:widowControl w:val="0"/>
              <w:rPr>
                <w:rFonts w:ascii="Times" w:hAnsi="Times"/>
              </w:rPr>
            </w:pPr>
            <w:r w:rsidRPr="00873941">
              <w:t>Costs</w:t>
            </w:r>
          </w:p>
        </w:tc>
        <w:tc>
          <w:tcPr>
            <w:tcW w:w="1408" w:type="pct"/>
            <w:gridSpan w:val="3"/>
            <w:tcBorders>
              <w:top w:val="single" w:sz="4" w:space="0" w:color="auto"/>
              <w:left w:val="single" w:sz="4" w:space="0" w:color="auto"/>
              <w:bottom w:val="single" w:sz="4" w:space="0" w:color="auto"/>
              <w:right w:val="single" w:sz="4" w:space="0" w:color="auto"/>
            </w:tcBorders>
            <w:vAlign w:val="center"/>
            <w:hideMark/>
          </w:tcPr>
          <w:p w14:paraId="7B58523A" w14:textId="1469446A" w:rsidR="006F4300" w:rsidRPr="00873941" w:rsidRDefault="006F4300">
            <w:pPr>
              <w:pStyle w:val="TableText0"/>
              <w:widowControl w:val="0"/>
              <w:jc w:val="center"/>
              <w:rPr>
                <w:rFonts w:ascii="Times" w:hAnsi="Times"/>
                <w:i/>
                <w:iCs/>
              </w:rPr>
            </w:pPr>
            <w:r w:rsidRPr="00873941">
              <w:rPr>
                <w:i/>
                <w:iCs/>
              </w:rPr>
              <w:t>$</w:t>
            </w:r>
            <w:r w:rsidR="00471EB9" w:rsidRPr="00471EB9">
              <w:rPr>
                <w:i/>
                <w:iCs/>
                <w:color w:val="000000"/>
                <w:spacing w:val="53"/>
                <w:shd w:val="solid" w:color="000000" w:fill="000000"/>
                <w:fitText w:val="330" w:id="-694408187"/>
                <w14:textFill>
                  <w14:solidFill>
                    <w14:srgbClr w14:val="000000">
                      <w14:alpha w14:val="100000"/>
                    </w14:srgbClr>
                  </w14:solidFill>
                </w14:textFill>
              </w:rPr>
              <w:t>|||</w:t>
            </w:r>
            <w:r w:rsidR="00471EB9" w:rsidRPr="00471EB9">
              <w:rPr>
                <w:i/>
                <w:iCs/>
                <w:color w:val="000000"/>
                <w:spacing w:val="1"/>
                <w:shd w:val="solid" w:color="000000" w:fill="000000"/>
                <w:fitText w:val="330" w:id="-694408187"/>
                <w14:textFill>
                  <w14:solidFill>
                    <w14:srgbClr w14:val="000000">
                      <w14:alpha w14:val="100000"/>
                    </w14:srgbClr>
                  </w14:solidFill>
                </w14:textFill>
              </w:rPr>
              <w:t>|</w:t>
            </w:r>
          </w:p>
        </w:tc>
        <w:tc>
          <w:tcPr>
            <w:tcW w:w="1171" w:type="pct"/>
            <w:tcBorders>
              <w:top w:val="single" w:sz="4" w:space="0" w:color="auto"/>
              <w:left w:val="single" w:sz="4" w:space="0" w:color="auto"/>
              <w:bottom w:val="single" w:sz="4" w:space="0" w:color="auto"/>
              <w:right w:val="single" w:sz="4" w:space="0" w:color="auto"/>
            </w:tcBorders>
            <w:vAlign w:val="center"/>
            <w:hideMark/>
          </w:tcPr>
          <w:p w14:paraId="065781DF" w14:textId="62209A51" w:rsidR="006F4300" w:rsidRPr="00873941" w:rsidRDefault="006F4300">
            <w:pPr>
              <w:pStyle w:val="TableText0"/>
              <w:widowControl w:val="0"/>
              <w:jc w:val="center"/>
              <w:rPr>
                <w:rFonts w:ascii="Times" w:hAnsi="Times"/>
                <w:i/>
                <w:iCs/>
              </w:rPr>
            </w:pPr>
            <w:r w:rsidRPr="00873941">
              <w:rPr>
                <w:i/>
                <w:iCs/>
              </w:rPr>
              <w:t>$</w:t>
            </w:r>
            <w:r w:rsidR="00471EB9" w:rsidRPr="00471EB9">
              <w:rPr>
                <w:i/>
                <w:iCs/>
                <w:color w:val="000000"/>
                <w:spacing w:val="53"/>
                <w:shd w:val="solid" w:color="000000" w:fill="000000"/>
                <w:fitText w:val="330" w:id="-694408186"/>
                <w14:textFill>
                  <w14:solidFill>
                    <w14:srgbClr w14:val="000000">
                      <w14:alpha w14:val="100000"/>
                    </w14:srgbClr>
                  </w14:solidFill>
                </w14:textFill>
              </w:rPr>
              <w:t>|||</w:t>
            </w:r>
            <w:r w:rsidR="00471EB9" w:rsidRPr="00471EB9">
              <w:rPr>
                <w:i/>
                <w:iCs/>
                <w:color w:val="000000"/>
                <w:spacing w:val="1"/>
                <w:shd w:val="solid" w:color="000000" w:fill="000000"/>
                <w:fitText w:val="330" w:id="-694408186"/>
                <w14:textFill>
                  <w14:solidFill>
                    <w14:srgbClr w14:val="000000">
                      <w14:alpha w14:val="100000"/>
                    </w14:srgbClr>
                  </w14:solidFill>
                </w14:textFill>
              </w:rPr>
              <w:t>|</w:t>
            </w:r>
          </w:p>
        </w:tc>
        <w:tc>
          <w:tcPr>
            <w:tcW w:w="1220" w:type="pct"/>
            <w:tcBorders>
              <w:top w:val="single" w:sz="4" w:space="0" w:color="auto"/>
              <w:left w:val="single" w:sz="4" w:space="0" w:color="auto"/>
              <w:bottom w:val="single" w:sz="4" w:space="0" w:color="auto"/>
              <w:right w:val="single" w:sz="4" w:space="0" w:color="auto"/>
            </w:tcBorders>
            <w:vAlign w:val="center"/>
            <w:hideMark/>
          </w:tcPr>
          <w:p w14:paraId="661DF2CB" w14:textId="6C2BF73A" w:rsidR="006F4300" w:rsidRPr="00873941" w:rsidRDefault="006F4300">
            <w:pPr>
              <w:pStyle w:val="TableText0"/>
              <w:widowControl w:val="0"/>
              <w:jc w:val="center"/>
              <w:rPr>
                <w:rFonts w:ascii="Times" w:hAnsi="Times"/>
              </w:rPr>
            </w:pPr>
            <w:r w:rsidRPr="00873941">
              <w:t>$</w:t>
            </w:r>
            <w:r w:rsidR="00471EB9" w:rsidRPr="00471EB9">
              <w:rPr>
                <w:color w:val="000000"/>
                <w:spacing w:val="53"/>
                <w:shd w:val="solid" w:color="000000" w:fill="000000"/>
                <w:fitText w:val="330" w:id="-694408185"/>
                <w14:textFill>
                  <w14:solidFill>
                    <w14:srgbClr w14:val="000000">
                      <w14:alpha w14:val="100000"/>
                    </w14:srgbClr>
                  </w14:solidFill>
                </w14:textFill>
              </w:rPr>
              <w:t>|||</w:t>
            </w:r>
            <w:r w:rsidR="00471EB9" w:rsidRPr="00471EB9">
              <w:rPr>
                <w:color w:val="000000"/>
                <w:spacing w:val="1"/>
                <w:shd w:val="solid" w:color="000000" w:fill="000000"/>
                <w:fitText w:val="330" w:id="-694408185"/>
                <w14:textFill>
                  <w14:solidFill>
                    <w14:srgbClr w14:val="000000">
                      <w14:alpha w14:val="100000"/>
                    </w14:srgbClr>
                  </w14:solidFill>
                </w14:textFill>
              </w:rPr>
              <w:t>|</w:t>
            </w:r>
          </w:p>
        </w:tc>
      </w:tr>
      <w:tr w:rsidR="006F4300" w:rsidRPr="00873941" w14:paraId="7FA015AF" w14:textId="77777777" w:rsidTr="006F4300">
        <w:tc>
          <w:tcPr>
            <w:tcW w:w="1201" w:type="pct"/>
            <w:gridSpan w:val="3"/>
            <w:tcBorders>
              <w:top w:val="single" w:sz="4" w:space="0" w:color="auto"/>
              <w:left w:val="single" w:sz="4" w:space="0" w:color="auto"/>
              <w:bottom w:val="single" w:sz="4" w:space="0" w:color="auto"/>
              <w:right w:val="single" w:sz="4" w:space="0" w:color="auto"/>
            </w:tcBorders>
            <w:vAlign w:val="center"/>
            <w:hideMark/>
          </w:tcPr>
          <w:p w14:paraId="41654FB4" w14:textId="77777777" w:rsidR="006F4300" w:rsidRPr="00873941" w:rsidRDefault="006F4300">
            <w:pPr>
              <w:pStyle w:val="TableText0"/>
              <w:widowControl w:val="0"/>
              <w:rPr>
                <w:rFonts w:ascii="Times" w:hAnsi="Times"/>
              </w:rPr>
            </w:pPr>
            <w:r w:rsidRPr="00873941">
              <w:t>Outcome (pCR)</w:t>
            </w:r>
          </w:p>
        </w:tc>
        <w:tc>
          <w:tcPr>
            <w:tcW w:w="1408" w:type="pct"/>
            <w:gridSpan w:val="3"/>
            <w:tcBorders>
              <w:top w:val="single" w:sz="4" w:space="0" w:color="auto"/>
              <w:left w:val="single" w:sz="4" w:space="0" w:color="auto"/>
              <w:bottom w:val="single" w:sz="4" w:space="0" w:color="auto"/>
              <w:right w:val="single" w:sz="4" w:space="0" w:color="auto"/>
            </w:tcBorders>
            <w:vAlign w:val="center"/>
            <w:hideMark/>
          </w:tcPr>
          <w:p w14:paraId="66AF7585" w14:textId="77777777" w:rsidR="006F4300" w:rsidRPr="00873941" w:rsidRDefault="006F4300">
            <w:pPr>
              <w:pStyle w:val="TableText0"/>
              <w:widowControl w:val="0"/>
              <w:jc w:val="center"/>
              <w:rPr>
                <w:rFonts w:ascii="Times" w:hAnsi="Times"/>
                <w:i/>
                <w:iCs/>
              </w:rPr>
            </w:pPr>
            <w:r w:rsidRPr="00873941">
              <w:rPr>
                <w:i/>
                <w:iCs/>
              </w:rPr>
              <w:t>59.2%</w:t>
            </w:r>
          </w:p>
        </w:tc>
        <w:tc>
          <w:tcPr>
            <w:tcW w:w="1171" w:type="pct"/>
            <w:tcBorders>
              <w:top w:val="single" w:sz="4" w:space="0" w:color="auto"/>
              <w:left w:val="single" w:sz="4" w:space="0" w:color="auto"/>
              <w:bottom w:val="single" w:sz="4" w:space="0" w:color="auto"/>
              <w:right w:val="single" w:sz="4" w:space="0" w:color="auto"/>
            </w:tcBorders>
            <w:vAlign w:val="center"/>
            <w:hideMark/>
          </w:tcPr>
          <w:p w14:paraId="743C53F1" w14:textId="77777777" w:rsidR="006F4300" w:rsidRPr="00873941" w:rsidRDefault="006F4300">
            <w:pPr>
              <w:pStyle w:val="TableText0"/>
              <w:widowControl w:val="0"/>
              <w:jc w:val="center"/>
              <w:rPr>
                <w:rFonts w:ascii="Times" w:hAnsi="Times"/>
                <w:i/>
                <w:iCs/>
              </w:rPr>
            </w:pPr>
            <w:r w:rsidRPr="00873941">
              <w:rPr>
                <w:i/>
                <w:iCs/>
              </w:rPr>
              <w:t>41.8%</w:t>
            </w:r>
          </w:p>
        </w:tc>
        <w:tc>
          <w:tcPr>
            <w:tcW w:w="1220" w:type="pct"/>
            <w:tcBorders>
              <w:top w:val="single" w:sz="4" w:space="0" w:color="auto"/>
              <w:left w:val="single" w:sz="4" w:space="0" w:color="auto"/>
              <w:bottom w:val="single" w:sz="4" w:space="0" w:color="auto"/>
              <w:right w:val="single" w:sz="4" w:space="0" w:color="auto"/>
            </w:tcBorders>
            <w:vAlign w:val="center"/>
            <w:hideMark/>
          </w:tcPr>
          <w:p w14:paraId="496D4294" w14:textId="201F8741" w:rsidR="006F4300" w:rsidRPr="00873941" w:rsidRDefault="00471EB9">
            <w:pPr>
              <w:pStyle w:val="TableText0"/>
              <w:widowControl w:val="0"/>
              <w:jc w:val="center"/>
            </w:pPr>
            <w:r w:rsidRPr="00471EB9">
              <w:rPr>
                <w:color w:val="000000"/>
                <w:spacing w:val="53"/>
                <w:shd w:val="solid" w:color="000000" w:fill="000000"/>
                <w:fitText w:val="330" w:id="-694408184"/>
                <w14:textFill>
                  <w14:solidFill>
                    <w14:srgbClr w14:val="000000">
                      <w14:alpha w14:val="100000"/>
                    </w14:srgbClr>
                  </w14:solidFill>
                </w14:textFill>
              </w:rPr>
              <w:t>|||</w:t>
            </w:r>
            <w:r w:rsidRPr="00471EB9">
              <w:rPr>
                <w:color w:val="000000"/>
                <w:spacing w:val="1"/>
                <w:shd w:val="solid" w:color="000000" w:fill="000000"/>
                <w:fitText w:val="330" w:id="-694408184"/>
                <w14:textFill>
                  <w14:solidFill>
                    <w14:srgbClr w14:val="000000">
                      <w14:alpha w14:val="100000"/>
                    </w14:srgbClr>
                  </w14:solidFill>
                </w14:textFill>
              </w:rPr>
              <w:t>|</w:t>
            </w:r>
            <w:r w:rsidR="006F4300" w:rsidRPr="00B30EA5">
              <w:t>%</w:t>
            </w:r>
          </w:p>
        </w:tc>
      </w:tr>
      <w:tr w:rsidR="006F4300" w:rsidRPr="00873941" w14:paraId="603911B5" w14:textId="77777777" w:rsidTr="006F4300">
        <w:tc>
          <w:tcPr>
            <w:tcW w:w="3780" w:type="pct"/>
            <w:gridSpan w:val="7"/>
            <w:tcBorders>
              <w:top w:val="single" w:sz="4" w:space="0" w:color="auto"/>
              <w:left w:val="single" w:sz="4" w:space="0" w:color="auto"/>
              <w:bottom w:val="single" w:sz="4" w:space="0" w:color="auto"/>
              <w:right w:val="single" w:sz="4" w:space="0" w:color="auto"/>
            </w:tcBorders>
            <w:vAlign w:val="center"/>
            <w:hideMark/>
          </w:tcPr>
          <w:p w14:paraId="3B6CC652" w14:textId="77777777" w:rsidR="006F4300" w:rsidRPr="00873941" w:rsidRDefault="006F4300">
            <w:pPr>
              <w:pStyle w:val="TableText0"/>
              <w:widowControl w:val="0"/>
              <w:rPr>
                <w:rFonts w:ascii="Times" w:hAnsi="Times"/>
              </w:rPr>
            </w:pPr>
            <w:r w:rsidRPr="00873941">
              <w:t>Incremental cost/extra pCR (18 weeks)</w:t>
            </w:r>
          </w:p>
        </w:tc>
        <w:tc>
          <w:tcPr>
            <w:tcW w:w="1220" w:type="pct"/>
            <w:tcBorders>
              <w:top w:val="single" w:sz="4" w:space="0" w:color="auto"/>
              <w:left w:val="single" w:sz="4" w:space="0" w:color="auto"/>
              <w:bottom w:val="single" w:sz="4" w:space="0" w:color="auto"/>
              <w:right w:val="single" w:sz="4" w:space="0" w:color="auto"/>
            </w:tcBorders>
            <w:vAlign w:val="center"/>
            <w:hideMark/>
          </w:tcPr>
          <w:p w14:paraId="5701196B" w14:textId="44DDD34B" w:rsidR="006F4300" w:rsidRPr="00873941" w:rsidRDefault="00471EB9">
            <w:pPr>
              <w:pStyle w:val="TableText0"/>
              <w:widowControl w:val="0"/>
              <w:jc w:val="center"/>
              <w:rPr>
                <w:rFonts w:ascii="Times" w:hAnsi="Times"/>
              </w:rPr>
            </w:pPr>
            <w:r w:rsidRPr="00471EB9">
              <w:rPr>
                <w:color w:val="000000"/>
                <w:spacing w:val="53"/>
                <w:shd w:val="solid" w:color="000000" w:fill="000000"/>
                <w:fitText w:val="330" w:id="-694408183"/>
                <w14:textFill>
                  <w14:solidFill>
                    <w14:srgbClr w14:val="000000">
                      <w14:alpha w14:val="100000"/>
                    </w14:srgbClr>
                  </w14:solidFill>
                </w14:textFill>
              </w:rPr>
              <w:t>|||</w:t>
            </w:r>
            <w:r w:rsidRPr="00471EB9">
              <w:rPr>
                <w:color w:val="000000"/>
                <w:spacing w:val="1"/>
                <w:shd w:val="solid" w:color="000000" w:fill="000000"/>
                <w:fitText w:val="330" w:id="-694408183"/>
                <w14:textFill>
                  <w14:solidFill>
                    <w14:srgbClr w14:val="000000">
                      <w14:alpha w14:val="100000"/>
                    </w14:srgbClr>
                  </w14:solidFill>
                </w14:textFill>
              </w:rPr>
              <w:t>|</w:t>
            </w:r>
            <w:r w:rsidR="00532965" w:rsidRPr="00532965">
              <w:rPr>
                <w:vertAlign w:val="superscript"/>
              </w:rPr>
              <w:t>1</w:t>
            </w:r>
          </w:p>
        </w:tc>
      </w:tr>
      <w:tr w:rsidR="006F4300" w:rsidRPr="00873941" w14:paraId="49ABF0D5" w14:textId="77777777" w:rsidTr="006F4300">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086945EB" w14:textId="77777777" w:rsidR="006F4300" w:rsidRPr="00873941" w:rsidRDefault="006F4300">
            <w:pPr>
              <w:pStyle w:val="In-tableHeading"/>
              <w:widowControl w:val="0"/>
              <w:rPr>
                <w:lang w:val="en-AU"/>
              </w:rPr>
            </w:pPr>
            <w:r w:rsidRPr="00873941">
              <w:rPr>
                <w:lang w:val="en-AU"/>
              </w:rPr>
              <w:t>Step 2: Translate response to reduction in disease recurrence – neoadjuvant time horizon + 1 year</w:t>
            </w:r>
          </w:p>
        </w:tc>
      </w:tr>
      <w:tr w:rsidR="004430B6" w:rsidRPr="00873941" w14:paraId="124FED9A" w14:textId="77777777" w:rsidTr="006F4300">
        <w:trPr>
          <w:trHeight w:val="219"/>
        </w:trPr>
        <w:tc>
          <w:tcPr>
            <w:tcW w:w="1201" w:type="pct"/>
            <w:gridSpan w:val="3"/>
            <w:tcBorders>
              <w:top w:val="single" w:sz="4" w:space="0" w:color="auto"/>
              <w:left w:val="single" w:sz="4" w:space="0" w:color="auto"/>
              <w:bottom w:val="single" w:sz="4" w:space="0" w:color="auto"/>
              <w:right w:val="single" w:sz="4" w:space="0" w:color="auto"/>
            </w:tcBorders>
            <w:vAlign w:val="center"/>
            <w:hideMark/>
          </w:tcPr>
          <w:p w14:paraId="6442F883" w14:textId="3A391430" w:rsidR="004430B6" w:rsidRPr="00873941" w:rsidRDefault="004430B6" w:rsidP="004430B6">
            <w:pPr>
              <w:pStyle w:val="TableText0"/>
              <w:widowControl w:val="0"/>
            </w:pPr>
            <w:proofErr w:type="spellStart"/>
            <w:r w:rsidRPr="00873941">
              <w:t>Costs</w:t>
            </w:r>
            <w:r w:rsidR="0049282E" w:rsidRPr="00873941">
              <w:rPr>
                <w:vertAlign w:val="superscript"/>
              </w:rPr>
              <w:t>a</w:t>
            </w:r>
            <w:proofErr w:type="spellEnd"/>
          </w:p>
        </w:tc>
        <w:tc>
          <w:tcPr>
            <w:tcW w:w="1408" w:type="pct"/>
            <w:gridSpan w:val="3"/>
            <w:tcBorders>
              <w:top w:val="single" w:sz="4" w:space="0" w:color="auto"/>
              <w:left w:val="single" w:sz="4" w:space="0" w:color="auto"/>
              <w:bottom w:val="single" w:sz="4" w:space="0" w:color="auto"/>
              <w:right w:val="single" w:sz="4" w:space="0" w:color="auto"/>
            </w:tcBorders>
            <w:vAlign w:val="center"/>
            <w:hideMark/>
          </w:tcPr>
          <w:p w14:paraId="7844B152" w14:textId="4C8D4842" w:rsidR="004430B6" w:rsidRPr="00873941" w:rsidRDefault="004430B6" w:rsidP="004430B6">
            <w:pPr>
              <w:pStyle w:val="TableText0"/>
              <w:widowControl w:val="0"/>
              <w:jc w:val="center"/>
              <w:rPr>
                <w:rFonts w:ascii="Times" w:hAnsi="Times"/>
              </w:rPr>
            </w:pPr>
            <w:r w:rsidRPr="00873941">
              <w:t>$</w:t>
            </w:r>
            <w:r w:rsidR="00471EB9" w:rsidRPr="00471EB9">
              <w:rPr>
                <w:color w:val="000000"/>
                <w:spacing w:val="53"/>
                <w:shd w:val="solid" w:color="000000" w:fill="000000"/>
                <w:fitText w:val="330" w:id="-694408182"/>
                <w14:textFill>
                  <w14:solidFill>
                    <w14:srgbClr w14:val="000000">
                      <w14:alpha w14:val="100000"/>
                    </w14:srgbClr>
                  </w14:solidFill>
                </w14:textFill>
              </w:rPr>
              <w:t>|||</w:t>
            </w:r>
            <w:r w:rsidR="00471EB9" w:rsidRPr="00471EB9">
              <w:rPr>
                <w:color w:val="000000"/>
                <w:spacing w:val="1"/>
                <w:shd w:val="solid" w:color="000000" w:fill="000000"/>
                <w:fitText w:val="330" w:id="-694408182"/>
                <w14:textFill>
                  <w14:solidFill>
                    <w14:srgbClr w14:val="000000">
                      <w14:alpha w14:val="100000"/>
                    </w14:srgbClr>
                  </w14:solidFill>
                </w14:textFill>
              </w:rPr>
              <w:t>|</w:t>
            </w:r>
          </w:p>
        </w:tc>
        <w:tc>
          <w:tcPr>
            <w:tcW w:w="1171" w:type="pct"/>
            <w:tcBorders>
              <w:top w:val="single" w:sz="4" w:space="0" w:color="auto"/>
              <w:left w:val="single" w:sz="4" w:space="0" w:color="auto"/>
              <w:bottom w:val="single" w:sz="4" w:space="0" w:color="auto"/>
              <w:right w:val="single" w:sz="4" w:space="0" w:color="auto"/>
            </w:tcBorders>
            <w:vAlign w:val="center"/>
            <w:hideMark/>
          </w:tcPr>
          <w:p w14:paraId="7E53A107" w14:textId="29996D87" w:rsidR="004430B6" w:rsidRPr="00873941" w:rsidRDefault="004430B6" w:rsidP="004430B6">
            <w:pPr>
              <w:pStyle w:val="TableText0"/>
              <w:widowControl w:val="0"/>
              <w:jc w:val="center"/>
              <w:rPr>
                <w:rFonts w:ascii="Times" w:hAnsi="Times"/>
              </w:rPr>
            </w:pPr>
            <w:r w:rsidRPr="00873941">
              <w:t>$</w:t>
            </w:r>
            <w:r w:rsidR="00471EB9" w:rsidRPr="00471EB9">
              <w:rPr>
                <w:color w:val="000000"/>
                <w:spacing w:val="53"/>
                <w:shd w:val="solid" w:color="000000" w:fill="000000"/>
                <w:fitText w:val="330" w:id="-694408181"/>
                <w14:textFill>
                  <w14:solidFill>
                    <w14:srgbClr w14:val="000000">
                      <w14:alpha w14:val="100000"/>
                    </w14:srgbClr>
                  </w14:solidFill>
                </w14:textFill>
              </w:rPr>
              <w:t>|||</w:t>
            </w:r>
            <w:r w:rsidR="00471EB9" w:rsidRPr="00471EB9">
              <w:rPr>
                <w:color w:val="000000"/>
                <w:spacing w:val="1"/>
                <w:shd w:val="solid" w:color="000000" w:fill="000000"/>
                <w:fitText w:val="330" w:id="-694408181"/>
                <w14:textFill>
                  <w14:solidFill>
                    <w14:srgbClr w14:val="000000">
                      <w14:alpha w14:val="100000"/>
                    </w14:srgbClr>
                  </w14:solidFill>
                </w14:textFill>
              </w:rPr>
              <w:t>|</w:t>
            </w:r>
          </w:p>
        </w:tc>
        <w:tc>
          <w:tcPr>
            <w:tcW w:w="1220" w:type="pct"/>
            <w:tcBorders>
              <w:top w:val="single" w:sz="4" w:space="0" w:color="auto"/>
              <w:left w:val="single" w:sz="4" w:space="0" w:color="auto"/>
              <w:bottom w:val="single" w:sz="4" w:space="0" w:color="auto"/>
              <w:right w:val="single" w:sz="4" w:space="0" w:color="auto"/>
            </w:tcBorders>
            <w:vAlign w:val="center"/>
            <w:hideMark/>
          </w:tcPr>
          <w:p w14:paraId="69558EB0" w14:textId="09490559" w:rsidR="000E4DA7" w:rsidRPr="00873941" w:rsidRDefault="000E4DA7" w:rsidP="004430B6">
            <w:pPr>
              <w:pStyle w:val="TableText0"/>
              <w:widowControl w:val="0"/>
              <w:jc w:val="center"/>
              <w:rPr>
                <w:rFonts w:ascii="Times" w:hAnsi="Times"/>
              </w:rPr>
            </w:pPr>
            <w:r w:rsidRPr="00873941">
              <w:t>$</w:t>
            </w:r>
            <w:r w:rsidR="00471EB9" w:rsidRPr="00471EB9">
              <w:rPr>
                <w:color w:val="000000"/>
                <w:spacing w:val="53"/>
                <w:shd w:val="solid" w:color="000000" w:fill="000000"/>
                <w:fitText w:val="330" w:id="-694408180"/>
                <w14:textFill>
                  <w14:solidFill>
                    <w14:srgbClr w14:val="000000">
                      <w14:alpha w14:val="100000"/>
                    </w14:srgbClr>
                  </w14:solidFill>
                </w14:textFill>
              </w:rPr>
              <w:t>|||</w:t>
            </w:r>
            <w:r w:rsidR="00471EB9" w:rsidRPr="00471EB9">
              <w:rPr>
                <w:color w:val="000000"/>
                <w:spacing w:val="1"/>
                <w:shd w:val="solid" w:color="000000" w:fill="000000"/>
                <w:fitText w:val="330" w:id="-694408180"/>
                <w14:textFill>
                  <w14:solidFill>
                    <w14:srgbClr w14:val="000000">
                      <w14:alpha w14:val="100000"/>
                    </w14:srgbClr>
                  </w14:solidFill>
                </w14:textFill>
              </w:rPr>
              <w:t>|</w:t>
            </w:r>
          </w:p>
        </w:tc>
      </w:tr>
      <w:tr w:rsidR="006F4300" w:rsidRPr="00873941" w14:paraId="3D1938BE" w14:textId="77777777" w:rsidTr="006F4300">
        <w:tc>
          <w:tcPr>
            <w:tcW w:w="1201" w:type="pct"/>
            <w:gridSpan w:val="3"/>
            <w:tcBorders>
              <w:top w:val="single" w:sz="4" w:space="0" w:color="auto"/>
              <w:left w:val="single" w:sz="4" w:space="0" w:color="auto"/>
              <w:bottom w:val="single" w:sz="4" w:space="0" w:color="auto"/>
              <w:right w:val="single" w:sz="4" w:space="0" w:color="auto"/>
            </w:tcBorders>
            <w:vAlign w:val="center"/>
            <w:hideMark/>
          </w:tcPr>
          <w:p w14:paraId="1F5AE37F" w14:textId="77777777" w:rsidR="006F4300" w:rsidRPr="00873941" w:rsidRDefault="006F4300">
            <w:pPr>
              <w:pStyle w:val="TableText0"/>
              <w:widowControl w:val="0"/>
            </w:pPr>
            <w:r w:rsidRPr="00873941">
              <w:t>Outcome (</w:t>
            </w:r>
            <w:proofErr w:type="spellStart"/>
            <w:r w:rsidRPr="00873941">
              <w:t>iDFS</w:t>
            </w:r>
            <w:proofErr w:type="spellEnd"/>
            <w:r w:rsidRPr="00873941">
              <w:t xml:space="preserve"> years)</w:t>
            </w:r>
          </w:p>
        </w:tc>
        <w:tc>
          <w:tcPr>
            <w:tcW w:w="1408" w:type="pct"/>
            <w:gridSpan w:val="3"/>
            <w:tcBorders>
              <w:top w:val="single" w:sz="4" w:space="0" w:color="auto"/>
              <w:left w:val="single" w:sz="4" w:space="0" w:color="auto"/>
              <w:bottom w:val="single" w:sz="4" w:space="0" w:color="auto"/>
              <w:right w:val="single" w:sz="4" w:space="0" w:color="auto"/>
            </w:tcBorders>
            <w:vAlign w:val="center"/>
            <w:hideMark/>
          </w:tcPr>
          <w:p w14:paraId="7CD63B9A" w14:textId="55B83968" w:rsidR="006F4300" w:rsidRPr="00873941" w:rsidRDefault="009F15D0">
            <w:pPr>
              <w:pStyle w:val="TableText0"/>
              <w:widowControl w:val="0"/>
              <w:jc w:val="center"/>
              <w:rPr>
                <w:rFonts w:ascii="Times" w:hAnsi="Times"/>
              </w:rPr>
            </w:pPr>
            <w:r w:rsidRPr="00873941">
              <w:t>0.9923</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1B97330" w14:textId="177F3076" w:rsidR="006F4300" w:rsidRPr="00873941" w:rsidRDefault="009F15D0">
            <w:pPr>
              <w:pStyle w:val="TableText0"/>
              <w:widowControl w:val="0"/>
              <w:jc w:val="center"/>
              <w:rPr>
                <w:rFonts w:ascii="Times" w:hAnsi="Times"/>
              </w:rPr>
            </w:pPr>
            <w:r w:rsidRPr="00873941">
              <w:t>0.9881</w:t>
            </w:r>
          </w:p>
        </w:tc>
        <w:tc>
          <w:tcPr>
            <w:tcW w:w="1220" w:type="pct"/>
            <w:tcBorders>
              <w:top w:val="single" w:sz="4" w:space="0" w:color="auto"/>
              <w:left w:val="single" w:sz="4" w:space="0" w:color="auto"/>
              <w:bottom w:val="single" w:sz="4" w:space="0" w:color="auto"/>
              <w:right w:val="single" w:sz="4" w:space="0" w:color="auto"/>
            </w:tcBorders>
            <w:vAlign w:val="center"/>
            <w:hideMark/>
          </w:tcPr>
          <w:p w14:paraId="0284D62D" w14:textId="77777777" w:rsidR="006F4300" w:rsidRPr="00873941" w:rsidRDefault="006F4300">
            <w:pPr>
              <w:pStyle w:val="TableText0"/>
              <w:widowControl w:val="0"/>
              <w:jc w:val="center"/>
            </w:pPr>
            <w:r w:rsidRPr="00873941">
              <w:t>0.0041</w:t>
            </w:r>
          </w:p>
        </w:tc>
      </w:tr>
      <w:tr w:rsidR="006F4300" w:rsidRPr="00873941" w14:paraId="0FDCC327" w14:textId="77777777" w:rsidTr="006F4300">
        <w:trPr>
          <w:trHeight w:val="219"/>
        </w:trPr>
        <w:tc>
          <w:tcPr>
            <w:tcW w:w="3780" w:type="pct"/>
            <w:gridSpan w:val="7"/>
            <w:tcBorders>
              <w:top w:val="single" w:sz="4" w:space="0" w:color="auto"/>
              <w:left w:val="single" w:sz="4" w:space="0" w:color="auto"/>
              <w:bottom w:val="single" w:sz="4" w:space="0" w:color="auto"/>
              <w:right w:val="single" w:sz="4" w:space="0" w:color="auto"/>
            </w:tcBorders>
            <w:vAlign w:val="center"/>
            <w:hideMark/>
          </w:tcPr>
          <w:p w14:paraId="0BA293F1" w14:textId="77777777" w:rsidR="006F4300" w:rsidRPr="00873941" w:rsidRDefault="006F4300">
            <w:pPr>
              <w:pStyle w:val="TableText0"/>
              <w:widowControl w:val="0"/>
            </w:pPr>
            <w:r w:rsidRPr="00873941">
              <w:t xml:space="preserve">Incremental cost/extra year in </w:t>
            </w:r>
            <w:proofErr w:type="spellStart"/>
            <w:r w:rsidRPr="00873941">
              <w:t>iDFS</w:t>
            </w:r>
            <w:proofErr w:type="spellEnd"/>
            <w:r w:rsidRPr="00873941">
              <w:t xml:space="preserve"> gained</w:t>
            </w:r>
          </w:p>
        </w:tc>
        <w:tc>
          <w:tcPr>
            <w:tcW w:w="1220" w:type="pct"/>
            <w:tcBorders>
              <w:top w:val="single" w:sz="4" w:space="0" w:color="auto"/>
              <w:left w:val="single" w:sz="4" w:space="0" w:color="auto"/>
              <w:bottom w:val="single" w:sz="4" w:space="0" w:color="auto"/>
              <w:right w:val="single" w:sz="4" w:space="0" w:color="auto"/>
            </w:tcBorders>
            <w:vAlign w:val="center"/>
            <w:hideMark/>
          </w:tcPr>
          <w:p w14:paraId="77123088" w14:textId="47437E8D" w:rsidR="000E4DA7" w:rsidRPr="00873941" w:rsidRDefault="00471EB9">
            <w:pPr>
              <w:pStyle w:val="TableText0"/>
              <w:widowControl w:val="0"/>
              <w:jc w:val="center"/>
            </w:pPr>
            <w:r w:rsidRPr="00471EB9">
              <w:rPr>
                <w:color w:val="000000"/>
                <w:spacing w:val="53"/>
                <w:shd w:val="solid" w:color="000000" w:fill="000000"/>
                <w:fitText w:val="330" w:id="-694408179"/>
                <w14:textFill>
                  <w14:solidFill>
                    <w14:srgbClr w14:val="000000">
                      <w14:alpha w14:val="100000"/>
                    </w14:srgbClr>
                  </w14:solidFill>
                </w14:textFill>
              </w:rPr>
              <w:t>|||</w:t>
            </w:r>
            <w:r w:rsidRPr="00471EB9">
              <w:rPr>
                <w:color w:val="000000"/>
                <w:spacing w:val="1"/>
                <w:shd w:val="solid" w:color="000000" w:fill="000000"/>
                <w:fitText w:val="330" w:id="-694408179"/>
                <w14:textFill>
                  <w14:solidFill>
                    <w14:srgbClr w14:val="000000">
                      <w14:alpha w14:val="100000"/>
                    </w14:srgbClr>
                  </w14:solidFill>
                </w14:textFill>
              </w:rPr>
              <w:t>|</w:t>
            </w:r>
            <w:r w:rsidR="00532965" w:rsidRPr="00532965">
              <w:rPr>
                <w:vertAlign w:val="superscript"/>
              </w:rPr>
              <w:t>2</w:t>
            </w:r>
          </w:p>
        </w:tc>
      </w:tr>
      <w:tr w:rsidR="006F4300" w:rsidRPr="00873941" w14:paraId="1D493734" w14:textId="77777777" w:rsidTr="006F4300">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23375875" w14:textId="618C82E9" w:rsidR="006F4300" w:rsidRPr="00873941" w:rsidRDefault="006F4300">
            <w:pPr>
              <w:pStyle w:val="In-tableHeading"/>
              <w:widowControl w:val="0"/>
              <w:rPr>
                <w:lang w:val="en-AU"/>
              </w:rPr>
            </w:pPr>
            <w:r w:rsidRPr="00873941">
              <w:rPr>
                <w:lang w:val="en-AU"/>
              </w:rPr>
              <w:t>Step 3: Incorporation of cost and effect of T-DM1 (</w:t>
            </w:r>
            <w:r w:rsidR="00471EB9" w:rsidRPr="00471EB9">
              <w:rPr>
                <w:color w:val="000000"/>
                <w:spacing w:val="55"/>
                <w:shd w:val="solid" w:color="000000" w:fill="000000"/>
                <w:fitText w:val="350" w:id="-694408178"/>
                <w:lang w:val="en-AU"/>
                <w14:textFill>
                  <w14:solidFill>
                    <w14:srgbClr w14:val="000000">
                      <w14:alpha w14:val="100000"/>
                    </w14:srgbClr>
                  </w14:solidFill>
                </w14:textFill>
              </w:rPr>
              <w:t>|||</w:t>
            </w:r>
            <w:r w:rsidR="00471EB9" w:rsidRPr="00471EB9">
              <w:rPr>
                <w:color w:val="000000"/>
                <w:spacing w:val="2"/>
                <w:shd w:val="solid" w:color="000000" w:fill="000000"/>
                <w:fitText w:val="350" w:id="-694408178"/>
                <w:lang w:val="en-AU"/>
                <w14:textFill>
                  <w14:solidFill>
                    <w14:srgbClr w14:val="000000">
                      <w14:alpha w14:val="100000"/>
                    </w14:srgbClr>
                  </w14:solidFill>
                </w14:textFill>
              </w:rPr>
              <w:t>|</w:t>
            </w:r>
            <w:r w:rsidRPr="00873941">
              <w:rPr>
                <w:lang w:val="en-AU"/>
              </w:rPr>
              <w:t>% T-DM1 use) – neoadjuvant time horizon + 1 year</w:t>
            </w:r>
          </w:p>
        </w:tc>
      </w:tr>
      <w:tr w:rsidR="006F4300" w:rsidRPr="00873941" w14:paraId="7514A55A" w14:textId="77777777" w:rsidTr="006F4300">
        <w:trPr>
          <w:trHeight w:val="191"/>
        </w:trPr>
        <w:tc>
          <w:tcPr>
            <w:tcW w:w="1201" w:type="pct"/>
            <w:gridSpan w:val="3"/>
            <w:tcBorders>
              <w:top w:val="single" w:sz="4" w:space="0" w:color="auto"/>
              <w:left w:val="single" w:sz="4" w:space="0" w:color="auto"/>
              <w:bottom w:val="single" w:sz="4" w:space="0" w:color="auto"/>
              <w:right w:val="single" w:sz="4" w:space="0" w:color="auto"/>
            </w:tcBorders>
            <w:vAlign w:val="center"/>
            <w:hideMark/>
          </w:tcPr>
          <w:p w14:paraId="1CD7904C" w14:textId="77777777" w:rsidR="006F4300" w:rsidRPr="00873941" w:rsidRDefault="006F4300">
            <w:pPr>
              <w:pStyle w:val="TableText0"/>
              <w:widowControl w:val="0"/>
            </w:pPr>
            <w:r w:rsidRPr="00873941">
              <w:t>Costs</w:t>
            </w:r>
          </w:p>
        </w:tc>
        <w:tc>
          <w:tcPr>
            <w:tcW w:w="1408" w:type="pct"/>
            <w:gridSpan w:val="3"/>
            <w:tcBorders>
              <w:top w:val="single" w:sz="4" w:space="0" w:color="auto"/>
              <w:left w:val="single" w:sz="4" w:space="0" w:color="auto"/>
              <w:bottom w:val="single" w:sz="4" w:space="0" w:color="auto"/>
              <w:right w:val="single" w:sz="4" w:space="0" w:color="auto"/>
            </w:tcBorders>
            <w:vAlign w:val="center"/>
            <w:hideMark/>
          </w:tcPr>
          <w:p w14:paraId="14C77540" w14:textId="78F9E860" w:rsidR="006F4300" w:rsidRPr="00873941" w:rsidRDefault="00A90822">
            <w:pPr>
              <w:pStyle w:val="TableText0"/>
              <w:widowControl w:val="0"/>
              <w:jc w:val="center"/>
              <w:rPr>
                <w:rFonts w:ascii="Times" w:hAnsi="Times"/>
              </w:rPr>
            </w:pPr>
            <w:r w:rsidRPr="00873941">
              <w:t>$</w:t>
            </w:r>
            <w:r w:rsidR="00471EB9" w:rsidRPr="00471EB9">
              <w:rPr>
                <w:color w:val="000000"/>
                <w:spacing w:val="53"/>
                <w:shd w:val="solid" w:color="000000" w:fill="000000"/>
                <w:fitText w:val="330" w:id="-694408177"/>
                <w14:textFill>
                  <w14:solidFill>
                    <w14:srgbClr w14:val="000000">
                      <w14:alpha w14:val="100000"/>
                    </w14:srgbClr>
                  </w14:solidFill>
                </w14:textFill>
              </w:rPr>
              <w:t>|||</w:t>
            </w:r>
            <w:r w:rsidR="00471EB9" w:rsidRPr="00471EB9">
              <w:rPr>
                <w:color w:val="000000"/>
                <w:spacing w:val="1"/>
                <w:shd w:val="solid" w:color="000000" w:fill="000000"/>
                <w:fitText w:val="330" w:id="-694408177"/>
                <w14:textFill>
                  <w14:solidFill>
                    <w14:srgbClr w14:val="000000">
                      <w14:alpha w14:val="100000"/>
                    </w14:srgbClr>
                  </w14:solidFill>
                </w14:textFill>
              </w:rPr>
              <w:t>|</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2E9D039" w14:textId="566D5261" w:rsidR="006F4300" w:rsidRPr="00873941" w:rsidRDefault="00DF74CD">
            <w:pPr>
              <w:pStyle w:val="TableText0"/>
              <w:widowControl w:val="0"/>
              <w:jc w:val="center"/>
              <w:rPr>
                <w:rFonts w:ascii="Times" w:hAnsi="Times"/>
              </w:rPr>
            </w:pPr>
            <w:r w:rsidRPr="00873941">
              <w:t>$</w:t>
            </w:r>
            <w:r w:rsidR="00471EB9" w:rsidRPr="00471EB9">
              <w:rPr>
                <w:color w:val="000000"/>
                <w:spacing w:val="53"/>
                <w:shd w:val="solid" w:color="000000" w:fill="000000"/>
                <w:fitText w:val="330" w:id="-694408176"/>
                <w14:textFill>
                  <w14:solidFill>
                    <w14:srgbClr w14:val="000000">
                      <w14:alpha w14:val="100000"/>
                    </w14:srgbClr>
                  </w14:solidFill>
                </w14:textFill>
              </w:rPr>
              <w:t>|||</w:t>
            </w:r>
            <w:r w:rsidR="00471EB9" w:rsidRPr="00471EB9">
              <w:rPr>
                <w:color w:val="000000"/>
                <w:spacing w:val="1"/>
                <w:shd w:val="solid" w:color="000000" w:fill="000000"/>
                <w:fitText w:val="330" w:id="-694408176"/>
                <w14:textFill>
                  <w14:solidFill>
                    <w14:srgbClr w14:val="000000">
                      <w14:alpha w14:val="100000"/>
                    </w14:srgbClr>
                  </w14:solidFill>
                </w14:textFill>
              </w:rPr>
              <w:t>|</w:t>
            </w:r>
          </w:p>
        </w:tc>
        <w:tc>
          <w:tcPr>
            <w:tcW w:w="1220" w:type="pct"/>
            <w:tcBorders>
              <w:top w:val="single" w:sz="4" w:space="0" w:color="auto"/>
              <w:left w:val="single" w:sz="4" w:space="0" w:color="auto"/>
              <w:bottom w:val="single" w:sz="4" w:space="0" w:color="auto"/>
              <w:right w:val="single" w:sz="4" w:space="0" w:color="auto"/>
            </w:tcBorders>
            <w:vAlign w:val="center"/>
            <w:hideMark/>
          </w:tcPr>
          <w:p w14:paraId="1EE5E87C" w14:textId="3148E305" w:rsidR="006F4300" w:rsidRPr="00873941" w:rsidRDefault="006F4300">
            <w:pPr>
              <w:pStyle w:val="TableText0"/>
              <w:widowControl w:val="0"/>
              <w:jc w:val="center"/>
            </w:pPr>
            <w:r w:rsidRPr="00873941">
              <w:t>$</w:t>
            </w:r>
            <w:r w:rsidR="00471EB9" w:rsidRPr="00471EB9">
              <w:rPr>
                <w:color w:val="000000"/>
                <w:spacing w:val="53"/>
                <w:shd w:val="solid" w:color="000000" w:fill="000000"/>
                <w:fitText w:val="330" w:id="-694408192"/>
                <w14:textFill>
                  <w14:solidFill>
                    <w14:srgbClr w14:val="000000">
                      <w14:alpha w14:val="100000"/>
                    </w14:srgbClr>
                  </w14:solidFill>
                </w14:textFill>
              </w:rPr>
              <w:t>|||</w:t>
            </w:r>
            <w:r w:rsidR="00471EB9" w:rsidRPr="00471EB9">
              <w:rPr>
                <w:color w:val="000000"/>
                <w:spacing w:val="1"/>
                <w:shd w:val="solid" w:color="000000" w:fill="000000"/>
                <w:fitText w:val="330" w:id="-694408192"/>
                <w14:textFill>
                  <w14:solidFill>
                    <w14:srgbClr w14:val="000000">
                      <w14:alpha w14:val="100000"/>
                    </w14:srgbClr>
                  </w14:solidFill>
                </w14:textFill>
              </w:rPr>
              <w:t>|</w:t>
            </w:r>
          </w:p>
        </w:tc>
      </w:tr>
      <w:tr w:rsidR="006E69E2" w:rsidRPr="00873941" w14:paraId="3BA8D10D" w14:textId="77777777" w:rsidTr="00F31921">
        <w:trPr>
          <w:trHeight w:val="219"/>
        </w:trPr>
        <w:tc>
          <w:tcPr>
            <w:tcW w:w="1201" w:type="pct"/>
            <w:gridSpan w:val="3"/>
            <w:tcBorders>
              <w:top w:val="single" w:sz="4" w:space="0" w:color="auto"/>
              <w:left w:val="single" w:sz="4" w:space="0" w:color="auto"/>
              <w:bottom w:val="single" w:sz="4" w:space="0" w:color="auto"/>
              <w:right w:val="single" w:sz="4" w:space="0" w:color="auto"/>
            </w:tcBorders>
            <w:vAlign w:val="center"/>
            <w:hideMark/>
          </w:tcPr>
          <w:p w14:paraId="34185266" w14:textId="77777777" w:rsidR="006E69E2" w:rsidRPr="00873941" w:rsidRDefault="006E69E2" w:rsidP="006E69E2">
            <w:pPr>
              <w:pStyle w:val="TableText0"/>
              <w:widowControl w:val="0"/>
            </w:pPr>
            <w:r w:rsidRPr="00873941">
              <w:t>Outcome (</w:t>
            </w:r>
            <w:proofErr w:type="spellStart"/>
            <w:r w:rsidRPr="00873941">
              <w:t>iDFS</w:t>
            </w:r>
            <w:proofErr w:type="spellEnd"/>
            <w:r w:rsidRPr="00873941">
              <w:t xml:space="preserve"> years)</w:t>
            </w:r>
          </w:p>
        </w:tc>
        <w:tc>
          <w:tcPr>
            <w:tcW w:w="1408" w:type="pct"/>
            <w:gridSpan w:val="3"/>
            <w:tcBorders>
              <w:top w:val="single" w:sz="4" w:space="0" w:color="auto"/>
              <w:left w:val="single" w:sz="4" w:space="0" w:color="auto"/>
              <w:bottom w:val="single" w:sz="4" w:space="0" w:color="auto"/>
              <w:right w:val="single" w:sz="4" w:space="0" w:color="auto"/>
            </w:tcBorders>
            <w:vAlign w:val="bottom"/>
            <w:hideMark/>
          </w:tcPr>
          <w:p w14:paraId="241DF1B1" w14:textId="028BB809" w:rsidR="006E69E2" w:rsidRPr="00873941" w:rsidRDefault="006E69E2" w:rsidP="006E69E2">
            <w:pPr>
              <w:pStyle w:val="TableText0"/>
              <w:widowControl w:val="0"/>
              <w:jc w:val="center"/>
            </w:pPr>
            <w:r w:rsidRPr="00873941">
              <w:t>0.9990</w:t>
            </w:r>
          </w:p>
        </w:tc>
        <w:tc>
          <w:tcPr>
            <w:tcW w:w="1171" w:type="pct"/>
            <w:tcBorders>
              <w:top w:val="single" w:sz="4" w:space="0" w:color="auto"/>
              <w:left w:val="single" w:sz="4" w:space="0" w:color="auto"/>
              <w:bottom w:val="single" w:sz="4" w:space="0" w:color="auto"/>
              <w:right w:val="single" w:sz="4" w:space="0" w:color="auto"/>
            </w:tcBorders>
            <w:vAlign w:val="bottom"/>
            <w:hideMark/>
          </w:tcPr>
          <w:p w14:paraId="2BCDD697" w14:textId="506CDFAB" w:rsidR="006E69E2" w:rsidRPr="00873941" w:rsidRDefault="006E69E2" w:rsidP="006E69E2">
            <w:pPr>
              <w:pStyle w:val="TableText0"/>
              <w:widowControl w:val="0"/>
              <w:jc w:val="center"/>
            </w:pPr>
            <w:r w:rsidRPr="00873941">
              <w:t>0.9977</w:t>
            </w:r>
          </w:p>
        </w:tc>
        <w:tc>
          <w:tcPr>
            <w:tcW w:w="1220" w:type="pct"/>
            <w:tcBorders>
              <w:top w:val="single" w:sz="4" w:space="0" w:color="auto"/>
              <w:left w:val="single" w:sz="4" w:space="0" w:color="auto"/>
              <w:bottom w:val="single" w:sz="4" w:space="0" w:color="auto"/>
              <w:right w:val="single" w:sz="4" w:space="0" w:color="auto"/>
            </w:tcBorders>
            <w:vAlign w:val="center"/>
            <w:hideMark/>
          </w:tcPr>
          <w:p w14:paraId="12AE16AE" w14:textId="77777777" w:rsidR="006E69E2" w:rsidRPr="00873941" w:rsidRDefault="006E69E2" w:rsidP="006E69E2">
            <w:pPr>
              <w:pStyle w:val="TableText0"/>
              <w:widowControl w:val="0"/>
              <w:jc w:val="center"/>
            </w:pPr>
            <w:r w:rsidRPr="00873941">
              <w:t>0.0013</w:t>
            </w:r>
          </w:p>
        </w:tc>
      </w:tr>
      <w:tr w:rsidR="006F4300" w:rsidRPr="00873941" w14:paraId="5762447E" w14:textId="77777777" w:rsidTr="006F4300">
        <w:trPr>
          <w:trHeight w:val="219"/>
        </w:trPr>
        <w:tc>
          <w:tcPr>
            <w:tcW w:w="3780" w:type="pct"/>
            <w:gridSpan w:val="7"/>
            <w:tcBorders>
              <w:top w:val="single" w:sz="4" w:space="0" w:color="auto"/>
              <w:left w:val="single" w:sz="4" w:space="0" w:color="auto"/>
              <w:bottom w:val="single" w:sz="4" w:space="0" w:color="auto"/>
              <w:right w:val="single" w:sz="4" w:space="0" w:color="auto"/>
            </w:tcBorders>
            <w:vAlign w:val="center"/>
            <w:hideMark/>
          </w:tcPr>
          <w:p w14:paraId="5668B045" w14:textId="77777777" w:rsidR="006F4300" w:rsidRPr="00873941" w:rsidRDefault="006F4300">
            <w:pPr>
              <w:pStyle w:val="TableText0"/>
              <w:widowControl w:val="0"/>
            </w:pPr>
            <w:r w:rsidRPr="00873941">
              <w:t xml:space="preserve">Incremental cost/extra year in </w:t>
            </w:r>
            <w:proofErr w:type="spellStart"/>
            <w:r w:rsidRPr="00873941">
              <w:t>iDFS</w:t>
            </w:r>
            <w:proofErr w:type="spellEnd"/>
            <w:r w:rsidRPr="00873941">
              <w:t xml:space="preserve"> gained</w:t>
            </w:r>
          </w:p>
        </w:tc>
        <w:tc>
          <w:tcPr>
            <w:tcW w:w="1220" w:type="pct"/>
            <w:tcBorders>
              <w:top w:val="single" w:sz="4" w:space="0" w:color="auto"/>
              <w:left w:val="single" w:sz="4" w:space="0" w:color="auto"/>
              <w:bottom w:val="single" w:sz="4" w:space="0" w:color="auto"/>
              <w:right w:val="single" w:sz="4" w:space="0" w:color="auto"/>
            </w:tcBorders>
            <w:vAlign w:val="center"/>
            <w:hideMark/>
          </w:tcPr>
          <w:p w14:paraId="093F2B06" w14:textId="0ACD8F6C" w:rsidR="006F4300" w:rsidRPr="00873941" w:rsidRDefault="00471EB9">
            <w:pPr>
              <w:pStyle w:val="TableText0"/>
              <w:widowControl w:val="0"/>
              <w:jc w:val="center"/>
              <w:rPr>
                <w:rFonts w:ascii="Times" w:hAnsi="Times"/>
              </w:rPr>
            </w:pPr>
            <w:r w:rsidRPr="00471EB9">
              <w:rPr>
                <w:color w:val="000000"/>
                <w:spacing w:val="53"/>
                <w:shd w:val="solid" w:color="000000" w:fill="000000"/>
                <w:fitText w:val="330" w:id="-694408191"/>
                <w14:textFill>
                  <w14:solidFill>
                    <w14:srgbClr w14:val="000000">
                      <w14:alpha w14:val="100000"/>
                    </w14:srgbClr>
                  </w14:solidFill>
                </w14:textFill>
              </w:rPr>
              <w:t>|||</w:t>
            </w:r>
            <w:r w:rsidRPr="00471EB9">
              <w:rPr>
                <w:color w:val="000000"/>
                <w:spacing w:val="1"/>
                <w:shd w:val="solid" w:color="000000" w:fill="000000"/>
                <w:fitText w:val="330" w:id="-694408191"/>
                <w14:textFill>
                  <w14:solidFill>
                    <w14:srgbClr w14:val="000000">
                      <w14:alpha w14:val="100000"/>
                    </w14:srgbClr>
                  </w14:solidFill>
                </w14:textFill>
              </w:rPr>
              <w:t>|</w:t>
            </w:r>
            <w:r w:rsidR="00532965" w:rsidRPr="00532965">
              <w:rPr>
                <w:vertAlign w:val="superscript"/>
              </w:rPr>
              <w:t>2</w:t>
            </w:r>
          </w:p>
        </w:tc>
      </w:tr>
      <w:tr w:rsidR="006F4300" w:rsidRPr="00873941" w14:paraId="12946B82" w14:textId="77777777" w:rsidTr="006F4300">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6FEA8244" w14:textId="77777777" w:rsidR="006F4300" w:rsidRPr="00873941" w:rsidRDefault="006F4300">
            <w:pPr>
              <w:pStyle w:val="In-tableHeading"/>
              <w:widowControl w:val="0"/>
              <w:rPr>
                <w:lang w:val="en-AU"/>
              </w:rPr>
            </w:pPr>
            <w:r w:rsidRPr="00873941">
              <w:rPr>
                <w:lang w:val="en-AU"/>
              </w:rPr>
              <w:t>Step 4: Incorporation of all other costs – neoadjuvant time horizon + 1 year</w:t>
            </w:r>
          </w:p>
        </w:tc>
      </w:tr>
      <w:tr w:rsidR="006F4300" w:rsidRPr="00873941" w14:paraId="6AC83C67" w14:textId="77777777" w:rsidTr="006F4300">
        <w:trPr>
          <w:trHeight w:val="50"/>
        </w:trPr>
        <w:tc>
          <w:tcPr>
            <w:tcW w:w="1201" w:type="pct"/>
            <w:gridSpan w:val="3"/>
            <w:tcBorders>
              <w:top w:val="single" w:sz="4" w:space="0" w:color="auto"/>
              <w:left w:val="single" w:sz="4" w:space="0" w:color="auto"/>
              <w:bottom w:val="single" w:sz="4" w:space="0" w:color="auto"/>
              <w:right w:val="single" w:sz="4" w:space="0" w:color="auto"/>
            </w:tcBorders>
            <w:vAlign w:val="center"/>
            <w:hideMark/>
          </w:tcPr>
          <w:p w14:paraId="62ED16FE" w14:textId="77777777" w:rsidR="006F4300" w:rsidRPr="00873941" w:rsidRDefault="006F4300">
            <w:pPr>
              <w:pStyle w:val="TableText0"/>
              <w:widowControl w:val="0"/>
              <w:rPr>
                <w:rFonts w:ascii="Times" w:hAnsi="Times"/>
              </w:rPr>
            </w:pPr>
            <w:r w:rsidRPr="00873941">
              <w:t>Costs</w:t>
            </w:r>
          </w:p>
        </w:tc>
        <w:tc>
          <w:tcPr>
            <w:tcW w:w="1408" w:type="pct"/>
            <w:gridSpan w:val="3"/>
            <w:tcBorders>
              <w:top w:val="single" w:sz="4" w:space="0" w:color="auto"/>
              <w:left w:val="single" w:sz="4" w:space="0" w:color="auto"/>
              <w:bottom w:val="single" w:sz="4" w:space="0" w:color="auto"/>
              <w:right w:val="single" w:sz="4" w:space="0" w:color="auto"/>
            </w:tcBorders>
            <w:vAlign w:val="center"/>
            <w:hideMark/>
          </w:tcPr>
          <w:p w14:paraId="3C97F407" w14:textId="4CF8FC36" w:rsidR="006F4300" w:rsidRPr="00873941" w:rsidRDefault="00233348">
            <w:pPr>
              <w:pStyle w:val="TableText0"/>
              <w:widowControl w:val="0"/>
              <w:jc w:val="center"/>
              <w:rPr>
                <w:rFonts w:ascii="Times" w:hAnsi="Times"/>
              </w:rPr>
            </w:pPr>
            <w:r w:rsidRPr="00873941">
              <w:t>$</w:t>
            </w:r>
            <w:r w:rsidR="00471EB9" w:rsidRPr="00471EB9">
              <w:rPr>
                <w:color w:val="000000"/>
                <w:spacing w:val="53"/>
                <w:shd w:val="solid" w:color="000000" w:fill="000000"/>
                <w:fitText w:val="330" w:id="-694408190"/>
                <w14:textFill>
                  <w14:solidFill>
                    <w14:srgbClr w14:val="000000">
                      <w14:alpha w14:val="100000"/>
                    </w14:srgbClr>
                  </w14:solidFill>
                </w14:textFill>
              </w:rPr>
              <w:t>|||</w:t>
            </w:r>
            <w:r w:rsidR="00471EB9" w:rsidRPr="00471EB9">
              <w:rPr>
                <w:color w:val="000000"/>
                <w:spacing w:val="1"/>
                <w:shd w:val="solid" w:color="000000" w:fill="000000"/>
                <w:fitText w:val="330" w:id="-694408190"/>
                <w14:textFill>
                  <w14:solidFill>
                    <w14:srgbClr w14:val="000000">
                      <w14:alpha w14:val="100000"/>
                    </w14:srgbClr>
                  </w14:solidFill>
                </w14:textFill>
              </w:rPr>
              <w:t>|</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C797DA5" w14:textId="465B69B9" w:rsidR="006F4300" w:rsidRPr="00873941" w:rsidRDefault="00233348">
            <w:pPr>
              <w:pStyle w:val="TableText0"/>
              <w:widowControl w:val="0"/>
              <w:jc w:val="center"/>
              <w:rPr>
                <w:rFonts w:ascii="Times" w:hAnsi="Times"/>
              </w:rPr>
            </w:pPr>
            <w:r w:rsidRPr="00873941">
              <w:t>$</w:t>
            </w:r>
            <w:r w:rsidR="00471EB9" w:rsidRPr="00471EB9">
              <w:rPr>
                <w:color w:val="000000"/>
                <w:spacing w:val="53"/>
                <w:shd w:val="solid" w:color="000000" w:fill="000000"/>
                <w:fitText w:val="330" w:id="-694408189"/>
                <w14:textFill>
                  <w14:solidFill>
                    <w14:srgbClr w14:val="000000">
                      <w14:alpha w14:val="100000"/>
                    </w14:srgbClr>
                  </w14:solidFill>
                </w14:textFill>
              </w:rPr>
              <w:t>|||</w:t>
            </w:r>
            <w:r w:rsidR="00471EB9" w:rsidRPr="00471EB9">
              <w:rPr>
                <w:color w:val="000000"/>
                <w:spacing w:val="1"/>
                <w:shd w:val="solid" w:color="000000" w:fill="000000"/>
                <w:fitText w:val="330" w:id="-694408189"/>
                <w14:textFill>
                  <w14:solidFill>
                    <w14:srgbClr w14:val="000000">
                      <w14:alpha w14:val="100000"/>
                    </w14:srgbClr>
                  </w14:solidFill>
                </w14:textFill>
              </w:rPr>
              <w:t>|</w:t>
            </w:r>
          </w:p>
        </w:tc>
        <w:tc>
          <w:tcPr>
            <w:tcW w:w="1220" w:type="pct"/>
            <w:tcBorders>
              <w:top w:val="single" w:sz="4" w:space="0" w:color="auto"/>
              <w:left w:val="single" w:sz="4" w:space="0" w:color="auto"/>
              <w:bottom w:val="single" w:sz="4" w:space="0" w:color="auto"/>
              <w:right w:val="single" w:sz="4" w:space="0" w:color="auto"/>
            </w:tcBorders>
            <w:vAlign w:val="center"/>
            <w:hideMark/>
          </w:tcPr>
          <w:p w14:paraId="4BD5F942" w14:textId="3213BF40" w:rsidR="0049282E" w:rsidRPr="00873941" w:rsidRDefault="0049282E">
            <w:pPr>
              <w:pStyle w:val="TableText0"/>
              <w:widowControl w:val="0"/>
              <w:jc w:val="center"/>
              <w:rPr>
                <w:rFonts w:ascii="Times" w:hAnsi="Times"/>
              </w:rPr>
            </w:pPr>
            <w:r w:rsidRPr="00172832">
              <w:t>$</w:t>
            </w:r>
            <w:r w:rsidR="00471EB9" w:rsidRPr="00471EB9">
              <w:rPr>
                <w:color w:val="000000"/>
                <w:spacing w:val="53"/>
                <w:shd w:val="solid" w:color="000000" w:fill="000000"/>
                <w:fitText w:val="330" w:id="-694408188"/>
                <w14:textFill>
                  <w14:solidFill>
                    <w14:srgbClr w14:val="000000">
                      <w14:alpha w14:val="100000"/>
                    </w14:srgbClr>
                  </w14:solidFill>
                </w14:textFill>
              </w:rPr>
              <w:t>|||</w:t>
            </w:r>
            <w:r w:rsidR="00471EB9" w:rsidRPr="00471EB9">
              <w:rPr>
                <w:color w:val="000000"/>
                <w:spacing w:val="1"/>
                <w:shd w:val="solid" w:color="000000" w:fill="000000"/>
                <w:fitText w:val="330" w:id="-694408188"/>
                <w14:textFill>
                  <w14:solidFill>
                    <w14:srgbClr w14:val="000000">
                      <w14:alpha w14:val="100000"/>
                    </w14:srgbClr>
                  </w14:solidFill>
                </w14:textFill>
              </w:rPr>
              <w:t>|</w:t>
            </w:r>
          </w:p>
        </w:tc>
      </w:tr>
      <w:tr w:rsidR="00F31921" w:rsidRPr="00873941" w14:paraId="12CC90ED" w14:textId="77777777" w:rsidTr="00F31921">
        <w:trPr>
          <w:trHeight w:val="218"/>
        </w:trPr>
        <w:tc>
          <w:tcPr>
            <w:tcW w:w="1201" w:type="pct"/>
            <w:gridSpan w:val="3"/>
            <w:tcBorders>
              <w:top w:val="single" w:sz="4" w:space="0" w:color="auto"/>
              <w:left w:val="single" w:sz="4" w:space="0" w:color="auto"/>
              <w:bottom w:val="single" w:sz="4" w:space="0" w:color="auto"/>
              <w:right w:val="single" w:sz="4" w:space="0" w:color="auto"/>
            </w:tcBorders>
            <w:vAlign w:val="center"/>
            <w:hideMark/>
          </w:tcPr>
          <w:p w14:paraId="1EC23D0C" w14:textId="77777777" w:rsidR="00F31921" w:rsidRPr="00873941" w:rsidRDefault="00F31921" w:rsidP="00F31921">
            <w:pPr>
              <w:pStyle w:val="TableText0"/>
              <w:widowControl w:val="0"/>
              <w:rPr>
                <w:rFonts w:ascii="Times" w:hAnsi="Times"/>
              </w:rPr>
            </w:pPr>
            <w:r w:rsidRPr="00873941">
              <w:t>Outcome (</w:t>
            </w:r>
            <w:proofErr w:type="spellStart"/>
            <w:r w:rsidRPr="00873941">
              <w:t>iDFS</w:t>
            </w:r>
            <w:proofErr w:type="spellEnd"/>
            <w:r w:rsidRPr="00873941">
              <w:t xml:space="preserve"> years)</w:t>
            </w:r>
          </w:p>
        </w:tc>
        <w:tc>
          <w:tcPr>
            <w:tcW w:w="1408" w:type="pct"/>
            <w:gridSpan w:val="3"/>
            <w:tcBorders>
              <w:top w:val="single" w:sz="4" w:space="0" w:color="auto"/>
              <w:left w:val="single" w:sz="4" w:space="0" w:color="auto"/>
              <w:bottom w:val="single" w:sz="4" w:space="0" w:color="auto"/>
              <w:right w:val="single" w:sz="4" w:space="0" w:color="auto"/>
            </w:tcBorders>
            <w:vAlign w:val="bottom"/>
            <w:hideMark/>
          </w:tcPr>
          <w:p w14:paraId="1CACB221" w14:textId="79153B82" w:rsidR="00F31921" w:rsidRPr="00873941" w:rsidRDefault="00F31921" w:rsidP="00F31921">
            <w:pPr>
              <w:pStyle w:val="TableText0"/>
              <w:widowControl w:val="0"/>
              <w:jc w:val="center"/>
              <w:rPr>
                <w:rFonts w:ascii="Times" w:hAnsi="Times"/>
              </w:rPr>
            </w:pPr>
            <w:r w:rsidRPr="00873941">
              <w:t>0.9990</w:t>
            </w:r>
          </w:p>
        </w:tc>
        <w:tc>
          <w:tcPr>
            <w:tcW w:w="1171" w:type="pct"/>
            <w:tcBorders>
              <w:top w:val="single" w:sz="4" w:space="0" w:color="auto"/>
              <w:left w:val="single" w:sz="4" w:space="0" w:color="auto"/>
              <w:bottom w:val="single" w:sz="4" w:space="0" w:color="auto"/>
              <w:right w:val="single" w:sz="4" w:space="0" w:color="auto"/>
            </w:tcBorders>
            <w:vAlign w:val="bottom"/>
            <w:hideMark/>
          </w:tcPr>
          <w:p w14:paraId="283A5B61" w14:textId="4CF3396C" w:rsidR="00F31921" w:rsidRPr="00873941" w:rsidRDefault="00F31921" w:rsidP="00F31921">
            <w:pPr>
              <w:pStyle w:val="TableText0"/>
              <w:widowControl w:val="0"/>
              <w:jc w:val="center"/>
              <w:rPr>
                <w:rFonts w:ascii="Times" w:hAnsi="Times"/>
              </w:rPr>
            </w:pPr>
            <w:r w:rsidRPr="00873941">
              <w:t>0.9977</w:t>
            </w:r>
          </w:p>
        </w:tc>
        <w:tc>
          <w:tcPr>
            <w:tcW w:w="1220" w:type="pct"/>
            <w:tcBorders>
              <w:top w:val="single" w:sz="4" w:space="0" w:color="auto"/>
              <w:left w:val="single" w:sz="4" w:space="0" w:color="auto"/>
              <w:bottom w:val="single" w:sz="4" w:space="0" w:color="auto"/>
              <w:right w:val="single" w:sz="4" w:space="0" w:color="auto"/>
            </w:tcBorders>
            <w:vAlign w:val="center"/>
            <w:hideMark/>
          </w:tcPr>
          <w:p w14:paraId="61D06556" w14:textId="77777777" w:rsidR="00F31921" w:rsidRPr="00873941" w:rsidRDefault="00F31921" w:rsidP="00F31921">
            <w:pPr>
              <w:pStyle w:val="TableText0"/>
              <w:widowControl w:val="0"/>
              <w:jc w:val="center"/>
            </w:pPr>
            <w:r w:rsidRPr="00873941">
              <w:t>0.0013</w:t>
            </w:r>
          </w:p>
        </w:tc>
      </w:tr>
      <w:tr w:rsidR="006F4300" w:rsidRPr="00873941" w14:paraId="1F18784D" w14:textId="77777777" w:rsidTr="006F4300">
        <w:trPr>
          <w:trHeight w:val="210"/>
        </w:trPr>
        <w:tc>
          <w:tcPr>
            <w:tcW w:w="3780" w:type="pct"/>
            <w:gridSpan w:val="7"/>
            <w:tcBorders>
              <w:top w:val="single" w:sz="4" w:space="0" w:color="auto"/>
              <w:left w:val="single" w:sz="4" w:space="0" w:color="auto"/>
              <w:bottom w:val="single" w:sz="4" w:space="0" w:color="auto"/>
              <w:right w:val="single" w:sz="4" w:space="0" w:color="auto"/>
            </w:tcBorders>
            <w:vAlign w:val="center"/>
            <w:hideMark/>
          </w:tcPr>
          <w:p w14:paraId="4CE0912A" w14:textId="77777777" w:rsidR="006F4300" w:rsidRPr="00873941" w:rsidRDefault="006F4300">
            <w:pPr>
              <w:pStyle w:val="TableText0"/>
              <w:widowControl w:val="0"/>
              <w:rPr>
                <w:rFonts w:ascii="Times" w:hAnsi="Times"/>
              </w:rPr>
            </w:pPr>
            <w:r w:rsidRPr="00873941">
              <w:t xml:space="preserve">Incremental cost/extra year in </w:t>
            </w:r>
            <w:proofErr w:type="spellStart"/>
            <w:r w:rsidRPr="00873941">
              <w:t>iDFS</w:t>
            </w:r>
            <w:proofErr w:type="spellEnd"/>
            <w:r w:rsidRPr="00873941">
              <w:t xml:space="preserve"> gained</w:t>
            </w:r>
          </w:p>
        </w:tc>
        <w:tc>
          <w:tcPr>
            <w:tcW w:w="1220" w:type="pct"/>
            <w:tcBorders>
              <w:top w:val="single" w:sz="4" w:space="0" w:color="auto"/>
              <w:left w:val="single" w:sz="4" w:space="0" w:color="auto"/>
              <w:bottom w:val="single" w:sz="4" w:space="0" w:color="auto"/>
              <w:right w:val="single" w:sz="4" w:space="0" w:color="auto"/>
            </w:tcBorders>
            <w:vAlign w:val="center"/>
            <w:hideMark/>
          </w:tcPr>
          <w:p w14:paraId="5E2DD385" w14:textId="22361596" w:rsidR="006F4300" w:rsidRPr="00873941" w:rsidRDefault="00471EB9">
            <w:pPr>
              <w:pStyle w:val="TableText0"/>
              <w:widowControl w:val="0"/>
              <w:jc w:val="center"/>
              <w:rPr>
                <w:rFonts w:ascii="Times" w:hAnsi="Times"/>
              </w:rPr>
            </w:pPr>
            <w:r w:rsidRPr="00471EB9">
              <w:rPr>
                <w:color w:val="000000"/>
                <w:spacing w:val="53"/>
                <w:shd w:val="solid" w:color="000000" w:fill="000000"/>
                <w:fitText w:val="330" w:id="-694408187"/>
                <w14:textFill>
                  <w14:solidFill>
                    <w14:srgbClr w14:val="000000">
                      <w14:alpha w14:val="100000"/>
                    </w14:srgbClr>
                  </w14:solidFill>
                </w14:textFill>
              </w:rPr>
              <w:t>|||</w:t>
            </w:r>
            <w:r w:rsidRPr="00471EB9">
              <w:rPr>
                <w:color w:val="000000"/>
                <w:spacing w:val="1"/>
                <w:shd w:val="solid" w:color="000000" w:fill="000000"/>
                <w:fitText w:val="330" w:id="-694408187"/>
                <w14:textFill>
                  <w14:solidFill>
                    <w14:srgbClr w14:val="000000">
                      <w14:alpha w14:val="100000"/>
                    </w14:srgbClr>
                  </w14:solidFill>
                </w14:textFill>
              </w:rPr>
              <w:t>|</w:t>
            </w:r>
            <w:r w:rsidR="00532965" w:rsidRPr="00532965">
              <w:rPr>
                <w:vertAlign w:val="superscript"/>
              </w:rPr>
              <w:t>2</w:t>
            </w:r>
          </w:p>
        </w:tc>
      </w:tr>
      <w:tr w:rsidR="006F4300" w:rsidRPr="00873941" w14:paraId="0E7AD1F2" w14:textId="77777777" w:rsidTr="006F4300">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08CBD36E" w14:textId="77777777" w:rsidR="006F4300" w:rsidRPr="00873941" w:rsidRDefault="006F4300">
            <w:pPr>
              <w:pStyle w:val="In-tableHeading"/>
              <w:widowControl w:val="0"/>
              <w:rPr>
                <w:lang w:val="en-AU"/>
              </w:rPr>
            </w:pPr>
            <w:r w:rsidRPr="00873941">
              <w:rPr>
                <w:lang w:val="en-AU"/>
              </w:rPr>
              <w:t>Step 5: Transform reduction in disease recurrence to life years – neoadjuvant time horizon + 1 year</w:t>
            </w:r>
          </w:p>
        </w:tc>
      </w:tr>
      <w:tr w:rsidR="00FE787A" w:rsidRPr="00873941" w14:paraId="32B70C4F" w14:textId="77777777" w:rsidTr="006F4300">
        <w:trPr>
          <w:trHeight w:val="231"/>
        </w:trPr>
        <w:tc>
          <w:tcPr>
            <w:tcW w:w="1201" w:type="pct"/>
            <w:gridSpan w:val="3"/>
            <w:tcBorders>
              <w:top w:val="single" w:sz="4" w:space="0" w:color="auto"/>
              <w:left w:val="single" w:sz="4" w:space="0" w:color="auto"/>
              <w:bottom w:val="single" w:sz="4" w:space="0" w:color="auto"/>
              <w:right w:val="single" w:sz="4" w:space="0" w:color="auto"/>
            </w:tcBorders>
            <w:vAlign w:val="center"/>
            <w:hideMark/>
          </w:tcPr>
          <w:p w14:paraId="18D4E01F" w14:textId="77777777" w:rsidR="00FE787A" w:rsidRPr="00873941" w:rsidRDefault="00FE787A" w:rsidP="00FE787A">
            <w:pPr>
              <w:pStyle w:val="TableText0"/>
              <w:widowControl w:val="0"/>
            </w:pPr>
            <w:r w:rsidRPr="00873941">
              <w:t>Costs</w:t>
            </w:r>
          </w:p>
        </w:tc>
        <w:tc>
          <w:tcPr>
            <w:tcW w:w="1408" w:type="pct"/>
            <w:gridSpan w:val="3"/>
            <w:tcBorders>
              <w:top w:val="single" w:sz="4" w:space="0" w:color="auto"/>
              <w:left w:val="single" w:sz="4" w:space="0" w:color="auto"/>
              <w:bottom w:val="single" w:sz="4" w:space="0" w:color="auto"/>
              <w:right w:val="single" w:sz="4" w:space="0" w:color="auto"/>
            </w:tcBorders>
            <w:vAlign w:val="center"/>
            <w:hideMark/>
          </w:tcPr>
          <w:p w14:paraId="39A6C95F" w14:textId="6DB9249F" w:rsidR="00FE787A" w:rsidRPr="00873941" w:rsidRDefault="00FE787A" w:rsidP="00FE787A">
            <w:pPr>
              <w:pStyle w:val="TableText0"/>
              <w:widowControl w:val="0"/>
              <w:jc w:val="center"/>
              <w:rPr>
                <w:rFonts w:ascii="Times" w:hAnsi="Times"/>
              </w:rPr>
            </w:pPr>
            <w:r w:rsidRPr="00873941">
              <w:t>$</w:t>
            </w:r>
            <w:r w:rsidR="00471EB9" w:rsidRPr="00471EB9">
              <w:rPr>
                <w:color w:val="000000"/>
                <w:spacing w:val="53"/>
                <w:shd w:val="solid" w:color="000000" w:fill="000000"/>
                <w:fitText w:val="330" w:id="-694408186"/>
                <w14:textFill>
                  <w14:solidFill>
                    <w14:srgbClr w14:val="000000">
                      <w14:alpha w14:val="100000"/>
                    </w14:srgbClr>
                  </w14:solidFill>
                </w14:textFill>
              </w:rPr>
              <w:t>|||</w:t>
            </w:r>
            <w:r w:rsidR="00471EB9" w:rsidRPr="00471EB9">
              <w:rPr>
                <w:color w:val="000000"/>
                <w:spacing w:val="1"/>
                <w:shd w:val="solid" w:color="000000" w:fill="000000"/>
                <w:fitText w:val="330" w:id="-694408186"/>
                <w14:textFill>
                  <w14:solidFill>
                    <w14:srgbClr w14:val="000000">
                      <w14:alpha w14:val="100000"/>
                    </w14:srgbClr>
                  </w14:solidFill>
                </w14:textFill>
              </w:rPr>
              <w:t>|</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E881F9F" w14:textId="31697561" w:rsidR="00FE787A" w:rsidRPr="00873941" w:rsidRDefault="00FE787A" w:rsidP="00FE787A">
            <w:pPr>
              <w:pStyle w:val="TableText0"/>
              <w:widowControl w:val="0"/>
              <w:jc w:val="center"/>
              <w:rPr>
                <w:rFonts w:ascii="Times" w:hAnsi="Times"/>
              </w:rPr>
            </w:pPr>
            <w:r w:rsidRPr="00873941">
              <w:t>$</w:t>
            </w:r>
            <w:r w:rsidR="00471EB9" w:rsidRPr="00471EB9">
              <w:rPr>
                <w:color w:val="000000"/>
                <w:spacing w:val="53"/>
                <w:shd w:val="solid" w:color="000000" w:fill="000000"/>
                <w:fitText w:val="330" w:id="-694408185"/>
                <w14:textFill>
                  <w14:solidFill>
                    <w14:srgbClr w14:val="000000">
                      <w14:alpha w14:val="100000"/>
                    </w14:srgbClr>
                  </w14:solidFill>
                </w14:textFill>
              </w:rPr>
              <w:t>|||</w:t>
            </w:r>
            <w:r w:rsidR="00471EB9" w:rsidRPr="00471EB9">
              <w:rPr>
                <w:color w:val="000000"/>
                <w:spacing w:val="1"/>
                <w:shd w:val="solid" w:color="000000" w:fill="000000"/>
                <w:fitText w:val="330" w:id="-694408185"/>
                <w14:textFill>
                  <w14:solidFill>
                    <w14:srgbClr w14:val="000000">
                      <w14:alpha w14:val="100000"/>
                    </w14:srgbClr>
                  </w14:solidFill>
                </w14:textFill>
              </w:rPr>
              <w:t>|</w:t>
            </w:r>
          </w:p>
        </w:tc>
        <w:tc>
          <w:tcPr>
            <w:tcW w:w="1220" w:type="pct"/>
            <w:tcBorders>
              <w:top w:val="single" w:sz="4" w:space="0" w:color="auto"/>
              <w:left w:val="single" w:sz="4" w:space="0" w:color="auto"/>
              <w:bottom w:val="single" w:sz="4" w:space="0" w:color="auto"/>
              <w:right w:val="single" w:sz="4" w:space="0" w:color="auto"/>
            </w:tcBorders>
            <w:vAlign w:val="center"/>
            <w:hideMark/>
          </w:tcPr>
          <w:p w14:paraId="5731F5FF" w14:textId="0BDF306B" w:rsidR="0049282E" w:rsidRPr="00873941" w:rsidRDefault="0049282E" w:rsidP="00FE787A">
            <w:pPr>
              <w:pStyle w:val="TableText0"/>
              <w:widowControl w:val="0"/>
              <w:jc w:val="center"/>
              <w:rPr>
                <w:rFonts w:ascii="Times" w:hAnsi="Times"/>
              </w:rPr>
            </w:pPr>
            <w:r w:rsidRPr="00172832">
              <w:t>$</w:t>
            </w:r>
            <w:r w:rsidR="00471EB9" w:rsidRPr="00471EB9">
              <w:rPr>
                <w:color w:val="000000"/>
                <w:spacing w:val="53"/>
                <w:shd w:val="solid" w:color="000000" w:fill="000000"/>
                <w:fitText w:val="330" w:id="-694408184"/>
                <w14:textFill>
                  <w14:solidFill>
                    <w14:srgbClr w14:val="000000">
                      <w14:alpha w14:val="100000"/>
                    </w14:srgbClr>
                  </w14:solidFill>
                </w14:textFill>
              </w:rPr>
              <w:t>|||</w:t>
            </w:r>
            <w:r w:rsidR="00471EB9" w:rsidRPr="00471EB9">
              <w:rPr>
                <w:color w:val="000000"/>
                <w:spacing w:val="1"/>
                <w:shd w:val="solid" w:color="000000" w:fill="000000"/>
                <w:fitText w:val="330" w:id="-694408184"/>
                <w14:textFill>
                  <w14:solidFill>
                    <w14:srgbClr w14:val="000000">
                      <w14:alpha w14:val="100000"/>
                    </w14:srgbClr>
                  </w14:solidFill>
                </w14:textFill>
              </w:rPr>
              <w:t>|</w:t>
            </w:r>
          </w:p>
        </w:tc>
      </w:tr>
      <w:tr w:rsidR="00FE787A" w:rsidRPr="00873941" w14:paraId="1908C969" w14:textId="77777777" w:rsidTr="00FE787A">
        <w:trPr>
          <w:trHeight w:val="228"/>
        </w:trPr>
        <w:tc>
          <w:tcPr>
            <w:tcW w:w="1201" w:type="pct"/>
            <w:gridSpan w:val="3"/>
            <w:tcBorders>
              <w:top w:val="single" w:sz="4" w:space="0" w:color="auto"/>
              <w:left w:val="single" w:sz="4" w:space="0" w:color="auto"/>
              <w:bottom w:val="single" w:sz="4" w:space="0" w:color="auto"/>
              <w:right w:val="single" w:sz="4" w:space="0" w:color="auto"/>
            </w:tcBorders>
            <w:vAlign w:val="center"/>
            <w:hideMark/>
          </w:tcPr>
          <w:p w14:paraId="335FEFEB" w14:textId="77777777" w:rsidR="00FE787A" w:rsidRPr="00873941" w:rsidRDefault="00FE787A" w:rsidP="00FE787A">
            <w:pPr>
              <w:pStyle w:val="TableText0"/>
              <w:widowControl w:val="0"/>
            </w:pPr>
            <w:r w:rsidRPr="00873941">
              <w:t>Outcome (LYG)</w:t>
            </w:r>
          </w:p>
        </w:tc>
        <w:tc>
          <w:tcPr>
            <w:tcW w:w="1408" w:type="pct"/>
            <w:gridSpan w:val="3"/>
            <w:tcBorders>
              <w:top w:val="single" w:sz="4" w:space="0" w:color="auto"/>
              <w:left w:val="single" w:sz="4" w:space="0" w:color="auto"/>
              <w:bottom w:val="single" w:sz="4" w:space="0" w:color="auto"/>
              <w:right w:val="single" w:sz="4" w:space="0" w:color="auto"/>
            </w:tcBorders>
            <w:vAlign w:val="bottom"/>
            <w:hideMark/>
          </w:tcPr>
          <w:p w14:paraId="0283CD36" w14:textId="23C80B71" w:rsidR="00FE787A" w:rsidRPr="00873941" w:rsidRDefault="0049282E" w:rsidP="00FE787A">
            <w:pPr>
              <w:pStyle w:val="TableText0"/>
              <w:widowControl w:val="0"/>
              <w:jc w:val="center"/>
            </w:pPr>
            <w:r w:rsidRPr="00873941">
              <w:t>1.3857</w:t>
            </w:r>
          </w:p>
        </w:tc>
        <w:tc>
          <w:tcPr>
            <w:tcW w:w="1171" w:type="pct"/>
            <w:tcBorders>
              <w:top w:val="single" w:sz="4" w:space="0" w:color="auto"/>
              <w:left w:val="single" w:sz="4" w:space="0" w:color="auto"/>
              <w:bottom w:val="single" w:sz="4" w:space="0" w:color="auto"/>
              <w:right w:val="single" w:sz="4" w:space="0" w:color="auto"/>
            </w:tcBorders>
            <w:vAlign w:val="bottom"/>
            <w:hideMark/>
          </w:tcPr>
          <w:p w14:paraId="156444FF" w14:textId="598219CE" w:rsidR="00FE787A" w:rsidRPr="00873941" w:rsidRDefault="0049282E" w:rsidP="00FE787A">
            <w:pPr>
              <w:pStyle w:val="TableText0"/>
              <w:widowControl w:val="0"/>
              <w:jc w:val="center"/>
            </w:pPr>
            <w:r w:rsidRPr="00873941">
              <w:t>1.3857</w:t>
            </w:r>
          </w:p>
        </w:tc>
        <w:tc>
          <w:tcPr>
            <w:tcW w:w="1220" w:type="pct"/>
            <w:tcBorders>
              <w:top w:val="single" w:sz="4" w:space="0" w:color="auto"/>
              <w:left w:val="single" w:sz="4" w:space="0" w:color="auto"/>
              <w:bottom w:val="single" w:sz="4" w:space="0" w:color="auto"/>
              <w:right w:val="single" w:sz="4" w:space="0" w:color="auto"/>
            </w:tcBorders>
            <w:vAlign w:val="center"/>
            <w:hideMark/>
          </w:tcPr>
          <w:p w14:paraId="42B79CD7" w14:textId="0B30B86F" w:rsidR="00FE787A" w:rsidRPr="00873941" w:rsidRDefault="00FE787A" w:rsidP="00FE787A">
            <w:pPr>
              <w:pStyle w:val="TableText0"/>
              <w:widowControl w:val="0"/>
              <w:jc w:val="center"/>
            </w:pPr>
            <w:r w:rsidRPr="00873941">
              <w:t>0.0000</w:t>
            </w:r>
            <w:r w:rsidR="00DB70A7" w:rsidRPr="00873941">
              <w:t>3</w:t>
            </w:r>
          </w:p>
        </w:tc>
      </w:tr>
      <w:tr w:rsidR="006F4300" w:rsidRPr="00873941" w14:paraId="06CFF05B" w14:textId="77777777" w:rsidTr="006F4300">
        <w:trPr>
          <w:trHeight w:val="219"/>
        </w:trPr>
        <w:tc>
          <w:tcPr>
            <w:tcW w:w="3780" w:type="pct"/>
            <w:gridSpan w:val="7"/>
            <w:tcBorders>
              <w:top w:val="single" w:sz="4" w:space="0" w:color="auto"/>
              <w:left w:val="single" w:sz="4" w:space="0" w:color="auto"/>
              <w:bottom w:val="single" w:sz="4" w:space="0" w:color="auto"/>
              <w:right w:val="single" w:sz="4" w:space="0" w:color="auto"/>
            </w:tcBorders>
            <w:vAlign w:val="center"/>
            <w:hideMark/>
          </w:tcPr>
          <w:p w14:paraId="01238ACE" w14:textId="77777777" w:rsidR="006F4300" w:rsidRPr="00873941" w:rsidRDefault="006F4300">
            <w:pPr>
              <w:pStyle w:val="TableText0"/>
              <w:widowControl w:val="0"/>
            </w:pPr>
            <w:r w:rsidRPr="00873941">
              <w:t>Incremental cost/extra LYG gained</w:t>
            </w:r>
          </w:p>
        </w:tc>
        <w:tc>
          <w:tcPr>
            <w:tcW w:w="1220" w:type="pct"/>
            <w:tcBorders>
              <w:top w:val="single" w:sz="4" w:space="0" w:color="auto"/>
              <w:left w:val="single" w:sz="4" w:space="0" w:color="auto"/>
              <w:bottom w:val="single" w:sz="4" w:space="0" w:color="auto"/>
              <w:right w:val="single" w:sz="4" w:space="0" w:color="auto"/>
            </w:tcBorders>
            <w:vAlign w:val="center"/>
            <w:hideMark/>
          </w:tcPr>
          <w:p w14:paraId="4B90A327" w14:textId="5226F3AF" w:rsidR="006F4300" w:rsidRPr="00873941" w:rsidRDefault="00471EB9">
            <w:pPr>
              <w:pStyle w:val="TableText0"/>
              <w:widowControl w:val="0"/>
              <w:jc w:val="center"/>
            </w:pPr>
            <w:r w:rsidRPr="00471EB9">
              <w:rPr>
                <w:color w:val="000000"/>
                <w:spacing w:val="53"/>
                <w:shd w:val="solid" w:color="000000" w:fill="000000"/>
                <w:fitText w:val="330" w:id="-694408183"/>
                <w14:textFill>
                  <w14:solidFill>
                    <w14:srgbClr w14:val="000000">
                      <w14:alpha w14:val="100000"/>
                    </w14:srgbClr>
                  </w14:solidFill>
                </w14:textFill>
              </w:rPr>
              <w:t>|||</w:t>
            </w:r>
            <w:r w:rsidRPr="00471EB9">
              <w:rPr>
                <w:color w:val="000000"/>
                <w:spacing w:val="1"/>
                <w:shd w:val="solid" w:color="000000" w:fill="000000"/>
                <w:fitText w:val="330" w:id="-694408183"/>
                <w14:textFill>
                  <w14:solidFill>
                    <w14:srgbClr w14:val="000000">
                      <w14:alpha w14:val="100000"/>
                    </w14:srgbClr>
                  </w14:solidFill>
                </w14:textFill>
              </w:rPr>
              <w:t>|</w:t>
            </w:r>
            <w:r w:rsidR="00E13797" w:rsidRPr="00532965">
              <w:rPr>
                <w:vertAlign w:val="superscript"/>
              </w:rPr>
              <w:t>2</w:t>
            </w:r>
          </w:p>
        </w:tc>
      </w:tr>
      <w:tr w:rsidR="006F4300" w:rsidRPr="00873941" w14:paraId="49434EF1" w14:textId="77777777" w:rsidTr="006F4300">
        <w:trPr>
          <w:trHeight w:val="221"/>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72448230" w14:textId="77777777" w:rsidR="006F4300" w:rsidRPr="00873941" w:rsidRDefault="006F4300">
            <w:pPr>
              <w:pStyle w:val="In-tableHeading"/>
              <w:rPr>
                <w:lang w:val="en-AU"/>
              </w:rPr>
            </w:pPr>
            <w:r w:rsidRPr="00873941">
              <w:rPr>
                <w:lang w:val="en-AU"/>
              </w:rPr>
              <w:t>Step 5a: Extend time horizon to 40 years</w:t>
            </w:r>
          </w:p>
        </w:tc>
      </w:tr>
      <w:tr w:rsidR="009E2B79" w:rsidRPr="00873941" w14:paraId="304CF2AB" w14:textId="77777777" w:rsidTr="00351E31">
        <w:trPr>
          <w:trHeight w:val="221"/>
        </w:trPr>
        <w:tc>
          <w:tcPr>
            <w:tcW w:w="1201" w:type="pct"/>
            <w:gridSpan w:val="3"/>
            <w:tcBorders>
              <w:top w:val="single" w:sz="4" w:space="0" w:color="auto"/>
              <w:left w:val="single" w:sz="4" w:space="0" w:color="auto"/>
              <w:bottom w:val="single" w:sz="4" w:space="0" w:color="auto"/>
              <w:right w:val="single" w:sz="4" w:space="0" w:color="auto"/>
            </w:tcBorders>
            <w:vAlign w:val="center"/>
            <w:hideMark/>
          </w:tcPr>
          <w:p w14:paraId="363855C8" w14:textId="77777777" w:rsidR="009E2B79" w:rsidRPr="00873941" w:rsidRDefault="009E2B79" w:rsidP="009E2B79">
            <w:pPr>
              <w:pStyle w:val="TableText0"/>
              <w:widowControl w:val="0"/>
            </w:pPr>
            <w:r w:rsidRPr="00873941">
              <w:t>Costs</w:t>
            </w:r>
          </w:p>
        </w:tc>
        <w:tc>
          <w:tcPr>
            <w:tcW w:w="1408" w:type="pct"/>
            <w:gridSpan w:val="3"/>
            <w:tcBorders>
              <w:top w:val="single" w:sz="4" w:space="0" w:color="auto"/>
              <w:left w:val="single" w:sz="4" w:space="0" w:color="auto"/>
              <w:bottom w:val="single" w:sz="4" w:space="0" w:color="auto"/>
              <w:right w:val="single" w:sz="4" w:space="0" w:color="auto"/>
            </w:tcBorders>
            <w:vAlign w:val="bottom"/>
            <w:hideMark/>
          </w:tcPr>
          <w:p w14:paraId="2A3FB884" w14:textId="0BB6BD91" w:rsidR="009E2B79" w:rsidRPr="00873941" w:rsidRDefault="009E2B79" w:rsidP="009E2B79">
            <w:pPr>
              <w:pStyle w:val="TableText0"/>
              <w:widowControl w:val="0"/>
              <w:jc w:val="center"/>
            </w:pPr>
            <w:r w:rsidRPr="00873941">
              <w:t>$</w:t>
            </w:r>
            <w:r w:rsidR="00471EB9" w:rsidRPr="00471EB9">
              <w:rPr>
                <w:color w:val="000000"/>
                <w:spacing w:val="53"/>
                <w:shd w:val="solid" w:color="000000" w:fill="000000"/>
                <w:fitText w:val="330" w:id="-694408182"/>
                <w14:textFill>
                  <w14:solidFill>
                    <w14:srgbClr w14:val="000000">
                      <w14:alpha w14:val="100000"/>
                    </w14:srgbClr>
                  </w14:solidFill>
                </w14:textFill>
              </w:rPr>
              <w:t>|||</w:t>
            </w:r>
            <w:r w:rsidR="00471EB9" w:rsidRPr="00471EB9">
              <w:rPr>
                <w:color w:val="000000"/>
                <w:spacing w:val="1"/>
                <w:shd w:val="solid" w:color="000000" w:fill="000000"/>
                <w:fitText w:val="330" w:id="-694408182"/>
                <w14:textFill>
                  <w14:solidFill>
                    <w14:srgbClr w14:val="000000">
                      <w14:alpha w14:val="100000"/>
                    </w14:srgbClr>
                  </w14:solidFill>
                </w14:textFill>
              </w:rPr>
              <w:t>|</w:t>
            </w:r>
          </w:p>
        </w:tc>
        <w:tc>
          <w:tcPr>
            <w:tcW w:w="1171" w:type="pct"/>
            <w:tcBorders>
              <w:top w:val="single" w:sz="4" w:space="0" w:color="auto"/>
              <w:left w:val="single" w:sz="4" w:space="0" w:color="auto"/>
              <w:bottom w:val="single" w:sz="4" w:space="0" w:color="auto"/>
              <w:right w:val="single" w:sz="4" w:space="0" w:color="auto"/>
            </w:tcBorders>
            <w:vAlign w:val="bottom"/>
            <w:hideMark/>
          </w:tcPr>
          <w:p w14:paraId="69967824" w14:textId="23313796" w:rsidR="009E2B79" w:rsidRPr="00873941" w:rsidRDefault="009E2B79" w:rsidP="009E2B79">
            <w:pPr>
              <w:pStyle w:val="TableText0"/>
              <w:widowControl w:val="0"/>
              <w:jc w:val="center"/>
            </w:pPr>
            <w:r w:rsidRPr="00873941">
              <w:t>$</w:t>
            </w:r>
            <w:r w:rsidR="00471EB9" w:rsidRPr="00471EB9">
              <w:rPr>
                <w:color w:val="000000"/>
                <w:spacing w:val="53"/>
                <w:shd w:val="solid" w:color="000000" w:fill="000000"/>
                <w:fitText w:val="330" w:id="-694408181"/>
                <w14:textFill>
                  <w14:solidFill>
                    <w14:srgbClr w14:val="000000">
                      <w14:alpha w14:val="100000"/>
                    </w14:srgbClr>
                  </w14:solidFill>
                </w14:textFill>
              </w:rPr>
              <w:t>|||</w:t>
            </w:r>
            <w:r w:rsidR="00471EB9" w:rsidRPr="00471EB9">
              <w:rPr>
                <w:color w:val="000000"/>
                <w:spacing w:val="1"/>
                <w:shd w:val="solid" w:color="000000" w:fill="000000"/>
                <w:fitText w:val="330" w:id="-694408181"/>
                <w14:textFill>
                  <w14:solidFill>
                    <w14:srgbClr w14:val="000000">
                      <w14:alpha w14:val="100000"/>
                    </w14:srgbClr>
                  </w14:solidFill>
                </w14:textFill>
              </w:rPr>
              <w:t>|</w:t>
            </w:r>
          </w:p>
        </w:tc>
        <w:tc>
          <w:tcPr>
            <w:tcW w:w="1220" w:type="pct"/>
            <w:tcBorders>
              <w:top w:val="single" w:sz="4" w:space="0" w:color="auto"/>
              <w:left w:val="single" w:sz="4" w:space="0" w:color="auto"/>
              <w:bottom w:val="single" w:sz="4" w:space="0" w:color="auto"/>
              <w:right w:val="single" w:sz="4" w:space="0" w:color="auto"/>
            </w:tcBorders>
            <w:vAlign w:val="center"/>
            <w:hideMark/>
          </w:tcPr>
          <w:p w14:paraId="4C8BF543" w14:textId="42FF87B6" w:rsidR="009E2B79" w:rsidRPr="00873941" w:rsidRDefault="009E2B79" w:rsidP="009E2B79">
            <w:pPr>
              <w:pStyle w:val="TableText0"/>
              <w:widowControl w:val="0"/>
              <w:jc w:val="center"/>
            </w:pPr>
            <w:r w:rsidRPr="00873941">
              <w:t>$</w:t>
            </w:r>
            <w:r w:rsidR="00471EB9" w:rsidRPr="00471EB9">
              <w:rPr>
                <w:color w:val="000000"/>
                <w:spacing w:val="53"/>
                <w:shd w:val="solid" w:color="000000" w:fill="000000"/>
                <w:fitText w:val="330" w:id="-694408180"/>
                <w14:textFill>
                  <w14:solidFill>
                    <w14:srgbClr w14:val="000000">
                      <w14:alpha w14:val="100000"/>
                    </w14:srgbClr>
                  </w14:solidFill>
                </w14:textFill>
              </w:rPr>
              <w:t>|||</w:t>
            </w:r>
            <w:r w:rsidR="00471EB9" w:rsidRPr="00471EB9">
              <w:rPr>
                <w:color w:val="000000"/>
                <w:spacing w:val="1"/>
                <w:shd w:val="solid" w:color="000000" w:fill="000000"/>
                <w:fitText w:val="330" w:id="-694408180"/>
                <w14:textFill>
                  <w14:solidFill>
                    <w14:srgbClr w14:val="000000">
                      <w14:alpha w14:val="100000"/>
                    </w14:srgbClr>
                  </w14:solidFill>
                </w14:textFill>
              </w:rPr>
              <w:t>|</w:t>
            </w:r>
          </w:p>
        </w:tc>
      </w:tr>
      <w:tr w:rsidR="00314E58" w:rsidRPr="00873941" w14:paraId="6804F3BF" w14:textId="77777777" w:rsidTr="00351E31">
        <w:trPr>
          <w:trHeight w:val="221"/>
        </w:trPr>
        <w:tc>
          <w:tcPr>
            <w:tcW w:w="1201" w:type="pct"/>
            <w:gridSpan w:val="3"/>
            <w:tcBorders>
              <w:top w:val="single" w:sz="4" w:space="0" w:color="auto"/>
              <w:left w:val="single" w:sz="4" w:space="0" w:color="auto"/>
              <w:bottom w:val="single" w:sz="4" w:space="0" w:color="auto"/>
              <w:right w:val="single" w:sz="4" w:space="0" w:color="auto"/>
            </w:tcBorders>
            <w:vAlign w:val="center"/>
            <w:hideMark/>
          </w:tcPr>
          <w:p w14:paraId="1306501B" w14:textId="77777777" w:rsidR="00314E58" w:rsidRPr="00873941" w:rsidRDefault="00314E58" w:rsidP="00314E58">
            <w:pPr>
              <w:pStyle w:val="TableText0"/>
              <w:widowControl w:val="0"/>
            </w:pPr>
            <w:r w:rsidRPr="00873941">
              <w:t>Outcome (LYG)</w:t>
            </w:r>
          </w:p>
        </w:tc>
        <w:tc>
          <w:tcPr>
            <w:tcW w:w="1408" w:type="pct"/>
            <w:gridSpan w:val="3"/>
            <w:tcBorders>
              <w:top w:val="single" w:sz="4" w:space="0" w:color="auto"/>
              <w:left w:val="single" w:sz="4" w:space="0" w:color="auto"/>
              <w:bottom w:val="single" w:sz="4" w:space="0" w:color="auto"/>
              <w:right w:val="single" w:sz="4" w:space="0" w:color="auto"/>
            </w:tcBorders>
            <w:vAlign w:val="bottom"/>
            <w:hideMark/>
          </w:tcPr>
          <w:p w14:paraId="743BE84F" w14:textId="6BCE02A1" w:rsidR="00314E58" w:rsidRPr="00873941" w:rsidRDefault="00314E58" w:rsidP="00314E58">
            <w:pPr>
              <w:pStyle w:val="TableText0"/>
              <w:widowControl w:val="0"/>
              <w:jc w:val="center"/>
            </w:pPr>
            <w:r w:rsidRPr="00873941">
              <w:t>14.1756</w:t>
            </w:r>
          </w:p>
        </w:tc>
        <w:tc>
          <w:tcPr>
            <w:tcW w:w="1171" w:type="pct"/>
            <w:tcBorders>
              <w:top w:val="single" w:sz="4" w:space="0" w:color="auto"/>
              <w:left w:val="single" w:sz="4" w:space="0" w:color="auto"/>
              <w:bottom w:val="single" w:sz="4" w:space="0" w:color="auto"/>
              <w:right w:val="single" w:sz="4" w:space="0" w:color="auto"/>
            </w:tcBorders>
            <w:vAlign w:val="bottom"/>
            <w:hideMark/>
          </w:tcPr>
          <w:p w14:paraId="394C09FF" w14:textId="09B15556" w:rsidR="00314E58" w:rsidRPr="00873941" w:rsidRDefault="00314E58" w:rsidP="00314E58">
            <w:pPr>
              <w:pStyle w:val="TableText0"/>
              <w:widowControl w:val="0"/>
              <w:jc w:val="center"/>
            </w:pPr>
            <w:r w:rsidRPr="00873941">
              <w:t>14.0058</w:t>
            </w:r>
          </w:p>
        </w:tc>
        <w:tc>
          <w:tcPr>
            <w:tcW w:w="1220" w:type="pct"/>
            <w:tcBorders>
              <w:top w:val="single" w:sz="4" w:space="0" w:color="auto"/>
              <w:left w:val="single" w:sz="4" w:space="0" w:color="auto"/>
              <w:bottom w:val="single" w:sz="4" w:space="0" w:color="auto"/>
              <w:right w:val="single" w:sz="4" w:space="0" w:color="auto"/>
            </w:tcBorders>
            <w:vAlign w:val="center"/>
            <w:hideMark/>
          </w:tcPr>
          <w:p w14:paraId="352859AC" w14:textId="77777777" w:rsidR="00314E58" w:rsidRPr="00873941" w:rsidRDefault="00314E58" w:rsidP="00314E58">
            <w:pPr>
              <w:pStyle w:val="TableText0"/>
              <w:widowControl w:val="0"/>
              <w:jc w:val="center"/>
            </w:pPr>
            <w:r w:rsidRPr="00873941">
              <w:t>0.1698</w:t>
            </w:r>
          </w:p>
        </w:tc>
      </w:tr>
      <w:tr w:rsidR="006F4300" w:rsidRPr="00873941" w14:paraId="101549F7" w14:textId="77777777" w:rsidTr="006F4300">
        <w:trPr>
          <w:trHeight w:val="221"/>
        </w:trPr>
        <w:tc>
          <w:tcPr>
            <w:tcW w:w="3780" w:type="pct"/>
            <w:gridSpan w:val="7"/>
            <w:tcBorders>
              <w:top w:val="single" w:sz="4" w:space="0" w:color="auto"/>
              <w:left w:val="single" w:sz="4" w:space="0" w:color="auto"/>
              <w:bottom w:val="single" w:sz="4" w:space="0" w:color="auto"/>
              <w:right w:val="single" w:sz="4" w:space="0" w:color="auto"/>
            </w:tcBorders>
            <w:vAlign w:val="center"/>
            <w:hideMark/>
          </w:tcPr>
          <w:p w14:paraId="2107E58B" w14:textId="77777777" w:rsidR="006F4300" w:rsidRPr="00873941" w:rsidRDefault="006F4300">
            <w:pPr>
              <w:pStyle w:val="TableText0"/>
              <w:widowControl w:val="0"/>
            </w:pPr>
            <w:r w:rsidRPr="00873941">
              <w:t>Incremental cost/extra LYG gained</w:t>
            </w:r>
          </w:p>
        </w:tc>
        <w:tc>
          <w:tcPr>
            <w:tcW w:w="1220" w:type="pct"/>
            <w:tcBorders>
              <w:top w:val="single" w:sz="4" w:space="0" w:color="auto"/>
              <w:left w:val="single" w:sz="4" w:space="0" w:color="auto"/>
              <w:bottom w:val="single" w:sz="4" w:space="0" w:color="auto"/>
              <w:right w:val="single" w:sz="4" w:space="0" w:color="auto"/>
            </w:tcBorders>
            <w:vAlign w:val="center"/>
            <w:hideMark/>
          </w:tcPr>
          <w:p w14:paraId="46FDC256" w14:textId="154AA597" w:rsidR="006F4300" w:rsidRPr="00873941" w:rsidRDefault="00471EB9">
            <w:pPr>
              <w:pStyle w:val="TableText0"/>
              <w:widowControl w:val="0"/>
              <w:jc w:val="center"/>
            </w:pPr>
            <w:r w:rsidRPr="00471EB9">
              <w:rPr>
                <w:color w:val="000000"/>
                <w:spacing w:val="53"/>
                <w:shd w:val="solid" w:color="000000" w:fill="000000"/>
                <w:fitText w:val="330" w:id="-694408179"/>
                <w14:textFill>
                  <w14:solidFill>
                    <w14:srgbClr w14:val="000000">
                      <w14:alpha w14:val="100000"/>
                    </w14:srgbClr>
                  </w14:solidFill>
                </w14:textFill>
              </w:rPr>
              <w:t>|||</w:t>
            </w:r>
            <w:r w:rsidRPr="00471EB9">
              <w:rPr>
                <w:color w:val="000000"/>
                <w:spacing w:val="1"/>
                <w:shd w:val="solid" w:color="000000" w:fill="000000"/>
                <w:fitText w:val="330" w:id="-694408179"/>
                <w14:textFill>
                  <w14:solidFill>
                    <w14:srgbClr w14:val="000000">
                      <w14:alpha w14:val="100000"/>
                    </w14:srgbClr>
                  </w14:solidFill>
                </w14:textFill>
              </w:rPr>
              <w:t>|</w:t>
            </w:r>
            <w:r w:rsidR="00C81DDA" w:rsidRPr="00C81DDA">
              <w:rPr>
                <w:vertAlign w:val="superscript"/>
              </w:rPr>
              <w:t>3</w:t>
            </w:r>
          </w:p>
        </w:tc>
      </w:tr>
      <w:tr w:rsidR="006F4300" w:rsidRPr="00873941" w14:paraId="2F2289D0" w14:textId="77777777" w:rsidTr="006F4300">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1BC351B7" w14:textId="77777777" w:rsidR="006F4300" w:rsidRPr="00873941" w:rsidRDefault="006F4300">
            <w:pPr>
              <w:pStyle w:val="TableText0"/>
              <w:widowControl w:val="0"/>
              <w:rPr>
                <w:rFonts w:ascii="Times" w:hAnsi="Times"/>
                <w:b/>
              </w:rPr>
            </w:pPr>
            <w:r w:rsidRPr="00873941">
              <w:rPr>
                <w:b/>
              </w:rPr>
              <w:t>Step 6: Incremental cost/extra QALY gained (base case) – neoadjuvant time horizon + 40 years</w:t>
            </w:r>
          </w:p>
        </w:tc>
      </w:tr>
      <w:tr w:rsidR="006F4300" w:rsidRPr="00873941" w14:paraId="029B65C1" w14:textId="77777777" w:rsidTr="006F4300">
        <w:tc>
          <w:tcPr>
            <w:tcW w:w="1151" w:type="pct"/>
            <w:tcBorders>
              <w:top w:val="single" w:sz="4" w:space="0" w:color="auto"/>
              <w:left w:val="single" w:sz="4" w:space="0" w:color="auto"/>
              <w:bottom w:val="single" w:sz="4" w:space="0" w:color="auto"/>
              <w:right w:val="single" w:sz="4" w:space="0" w:color="auto"/>
            </w:tcBorders>
            <w:vAlign w:val="center"/>
            <w:hideMark/>
          </w:tcPr>
          <w:p w14:paraId="5B0DAA1B" w14:textId="77777777" w:rsidR="006F4300" w:rsidRPr="00873941" w:rsidRDefault="006F4300">
            <w:pPr>
              <w:pStyle w:val="TableText0"/>
              <w:rPr>
                <w:bCs w:val="0"/>
              </w:rPr>
            </w:pPr>
            <w:r w:rsidRPr="00873941">
              <w:rPr>
                <w:bCs w:val="0"/>
              </w:rPr>
              <w:t>Cost</w:t>
            </w:r>
          </w:p>
        </w:tc>
        <w:tc>
          <w:tcPr>
            <w:tcW w:w="1426" w:type="pct"/>
            <w:gridSpan w:val="3"/>
            <w:tcBorders>
              <w:top w:val="single" w:sz="4" w:space="0" w:color="auto"/>
              <w:left w:val="single" w:sz="4" w:space="0" w:color="auto"/>
              <w:bottom w:val="single" w:sz="4" w:space="0" w:color="auto"/>
              <w:right w:val="single" w:sz="4" w:space="0" w:color="auto"/>
            </w:tcBorders>
            <w:hideMark/>
          </w:tcPr>
          <w:p w14:paraId="3643BAD5" w14:textId="5B63EA11" w:rsidR="006F4300" w:rsidRPr="00873941" w:rsidRDefault="006F4300">
            <w:pPr>
              <w:pStyle w:val="TableText0"/>
              <w:jc w:val="center"/>
              <w:rPr>
                <w:b/>
              </w:rPr>
            </w:pPr>
            <w:r w:rsidRPr="00873941">
              <w:t>$</w:t>
            </w:r>
            <w:r w:rsidR="00471EB9" w:rsidRPr="00471EB9">
              <w:rPr>
                <w:color w:val="000000"/>
                <w:spacing w:val="53"/>
                <w:shd w:val="solid" w:color="000000" w:fill="000000"/>
                <w:fitText w:val="330" w:id="-694408178"/>
                <w14:textFill>
                  <w14:solidFill>
                    <w14:srgbClr w14:val="000000">
                      <w14:alpha w14:val="100000"/>
                    </w14:srgbClr>
                  </w14:solidFill>
                </w14:textFill>
              </w:rPr>
              <w:t>|||</w:t>
            </w:r>
            <w:r w:rsidR="00471EB9" w:rsidRPr="00471EB9">
              <w:rPr>
                <w:color w:val="000000"/>
                <w:spacing w:val="1"/>
                <w:shd w:val="solid" w:color="000000" w:fill="000000"/>
                <w:fitText w:val="330" w:id="-694408178"/>
                <w14:textFill>
                  <w14:solidFill>
                    <w14:srgbClr w14:val="000000">
                      <w14:alpha w14:val="100000"/>
                    </w14:srgbClr>
                  </w14:solidFill>
                </w14:textFill>
              </w:rPr>
              <w:t>|</w:t>
            </w:r>
          </w:p>
        </w:tc>
        <w:tc>
          <w:tcPr>
            <w:tcW w:w="1203" w:type="pct"/>
            <w:gridSpan w:val="3"/>
            <w:tcBorders>
              <w:top w:val="single" w:sz="4" w:space="0" w:color="auto"/>
              <w:left w:val="single" w:sz="4" w:space="0" w:color="auto"/>
              <w:bottom w:val="single" w:sz="4" w:space="0" w:color="auto"/>
              <w:right w:val="single" w:sz="4" w:space="0" w:color="auto"/>
            </w:tcBorders>
            <w:hideMark/>
          </w:tcPr>
          <w:p w14:paraId="5F633BDE" w14:textId="6F839956" w:rsidR="006F4300" w:rsidRPr="00873941" w:rsidRDefault="006F4300">
            <w:pPr>
              <w:pStyle w:val="TableText0"/>
              <w:jc w:val="center"/>
              <w:rPr>
                <w:b/>
              </w:rPr>
            </w:pPr>
            <w:r w:rsidRPr="00873941">
              <w:t>$</w:t>
            </w:r>
            <w:r w:rsidR="00471EB9" w:rsidRPr="00471EB9">
              <w:rPr>
                <w:color w:val="000000"/>
                <w:spacing w:val="53"/>
                <w:shd w:val="solid" w:color="000000" w:fill="000000"/>
                <w:fitText w:val="330" w:id="-694408177"/>
                <w14:textFill>
                  <w14:solidFill>
                    <w14:srgbClr w14:val="000000">
                      <w14:alpha w14:val="100000"/>
                    </w14:srgbClr>
                  </w14:solidFill>
                </w14:textFill>
              </w:rPr>
              <w:t>|||</w:t>
            </w:r>
            <w:r w:rsidR="00471EB9" w:rsidRPr="00471EB9">
              <w:rPr>
                <w:color w:val="000000"/>
                <w:spacing w:val="1"/>
                <w:shd w:val="solid" w:color="000000" w:fill="000000"/>
                <w:fitText w:val="330" w:id="-694408177"/>
                <w14:textFill>
                  <w14:solidFill>
                    <w14:srgbClr w14:val="000000">
                      <w14:alpha w14:val="100000"/>
                    </w14:srgbClr>
                  </w14:solidFill>
                </w14:textFill>
              </w:rPr>
              <w:t>|</w:t>
            </w:r>
          </w:p>
        </w:tc>
        <w:tc>
          <w:tcPr>
            <w:tcW w:w="1220" w:type="pct"/>
            <w:tcBorders>
              <w:top w:val="single" w:sz="4" w:space="0" w:color="auto"/>
              <w:left w:val="single" w:sz="4" w:space="0" w:color="auto"/>
              <w:bottom w:val="single" w:sz="4" w:space="0" w:color="auto"/>
              <w:right w:val="single" w:sz="4" w:space="0" w:color="auto"/>
            </w:tcBorders>
            <w:vAlign w:val="center"/>
            <w:hideMark/>
          </w:tcPr>
          <w:p w14:paraId="7CFCA037" w14:textId="44E79DA2" w:rsidR="006F4300" w:rsidRPr="00873941" w:rsidRDefault="006F4300">
            <w:pPr>
              <w:pStyle w:val="TableText0"/>
              <w:jc w:val="center"/>
              <w:rPr>
                <w:b/>
              </w:rPr>
            </w:pPr>
            <w:r w:rsidRPr="00873941">
              <w:t>$</w:t>
            </w:r>
            <w:r w:rsidR="00471EB9" w:rsidRPr="00471EB9">
              <w:rPr>
                <w:color w:val="000000"/>
                <w:spacing w:val="53"/>
                <w:shd w:val="solid" w:color="000000" w:fill="000000"/>
                <w:fitText w:val="330" w:id="-694408176"/>
                <w14:textFill>
                  <w14:solidFill>
                    <w14:srgbClr w14:val="000000">
                      <w14:alpha w14:val="100000"/>
                    </w14:srgbClr>
                  </w14:solidFill>
                </w14:textFill>
              </w:rPr>
              <w:t>|||</w:t>
            </w:r>
            <w:r w:rsidR="00471EB9" w:rsidRPr="00471EB9">
              <w:rPr>
                <w:color w:val="000000"/>
                <w:spacing w:val="1"/>
                <w:shd w:val="solid" w:color="000000" w:fill="000000"/>
                <w:fitText w:val="330" w:id="-694408176"/>
                <w14:textFill>
                  <w14:solidFill>
                    <w14:srgbClr w14:val="000000">
                      <w14:alpha w14:val="100000"/>
                    </w14:srgbClr>
                  </w14:solidFill>
                </w14:textFill>
              </w:rPr>
              <w:t>|</w:t>
            </w:r>
          </w:p>
        </w:tc>
      </w:tr>
      <w:tr w:rsidR="006F4300" w:rsidRPr="00873941" w14:paraId="22180C81" w14:textId="77777777" w:rsidTr="006F4300">
        <w:tc>
          <w:tcPr>
            <w:tcW w:w="1151" w:type="pct"/>
            <w:tcBorders>
              <w:top w:val="single" w:sz="4" w:space="0" w:color="auto"/>
              <w:left w:val="single" w:sz="4" w:space="0" w:color="auto"/>
              <w:bottom w:val="single" w:sz="4" w:space="0" w:color="auto"/>
              <w:right w:val="single" w:sz="4" w:space="0" w:color="auto"/>
            </w:tcBorders>
            <w:vAlign w:val="center"/>
            <w:hideMark/>
          </w:tcPr>
          <w:p w14:paraId="1E9B55B0" w14:textId="77777777" w:rsidR="006F4300" w:rsidRPr="00873941" w:rsidRDefault="006F4300">
            <w:pPr>
              <w:pStyle w:val="TableText0"/>
              <w:rPr>
                <w:bCs w:val="0"/>
              </w:rPr>
            </w:pPr>
            <w:r w:rsidRPr="00873941">
              <w:rPr>
                <w:bCs w:val="0"/>
              </w:rPr>
              <w:t>Outcome (QALYs)</w:t>
            </w:r>
          </w:p>
        </w:tc>
        <w:tc>
          <w:tcPr>
            <w:tcW w:w="1426" w:type="pct"/>
            <w:gridSpan w:val="3"/>
            <w:tcBorders>
              <w:top w:val="single" w:sz="4" w:space="0" w:color="auto"/>
              <w:left w:val="single" w:sz="4" w:space="0" w:color="auto"/>
              <w:bottom w:val="single" w:sz="4" w:space="0" w:color="auto"/>
              <w:right w:val="single" w:sz="4" w:space="0" w:color="auto"/>
            </w:tcBorders>
            <w:hideMark/>
          </w:tcPr>
          <w:p w14:paraId="4832F9BC" w14:textId="77777777" w:rsidR="006F4300" w:rsidRPr="00873941" w:rsidRDefault="006F4300">
            <w:pPr>
              <w:pStyle w:val="TableText0"/>
              <w:jc w:val="center"/>
              <w:rPr>
                <w:b/>
              </w:rPr>
            </w:pPr>
            <w:r w:rsidRPr="00873941">
              <w:t>11.143</w:t>
            </w:r>
          </w:p>
        </w:tc>
        <w:tc>
          <w:tcPr>
            <w:tcW w:w="1203" w:type="pct"/>
            <w:gridSpan w:val="3"/>
            <w:tcBorders>
              <w:top w:val="single" w:sz="4" w:space="0" w:color="auto"/>
              <w:left w:val="single" w:sz="4" w:space="0" w:color="auto"/>
              <w:bottom w:val="single" w:sz="4" w:space="0" w:color="auto"/>
              <w:right w:val="single" w:sz="4" w:space="0" w:color="auto"/>
            </w:tcBorders>
            <w:hideMark/>
          </w:tcPr>
          <w:p w14:paraId="66A38600" w14:textId="77777777" w:rsidR="006F4300" w:rsidRPr="00873941" w:rsidRDefault="006F4300">
            <w:pPr>
              <w:pStyle w:val="TableText0"/>
              <w:jc w:val="center"/>
              <w:rPr>
                <w:b/>
              </w:rPr>
            </w:pPr>
            <w:r w:rsidRPr="00873941">
              <w:t>10.991</w:t>
            </w:r>
          </w:p>
        </w:tc>
        <w:tc>
          <w:tcPr>
            <w:tcW w:w="1220" w:type="pct"/>
            <w:tcBorders>
              <w:top w:val="single" w:sz="4" w:space="0" w:color="auto"/>
              <w:left w:val="single" w:sz="4" w:space="0" w:color="auto"/>
              <w:bottom w:val="single" w:sz="4" w:space="0" w:color="auto"/>
              <w:right w:val="single" w:sz="4" w:space="0" w:color="auto"/>
            </w:tcBorders>
            <w:vAlign w:val="center"/>
            <w:hideMark/>
          </w:tcPr>
          <w:p w14:paraId="2A588CA3" w14:textId="77777777" w:rsidR="006F4300" w:rsidRPr="00873941" w:rsidRDefault="006F4300">
            <w:pPr>
              <w:pStyle w:val="TableText0"/>
              <w:jc w:val="center"/>
              <w:rPr>
                <w:b/>
              </w:rPr>
            </w:pPr>
            <w:r w:rsidRPr="00873941">
              <w:t>0.1520</w:t>
            </w:r>
          </w:p>
        </w:tc>
      </w:tr>
      <w:tr w:rsidR="006F4300" w:rsidRPr="00873941" w14:paraId="07D88DD8" w14:textId="77777777" w:rsidTr="006F4300">
        <w:tc>
          <w:tcPr>
            <w:tcW w:w="3780" w:type="pct"/>
            <w:gridSpan w:val="7"/>
            <w:tcBorders>
              <w:top w:val="single" w:sz="4" w:space="0" w:color="auto"/>
              <w:left w:val="single" w:sz="4" w:space="0" w:color="auto"/>
              <w:bottom w:val="single" w:sz="4" w:space="0" w:color="auto"/>
              <w:right w:val="single" w:sz="4" w:space="0" w:color="auto"/>
            </w:tcBorders>
            <w:vAlign w:val="center"/>
            <w:hideMark/>
          </w:tcPr>
          <w:p w14:paraId="0FA468B0" w14:textId="77777777" w:rsidR="006F4300" w:rsidRPr="00873941" w:rsidRDefault="006F4300">
            <w:pPr>
              <w:pStyle w:val="TableText0"/>
              <w:rPr>
                <w:b/>
              </w:rPr>
            </w:pPr>
            <w:r w:rsidRPr="00873941">
              <w:t>Incremental cost/extra QALY gained (base case)</w:t>
            </w:r>
          </w:p>
        </w:tc>
        <w:tc>
          <w:tcPr>
            <w:tcW w:w="1220" w:type="pct"/>
            <w:tcBorders>
              <w:top w:val="single" w:sz="4" w:space="0" w:color="auto"/>
              <w:left w:val="single" w:sz="4" w:space="0" w:color="auto"/>
              <w:bottom w:val="single" w:sz="4" w:space="0" w:color="auto"/>
              <w:right w:val="single" w:sz="4" w:space="0" w:color="auto"/>
            </w:tcBorders>
            <w:vAlign w:val="center"/>
            <w:hideMark/>
          </w:tcPr>
          <w:p w14:paraId="3150E7C7" w14:textId="3BAC4732" w:rsidR="006F4300" w:rsidRPr="00873941" w:rsidRDefault="00471EB9">
            <w:pPr>
              <w:pStyle w:val="TableText0"/>
              <w:jc w:val="center"/>
              <w:rPr>
                <w:b/>
              </w:rPr>
            </w:pPr>
            <w:r w:rsidRPr="00471EB9">
              <w:rPr>
                <w:color w:val="000000"/>
                <w:spacing w:val="53"/>
                <w:shd w:val="solid" w:color="000000" w:fill="000000"/>
                <w:fitText w:val="330" w:id="-694408192"/>
                <w14:textFill>
                  <w14:solidFill>
                    <w14:srgbClr w14:val="000000">
                      <w14:alpha w14:val="100000"/>
                    </w14:srgbClr>
                  </w14:solidFill>
                </w14:textFill>
              </w:rPr>
              <w:t>|||</w:t>
            </w:r>
            <w:r w:rsidRPr="00471EB9">
              <w:rPr>
                <w:color w:val="000000"/>
                <w:spacing w:val="1"/>
                <w:shd w:val="solid" w:color="000000" w:fill="000000"/>
                <w:fitText w:val="330" w:id="-694408192"/>
                <w14:textFill>
                  <w14:solidFill>
                    <w14:srgbClr w14:val="000000">
                      <w14:alpha w14:val="100000"/>
                    </w14:srgbClr>
                  </w14:solidFill>
                </w14:textFill>
              </w:rPr>
              <w:t>|</w:t>
            </w:r>
            <w:r w:rsidR="00705558">
              <w:rPr>
                <w:vertAlign w:val="superscript"/>
              </w:rPr>
              <w:t>4</w:t>
            </w:r>
          </w:p>
        </w:tc>
      </w:tr>
      <w:tr w:rsidR="006F4300" w:rsidRPr="00873941" w14:paraId="68BA0620" w14:textId="77777777" w:rsidTr="006F4300">
        <w:tc>
          <w:tcPr>
            <w:tcW w:w="5000" w:type="pct"/>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C65510" w14:textId="77777777" w:rsidR="006F4300" w:rsidRPr="00873941" w:rsidRDefault="006F4300">
            <w:pPr>
              <w:pStyle w:val="TableText0"/>
            </w:pPr>
            <w:r w:rsidRPr="00873941">
              <w:rPr>
                <w:b/>
              </w:rPr>
              <w:t>Incremental cost/extra QALY gained (base case) – 40-year time horizon (March 2020 submission)</w:t>
            </w:r>
          </w:p>
        </w:tc>
      </w:tr>
      <w:tr w:rsidR="006F4300" w:rsidRPr="00873941" w14:paraId="7CC04ECD" w14:textId="77777777" w:rsidTr="006F4300">
        <w:tc>
          <w:tcPr>
            <w:tcW w:w="1177"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89E61F" w14:textId="77777777" w:rsidR="006F4300" w:rsidRPr="00873941" w:rsidRDefault="006F4300">
            <w:pPr>
              <w:pStyle w:val="TableText0"/>
            </w:pPr>
            <w:r w:rsidRPr="00873941">
              <w:rPr>
                <w:szCs w:val="20"/>
              </w:rPr>
              <w:t>Costs</w:t>
            </w:r>
          </w:p>
        </w:tc>
        <w:tc>
          <w:tcPr>
            <w:tcW w:w="1415" w:type="pct"/>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4E0DB4" w14:textId="05683B7B" w:rsidR="006F4300" w:rsidRPr="00873941" w:rsidRDefault="006F4300">
            <w:pPr>
              <w:pStyle w:val="TableText0"/>
              <w:jc w:val="center"/>
            </w:pPr>
            <w:r w:rsidRPr="00873941">
              <w:rPr>
                <w:rFonts w:cs="Calibri"/>
                <w:color w:val="000000"/>
                <w:szCs w:val="20"/>
              </w:rPr>
              <w:t>$</w:t>
            </w:r>
            <w:r w:rsidR="00471EB9" w:rsidRPr="00471EB9">
              <w:rPr>
                <w:rFonts w:cs="Calibri"/>
                <w:color w:val="000000"/>
                <w:spacing w:val="53"/>
                <w:szCs w:val="20"/>
                <w:shd w:val="solid" w:color="000000" w:fill="000000"/>
                <w:fitText w:val="330" w:id="-694408191"/>
                <w14:textFill>
                  <w14:solidFill>
                    <w14:srgbClr w14:val="000000">
                      <w14:alpha w14:val="100000"/>
                    </w14:srgbClr>
                  </w14:solidFill>
                </w14:textFill>
              </w:rPr>
              <w:t>|||</w:t>
            </w:r>
            <w:r w:rsidR="00471EB9" w:rsidRPr="00471EB9">
              <w:rPr>
                <w:rFonts w:cs="Calibri"/>
                <w:color w:val="000000"/>
                <w:spacing w:val="1"/>
                <w:szCs w:val="20"/>
                <w:shd w:val="solid" w:color="000000" w:fill="000000"/>
                <w:fitText w:val="330" w:id="-694408191"/>
                <w14:textFill>
                  <w14:solidFill>
                    <w14:srgbClr w14:val="000000">
                      <w14:alpha w14:val="100000"/>
                    </w14:srgbClr>
                  </w14:solidFill>
                </w14:textFill>
              </w:rPr>
              <w:t>|</w:t>
            </w:r>
          </w:p>
        </w:tc>
        <w:tc>
          <w:tcPr>
            <w:tcW w:w="1188"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706F14" w14:textId="1C0293C3" w:rsidR="006F4300" w:rsidRPr="00873941" w:rsidRDefault="006F4300">
            <w:pPr>
              <w:pStyle w:val="TableText0"/>
              <w:jc w:val="center"/>
            </w:pPr>
            <w:r w:rsidRPr="00873941">
              <w:rPr>
                <w:rFonts w:cs="Calibri"/>
                <w:color w:val="000000"/>
                <w:szCs w:val="20"/>
              </w:rPr>
              <w:t>$</w:t>
            </w:r>
            <w:r w:rsidR="00471EB9" w:rsidRPr="00471EB9">
              <w:rPr>
                <w:rFonts w:cs="Calibri"/>
                <w:color w:val="000000"/>
                <w:spacing w:val="53"/>
                <w:szCs w:val="20"/>
                <w:shd w:val="solid" w:color="000000" w:fill="000000"/>
                <w:fitText w:val="330" w:id="-694408190"/>
                <w14:textFill>
                  <w14:solidFill>
                    <w14:srgbClr w14:val="000000">
                      <w14:alpha w14:val="100000"/>
                    </w14:srgbClr>
                  </w14:solidFill>
                </w14:textFill>
              </w:rPr>
              <w:t>|||</w:t>
            </w:r>
            <w:r w:rsidR="00471EB9" w:rsidRPr="00471EB9">
              <w:rPr>
                <w:rFonts w:cs="Calibri"/>
                <w:color w:val="000000"/>
                <w:spacing w:val="1"/>
                <w:szCs w:val="20"/>
                <w:shd w:val="solid" w:color="000000" w:fill="000000"/>
                <w:fitText w:val="330" w:id="-694408190"/>
                <w14:textFill>
                  <w14:solidFill>
                    <w14:srgbClr w14:val="000000">
                      <w14:alpha w14:val="100000"/>
                    </w14:srgbClr>
                  </w14:solidFill>
                </w14:textFill>
              </w:rPr>
              <w:t>|</w:t>
            </w:r>
          </w:p>
        </w:tc>
        <w:tc>
          <w:tcPr>
            <w:tcW w:w="122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625769" w14:textId="7BDFFEB4" w:rsidR="006F4300" w:rsidRPr="00873941" w:rsidRDefault="006F4300">
            <w:pPr>
              <w:pStyle w:val="TableText0"/>
              <w:jc w:val="center"/>
            </w:pPr>
            <w:r w:rsidRPr="00873941">
              <w:rPr>
                <w:rFonts w:cs="Calibri"/>
                <w:color w:val="000000"/>
                <w:szCs w:val="20"/>
              </w:rPr>
              <w:t>$</w:t>
            </w:r>
            <w:r w:rsidR="00471EB9" w:rsidRPr="00471EB9">
              <w:rPr>
                <w:rFonts w:cs="Calibri"/>
                <w:color w:val="000000"/>
                <w:spacing w:val="53"/>
                <w:szCs w:val="20"/>
                <w:shd w:val="solid" w:color="000000" w:fill="000000"/>
                <w:fitText w:val="330" w:id="-694408189"/>
                <w14:textFill>
                  <w14:solidFill>
                    <w14:srgbClr w14:val="000000">
                      <w14:alpha w14:val="100000"/>
                    </w14:srgbClr>
                  </w14:solidFill>
                </w14:textFill>
              </w:rPr>
              <w:t>|||</w:t>
            </w:r>
            <w:r w:rsidR="00471EB9" w:rsidRPr="00471EB9">
              <w:rPr>
                <w:rFonts w:cs="Calibri"/>
                <w:color w:val="000000"/>
                <w:spacing w:val="1"/>
                <w:szCs w:val="20"/>
                <w:shd w:val="solid" w:color="000000" w:fill="000000"/>
                <w:fitText w:val="330" w:id="-694408189"/>
                <w14:textFill>
                  <w14:solidFill>
                    <w14:srgbClr w14:val="000000">
                      <w14:alpha w14:val="100000"/>
                    </w14:srgbClr>
                  </w14:solidFill>
                </w14:textFill>
              </w:rPr>
              <w:t>|</w:t>
            </w:r>
            <w:r w:rsidR="00A27F0E" w:rsidRPr="00A27F0E">
              <w:rPr>
                <w:rFonts w:cs="Calibri"/>
                <w:color w:val="000000"/>
                <w:szCs w:val="20"/>
                <w:vertAlign w:val="superscript"/>
              </w:rPr>
              <w:t>5</w:t>
            </w:r>
          </w:p>
        </w:tc>
      </w:tr>
      <w:tr w:rsidR="006F4300" w:rsidRPr="00873941" w14:paraId="43CCCCF5" w14:textId="77777777" w:rsidTr="006F4300">
        <w:tc>
          <w:tcPr>
            <w:tcW w:w="1177"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9C11BE" w14:textId="77777777" w:rsidR="006F4300" w:rsidRPr="00873941" w:rsidRDefault="006F4300">
            <w:pPr>
              <w:pStyle w:val="TableText0"/>
            </w:pPr>
            <w:r w:rsidRPr="00873941">
              <w:rPr>
                <w:szCs w:val="20"/>
              </w:rPr>
              <w:t>Outcome (QALYs)</w:t>
            </w:r>
          </w:p>
        </w:tc>
        <w:tc>
          <w:tcPr>
            <w:tcW w:w="1415" w:type="pct"/>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661AF38" w14:textId="77777777" w:rsidR="006F4300" w:rsidRPr="00873941" w:rsidRDefault="006F4300">
            <w:pPr>
              <w:pStyle w:val="TableText0"/>
              <w:jc w:val="center"/>
            </w:pPr>
            <w:r w:rsidRPr="00873941">
              <w:rPr>
                <w:szCs w:val="20"/>
              </w:rPr>
              <w:t>11.956</w:t>
            </w:r>
          </w:p>
        </w:tc>
        <w:tc>
          <w:tcPr>
            <w:tcW w:w="1188"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8BC14C" w14:textId="77777777" w:rsidR="006F4300" w:rsidRPr="00873941" w:rsidRDefault="006F4300">
            <w:pPr>
              <w:pStyle w:val="TableText0"/>
              <w:jc w:val="center"/>
            </w:pPr>
            <w:r w:rsidRPr="00873941">
              <w:rPr>
                <w:szCs w:val="20"/>
              </w:rPr>
              <w:t>11.369</w:t>
            </w:r>
          </w:p>
        </w:tc>
        <w:tc>
          <w:tcPr>
            <w:tcW w:w="122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836529" w14:textId="77777777" w:rsidR="006F4300" w:rsidRPr="00873941" w:rsidRDefault="006F4300">
            <w:pPr>
              <w:pStyle w:val="TableText0"/>
              <w:jc w:val="center"/>
            </w:pPr>
            <w:r w:rsidRPr="00873941">
              <w:rPr>
                <w:szCs w:val="20"/>
              </w:rPr>
              <w:t>0.588</w:t>
            </w:r>
          </w:p>
        </w:tc>
      </w:tr>
      <w:tr w:rsidR="006F4300" w:rsidRPr="00873941" w14:paraId="40ADB95A" w14:textId="77777777" w:rsidTr="006F4300">
        <w:tc>
          <w:tcPr>
            <w:tcW w:w="378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DF9E89" w14:textId="77777777" w:rsidR="006F4300" w:rsidRPr="00873941" w:rsidRDefault="006F4300">
            <w:pPr>
              <w:pStyle w:val="TableText0"/>
            </w:pPr>
            <w:r w:rsidRPr="00873941">
              <w:t>Incremental cost/extra QALY gained (base case)</w:t>
            </w:r>
          </w:p>
        </w:tc>
        <w:tc>
          <w:tcPr>
            <w:tcW w:w="122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D1A4D7" w14:textId="4EB77522" w:rsidR="006F4300" w:rsidRPr="00873941" w:rsidRDefault="00471EB9">
            <w:pPr>
              <w:pStyle w:val="TableText0"/>
              <w:jc w:val="center"/>
            </w:pPr>
            <w:r w:rsidRPr="00471EB9">
              <w:rPr>
                <w:color w:val="000000"/>
                <w:spacing w:val="53"/>
                <w:shd w:val="solid" w:color="000000" w:fill="000000"/>
                <w:fitText w:val="330" w:id="-694408188"/>
                <w14:textFill>
                  <w14:solidFill>
                    <w14:srgbClr w14:val="000000">
                      <w14:alpha w14:val="100000"/>
                    </w14:srgbClr>
                  </w14:solidFill>
                </w14:textFill>
              </w:rPr>
              <w:t>|||</w:t>
            </w:r>
            <w:r w:rsidRPr="00471EB9">
              <w:rPr>
                <w:color w:val="000000"/>
                <w:spacing w:val="1"/>
                <w:shd w:val="solid" w:color="000000" w:fill="000000"/>
                <w:fitText w:val="330" w:id="-694408188"/>
                <w14:textFill>
                  <w14:solidFill>
                    <w14:srgbClr w14:val="000000">
                      <w14:alpha w14:val="100000"/>
                    </w14:srgbClr>
                  </w14:solidFill>
                </w14:textFill>
              </w:rPr>
              <w:t>|</w:t>
            </w:r>
            <w:r w:rsidR="00A27F0E" w:rsidRPr="00A27F0E">
              <w:rPr>
                <w:vertAlign w:val="superscript"/>
              </w:rPr>
              <w:t>6</w:t>
            </w:r>
          </w:p>
        </w:tc>
      </w:tr>
    </w:tbl>
    <w:p w14:paraId="63AC853D" w14:textId="5FD268C5" w:rsidR="006F4300" w:rsidRPr="00873941" w:rsidRDefault="006F4300" w:rsidP="000E4DA7">
      <w:pPr>
        <w:pStyle w:val="TableFigureFooter"/>
      </w:pPr>
      <w:r w:rsidRPr="00873941">
        <w:t xml:space="preserve">Source: Table 3-25, pp189-190 of the resubmission; sheet ‘NEOADJUVANT – Inputs and Result’ of the Section 3 workbook; Table 3.21, p119 of the March 2020 submission. </w:t>
      </w:r>
      <w:r w:rsidR="00756FBE" w:rsidRPr="00873941">
        <w:t xml:space="preserve">Values updated during the evaluation to </w:t>
      </w:r>
      <w:r w:rsidR="00FD166F" w:rsidRPr="00873941">
        <w:t>includ</w:t>
      </w:r>
      <w:r w:rsidR="00756FBE" w:rsidRPr="00873941">
        <w:t>e</w:t>
      </w:r>
      <w:r w:rsidR="00FD166F" w:rsidRPr="00873941">
        <w:t xml:space="preserve"> costs and outcomes for each treatment arm; </w:t>
      </w:r>
      <w:r w:rsidRPr="00873941">
        <w:t>splitting Step 5 into 5 and 5a to highlight the impact of the time horizon)</w:t>
      </w:r>
    </w:p>
    <w:p w14:paraId="6C80634D" w14:textId="77777777" w:rsidR="006F4300" w:rsidRPr="00873941" w:rsidRDefault="006F4300" w:rsidP="000E4DA7">
      <w:pPr>
        <w:pStyle w:val="TableFigureFooter"/>
      </w:pPr>
      <w:proofErr w:type="spellStart"/>
      <w:r w:rsidRPr="00873941">
        <w:t>iDFS</w:t>
      </w:r>
      <w:proofErr w:type="spellEnd"/>
      <w:r w:rsidRPr="00873941">
        <w:t xml:space="preserve">= invasive disease-free survival; LYG= life years gained; NR= not reported; pCR= Pathological complete response; </w:t>
      </w:r>
      <w:proofErr w:type="spellStart"/>
      <w:r w:rsidRPr="00873941">
        <w:t>P+T+Chemo</w:t>
      </w:r>
      <w:proofErr w:type="spellEnd"/>
      <w:r w:rsidRPr="00873941">
        <w:t xml:space="preserve"> = pertuzumab + trastuzumab + chemotherapy; T-DM1= trastuzumab emtansine. T-</w:t>
      </w:r>
      <w:proofErr w:type="spellStart"/>
      <w:r w:rsidRPr="00873941">
        <w:t>DXd</w:t>
      </w:r>
      <w:proofErr w:type="spellEnd"/>
      <w:r w:rsidRPr="00873941">
        <w:t xml:space="preserve">= trastuzumab </w:t>
      </w:r>
      <w:proofErr w:type="spellStart"/>
      <w:r w:rsidRPr="00873941">
        <w:t>deruxtecan</w:t>
      </w:r>
      <w:proofErr w:type="spellEnd"/>
      <w:r w:rsidRPr="00873941">
        <w:t xml:space="preserve">; </w:t>
      </w:r>
      <w:proofErr w:type="spellStart"/>
      <w:r w:rsidRPr="00873941">
        <w:t>T+Chemo</w:t>
      </w:r>
      <w:proofErr w:type="spellEnd"/>
      <w:r w:rsidRPr="00873941">
        <w:t xml:space="preserve"> = trastuzumab + chemotherapy; QALYs= Quality adjusted life years.</w:t>
      </w:r>
    </w:p>
    <w:p w14:paraId="1CFA92FE" w14:textId="77777777" w:rsidR="009B1AB0" w:rsidRDefault="0049282E" w:rsidP="000E4DA7">
      <w:pPr>
        <w:pStyle w:val="TableFigureFooter"/>
      </w:pPr>
      <w:proofErr w:type="spellStart"/>
      <w:r w:rsidRPr="00873941">
        <w:rPr>
          <w:vertAlign w:val="superscript"/>
        </w:rPr>
        <w:t>a</w:t>
      </w:r>
      <w:proofErr w:type="spellEnd"/>
      <w:r w:rsidRPr="00873941">
        <w:t xml:space="preserve"> </w:t>
      </w:r>
      <w:bookmarkStart w:id="91" w:name="_Hlk187699690"/>
      <w:r w:rsidR="000E4DA7" w:rsidRPr="00873941">
        <w:t>The resubmission only presented the cost of pertuzumab in this step, However, the combined cost of neoadjuvant and adjuvant treatment was presented in sheet ‘NEOADJUVANT – Inputs and Result’ of the Section 3 workbook</w:t>
      </w:r>
      <w:bookmarkEnd w:id="91"/>
      <w:r w:rsidR="000E4DA7" w:rsidRPr="00873941">
        <w:t>.</w:t>
      </w:r>
      <w:r w:rsidR="009B1AB0" w:rsidRPr="009B1AB0">
        <w:t xml:space="preserve"> </w:t>
      </w:r>
    </w:p>
    <w:p w14:paraId="0864C203" w14:textId="77777777" w:rsidR="00532965" w:rsidRPr="000A652D" w:rsidRDefault="009B1AB0" w:rsidP="000E4DA7">
      <w:pPr>
        <w:pStyle w:val="TableFigureFooter"/>
        <w:rPr>
          <w:i/>
          <w:iCs/>
        </w:rPr>
      </w:pPr>
      <w:r w:rsidRPr="000A652D">
        <w:rPr>
          <w:i/>
          <w:iCs/>
        </w:rPr>
        <w:t>The redacted values correspond to the following ranges:</w:t>
      </w:r>
    </w:p>
    <w:p w14:paraId="65354AD2" w14:textId="77777777" w:rsidR="004843A6" w:rsidRPr="000A652D" w:rsidRDefault="00532965" w:rsidP="000E4DA7">
      <w:pPr>
        <w:pStyle w:val="TableFigureFooter"/>
        <w:rPr>
          <w:i/>
          <w:iCs/>
        </w:rPr>
      </w:pPr>
      <w:r w:rsidRPr="00A365A7">
        <w:rPr>
          <w:i/>
          <w:iCs/>
          <w:vertAlign w:val="superscript"/>
        </w:rPr>
        <w:t>1</w:t>
      </w:r>
      <w:r w:rsidRPr="000A652D">
        <w:rPr>
          <w:i/>
          <w:iCs/>
        </w:rPr>
        <w:t xml:space="preserve"> $55,000 to &lt; $75,000</w:t>
      </w:r>
      <w:r w:rsidR="004843A6" w:rsidRPr="000A652D">
        <w:rPr>
          <w:i/>
          <w:iCs/>
        </w:rPr>
        <w:t xml:space="preserve"> </w:t>
      </w:r>
    </w:p>
    <w:p w14:paraId="5BD79022" w14:textId="77777777" w:rsidR="00705558" w:rsidRPr="000A652D" w:rsidRDefault="004843A6" w:rsidP="00705558">
      <w:pPr>
        <w:pStyle w:val="TableFigureFooter"/>
        <w:rPr>
          <w:i/>
          <w:iCs/>
        </w:rPr>
      </w:pPr>
      <w:r w:rsidRPr="00A365A7">
        <w:rPr>
          <w:i/>
          <w:iCs/>
          <w:vertAlign w:val="superscript"/>
        </w:rPr>
        <w:t xml:space="preserve">2 </w:t>
      </w:r>
      <w:r w:rsidRPr="000A652D">
        <w:rPr>
          <w:i/>
          <w:iCs/>
        </w:rPr>
        <w:t>&gt; $1,055,000</w:t>
      </w:r>
      <w:r w:rsidR="00705558" w:rsidRPr="000A652D">
        <w:rPr>
          <w:i/>
          <w:iCs/>
        </w:rPr>
        <w:t xml:space="preserve"> </w:t>
      </w:r>
    </w:p>
    <w:p w14:paraId="4457F4CC" w14:textId="77777777" w:rsidR="001C6886" w:rsidRPr="000A652D" w:rsidRDefault="00705558" w:rsidP="00705558">
      <w:pPr>
        <w:pStyle w:val="TableFigureFooter"/>
        <w:rPr>
          <w:i/>
          <w:iCs/>
        </w:rPr>
      </w:pPr>
      <w:r w:rsidRPr="00A365A7">
        <w:rPr>
          <w:i/>
          <w:iCs/>
          <w:vertAlign w:val="superscript"/>
        </w:rPr>
        <w:t xml:space="preserve">3 </w:t>
      </w:r>
      <w:r w:rsidRPr="000A652D">
        <w:rPr>
          <w:i/>
          <w:iCs/>
        </w:rPr>
        <w:t xml:space="preserve">$15,000 to &lt; $25,000 </w:t>
      </w:r>
    </w:p>
    <w:p w14:paraId="52E8F346" w14:textId="77777777" w:rsidR="00847F6F" w:rsidRPr="000A652D" w:rsidRDefault="001C6886" w:rsidP="00705558">
      <w:pPr>
        <w:pStyle w:val="TableFigureFooter"/>
        <w:rPr>
          <w:i/>
          <w:iCs/>
        </w:rPr>
      </w:pPr>
      <w:r w:rsidRPr="00A365A7">
        <w:rPr>
          <w:i/>
          <w:iCs/>
          <w:vertAlign w:val="superscript"/>
        </w:rPr>
        <w:t xml:space="preserve">4 </w:t>
      </w:r>
      <w:r w:rsidRPr="000A652D">
        <w:rPr>
          <w:i/>
          <w:iCs/>
        </w:rPr>
        <w:t>$25,000 to &lt; $35,000</w:t>
      </w:r>
      <w:r w:rsidR="00847F6F" w:rsidRPr="000A652D">
        <w:rPr>
          <w:i/>
          <w:iCs/>
        </w:rPr>
        <w:t xml:space="preserve"> </w:t>
      </w:r>
    </w:p>
    <w:p w14:paraId="09F3597E" w14:textId="000ECD5C" w:rsidR="00705558" w:rsidRPr="000A652D" w:rsidRDefault="00847F6F" w:rsidP="00705558">
      <w:pPr>
        <w:pStyle w:val="TableFigureFooter"/>
        <w:rPr>
          <w:i/>
          <w:iCs/>
        </w:rPr>
      </w:pPr>
      <w:r w:rsidRPr="00A365A7">
        <w:rPr>
          <w:i/>
          <w:iCs/>
          <w:vertAlign w:val="superscript"/>
        </w:rPr>
        <w:t>5</w:t>
      </w:r>
      <w:r w:rsidRPr="000A652D">
        <w:rPr>
          <w:i/>
          <w:iCs/>
        </w:rPr>
        <w:t xml:space="preserve"> $0 to &lt; $5,000</w:t>
      </w:r>
    </w:p>
    <w:p w14:paraId="608EC070" w14:textId="5B152D23" w:rsidR="000E4DA7" w:rsidRPr="000A652D" w:rsidRDefault="00847F6F" w:rsidP="00705558">
      <w:pPr>
        <w:pStyle w:val="TableFigureFooter"/>
        <w:rPr>
          <w:i/>
          <w:iCs/>
          <w:vertAlign w:val="superscript"/>
        </w:rPr>
      </w:pPr>
      <w:r w:rsidRPr="00A365A7">
        <w:rPr>
          <w:i/>
          <w:iCs/>
          <w:vertAlign w:val="superscript"/>
        </w:rPr>
        <w:t>6</w:t>
      </w:r>
      <w:r w:rsidR="00705558" w:rsidRPr="00A365A7">
        <w:rPr>
          <w:i/>
          <w:iCs/>
          <w:vertAlign w:val="superscript"/>
        </w:rPr>
        <w:t xml:space="preserve"> </w:t>
      </w:r>
      <w:r w:rsidR="00705558" w:rsidRPr="000A652D">
        <w:rPr>
          <w:i/>
          <w:iCs/>
        </w:rPr>
        <w:t>$5,000 to &lt; $15,000</w:t>
      </w:r>
    </w:p>
    <w:p w14:paraId="146E81A1" w14:textId="04D87A18" w:rsidR="006F4300" w:rsidRPr="00873941" w:rsidRDefault="006F4300" w:rsidP="0073177E">
      <w:pPr>
        <w:pStyle w:val="3-BodyText"/>
        <w:rPr>
          <w:iCs/>
        </w:rPr>
      </w:pPr>
      <w:r w:rsidRPr="00B66841">
        <w:t xml:space="preserve">These results were based on </w:t>
      </w:r>
      <w:r w:rsidR="00C74B31" w:rsidRPr="00B66841">
        <w:t>the sponsor’s assumed</w:t>
      </w:r>
      <w:r w:rsidRPr="00B66841">
        <w:t xml:space="preserve"> price of T-</w:t>
      </w:r>
      <w:proofErr w:type="spellStart"/>
      <w:r w:rsidRPr="00B66841">
        <w:t>DXd</w:t>
      </w:r>
      <w:proofErr w:type="spellEnd"/>
      <w:r w:rsidRPr="00B66841">
        <w:t xml:space="preserve"> in the economic model</w:t>
      </w:r>
      <w:r w:rsidR="00C74B31" w:rsidRPr="00B66841">
        <w:t xml:space="preserve"> (</w:t>
      </w:r>
      <w:r w:rsidR="00471EB9" w:rsidRPr="005F7B87">
        <w:rPr>
          <w:color w:val="000000"/>
          <w:w w:val="60"/>
          <w:shd w:val="solid" w:color="000000" w:fill="000000"/>
          <w:fitText w:val="470" w:id="-694408187"/>
          <w14:textFill>
            <w14:solidFill>
              <w14:srgbClr w14:val="000000">
                <w14:alpha w14:val="100000"/>
              </w14:srgbClr>
            </w14:solidFill>
          </w14:textFill>
        </w:rPr>
        <w:t>|||  ||</w:t>
      </w:r>
      <w:r w:rsidR="00471EB9" w:rsidRPr="005F7B87">
        <w:rPr>
          <w:color w:val="000000"/>
          <w:spacing w:val="6"/>
          <w:w w:val="60"/>
          <w:shd w:val="solid" w:color="000000" w:fill="000000"/>
          <w:fitText w:val="470" w:id="-694408187"/>
          <w14:textFill>
            <w14:solidFill>
              <w14:srgbClr w14:val="000000">
                <w14:alpha w14:val="100000"/>
              </w14:srgbClr>
            </w14:solidFill>
          </w14:textFill>
        </w:rPr>
        <w:t>|</w:t>
      </w:r>
      <w:r w:rsidR="00C74B31" w:rsidRPr="00B66841">
        <w:t>% of the published price)</w:t>
      </w:r>
      <w:r w:rsidRPr="00B66841">
        <w:t xml:space="preserve">. </w:t>
      </w:r>
    </w:p>
    <w:p w14:paraId="3D151315" w14:textId="5E0F7BFA" w:rsidR="003A6DBF" w:rsidRPr="00873941" w:rsidRDefault="003A6DBF" w:rsidP="003A6DBF">
      <w:pPr>
        <w:pStyle w:val="3-BodyText"/>
      </w:pPr>
      <w:r w:rsidRPr="00873941">
        <w:lastRenderedPageBreak/>
        <w:t xml:space="preserve">A comparison was also conducted during the evaluation, which explored which health state was driving the clinical benefit derived from the model. Time spent in the </w:t>
      </w:r>
      <w:proofErr w:type="spellStart"/>
      <w:r w:rsidRPr="00873941">
        <w:t>iDFS</w:t>
      </w:r>
      <w:proofErr w:type="spellEnd"/>
      <w:r w:rsidRPr="00873941">
        <w:t xml:space="preserve"> state was the key driver of the clinical benefit in the model (</w:t>
      </w:r>
      <w:r w:rsidRPr="00873941">
        <w:fldChar w:fldCharType="begin"/>
      </w:r>
      <w:r w:rsidRPr="00873941">
        <w:instrText xml:space="preserve"> REF _Ref184644067 \h  \* MERGEFORMAT </w:instrText>
      </w:r>
      <w:r w:rsidRPr="00873941">
        <w:fldChar w:fldCharType="separate"/>
      </w:r>
      <w:r w:rsidR="000B094B" w:rsidRPr="00873941">
        <w:t xml:space="preserve">Table </w:t>
      </w:r>
      <w:r w:rsidR="000B094B">
        <w:t>16</w:t>
      </w:r>
      <w:r w:rsidRPr="00873941">
        <w:fldChar w:fldCharType="end"/>
      </w:r>
      <w:r w:rsidRPr="00873941">
        <w:t xml:space="preserve">). </w:t>
      </w:r>
    </w:p>
    <w:bookmarkStart w:id="92" w:name="_Hlk185260252"/>
    <w:p w14:paraId="6E6FAC51" w14:textId="76C20B71" w:rsidR="006F4300" w:rsidRPr="00873941" w:rsidRDefault="006F4300" w:rsidP="0073177E">
      <w:pPr>
        <w:pStyle w:val="3-BodyText"/>
      </w:pPr>
      <w:r w:rsidRPr="00873941">
        <w:fldChar w:fldCharType="begin"/>
      </w:r>
      <w:r w:rsidRPr="00873941">
        <w:instrText xml:space="preserve"> REF _Ref184644067 \h </w:instrText>
      </w:r>
      <w:r w:rsidR="009A2102" w:rsidRPr="00873941">
        <w:instrText xml:space="preserve"> \* MERGEFORMAT </w:instrText>
      </w:r>
      <w:r w:rsidRPr="00873941">
        <w:fldChar w:fldCharType="separate"/>
      </w:r>
      <w:r w:rsidR="000B094B" w:rsidRPr="00873941">
        <w:t xml:space="preserve">Table </w:t>
      </w:r>
      <w:r w:rsidR="000B094B">
        <w:t>16</w:t>
      </w:r>
      <w:r w:rsidRPr="00873941">
        <w:fldChar w:fldCharType="end"/>
      </w:r>
      <w:bookmarkEnd w:id="92"/>
      <w:r w:rsidRPr="00873941">
        <w:t xml:space="preserve"> presents the disaggregated QALYs from the economic evaluation. The proportion of total incremental QALY</w:t>
      </w:r>
      <w:r w:rsidR="007B6483" w:rsidRPr="00873941">
        <w:t>s</w:t>
      </w:r>
      <w:r w:rsidRPr="00873941">
        <w:t xml:space="preserve"> gained at the neoadjuvant phase was -2.8%, and in the adjuvant phase and </w:t>
      </w:r>
      <w:proofErr w:type="spellStart"/>
      <w:r w:rsidRPr="00873941">
        <w:t>mBC</w:t>
      </w:r>
      <w:proofErr w:type="spellEnd"/>
      <w:r w:rsidRPr="00873941">
        <w:t xml:space="preserve"> setting was 102.8%.</w:t>
      </w:r>
    </w:p>
    <w:p w14:paraId="4D328D6C" w14:textId="2B043893" w:rsidR="006F4300" w:rsidRPr="00873941" w:rsidRDefault="006F4300" w:rsidP="006F4300">
      <w:pPr>
        <w:pStyle w:val="Caption"/>
        <w:jc w:val="left"/>
      </w:pPr>
      <w:bookmarkStart w:id="93" w:name="_Ref184644067"/>
      <w:r w:rsidRPr="00873941">
        <w:t xml:space="preserve">Table </w:t>
      </w:r>
      <w:r w:rsidR="005650EB">
        <w:fldChar w:fldCharType="begin"/>
      </w:r>
      <w:r w:rsidR="005650EB">
        <w:instrText xml:space="preserve"> SEQ Table \* ARABIC </w:instrText>
      </w:r>
      <w:r w:rsidR="005650EB">
        <w:fldChar w:fldCharType="separate"/>
      </w:r>
      <w:r w:rsidR="000B094B">
        <w:rPr>
          <w:noProof/>
        </w:rPr>
        <w:t>16</w:t>
      </w:r>
      <w:r w:rsidR="005650EB">
        <w:fldChar w:fldCharType="end"/>
      </w:r>
      <w:bookmarkEnd w:id="93"/>
      <w:r w:rsidRPr="00873941">
        <w:t>: Disaggregated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6: Disaggregated outcomes"/>
      </w:tblPr>
      <w:tblGrid>
        <w:gridCol w:w="2974"/>
        <w:gridCol w:w="1419"/>
        <w:gridCol w:w="1275"/>
        <w:gridCol w:w="1464"/>
        <w:gridCol w:w="1885"/>
      </w:tblGrid>
      <w:tr w:rsidR="006F4300" w:rsidRPr="00873941" w14:paraId="27F8D04D" w14:textId="77777777" w:rsidTr="006F4300">
        <w:trPr>
          <w:cantSplit/>
          <w:trHeight w:val="500"/>
          <w:tblHeader/>
        </w:trPr>
        <w:tc>
          <w:tcPr>
            <w:tcW w:w="16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683497" w14:textId="77777777" w:rsidR="006F4300" w:rsidRPr="00873941" w:rsidRDefault="006F4300">
            <w:pPr>
              <w:pStyle w:val="TableFigureHeading"/>
            </w:pPr>
          </w:p>
          <w:p w14:paraId="63B63BDA" w14:textId="77777777" w:rsidR="006F4300" w:rsidRPr="00873941" w:rsidRDefault="006F4300">
            <w:pPr>
              <w:pStyle w:val="TableFigureHeading"/>
            </w:pPr>
            <w:r w:rsidRPr="00873941">
              <w:t>Item</w:t>
            </w:r>
          </w:p>
        </w:tc>
        <w:tc>
          <w:tcPr>
            <w:tcW w:w="787" w:type="pct"/>
            <w:tcBorders>
              <w:top w:val="single" w:sz="4" w:space="0" w:color="auto"/>
              <w:left w:val="single" w:sz="4" w:space="0" w:color="auto"/>
              <w:bottom w:val="single" w:sz="4" w:space="0" w:color="auto"/>
              <w:right w:val="single" w:sz="4" w:space="0" w:color="auto"/>
            </w:tcBorders>
            <w:vAlign w:val="center"/>
            <w:hideMark/>
          </w:tcPr>
          <w:p w14:paraId="61230079" w14:textId="77777777" w:rsidR="006F4300" w:rsidRPr="00873941" w:rsidRDefault="006F4300">
            <w:pPr>
              <w:pStyle w:val="TableFigureHeading"/>
            </w:pPr>
            <w:proofErr w:type="spellStart"/>
            <w:r w:rsidRPr="00873941">
              <w:t>P+T+Chemo</w:t>
            </w:r>
            <w:proofErr w:type="spellEnd"/>
          </w:p>
        </w:tc>
        <w:tc>
          <w:tcPr>
            <w:tcW w:w="707" w:type="pct"/>
            <w:tcBorders>
              <w:top w:val="single" w:sz="4" w:space="0" w:color="auto"/>
              <w:left w:val="single" w:sz="4" w:space="0" w:color="auto"/>
              <w:bottom w:val="single" w:sz="4" w:space="0" w:color="auto"/>
              <w:right w:val="single" w:sz="4" w:space="0" w:color="auto"/>
            </w:tcBorders>
            <w:vAlign w:val="center"/>
            <w:hideMark/>
          </w:tcPr>
          <w:p w14:paraId="16D5F97A" w14:textId="77777777" w:rsidR="006F4300" w:rsidRPr="00873941" w:rsidRDefault="006F4300">
            <w:pPr>
              <w:pStyle w:val="TableFigureHeading"/>
            </w:pPr>
            <w:proofErr w:type="spellStart"/>
            <w:r w:rsidRPr="00873941">
              <w:t>T+Chemo</w:t>
            </w:r>
            <w:proofErr w:type="spellEnd"/>
          </w:p>
        </w:tc>
        <w:tc>
          <w:tcPr>
            <w:tcW w:w="812" w:type="pct"/>
            <w:tcBorders>
              <w:top w:val="single" w:sz="4" w:space="0" w:color="auto"/>
              <w:left w:val="single" w:sz="4" w:space="0" w:color="auto"/>
              <w:bottom w:val="single" w:sz="4" w:space="0" w:color="auto"/>
              <w:right w:val="single" w:sz="4" w:space="0" w:color="auto"/>
            </w:tcBorders>
            <w:vAlign w:val="center"/>
            <w:hideMark/>
          </w:tcPr>
          <w:p w14:paraId="29D076CB" w14:textId="77777777" w:rsidR="006F4300" w:rsidRPr="00873941" w:rsidRDefault="006F4300">
            <w:pPr>
              <w:pStyle w:val="TableFigureHeading"/>
            </w:pPr>
            <w:r w:rsidRPr="00873941">
              <w:t>Incremental</w:t>
            </w:r>
          </w:p>
        </w:tc>
        <w:tc>
          <w:tcPr>
            <w:tcW w:w="1045" w:type="pct"/>
            <w:tcBorders>
              <w:top w:val="single" w:sz="4" w:space="0" w:color="auto"/>
              <w:left w:val="single" w:sz="4" w:space="0" w:color="auto"/>
              <w:bottom w:val="single" w:sz="4" w:space="0" w:color="auto"/>
              <w:right w:val="single" w:sz="4" w:space="0" w:color="auto"/>
            </w:tcBorders>
            <w:hideMark/>
          </w:tcPr>
          <w:p w14:paraId="3D6A0970" w14:textId="77777777" w:rsidR="006F4300" w:rsidRPr="00873941" w:rsidRDefault="006F4300">
            <w:pPr>
              <w:pStyle w:val="TableFigureHeading"/>
            </w:pPr>
            <w:r w:rsidRPr="00873941">
              <w:t>% of total incremental (QALYs)</w:t>
            </w:r>
          </w:p>
        </w:tc>
      </w:tr>
      <w:tr w:rsidR="006F4300" w:rsidRPr="00873941" w14:paraId="2141A48D" w14:textId="77777777" w:rsidTr="006F4300">
        <w:trPr>
          <w:cantSplit/>
          <w:trHeight w:val="261"/>
        </w:trPr>
        <w:tc>
          <w:tcPr>
            <w:tcW w:w="16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F5BDFCF" w14:textId="77777777" w:rsidR="006F4300" w:rsidRPr="00873941" w:rsidRDefault="006F4300">
            <w:pPr>
              <w:pStyle w:val="TableText0"/>
              <w:keepNext w:val="0"/>
              <w:widowControl w:val="0"/>
            </w:pPr>
            <w:r w:rsidRPr="00873941">
              <w:t>Time in neoadjuvant</w:t>
            </w:r>
          </w:p>
        </w:tc>
        <w:tc>
          <w:tcPr>
            <w:tcW w:w="787" w:type="pct"/>
            <w:tcBorders>
              <w:top w:val="single" w:sz="4" w:space="0" w:color="auto"/>
              <w:left w:val="single" w:sz="4" w:space="0" w:color="auto"/>
              <w:bottom w:val="single" w:sz="4" w:space="0" w:color="auto"/>
              <w:right w:val="single" w:sz="4" w:space="0" w:color="auto"/>
            </w:tcBorders>
            <w:vAlign w:val="center"/>
            <w:hideMark/>
          </w:tcPr>
          <w:p w14:paraId="52A5C6C3" w14:textId="77777777" w:rsidR="006F4300" w:rsidRPr="00873941" w:rsidRDefault="006F4300">
            <w:pPr>
              <w:pStyle w:val="TableText0"/>
              <w:keepNext w:val="0"/>
              <w:widowControl w:val="0"/>
              <w:jc w:val="center"/>
            </w:pPr>
            <w:r w:rsidRPr="00873941">
              <w:t>0.345</w:t>
            </w:r>
          </w:p>
        </w:tc>
        <w:tc>
          <w:tcPr>
            <w:tcW w:w="707" w:type="pct"/>
            <w:tcBorders>
              <w:top w:val="single" w:sz="4" w:space="0" w:color="auto"/>
              <w:left w:val="single" w:sz="4" w:space="0" w:color="auto"/>
              <w:bottom w:val="single" w:sz="4" w:space="0" w:color="auto"/>
              <w:right w:val="single" w:sz="4" w:space="0" w:color="auto"/>
            </w:tcBorders>
            <w:vAlign w:val="center"/>
            <w:hideMark/>
          </w:tcPr>
          <w:p w14:paraId="3CC71A61" w14:textId="77777777" w:rsidR="006F4300" w:rsidRPr="00873941" w:rsidRDefault="006F4300">
            <w:pPr>
              <w:pStyle w:val="TableText0"/>
              <w:keepNext w:val="0"/>
              <w:widowControl w:val="0"/>
              <w:jc w:val="center"/>
            </w:pPr>
            <w:r w:rsidRPr="00873941">
              <w:t>0.345</w:t>
            </w:r>
          </w:p>
        </w:tc>
        <w:tc>
          <w:tcPr>
            <w:tcW w:w="812" w:type="pct"/>
            <w:tcBorders>
              <w:top w:val="single" w:sz="4" w:space="0" w:color="auto"/>
              <w:left w:val="single" w:sz="4" w:space="0" w:color="auto"/>
              <w:bottom w:val="single" w:sz="4" w:space="0" w:color="auto"/>
              <w:right w:val="single" w:sz="4" w:space="0" w:color="auto"/>
            </w:tcBorders>
            <w:vAlign w:val="center"/>
            <w:hideMark/>
          </w:tcPr>
          <w:p w14:paraId="3D4BD886" w14:textId="77777777" w:rsidR="006F4300" w:rsidRPr="00873941" w:rsidRDefault="006F4300">
            <w:pPr>
              <w:pStyle w:val="TableText0"/>
              <w:keepNext w:val="0"/>
              <w:widowControl w:val="0"/>
              <w:jc w:val="center"/>
            </w:pPr>
            <w:r w:rsidRPr="00873941">
              <w:t>0</w:t>
            </w:r>
          </w:p>
        </w:tc>
        <w:tc>
          <w:tcPr>
            <w:tcW w:w="0" w:type="auto"/>
            <w:tcBorders>
              <w:top w:val="single" w:sz="4" w:space="0" w:color="auto"/>
              <w:left w:val="single" w:sz="4" w:space="0" w:color="auto"/>
              <w:bottom w:val="single" w:sz="4" w:space="0" w:color="auto"/>
              <w:right w:val="single" w:sz="4" w:space="0" w:color="auto"/>
            </w:tcBorders>
            <w:vAlign w:val="center"/>
          </w:tcPr>
          <w:p w14:paraId="21BE6BFE" w14:textId="77777777" w:rsidR="006F4300" w:rsidRPr="00873941" w:rsidRDefault="006F4300">
            <w:pPr>
              <w:jc w:val="left"/>
              <w:rPr>
                <w:rFonts w:ascii="Arial Narrow" w:eastAsiaTheme="majorEastAsia" w:hAnsi="Arial Narrow" w:cstheme="majorBidi"/>
                <w:bCs/>
                <w:sz w:val="20"/>
              </w:rPr>
            </w:pPr>
          </w:p>
        </w:tc>
      </w:tr>
      <w:tr w:rsidR="006F4300" w:rsidRPr="00873941" w14:paraId="48BCAACC" w14:textId="77777777" w:rsidTr="006F4300">
        <w:trPr>
          <w:cantSplit/>
          <w:trHeight w:val="225"/>
        </w:trPr>
        <w:tc>
          <w:tcPr>
            <w:tcW w:w="16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E526E51" w14:textId="77777777" w:rsidR="006F4300" w:rsidRPr="00873941" w:rsidRDefault="006F4300">
            <w:pPr>
              <w:pStyle w:val="TableText0"/>
              <w:keepNext w:val="0"/>
              <w:widowControl w:val="0"/>
            </w:pPr>
            <w:r w:rsidRPr="00873941">
              <w:t xml:space="preserve">Time in </w:t>
            </w:r>
            <w:proofErr w:type="spellStart"/>
            <w:r w:rsidRPr="00873941">
              <w:t>iDFS</w:t>
            </w:r>
            <w:proofErr w:type="spellEnd"/>
            <w:r w:rsidRPr="00873941">
              <w:t xml:space="preserve"> (years)</w:t>
            </w:r>
          </w:p>
        </w:tc>
        <w:tc>
          <w:tcPr>
            <w:tcW w:w="787" w:type="pct"/>
            <w:tcBorders>
              <w:top w:val="single" w:sz="4" w:space="0" w:color="auto"/>
              <w:left w:val="single" w:sz="4" w:space="0" w:color="auto"/>
              <w:bottom w:val="single" w:sz="4" w:space="0" w:color="auto"/>
              <w:right w:val="single" w:sz="4" w:space="0" w:color="auto"/>
            </w:tcBorders>
            <w:hideMark/>
          </w:tcPr>
          <w:p w14:paraId="6B5F02FF" w14:textId="77777777" w:rsidR="006F4300" w:rsidRPr="00873941" w:rsidRDefault="006F4300">
            <w:pPr>
              <w:pStyle w:val="TableText0"/>
              <w:keepNext w:val="0"/>
              <w:widowControl w:val="0"/>
              <w:jc w:val="center"/>
            </w:pPr>
            <w:r w:rsidRPr="00873941">
              <w:t>12.799</w:t>
            </w:r>
          </w:p>
        </w:tc>
        <w:tc>
          <w:tcPr>
            <w:tcW w:w="707" w:type="pct"/>
            <w:tcBorders>
              <w:top w:val="single" w:sz="4" w:space="0" w:color="auto"/>
              <w:left w:val="single" w:sz="4" w:space="0" w:color="auto"/>
              <w:bottom w:val="single" w:sz="4" w:space="0" w:color="auto"/>
              <w:right w:val="single" w:sz="4" w:space="0" w:color="auto"/>
            </w:tcBorders>
            <w:hideMark/>
          </w:tcPr>
          <w:p w14:paraId="3702EE4B" w14:textId="77777777" w:rsidR="006F4300" w:rsidRPr="00873941" w:rsidRDefault="006F4300">
            <w:pPr>
              <w:pStyle w:val="TableText0"/>
              <w:keepNext w:val="0"/>
              <w:widowControl w:val="0"/>
              <w:jc w:val="center"/>
            </w:pPr>
            <w:r w:rsidRPr="00873941">
              <w:t>12.492</w:t>
            </w:r>
          </w:p>
        </w:tc>
        <w:tc>
          <w:tcPr>
            <w:tcW w:w="812" w:type="pct"/>
            <w:tcBorders>
              <w:top w:val="single" w:sz="4" w:space="0" w:color="auto"/>
              <w:left w:val="single" w:sz="4" w:space="0" w:color="auto"/>
              <w:bottom w:val="single" w:sz="4" w:space="0" w:color="auto"/>
              <w:right w:val="single" w:sz="4" w:space="0" w:color="auto"/>
            </w:tcBorders>
            <w:hideMark/>
          </w:tcPr>
          <w:p w14:paraId="067C7E41" w14:textId="77777777" w:rsidR="006F4300" w:rsidRPr="00873941" w:rsidRDefault="006F4300">
            <w:pPr>
              <w:pStyle w:val="TableText0"/>
              <w:keepNext w:val="0"/>
              <w:widowControl w:val="0"/>
              <w:jc w:val="center"/>
            </w:pPr>
            <w:r w:rsidRPr="00873941">
              <w:t>0.307</w:t>
            </w:r>
          </w:p>
        </w:tc>
        <w:tc>
          <w:tcPr>
            <w:tcW w:w="1045" w:type="pct"/>
            <w:tcBorders>
              <w:top w:val="single" w:sz="4" w:space="0" w:color="auto"/>
              <w:left w:val="single" w:sz="4" w:space="0" w:color="auto"/>
              <w:bottom w:val="single" w:sz="4" w:space="0" w:color="auto"/>
              <w:right w:val="single" w:sz="4" w:space="0" w:color="auto"/>
            </w:tcBorders>
            <w:hideMark/>
          </w:tcPr>
          <w:p w14:paraId="71043045" w14:textId="77777777" w:rsidR="006F4300" w:rsidRPr="00873941" w:rsidRDefault="006F4300">
            <w:pPr>
              <w:pStyle w:val="TableText0"/>
              <w:keepNext w:val="0"/>
              <w:widowControl w:val="0"/>
              <w:jc w:val="center"/>
              <w:rPr>
                <w:i/>
                <w:iCs/>
              </w:rPr>
            </w:pPr>
            <w:r w:rsidRPr="00873941">
              <w:rPr>
                <w:i/>
                <w:iCs/>
              </w:rPr>
              <w:t>-</w:t>
            </w:r>
          </w:p>
        </w:tc>
      </w:tr>
      <w:tr w:rsidR="006F4300" w:rsidRPr="00873941" w14:paraId="409C9632" w14:textId="77777777" w:rsidTr="006F4300">
        <w:trPr>
          <w:cantSplit/>
          <w:trHeight w:val="215"/>
        </w:trPr>
        <w:tc>
          <w:tcPr>
            <w:tcW w:w="16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8F124F6" w14:textId="77777777" w:rsidR="006F4300" w:rsidRPr="00873941" w:rsidRDefault="006F4300">
            <w:pPr>
              <w:pStyle w:val="TableText0"/>
              <w:keepNext w:val="0"/>
              <w:widowControl w:val="0"/>
            </w:pPr>
            <w:r w:rsidRPr="00873941">
              <w:t>Time in locoregional recurrence (years)</w:t>
            </w:r>
          </w:p>
        </w:tc>
        <w:tc>
          <w:tcPr>
            <w:tcW w:w="787" w:type="pct"/>
            <w:tcBorders>
              <w:top w:val="single" w:sz="4" w:space="0" w:color="auto"/>
              <w:left w:val="single" w:sz="4" w:space="0" w:color="auto"/>
              <w:bottom w:val="single" w:sz="4" w:space="0" w:color="auto"/>
              <w:right w:val="single" w:sz="4" w:space="0" w:color="auto"/>
            </w:tcBorders>
            <w:hideMark/>
          </w:tcPr>
          <w:p w14:paraId="2623A478" w14:textId="77777777" w:rsidR="006F4300" w:rsidRPr="00873941" w:rsidRDefault="006F4300">
            <w:pPr>
              <w:pStyle w:val="TableText0"/>
              <w:keepNext w:val="0"/>
              <w:widowControl w:val="0"/>
              <w:jc w:val="center"/>
            </w:pPr>
            <w:r w:rsidRPr="00873941">
              <w:t>0.028</w:t>
            </w:r>
          </w:p>
        </w:tc>
        <w:tc>
          <w:tcPr>
            <w:tcW w:w="707" w:type="pct"/>
            <w:tcBorders>
              <w:top w:val="single" w:sz="4" w:space="0" w:color="auto"/>
              <w:left w:val="single" w:sz="4" w:space="0" w:color="auto"/>
              <w:bottom w:val="single" w:sz="4" w:space="0" w:color="auto"/>
              <w:right w:val="single" w:sz="4" w:space="0" w:color="auto"/>
            </w:tcBorders>
            <w:hideMark/>
          </w:tcPr>
          <w:p w14:paraId="406964CA" w14:textId="77777777" w:rsidR="006F4300" w:rsidRPr="00873941" w:rsidRDefault="006F4300">
            <w:pPr>
              <w:pStyle w:val="TableText0"/>
              <w:keepNext w:val="0"/>
              <w:widowControl w:val="0"/>
              <w:jc w:val="center"/>
            </w:pPr>
            <w:r w:rsidRPr="00873941">
              <w:t>0.033</w:t>
            </w:r>
          </w:p>
        </w:tc>
        <w:tc>
          <w:tcPr>
            <w:tcW w:w="812" w:type="pct"/>
            <w:tcBorders>
              <w:top w:val="single" w:sz="4" w:space="0" w:color="auto"/>
              <w:left w:val="single" w:sz="4" w:space="0" w:color="auto"/>
              <w:bottom w:val="single" w:sz="4" w:space="0" w:color="auto"/>
              <w:right w:val="single" w:sz="4" w:space="0" w:color="auto"/>
            </w:tcBorders>
            <w:hideMark/>
          </w:tcPr>
          <w:p w14:paraId="264C6104" w14:textId="77777777" w:rsidR="006F4300" w:rsidRPr="00873941" w:rsidRDefault="006F4300">
            <w:pPr>
              <w:pStyle w:val="TableText0"/>
              <w:keepNext w:val="0"/>
              <w:widowControl w:val="0"/>
              <w:jc w:val="center"/>
            </w:pPr>
            <w:r w:rsidRPr="00873941">
              <w:t>-0.0047</w:t>
            </w:r>
          </w:p>
        </w:tc>
        <w:tc>
          <w:tcPr>
            <w:tcW w:w="1045" w:type="pct"/>
            <w:tcBorders>
              <w:top w:val="single" w:sz="4" w:space="0" w:color="auto"/>
              <w:left w:val="single" w:sz="4" w:space="0" w:color="auto"/>
              <w:bottom w:val="single" w:sz="4" w:space="0" w:color="auto"/>
              <w:right w:val="single" w:sz="4" w:space="0" w:color="auto"/>
            </w:tcBorders>
            <w:hideMark/>
          </w:tcPr>
          <w:p w14:paraId="5B32A2CE" w14:textId="77777777" w:rsidR="006F4300" w:rsidRPr="00873941" w:rsidRDefault="006F4300">
            <w:pPr>
              <w:pStyle w:val="TableText0"/>
              <w:keepNext w:val="0"/>
              <w:widowControl w:val="0"/>
              <w:jc w:val="center"/>
              <w:rPr>
                <w:i/>
                <w:iCs/>
              </w:rPr>
            </w:pPr>
            <w:r w:rsidRPr="00873941">
              <w:rPr>
                <w:i/>
                <w:iCs/>
              </w:rPr>
              <w:t>-</w:t>
            </w:r>
          </w:p>
        </w:tc>
      </w:tr>
      <w:tr w:rsidR="006F4300" w:rsidRPr="00873941" w14:paraId="5AFA3279" w14:textId="77777777" w:rsidTr="006F4300">
        <w:trPr>
          <w:cantSplit/>
          <w:trHeight w:val="179"/>
        </w:trPr>
        <w:tc>
          <w:tcPr>
            <w:tcW w:w="16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23AE271" w14:textId="77777777" w:rsidR="006F4300" w:rsidRPr="00873941" w:rsidRDefault="006F4300">
            <w:pPr>
              <w:pStyle w:val="TableText0"/>
              <w:keepNext w:val="0"/>
              <w:widowControl w:val="0"/>
            </w:pPr>
            <w:r w:rsidRPr="00873941">
              <w:t>Time in remission (years)</w:t>
            </w:r>
          </w:p>
        </w:tc>
        <w:tc>
          <w:tcPr>
            <w:tcW w:w="787" w:type="pct"/>
            <w:tcBorders>
              <w:top w:val="single" w:sz="4" w:space="0" w:color="auto"/>
              <w:left w:val="single" w:sz="4" w:space="0" w:color="auto"/>
              <w:bottom w:val="single" w:sz="4" w:space="0" w:color="auto"/>
              <w:right w:val="single" w:sz="4" w:space="0" w:color="auto"/>
            </w:tcBorders>
            <w:hideMark/>
          </w:tcPr>
          <w:p w14:paraId="380DE091" w14:textId="77777777" w:rsidR="006F4300" w:rsidRPr="00873941" w:rsidRDefault="006F4300">
            <w:pPr>
              <w:pStyle w:val="TableText0"/>
              <w:keepNext w:val="0"/>
              <w:widowControl w:val="0"/>
              <w:jc w:val="center"/>
            </w:pPr>
            <w:r w:rsidRPr="00873941">
              <w:t>0.182</w:t>
            </w:r>
          </w:p>
        </w:tc>
        <w:tc>
          <w:tcPr>
            <w:tcW w:w="707" w:type="pct"/>
            <w:tcBorders>
              <w:top w:val="single" w:sz="4" w:space="0" w:color="auto"/>
              <w:left w:val="single" w:sz="4" w:space="0" w:color="auto"/>
              <w:bottom w:val="single" w:sz="4" w:space="0" w:color="auto"/>
              <w:right w:val="single" w:sz="4" w:space="0" w:color="auto"/>
            </w:tcBorders>
            <w:hideMark/>
          </w:tcPr>
          <w:p w14:paraId="076CFA83" w14:textId="77777777" w:rsidR="006F4300" w:rsidRPr="00873941" w:rsidRDefault="006F4300">
            <w:pPr>
              <w:pStyle w:val="TableText0"/>
              <w:keepNext w:val="0"/>
              <w:widowControl w:val="0"/>
              <w:jc w:val="center"/>
            </w:pPr>
            <w:r w:rsidRPr="00873941">
              <w:t>0.212</w:t>
            </w:r>
          </w:p>
        </w:tc>
        <w:tc>
          <w:tcPr>
            <w:tcW w:w="812" w:type="pct"/>
            <w:tcBorders>
              <w:top w:val="single" w:sz="4" w:space="0" w:color="auto"/>
              <w:left w:val="single" w:sz="4" w:space="0" w:color="auto"/>
              <w:bottom w:val="single" w:sz="4" w:space="0" w:color="auto"/>
              <w:right w:val="single" w:sz="4" w:space="0" w:color="auto"/>
            </w:tcBorders>
            <w:hideMark/>
          </w:tcPr>
          <w:p w14:paraId="7AD33347" w14:textId="77777777" w:rsidR="006F4300" w:rsidRPr="00873941" w:rsidRDefault="006F4300">
            <w:pPr>
              <w:pStyle w:val="TableText0"/>
              <w:keepNext w:val="0"/>
              <w:widowControl w:val="0"/>
              <w:jc w:val="center"/>
            </w:pPr>
            <w:r w:rsidRPr="00873941">
              <w:t>-0.030</w:t>
            </w:r>
          </w:p>
        </w:tc>
        <w:tc>
          <w:tcPr>
            <w:tcW w:w="1045" w:type="pct"/>
            <w:tcBorders>
              <w:top w:val="single" w:sz="4" w:space="0" w:color="auto"/>
              <w:left w:val="single" w:sz="4" w:space="0" w:color="auto"/>
              <w:bottom w:val="single" w:sz="4" w:space="0" w:color="auto"/>
              <w:right w:val="single" w:sz="4" w:space="0" w:color="auto"/>
            </w:tcBorders>
            <w:hideMark/>
          </w:tcPr>
          <w:p w14:paraId="136313C5" w14:textId="77777777" w:rsidR="006F4300" w:rsidRPr="00873941" w:rsidRDefault="006F4300">
            <w:pPr>
              <w:pStyle w:val="TableText0"/>
              <w:keepNext w:val="0"/>
              <w:widowControl w:val="0"/>
              <w:jc w:val="center"/>
              <w:rPr>
                <w:i/>
                <w:iCs/>
              </w:rPr>
            </w:pPr>
            <w:r w:rsidRPr="00873941">
              <w:rPr>
                <w:i/>
                <w:iCs/>
              </w:rPr>
              <w:t>-</w:t>
            </w:r>
          </w:p>
        </w:tc>
      </w:tr>
      <w:tr w:rsidR="006F4300" w:rsidRPr="00873941" w14:paraId="77F0BF50" w14:textId="77777777" w:rsidTr="006F4300">
        <w:trPr>
          <w:cantSplit/>
          <w:trHeight w:val="225"/>
        </w:trPr>
        <w:tc>
          <w:tcPr>
            <w:tcW w:w="16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B6F37DA" w14:textId="77777777" w:rsidR="006F4300" w:rsidRPr="00873941" w:rsidRDefault="006F4300">
            <w:pPr>
              <w:pStyle w:val="TableText0"/>
              <w:keepNext w:val="0"/>
              <w:widowControl w:val="0"/>
            </w:pPr>
            <w:r w:rsidRPr="00873941">
              <w:t>Time in distant recurrence (years)</w:t>
            </w:r>
          </w:p>
        </w:tc>
        <w:tc>
          <w:tcPr>
            <w:tcW w:w="787" w:type="pct"/>
            <w:tcBorders>
              <w:top w:val="single" w:sz="4" w:space="0" w:color="auto"/>
              <w:left w:val="single" w:sz="4" w:space="0" w:color="auto"/>
              <w:bottom w:val="single" w:sz="4" w:space="0" w:color="auto"/>
              <w:right w:val="single" w:sz="4" w:space="0" w:color="auto"/>
            </w:tcBorders>
            <w:hideMark/>
          </w:tcPr>
          <w:p w14:paraId="04BE959E" w14:textId="77777777" w:rsidR="006F4300" w:rsidRPr="00873941" w:rsidRDefault="006F4300">
            <w:pPr>
              <w:pStyle w:val="TableText0"/>
              <w:keepNext w:val="0"/>
              <w:widowControl w:val="0"/>
              <w:jc w:val="center"/>
            </w:pPr>
            <w:r w:rsidRPr="00873941">
              <w:t>0.371</w:t>
            </w:r>
          </w:p>
        </w:tc>
        <w:tc>
          <w:tcPr>
            <w:tcW w:w="707" w:type="pct"/>
            <w:tcBorders>
              <w:top w:val="single" w:sz="4" w:space="0" w:color="auto"/>
              <w:left w:val="single" w:sz="4" w:space="0" w:color="auto"/>
              <w:bottom w:val="single" w:sz="4" w:space="0" w:color="auto"/>
              <w:right w:val="single" w:sz="4" w:space="0" w:color="auto"/>
            </w:tcBorders>
            <w:hideMark/>
          </w:tcPr>
          <w:p w14:paraId="1E7E85B3" w14:textId="77777777" w:rsidR="006F4300" w:rsidRPr="00873941" w:rsidRDefault="006F4300">
            <w:pPr>
              <w:pStyle w:val="TableText0"/>
              <w:keepNext w:val="0"/>
              <w:widowControl w:val="0"/>
              <w:jc w:val="center"/>
            </w:pPr>
            <w:r w:rsidRPr="00873941">
              <w:t>0.416</w:t>
            </w:r>
          </w:p>
        </w:tc>
        <w:tc>
          <w:tcPr>
            <w:tcW w:w="812" w:type="pct"/>
            <w:tcBorders>
              <w:top w:val="single" w:sz="4" w:space="0" w:color="auto"/>
              <w:left w:val="single" w:sz="4" w:space="0" w:color="auto"/>
              <w:bottom w:val="single" w:sz="4" w:space="0" w:color="auto"/>
              <w:right w:val="single" w:sz="4" w:space="0" w:color="auto"/>
            </w:tcBorders>
            <w:hideMark/>
          </w:tcPr>
          <w:p w14:paraId="76DBD973" w14:textId="77777777" w:rsidR="006F4300" w:rsidRPr="00873941" w:rsidRDefault="006F4300">
            <w:pPr>
              <w:pStyle w:val="TableText0"/>
              <w:keepNext w:val="0"/>
              <w:widowControl w:val="0"/>
              <w:jc w:val="center"/>
            </w:pPr>
            <w:r w:rsidRPr="00873941">
              <w:t>-0.045</w:t>
            </w:r>
          </w:p>
        </w:tc>
        <w:tc>
          <w:tcPr>
            <w:tcW w:w="1045" w:type="pct"/>
            <w:tcBorders>
              <w:top w:val="single" w:sz="4" w:space="0" w:color="auto"/>
              <w:left w:val="single" w:sz="4" w:space="0" w:color="auto"/>
              <w:bottom w:val="single" w:sz="4" w:space="0" w:color="auto"/>
              <w:right w:val="single" w:sz="4" w:space="0" w:color="auto"/>
            </w:tcBorders>
            <w:hideMark/>
          </w:tcPr>
          <w:p w14:paraId="6B31FE2C" w14:textId="77777777" w:rsidR="006F4300" w:rsidRPr="00873941" w:rsidRDefault="006F4300">
            <w:pPr>
              <w:pStyle w:val="TableText0"/>
              <w:keepNext w:val="0"/>
              <w:widowControl w:val="0"/>
              <w:jc w:val="center"/>
              <w:rPr>
                <w:i/>
                <w:iCs/>
              </w:rPr>
            </w:pPr>
            <w:r w:rsidRPr="00873941">
              <w:rPr>
                <w:i/>
                <w:iCs/>
              </w:rPr>
              <w:t>-</w:t>
            </w:r>
          </w:p>
        </w:tc>
      </w:tr>
      <w:tr w:rsidR="006F4300" w:rsidRPr="00873941" w14:paraId="7F719592" w14:textId="77777777" w:rsidTr="006F4300">
        <w:trPr>
          <w:cantSplit/>
          <w:trHeight w:val="271"/>
        </w:trPr>
        <w:tc>
          <w:tcPr>
            <w:tcW w:w="16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9E85E77" w14:textId="77777777" w:rsidR="006F4300" w:rsidRPr="00873941" w:rsidRDefault="006F4300">
            <w:pPr>
              <w:pStyle w:val="TableText0"/>
              <w:keepNext w:val="0"/>
              <w:widowControl w:val="0"/>
            </w:pPr>
            <w:r w:rsidRPr="00873941">
              <w:t xml:space="preserve">Time in 2nd line </w:t>
            </w:r>
            <w:proofErr w:type="spellStart"/>
            <w:r w:rsidRPr="00873941">
              <w:t>mBC</w:t>
            </w:r>
            <w:proofErr w:type="spellEnd"/>
            <w:r w:rsidRPr="00873941">
              <w:t xml:space="preserve"> (years)</w:t>
            </w:r>
          </w:p>
        </w:tc>
        <w:tc>
          <w:tcPr>
            <w:tcW w:w="787" w:type="pct"/>
            <w:tcBorders>
              <w:top w:val="single" w:sz="4" w:space="0" w:color="auto"/>
              <w:left w:val="single" w:sz="4" w:space="0" w:color="auto"/>
              <w:bottom w:val="single" w:sz="4" w:space="0" w:color="auto"/>
              <w:right w:val="single" w:sz="4" w:space="0" w:color="auto"/>
            </w:tcBorders>
            <w:hideMark/>
          </w:tcPr>
          <w:p w14:paraId="127CE58F" w14:textId="77777777" w:rsidR="006F4300" w:rsidRPr="00873941" w:rsidRDefault="006F4300">
            <w:pPr>
              <w:pStyle w:val="TableText0"/>
              <w:keepNext w:val="0"/>
              <w:widowControl w:val="0"/>
              <w:jc w:val="center"/>
            </w:pPr>
            <w:r w:rsidRPr="00873941">
              <w:t>0.451</w:t>
            </w:r>
          </w:p>
        </w:tc>
        <w:tc>
          <w:tcPr>
            <w:tcW w:w="707" w:type="pct"/>
            <w:tcBorders>
              <w:top w:val="single" w:sz="4" w:space="0" w:color="auto"/>
              <w:left w:val="single" w:sz="4" w:space="0" w:color="auto"/>
              <w:bottom w:val="single" w:sz="4" w:space="0" w:color="auto"/>
              <w:right w:val="single" w:sz="4" w:space="0" w:color="auto"/>
            </w:tcBorders>
            <w:hideMark/>
          </w:tcPr>
          <w:p w14:paraId="5C7F48C2" w14:textId="77777777" w:rsidR="006F4300" w:rsidRPr="00873941" w:rsidRDefault="006F4300">
            <w:pPr>
              <w:pStyle w:val="TableText0"/>
              <w:keepNext w:val="0"/>
              <w:widowControl w:val="0"/>
              <w:jc w:val="center"/>
            </w:pPr>
            <w:r w:rsidRPr="00873941">
              <w:t>0.509</w:t>
            </w:r>
          </w:p>
        </w:tc>
        <w:tc>
          <w:tcPr>
            <w:tcW w:w="812" w:type="pct"/>
            <w:tcBorders>
              <w:top w:val="single" w:sz="4" w:space="0" w:color="auto"/>
              <w:left w:val="single" w:sz="4" w:space="0" w:color="auto"/>
              <w:bottom w:val="single" w:sz="4" w:space="0" w:color="auto"/>
              <w:right w:val="single" w:sz="4" w:space="0" w:color="auto"/>
            </w:tcBorders>
            <w:hideMark/>
          </w:tcPr>
          <w:p w14:paraId="1A1721F5" w14:textId="77777777" w:rsidR="006F4300" w:rsidRPr="00873941" w:rsidRDefault="006F4300">
            <w:pPr>
              <w:pStyle w:val="TableText0"/>
              <w:keepNext w:val="0"/>
              <w:widowControl w:val="0"/>
              <w:jc w:val="center"/>
            </w:pPr>
            <w:r w:rsidRPr="00873941">
              <w:t>-0.058</w:t>
            </w:r>
          </w:p>
        </w:tc>
        <w:tc>
          <w:tcPr>
            <w:tcW w:w="1045" w:type="pct"/>
            <w:tcBorders>
              <w:top w:val="single" w:sz="4" w:space="0" w:color="auto"/>
              <w:left w:val="single" w:sz="4" w:space="0" w:color="auto"/>
              <w:bottom w:val="single" w:sz="4" w:space="0" w:color="auto"/>
              <w:right w:val="single" w:sz="4" w:space="0" w:color="auto"/>
            </w:tcBorders>
            <w:hideMark/>
          </w:tcPr>
          <w:p w14:paraId="047E6190" w14:textId="77777777" w:rsidR="006F4300" w:rsidRPr="00873941" w:rsidRDefault="006F4300">
            <w:pPr>
              <w:pStyle w:val="TableText0"/>
              <w:keepNext w:val="0"/>
              <w:widowControl w:val="0"/>
              <w:jc w:val="center"/>
              <w:rPr>
                <w:i/>
                <w:iCs/>
              </w:rPr>
            </w:pPr>
            <w:r w:rsidRPr="00873941">
              <w:rPr>
                <w:i/>
                <w:iCs/>
              </w:rPr>
              <w:t>-</w:t>
            </w:r>
          </w:p>
        </w:tc>
      </w:tr>
      <w:tr w:rsidR="006F4300" w:rsidRPr="00873941" w14:paraId="0E28F150" w14:textId="77777777" w:rsidTr="006F4300">
        <w:trPr>
          <w:cantSplit/>
          <w:trHeight w:val="211"/>
        </w:trPr>
        <w:tc>
          <w:tcPr>
            <w:tcW w:w="1649" w:type="pct"/>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hideMark/>
          </w:tcPr>
          <w:p w14:paraId="4383EE16" w14:textId="77777777" w:rsidR="006F4300" w:rsidRPr="00873941" w:rsidRDefault="006F4300">
            <w:pPr>
              <w:pStyle w:val="TableText0"/>
              <w:keepNext w:val="0"/>
              <w:widowControl w:val="0"/>
              <w:rPr>
                <w:b/>
                <w:bCs w:val="0"/>
              </w:rPr>
            </w:pPr>
            <w:r w:rsidRPr="00873941">
              <w:rPr>
                <w:b/>
                <w:bCs w:val="0"/>
              </w:rPr>
              <w:t>Life Years</w:t>
            </w:r>
          </w:p>
        </w:tc>
        <w:tc>
          <w:tcPr>
            <w:tcW w:w="787" w:type="pct"/>
            <w:tcBorders>
              <w:top w:val="single" w:sz="4" w:space="0" w:color="auto"/>
              <w:left w:val="single" w:sz="4" w:space="0" w:color="auto"/>
              <w:bottom w:val="double" w:sz="4" w:space="0" w:color="auto"/>
              <w:right w:val="single" w:sz="4" w:space="0" w:color="auto"/>
            </w:tcBorders>
            <w:hideMark/>
          </w:tcPr>
          <w:p w14:paraId="37519922" w14:textId="77777777" w:rsidR="006F4300" w:rsidRPr="00873941" w:rsidRDefault="006F4300">
            <w:pPr>
              <w:pStyle w:val="TableText0"/>
              <w:keepNext w:val="0"/>
              <w:widowControl w:val="0"/>
              <w:jc w:val="center"/>
              <w:rPr>
                <w:b/>
                <w:bCs w:val="0"/>
              </w:rPr>
            </w:pPr>
            <w:r w:rsidRPr="00873941">
              <w:rPr>
                <w:b/>
                <w:bCs w:val="0"/>
              </w:rPr>
              <w:t>14.175</w:t>
            </w:r>
          </w:p>
        </w:tc>
        <w:tc>
          <w:tcPr>
            <w:tcW w:w="707" w:type="pct"/>
            <w:tcBorders>
              <w:top w:val="single" w:sz="4" w:space="0" w:color="auto"/>
              <w:left w:val="single" w:sz="4" w:space="0" w:color="auto"/>
              <w:bottom w:val="double" w:sz="4" w:space="0" w:color="auto"/>
              <w:right w:val="single" w:sz="4" w:space="0" w:color="auto"/>
            </w:tcBorders>
            <w:hideMark/>
          </w:tcPr>
          <w:p w14:paraId="506C90B5" w14:textId="77777777" w:rsidR="006F4300" w:rsidRPr="00873941" w:rsidRDefault="006F4300">
            <w:pPr>
              <w:pStyle w:val="TableText0"/>
              <w:keepNext w:val="0"/>
              <w:widowControl w:val="0"/>
              <w:jc w:val="center"/>
              <w:rPr>
                <w:b/>
                <w:bCs w:val="0"/>
              </w:rPr>
            </w:pPr>
            <w:r w:rsidRPr="00873941">
              <w:rPr>
                <w:b/>
                <w:bCs w:val="0"/>
              </w:rPr>
              <w:t>14.001</w:t>
            </w:r>
          </w:p>
        </w:tc>
        <w:tc>
          <w:tcPr>
            <w:tcW w:w="812" w:type="pct"/>
            <w:tcBorders>
              <w:top w:val="single" w:sz="4" w:space="0" w:color="auto"/>
              <w:left w:val="single" w:sz="4" w:space="0" w:color="auto"/>
              <w:bottom w:val="double" w:sz="4" w:space="0" w:color="auto"/>
              <w:right w:val="single" w:sz="4" w:space="0" w:color="auto"/>
            </w:tcBorders>
            <w:hideMark/>
          </w:tcPr>
          <w:p w14:paraId="6FF8440C" w14:textId="77777777" w:rsidR="006F4300" w:rsidRPr="00873941" w:rsidRDefault="006F4300">
            <w:pPr>
              <w:pStyle w:val="TableText0"/>
              <w:keepNext w:val="0"/>
              <w:widowControl w:val="0"/>
              <w:jc w:val="center"/>
              <w:rPr>
                <w:b/>
                <w:bCs w:val="0"/>
              </w:rPr>
            </w:pPr>
            <w:r w:rsidRPr="00873941">
              <w:rPr>
                <w:b/>
                <w:bCs w:val="0"/>
              </w:rPr>
              <w:t>0.169</w:t>
            </w:r>
          </w:p>
        </w:tc>
        <w:tc>
          <w:tcPr>
            <w:tcW w:w="1045" w:type="pct"/>
            <w:tcBorders>
              <w:top w:val="single" w:sz="4" w:space="0" w:color="auto"/>
              <w:left w:val="single" w:sz="4" w:space="0" w:color="auto"/>
              <w:bottom w:val="double" w:sz="4" w:space="0" w:color="auto"/>
              <w:right w:val="single" w:sz="4" w:space="0" w:color="auto"/>
            </w:tcBorders>
            <w:hideMark/>
          </w:tcPr>
          <w:p w14:paraId="22576776" w14:textId="77777777" w:rsidR="006F4300" w:rsidRPr="00873941" w:rsidRDefault="006F4300">
            <w:pPr>
              <w:pStyle w:val="TableText0"/>
              <w:keepNext w:val="0"/>
              <w:widowControl w:val="0"/>
              <w:jc w:val="center"/>
              <w:rPr>
                <w:b/>
                <w:bCs w:val="0"/>
                <w:i/>
                <w:iCs/>
              </w:rPr>
            </w:pPr>
            <w:r w:rsidRPr="00873941">
              <w:rPr>
                <w:b/>
                <w:bCs w:val="0"/>
                <w:i/>
                <w:iCs/>
              </w:rPr>
              <w:t>-</w:t>
            </w:r>
          </w:p>
        </w:tc>
      </w:tr>
      <w:tr w:rsidR="006F4300" w:rsidRPr="00873941" w14:paraId="4A46DFFA" w14:textId="77777777" w:rsidTr="006F4300">
        <w:trPr>
          <w:cantSplit/>
          <w:trHeight w:val="211"/>
        </w:trPr>
        <w:tc>
          <w:tcPr>
            <w:tcW w:w="1649" w:type="pct"/>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BE3C90" w14:textId="77777777" w:rsidR="006F4300" w:rsidRPr="00873941" w:rsidRDefault="006F4300">
            <w:pPr>
              <w:pStyle w:val="TableText0"/>
              <w:keepNext w:val="0"/>
              <w:widowControl w:val="0"/>
            </w:pPr>
            <w:r w:rsidRPr="00873941">
              <w:t>QALYs</w:t>
            </w:r>
          </w:p>
        </w:tc>
        <w:tc>
          <w:tcPr>
            <w:tcW w:w="787" w:type="pct"/>
            <w:tcBorders>
              <w:top w:val="double" w:sz="4" w:space="0" w:color="auto"/>
              <w:left w:val="single" w:sz="4" w:space="0" w:color="auto"/>
              <w:bottom w:val="single" w:sz="4" w:space="0" w:color="auto"/>
              <w:right w:val="single" w:sz="4" w:space="0" w:color="auto"/>
            </w:tcBorders>
          </w:tcPr>
          <w:p w14:paraId="44264A7C" w14:textId="77777777" w:rsidR="006F4300" w:rsidRPr="00873941" w:rsidRDefault="006F4300">
            <w:pPr>
              <w:pStyle w:val="TableText0"/>
              <w:keepNext w:val="0"/>
              <w:widowControl w:val="0"/>
              <w:jc w:val="center"/>
            </w:pPr>
          </w:p>
        </w:tc>
        <w:tc>
          <w:tcPr>
            <w:tcW w:w="707" w:type="pct"/>
            <w:tcBorders>
              <w:top w:val="double" w:sz="4" w:space="0" w:color="auto"/>
              <w:left w:val="single" w:sz="4" w:space="0" w:color="auto"/>
              <w:bottom w:val="single" w:sz="4" w:space="0" w:color="auto"/>
              <w:right w:val="single" w:sz="4" w:space="0" w:color="auto"/>
            </w:tcBorders>
          </w:tcPr>
          <w:p w14:paraId="0C045FA6" w14:textId="77777777" w:rsidR="006F4300" w:rsidRPr="00873941" w:rsidRDefault="006F4300">
            <w:pPr>
              <w:pStyle w:val="TableText0"/>
              <w:keepNext w:val="0"/>
              <w:widowControl w:val="0"/>
              <w:jc w:val="center"/>
            </w:pPr>
          </w:p>
        </w:tc>
        <w:tc>
          <w:tcPr>
            <w:tcW w:w="812" w:type="pct"/>
            <w:tcBorders>
              <w:top w:val="double" w:sz="4" w:space="0" w:color="auto"/>
              <w:left w:val="single" w:sz="4" w:space="0" w:color="auto"/>
              <w:bottom w:val="single" w:sz="4" w:space="0" w:color="auto"/>
              <w:right w:val="single" w:sz="4" w:space="0" w:color="auto"/>
            </w:tcBorders>
          </w:tcPr>
          <w:p w14:paraId="1ED62CA9" w14:textId="77777777" w:rsidR="006F4300" w:rsidRPr="00873941" w:rsidRDefault="006F4300">
            <w:pPr>
              <w:pStyle w:val="TableText0"/>
              <w:keepNext w:val="0"/>
              <w:widowControl w:val="0"/>
              <w:jc w:val="center"/>
            </w:pPr>
          </w:p>
        </w:tc>
        <w:tc>
          <w:tcPr>
            <w:tcW w:w="1045" w:type="pct"/>
            <w:tcBorders>
              <w:top w:val="double" w:sz="4" w:space="0" w:color="auto"/>
              <w:left w:val="single" w:sz="4" w:space="0" w:color="auto"/>
              <w:bottom w:val="single" w:sz="4" w:space="0" w:color="auto"/>
              <w:right w:val="single" w:sz="4" w:space="0" w:color="auto"/>
            </w:tcBorders>
          </w:tcPr>
          <w:p w14:paraId="197C2291" w14:textId="77777777" w:rsidR="006F4300" w:rsidRPr="00873941" w:rsidRDefault="006F4300">
            <w:pPr>
              <w:pStyle w:val="TableText0"/>
              <w:keepNext w:val="0"/>
              <w:widowControl w:val="0"/>
              <w:jc w:val="center"/>
              <w:rPr>
                <w:i/>
                <w:iCs/>
              </w:rPr>
            </w:pPr>
          </w:p>
        </w:tc>
      </w:tr>
      <w:tr w:rsidR="006F4300" w:rsidRPr="00873941" w14:paraId="3FF5A8D3" w14:textId="77777777" w:rsidTr="006F4300">
        <w:trPr>
          <w:cantSplit/>
          <w:trHeight w:val="211"/>
        </w:trPr>
        <w:tc>
          <w:tcPr>
            <w:tcW w:w="1649" w:type="pct"/>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C0B68B7" w14:textId="77777777" w:rsidR="006F4300" w:rsidRPr="00873941" w:rsidRDefault="006F4300">
            <w:pPr>
              <w:pStyle w:val="TableText0"/>
              <w:keepNext w:val="0"/>
              <w:widowControl w:val="0"/>
            </w:pPr>
            <w:r w:rsidRPr="00873941">
              <w:t>QALYs in neoadjuvant</w:t>
            </w:r>
          </w:p>
        </w:tc>
        <w:tc>
          <w:tcPr>
            <w:tcW w:w="787" w:type="pct"/>
            <w:tcBorders>
              <w:top w:val="double" w:sz="4" w:space="0" w:color="auto"/>
              <w:left w:val="single" w:sz="4" w:space="0" w:color="auto"/>
              <w:bottom w:val="single" w:sz="4" w:space="0" w:color="auto"/>
              <w:right w:val="single" w:sz="4" w:space="0" w:color="auto"/>
            </w:tcBorders>
            <w:vAlign w:val="center"/>
            <w:hideMark/>
          </w:tcPr>
          <w:p w14:paraId="7CBD07B9" w14:textId="77777777" w:rsidR="006F4300" w:rsidRPr="00873941" w:rsidRDefault="006F4300">
            <w:pPr>
              <w:pStyle w:val="TableText0"/>
              <w:keepNext w:val="0"/>
              <w:widowControl w:val="0"/>
              <w:jc w:val="center"/>
            </w:pPr>
            <w:r w:rsidRPr="00873941">
              <w:t>0.264</w:t>
            </w:r>
          </w:p>
        </w:tc>
        <w:tc>
          <w:tcPr>
            <w:tcW w:w="707" w:type="pct"/>
            <w:tcBorders>
              <w:top w:val="double" w:sz="4" w:space="0" w:color="auto"/>
              <w:left w:val="single" w:sz="4" w:space="0" w:color="auto"/>
              <w:bottom w:val="single" w:sz="4" w:space="0" w:color="auto"/>
              <w:right w:val="single" w:sz="4" w:space="0" w:color="auto"/>
            </w:tcBorders>
            <w:vAlign w:val="center"/>
            <w:hideMark/>
          </w:tcPr>
          <w:p w14:paraId="7ADE3CD7" w14:textId="77777777" w:rsidR="006F4300" w:rsidRPr="00873941" w:rsidRDefault="006F4300">
            <w:pPr>
              <w:pStyle w:val="TableText0"/>
              <w:keepNext w:val="0"/>
              <w:widowControl w:val="0"/>
              <w:jc w:val="center"/>
            </w:pPr>
            <w:r w:rsidRPr="00873941">
              <w:t>0.268</w:t>
            </w:r>
          </w:p>
        </w:tc>
        <w:tc>
          <w:tcPr>
            <w:tcW w:w="812" w:type="pct"/>
            <w:tcBorders>
              <w:top w:val="double" w:sz="4" w:space="0" w:color="auto"/>
              <w:left w:val="single" w:sz="4" w:space="0" w:color="auto"/>
              <w:bottom w:val="single" w:sz="4" w:space="0" w:color="auto"/>
              <w:right w:val="single" w:sz="4" w:space="0" w:color="auto"/>
            </w:tcBorders>
            <w:vAlign w:val="center"/>
            <w:hideMark/>
          </w:tcPr>
          <w:p w14:paraId="3AD0EF07" w14:textId="77777777" w:rsidR="006F4300" w:rsidRPr="00873941" w:rsidRDefault="006F4300">
            <w:pPr>
              <w:pStyle w:val="TableText0"/>
              <w:keepNext w:val="0"/>
              <w:widowControl w:val="0"/>
              <w:jc w:val="center"/>
            </w:pPr>
            <w:r w:rsidRPr="00873941">
              <w:t>-0.004</w:t>
            </w:r>
          </w:p>
        </w:tc>
        <w:tc>
          <w:tcPr>
            <w:tcW w:w="1045" w:type="pct"/>
            <w:tcBorders>
              <w:top w:val="double" w:sz="4" w:space="0" w:color="auto"/>
              <w:left w:val="single" w:sz="4" w:space="0" w:color="auto"/>
              <w:bottom w:val="single" w:sz="4" w:space="0" w:color="auto"/>
              <w:right w:val="single" w:sz="4" w:space="0" w:color="auto"/>
            </w:tcBorders>
            <w:hideMark/>
          </w:tcPr>
          <w:p w14:paraId="7C6EC12C" w14:textId="77777777" w:rsidR="006F4300" w:rsidRPr="00873941" w:rsidRDefault="006F4300">
            <w:pPr>
              <w:pStyle w:val="TableText0"/>
              <w:keepNext w:val="0"/>
              <w:widowControl w:val="0"/>
              <w:jc w:val="center"/>
            </w:pPr>
            <w:r w:rsidRPr="00873941">
              <w:t>-2.8%</w:t>
            </w:r>
          </w:p>
        </w:tc>
      </w:tr>
      <w:tr w:rsidR="006F4300" w:rsidRPr="00873941" w14:paraId="1AABD027" w14:textId="77777777" w:rsidTr="006F4300">
        <w:trPr>
          <w:cantSplit/>
          <w:trHeight w:val="211"/>
        </w:trPr>
        <w:tc>
          <w:tcPr>
            <w:tcW w:w="1649" w:type="pct"/>
            <w:tcBorders>
              <w:top w:val="doub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E5A7999" w14:textId="77777777" w:rsidR="006F4300" w:rsidRPr="00873941" w:rsidRDefault="006F4300">
            <w:pPr>
              <w:pStyle w:val="TableText0"/>
              <w:keepNext w:val="0"/>
              <w:widowControl w:val="0"/>
            </w:pPr>
            <w:bookmarkStart w:id="94" w:name="_Hlk184976881"/>
            <w:r w:rsidRPr="00873941">
              <w:t xml:space="preserve">QALYs in adjuvant and </w:t>
            </w:r>
            <w:proofErr w:type="spellStart"/>
            <w:r w:rsidRPr="00873941">
              <w:t>mBC</w:t>
            </w:r>
            <w:proofErr w:type="spellEnd"/>
          </w:p>
        </w:tc>
        <w:tc>
          <w:tcPr>
            <w:tcW w:w="787" w:type="pct"/>
            <w:tcBorders>
              <w:top w:val="double" w:sz="4" w:space="0" w:color="auto"/>
              <w:left w:val="single" w:sz="4" w:space="0" w:color="auto"/>
              <w:bottom w:val="single" w:sz="4" w:space="0" w:color="auto"/>
              <w:right w:val="single" w:sz="4" w:space="0" w:color="auto"/>
            </w:tcBorders>
            <w:vAlign w:val="center"/>
            <w:hideMark/>
          </w:tcPr>
          <w:p w14:paraId="7FF7BF57" w14:textId="77777777" w:rsidR="006F4300" w:rsidRPr="00873941" w:rsidRDefault="006F4300">
            <w:pPr>
              <w:pStyle w:val="TableText0"/>
              <w:keepNext w:val="0"/>
              <w:widowControl w:val="0"/>
              <w:jc w:val="center"/>
            </w:pPr>
            <w:r w:rsidRPr="00873941">
              <w:t>10.878</w:t>
            </w:r>
          </w:p>
        </w:tc>
        <w:tc>
          <w:tcPr>
            <w:tcW w:w="707" w:type="pct"/>
            <w:tcBorders>
              <w:top w:val="double" w:sz="4" w:space="0" w:color="auto"/>
              <w:left w:val="single" w:sz="4" w:space="0" w:color="auto"/>
              <w:bottom w:val="single" w:sz="4" w:space="0" w:color="auto"/>
              <w:right w:val="single" w:sz="4" w:space="0" w:color="auto"/>
            </w:tcBorders>
            <w:vAlign w:val="center"/>
            <w:hideMark/>
          </w:tcPr>
          <w:p w14:paraId="5E7467DC" w14:textId="77777777" w:rsidR="006F4300" w:rsidRPr="00873941" w:rsidRDefault="006F4300">
            <w:pPr>
              <w:pStyle w:val="TableText0"/>
              <w:keepNext w:val="0"/>
              <w:widowControl w:val="0"/>
              <w:jc w:val="center"/>
            </w:pPr>
            <w:r w:rsidRPr="00873941">
              <w:t>10.722</w:t>
            </w:r>
          </w:p>
        </w:tc>
        <w:tc>
          <w:tcPr>
            <w:tcW w:w="812" w:type="pct"/>
            <w:tcBorders>
              <w:top w:val="double" w:sz="4" w:space="0" w:color="auto"/>
              <w:left w:val="single" w:sz="4" w:space="0" w:color="auto"/>
              <w:bottom w:val="single" w:sz="4" w:space="0" w:color="auto"/>
              <w:right w:val="single" w:sz="4" w:space="0" w:color="auto"/>
            </w:tcBorders>
            <w:vAlign w:val="center"/>
            <w:hideMark/>
          </w:tcPr>
          <w:p w14:paraId="32C15B7C" w14:textId="77777777" w:rsidR="006F4300" w:rsidRPr="00873941" w:rsidRDefault="006F4300">
            <w:pPr>
              <w:pStyle w:val="TableText0"/>
              <w:keepNext w:val="0"/>
              <w:widowControl w:val="0"/>
              <w:jc w:val="center"/>
            </w:pPr>
            <w:r w:rsidRPr="00873941">
              <w:t>0.156</w:t>
            </w:r>
          </w:p>
        </w:tc>
        <w:tc>
          <w:tcPr>
            <w:tcW w:w="1045" w:type="pct"/>
            <w:tcBorders>
              <w:top w:val="double" w:sz="4" w:space="0" w:color="auto"/>
              <w:left w:val="single" w:sz="4" w:space="0" w:color="auto"/>
              <w:bottom w:val="single" w:sz="4" w:space="0" w:color="auto"/>
              <w:right w:val="single" w:sz="4" w:space="0" w:color="auto"/>
            </w:tcBorders>
            <w:hideMark/>
          </w:tcPr>
          <w:p w14:paraId="3EDF617D" w14:textId="77777777" w:rsidR="006F4300" w:rsidRPr="00873941" w:rsidRDefault="006F4300">
            <w:pPr>
              <w:pStyle w:val="TableText0"/>
              <w:keepNext w:val="0"/>
              <w:widowControl w:val="0"/>
              <w:jc w:val="center"/>
            </w:pPr>
            <w:r w:rsidRPr="00873941">
              <w:t>102.8%</w:t>
            </w:r>
          </w:p>
        </w:tc>
      </w:tr>
      <w:tr w:rsidR="006F4300" w:rsidRPr="00873941" w14:paraId="26698C2C" w14:textId="77777777" w:rsidTr="006F4300">
        <w:trPr>
          <w:cantSplit/>
          <w:trHeight w:val="211"/>
        </w:trPr>
        <w:tc>
          <w:tcPr>
            <w:tcW w:w="16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C5D368B" w14:textId="77777777" w:rsidR="006F4300" w:rsidRPr="00873941" w:rsidRDefault="006F4300">
            <w:pPr>
              <w:pStyle w:val="TableText0"/>
              <w:keepNext w:val="0"/>
              <w:widowControl w:val="0"/>
              <w:rPr>
                <w:b/>
              </w:rPr>
            </w:pPr>
            <w:r w:rsidRPr="00873941">
              <w:rPr>
                <w:b/>
              </w:rPr>
              <w:t>QALYs</w:t>
            </w:r>
          </w:p>
        </w:tc>
        <w:tc>
          <w:tcPr>
            <w:tcW w:w="787" w:type="pct"/>
            <w:tcBorders>
              <w:top w:val="single" w:sz="4" w:space="0" w:color="auto"/>
              <w:left w:val="single" w:sz="4" w:space="0" w:color="auto"/>
              <w:bottom w:val="single" w:sz="4" w:space="0" w:color="auto"/>
              <w:right w:val="single" w:sz="4" w:space="0" w:color="auto"/>
            </w:tcBorders>
            <w:hideMark/>
          </w:tcPr>
          <w:p w14:paraId="2F024C30" w14:textId="77777777" w:rsidR="006F4300" w:rsidRPr="00873941" w:rsidRDefault="006F4300">
            <w:pPr>
              <w:pStyle w:val="TableText0"/>
              <w:keepNext w:val="0"/>
              <w:widowControl w:val="0"/>
              <w:jc w:val="center"/>
              <w:rPr>
                <w:b/>
              </w:rPr>
            </w:pPr>
            <w:r w:rsidRPr="00873941">
              <w:rPr>
                <w:b/>
              </w:rPr>
              <w:t>11.143</w:t>
            </w:r>
          </w:p>
        </w:tc>
        <w:tc>
          <w:tcPr>
            <w:tcW w:w="707" w:type="pct"/>
            <w:tcBorders>
              <w:top w:val="single" w:sz="4" w:space="0" w:color="auto"/>
              <w:left w:val="single" w:sz="4" w:space="0" w:color="auto"/>
              <w:bottom w:val="single" w:sz="4" w:space="0" w:color="auto"/>
              <w:right w:val="single" w:sz="4" w:space="0" w:color="auto"/>
            </w:tcBorders>
            <w:hideMark/>
          </w:tcPr>
          <w:p w14:paraId="0631912D" w14:textId="77777777" w:rsidR="006F4300" w:rsidRPr="00873941" w:rsidRDefault="006F4300">
            <w:pPr>
              <w:pStyle w:val="TableText0"/>
              <w:keepNext w:val="0"/>
              <w:widowControl w:val="0"/>
              <w:jc w:val="center"/>
              <w:rPr>
                <w:b/>
              </w:rPr>
            </w:pPr>
            <w:r w:rsidRPr="00873941">
              <w:rPr>
                <w:b/>
              </w:rPr>
              <w:t>10.991</w:t>
            </w:r>
          </w:p>
        </w:tc>
        <w:tc>
          <w:tcPr>
            <w:tcW w:w="812" w:type="pct"/>
            <w:tcBorders>
              <w:top w:val="single" w:sz="4" w:space="0" w:color="auto"/>
              <w:left w:val="single" w:sz="4" w:space="0" w:color="auto"/>
              <w:bottom w:val="single" w:sz="4" w:space="0" w:color="auto"/>
              <w:right w:val="single" w:sz="4" w:space="0" w:color="auto"/>
            </w:tcBorders>
            <w:hideMark/>
          </w:tcPr>
          <w:p w14:paraId="369B269E" w14:textId="77777777" w:rsidR="006F4300" w:rsidRPr="00873941" w:rsidRDefault="006F4300">
            <w:pPr>
              <w:pStyle w:val="TableText0"/>
              <w:keepNext w:val="0"/>
              <w:widowControl w:val="0"/>
              <w:jc w:val="center"/>
              <w:rPr>
                <w:b/>
              </w:rPr>
            </w:pPr>
            <w:r w:rsidRPr="00873941">
              <w:rPr>
                <w:b/>
              </w:rPr>
              <w:t>0.152</w:t>
            </w:r>
          </w:p>
        </w:tc>
        <w:tc>
          <w:tcPr>
            <w:tcW w:w="1045" w:type="pct"/>
            <w:tcBorders>
              <w:top w:val="single" w:sz="4" w:space="0" w:color="auto"/>
              <w:left w:val="single" w:sz="4" w:space="0" w:color="auto"/>
              <w:bottom w:val="single" w:sz="4" w:space="0" w:color="auto"/>
              <w:right w:val="single" w:sz="4" w:space="0" w:color="auto"/>
            </w:tcBorders>
            <w:hideMark/>
          </w:tcPr>
          <w:p w14:paraId="792548DF" w14:textId="77777777" w:rsidR="006F4300" w:rsidRPr="00873941" w:rsidRDefault="006F4300">
            <w:pPr>
              <w:pStyle w:val="TableText0"/>
              <w:keepNext w:val="0"/>
              <w:widowControl w:val="0"/>
              <w:jc w:val="center"/>
              <w:rPr>
                <w:b/>
                <w:bCs w:val="0"/>
              </w:rPr>
            </w:pPr>
            <w:r w:rsidRPr="00873941">
              <w:rPr>
                <w:b/>
                <w:bCs w:val="0"/>
              </w:rPr>
              <w:t>100%</w:t>
            </w:r>
          </w:p>
        </w:tc>
      </w:tr>
    </w:tbl>
    <w:p w14:paraId="3A3342E2" w14:textId="0D3C44A0" w:rsidR="006F4300" w:rsidRPr="00873941" w:rsidRDefault="006F4300" w:rsidP="006F4300">
      <w:pPr>
        <w:pStyle w:val="TableFigureFooter"/>
        <w:rPr>
          <w:i/>
          <w:iCs/>
        </w:rPr>
      </w:pPr>
      <w:r w:rsidRPr="00873941">
        <w:t xml:space="preserve">Source: 3-27, p192 of the resubmission. </w:t>
      </w:r>
    </w:p>
    <w:p w14:paraId="5B99BC34" w14:textId="66AECC75" w:rsidR="006F4300" w:rsidRPr="00873941" w:rsidRDefault="006F4300" w:rsidP="006F4300">
      <w:pPr>
        <w:pStyle w:val="TableFigureFooter"/>
      </w:pPr>
      <w:proofErr w:type="spellStart"/>
      <w:r w:rsidRPr="00873941">
        <w:t>iDFS</w:t>
      </w:r>
      <w:proofErr w:type="spellEnd"/>
      <w:r w:rsidRPr="00873941">
        <w:t xml:space="preserve">= invasive </w:t>
      </w:r>
      <w:r w:rsidR="00F8312A" w:rsidRPr="00873941">
        <w:t>disease free</w:t>
      </w:r>
      <w:r w:rsidRPr="00873941">
        <w:t xml:space="preserve"> survival</w:t>
      </w:r>
      <w:bookmarkEnd w:id="94"/>
      <w:r w:rsidRPr="00873941">
        <w:t xml:space="preserve">; </w:t>
      </w:r>
      <w:proofErr w:type="spellStart"/>
      <w:r w:rsidRPr="00873941">
        <w:t>mBC</w:t>
      </w:r>
      <w:proofErr w:type="spellEnd"/>
      <w:r w:rsidRPr="00873941">
        <w:t xml:space="preserve">= metastatic breast cancer; </w:t>
      </w:r>
      <w:proofErr w:type="spellStart"/>
      <w:r w:rsidRPr="00873941">
        <w:t>P+T+Chemo</w:t>
      </w:r>
      <w:proofErr w:type="spellEnd"/>
      <w:r w:rsidRPr="00873941">
        <w:t xml:space="preserve"> = pertuzumab + trastuzumab + chemotherapy; </w:t>
      </w:r>
      <w:proofErr w:type="spellStart"/>
      <w:r w:rsidRPr="00873941">
        <w:t>T+Chemo</w:t>
      </w:r>
      <w:proofErr w:type="spellEnd"/>
      <w:r w:rsidRPr="00873941">
        <w:t xml:space="preserve"> = trastuzumab + chemotherapy; QALYs= quality adjusted life years.</w:t>
      </w:r>
    </w:p>
    <w:p w14:paraId="33D60A82" w14:textId="6EE257F4" w:rsidR="006F4300" w:rsidRPr="00873941" w:rsidRDefault="006F4300" w:rsidP="0073177E">
      <w:pPr>
        <w:pStyle w:val="3-BodyText"/>
      </w:pPr>
      <w:r w:rsidRPr="00873941">
        <w:fldChar w:fldCharType="begin"/>
      </w:r>
      <w:r w:rsidRPr="00873941">
        <w:instrText xml:space="preserve"> REF _Ref184644082 \h </w:instrText>
      </w:r>
      <w:r w:rsidRPr="00873941">
        <w:fldChar w:fldCharType="separate"/>
      </w:r>
      <w:r w:rsidR="000B094B" w:rsidRPr="00873941">
        <w:t xml:space="preserve">Table </w:t>
      </w:r>
      <w:r w:rsidR="000B094B">
        <w:rPr>
          <w:noProof/>
        </w:rPr>
        <w:t>17</w:t>
      </w:r>
      <w:r w:rsidRPr="00873941">
        <w:fldChar w:fldCharType="end"/>
      </w:r>
      <w:r w:rsidRPr="00873941">
        <w:t xml:space="preserve"> presents the disaggregated costs from the economic evaluation. </w:t>
      </w:r>
    </w:p>
    <w:p w14:paraId="355DDB1E" w14:textId="1E2E690A" w:rsidR="006F4300" w:rsidRPr="00873941" w:rsidRDefault="006F4300" w:rsidP="006F4300">
      <w:pPr>
        <w:pStyle w:val="Caption"/>
        <w:jc w:val="left"/>
      </w:pPr>
      <w:bookmarkStart w:id="95" w:name="_Ref184644082"/>
      <w:r w:rsidRPr="00873941">
        <w:t xml:space="preserve">Table </w:t>
      </w:r>
      <w:r w:rsidR="005650EB">
        <w:fldChar w:fldCharType="begin"/>
      </w:r>
      <w:r w:rsidR="005650EB">
        <w:instrText xml:space="preserve"> SEQ Table \* ARABIC </w:instrText>
      </w:r>
      <w:r w:rsidR="005650EB">
        <w:fldChar w:fldCharType="separate"/>
      </w:r>
      <w:r w:rsidR="000B094B">
        <w:rPr>
          <w:noProof/>
        </w:rPr>
        <w:t>17</w:t>
      </w:r>
      <w:r w:rsidR="005650EB">
        <w:fldChar w:fldCharType="end"/>
      </w:r>
      <w:bookmarkEnd w:id="95"/>
      <w:r w:rsidRPr="00873941">
        <w:t>: Disaggregated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7: Disaggregated costs"/>
      </w:tblPr>
      <w:tblGrid>
        <w:gridCol w:w="2264"/>
        <w:gridCol w:w="1701"/>
        <w:gridCol w:w="1558"/>
        <w:gridCol w:w="1508"/>
        <w:gridCol w:w="1986"/>
      </w:tblGrid>
      <w:tr w:rsidR="006F4300" w:rsidRPr="00873941" w14:paraId="4D5CBF09" w14:textId="77777777" w:rsidTr="00471EB9">
        <w:trPr>
          <w:cantSplit/>
          <w:tblHeader/>
        </w:trPr>
        <w:tc>
          <w:tcPr>
            <w:tcW w:w="1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CABE915" w14:textId="77777777" w:rsidR="006F4300" w:rsidRPr="00873941" w:rsidRDefault="006F4300">
            <w:pPr>
              <w:pStyle w:val="TableFigureHeading"/>
            </w:pPr>
            <w:r w:rsidRPr="00873941">
              <w:t>Item</w:t>
            </w:r>
          </w:p>
        </w:tc>
        <w:tc>
          <w:tcPr>
            <w:tcW w:w="943" w:type="pct"/>
            <w:tcBorders>
              <w:top w:val="single" w:sz="4" w:space="0" w:color="auto"/>
              <w:left w:val="single" w:sz="4" w:space="0" w:color="auto"/>
              <w:bottom w:val="single" w:sz="4" w:space="0" w:color="auto"/>
              <w:right w:val="single" w:sz="4" w:space="0" w:color="auto"/>
            </w:tcBorders>
            <w:vAlign w:val="center"/>
            <w:hideMark/>
          </w:tcPr>
          <w:p w14:paraId="1A19CD02" w14:textId="3952A905" w:rsidR="006F4300" w:rsidRPr="00873941" w:rsidRDefault="006F4300">
            <w:pPr>
              <w:pStyle w:val="TableFigureHeading"/>
            </w:pPr>
            <w:proofErr w:type="spellStart"/>
            <w:r w:rsidRPr="00873941">
              <w:t>P+T+Chemo</w:t>
            </w:r>
            <w:proofErr w:type="spellEnd"/>
            <w:r w:rsidR="006A1CA7">
              <w:t xml:space="preserve"> ($)</w:t>
            </w:r>
          </w:p>
        </w:tc>
        <w:tc>
          <w:tcPr>
            <w:tcW w:w="864" w:type="pct"/>
            <w:tcBorders>
              <w:top w:val="single" w:sz="4" w:space="0" w:color="auto"/>
              <w:left w:val="single" w:sz="4" w:space="0" w:color="auto"/>
              <w:bottom w:val="single" w:sz="4" w:space="0" w:color="auto"/>
              <w:right w:val="single" w:sz="4" w:space="0" w:color="auto"/>
            </w:tcBorders>
            <w:vAlign w:val="center"/>
            <w:hideMark/>
          </w:tcPr>
          <w:p w14:paraId="6ADA7B4C" w14:textId="4B6FB0BB" w:rsidR="006F4300" w:rsidRPr="00873941" w:rsidRDefault="006F4300">
            <w:pPr>
              <w:pStyle w:val="TableFigureHeading"/>
            </w:pPr>
            <w:proofErr w:type="spellStart"/>
            <w:r w:rsidRPr="00873941">
              <w:t>T+Chemo</w:t>
            </w:r>
            <w:proofErr w:type="spellEnd"/>
            <w:r w:rsidR="006A1CA7">
              <w:t xml:space="preserve"> ($)</w:t>
            </w:r>
          </w:p>
        </w:tc>
        <w:tc>
          <w:tcPr>
            <w:tcW w:w="836" w:type="pct"/>
            <w:tcBorders>
              <w:top w:val="single" w:sz="4" w:space="0" w:color="auto"/>
              <w:left w:val="single" w:sz="4" w:space="0" w:color="auto"/>
              <w:bottom w:val="single" w:sz="4" w:space="0" w:color="auto"/>
              <w:right w:val="single" w:sz="4" w:space="0" w:color="auto"/>
            </w:tcBorders>
            <w:vAlign w:val="center"/>
            <w:hideMark/>
          </w:tcPr>
          <w:p w14:paraId="5AB90DF1" w14:textId="77777777" w:rsidR="006F4300" w:rsidRPr="00873941" w:rsidRDefault="006F4300">
            <w:pPr>
              <w:pStyle w:val="TableFigureHeading"/>
            </w:pPr>
            <w:r w:rsidRPr="00873941">
              <w:t>Incremental</w:t>
            </w:r>
          </w:p>
        </w:tc>
        <w:tc>
          <w:tcPr>
            <w:tcW w:w="1101" w:type="pct"/>
            <w:tcBorders>
              <w:top w:val="single" w:sz="4" w:space="0" w:color="auto"/>
              <w:left w:val="single" w:sz="4" w:space="0" w:color="auto"/>
              <w:bottom w:val="single" w:sz="4" w:space="0" w:color="auto"/>
              <w:right w:val="single" w:sz="4" w:space="0" w:color="auto"/>
            </w:tcBorders>
            <w:hideMark/>
          </w:tcPr>
          <w:p w14:paraId="0858AFCB" w14:textId="77777777" w:rsidR="006F4300" w:rsidRPr="00873941" w:rsidRDefault="006F4300">
            <w:pPr>
              <w:pStyle w:val="TableFigureHeading"/>
            </w:pPr>
            <w:r w:rsidRPr="00873941">
              <w:t>% of total incremental (cost)</w:t>
            </w:r>
          </w:p>
        </w:tc>
      </w:tr>
      <w:tr w:rsidR="006F4300" w:rsidRPr="00873941" w14:paraId="45281A39" w14:textId="77777777" w:rsidTr="00471EB9">
        <w:trPr>
          <w:cantSplit/>
          <w:tblHeader/>
        </w:trPr>
        <w:tc>
          <w:tcPr>
            <w:tcW w:w="1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A199043" w14:textId="77777777" w:rsidR="006F4300" w:rsidRPr="00873941" w:rsidRDefault="006F4300">
            <w:pPr>
              <w:pStyle w:val="TableText0"/>
            </w:pPr>
            <w:r w:rsidRPr="00873941">
              <w:t>Neoadjuvant costs</w:t>
            </w:r>
          </w:p>
        </w:tc>
        <w:tc>
          <w:tcPr>
            <w:tcW w:w="943" w:type="pct"/>
            <w:tcBorders>
              <w:top w:val="single" w:sz="4" w:space="0" w:color="auto"/>
              <w:left w:val="single" w:sz="4" w:space="0" w:color="auto"/>
              <w:bottom w:val="single" w:sz="4" w:space="0" w:color="auto"/>
              <w:right w:val="single" w:sz="4" w:space="0" w:color="auto"/>
            </w:tcBorders>
            <w:shd w:val="solid" w:color="000000" w:fill="000000"/>
            <w:hideMark/>
          </w:tcPr>
          <w:p w14:paraId="41C04BEE" w14:textId="32D673E5" w:rsidR="006F4300" w:rsidRPr="006A1CA7" w:rsidRDefault="00471EB9">
            <w:pPr>
              <w:pStyle w:val="TableText0"/>
              <w:jc w:val="center"/>
              <w:rPr>
                <w:highlight w:val="darkGray"/>
              </w:rPr>
            </w:pPr>
            <w:r w:rsidRPr="00471EB9">
              <w:rPr>
                <w:color w:val="000000"/>
                <w:spacing w:val="53"/>
                <w:fitText w:val="330" w:id="-694408186"/>
                <w14:textFill>
                  <w14:solidFill>
                    <w14:srgbClr w14:val="000000">
                      <w14:alpha w14:val="100000"/>
                    </w14:srgbClr>
                  </w14:solidFill>
                </w14:textFill>
              </w:rPr>
              <w:t>|||</w:t>
            </w:r>
            <w:r w:rsidRPr="00471EB9">
              <w:rPr>
                <w:color w:val="000000"/>
                <w:spacing w:val="1"/>
                <w:fitText w:val="330" w:id="-694408186"/>
                <w14:textFill>
                  <w14:solidFill>
                    <w14:srgbClr w14:val="000000">
                      <w14:alpha w14:val="100000"/>
                    </w14:srgbClr>
                  </w14:solidFill>
                </w14:textFill>
              </w:rPr>
              <w:t>|</w:t>
            </w:r>
          </w:p>
        </w:tc>
        <w:tc>
          <w:tcPr>
            <w:tcW w:w="864" w:type="pct"/>
            <w:tcBorders>
              <w:top w:val="single" w:sz="4" w:space="0" w:color="auto"/>
              <w:left w:val="single" w:sz="4" w:space="0" w:color="auto"/>
              <w:bottom w:val="single" w:sz="4" w:space="0" w:color="auto"/>
              <w:right w:val="single" w:sz="4" w:space="0" w:color="auto"/>
            </w:tcBorders>
            <w:shd w:val="solid" w:color="000000" w:fill="000000"/>
            <w:hideMark/>
          </w:tcPr>
          <w:p w14:paraId="092DD164" w14:textId="51B0057B" w:rsidR="006F4300" w:rsidRPr="006A1CA7" w:rsidRDefault="00471EB9">
            <w:pPr>
              <w:pStyle w:val="TableText0"/>
              <w:jc w:val="center"/>
              <w:rPr>
                <w:highlight w:val="darkGray"/>
              </w:rPr>
            </w:pPr>
            <w:r w:rsidRPr="00471EB9">
              <w:rPr>
                <w:color w:val="000000"/>
                <w:spacing w:val="53"/>
                <w:fitText w:val="330" w:id="-694408185"/>
                <w14:textFill>
                  <w14:solidFill>
                    <w14:srgbClr w14:val="000000">
                      <w14:alpha w14:val="100000"/>
                    </w14:srgbClr>
                  </w14:solidFill>
                </w14:textFill>
              </w:rPr>
              <w:t>|||</w:t>
            </w:r>
            <w:r w:rsidRPr="00471EB9">
              <w:rPr>
                <w:color w:val="000000"/>
                <w:spacing w:val="1"/>
                <w:fitText w:val="330" w:id="-694408185"/>
                <w14:textFill>
                  <w14:solidFill>
                    <w14:srgbClr w14:val="000000">
                      <w14:alpha w14:val="100000"/>
                    </w14:srgbClr>
                  </w14:solidFill>
                </w14:textFill>
              </w:rPr>
              <w:t>|</w:t>
            </w:r>
          </w:p>
        </w:tc>
        <w:tc>
          <w:tcPr>
            <w:tcW w:w="836" w:type="pct"/>
            <w:tcBorders>
              <w:top w:val="single" w:sz="4" w:space="0" w:color="auto"/>
              <w:left w:val="single" w:sz="4" w:space="0" w:color="auto"/>
              <w:bottom w:val="single" w:sz="4" w:space="0" w:color="auto"/>
              <w:right w:val="single" w:sz="4" w:space="0" w:color="auto"/>
            </w:tcBorders>
            <w:hideMark/>
          </w:tcPr>
          <w:p w14:paraId="3DC69A55" w14:textId="7F6CC441" w:rsidR="006F4300" w:rsidRPr="00873941" w:rsidRDefault="006F4300">
            <w:pPr>
              <w:pStyle w:val="TableText0"/>
              <w:jc w:val="center"/>
            </w:pPr>
            <w:r w:rsidRPr="00873941">
              <w:t>$</w:t>
            </w:r>
            <w:r w:rsidR="00471EB9" w:rsidRPr="00471EB9">
              <w:rPr>
                <w:color w:val="000000"/>
                <w:spacing w:val="53"/>
                <w:shd w:val="solid" w:color="000000" w:fill="000000"/>
                <w:fitText w:val="330" w:id="-694408184"/>
                <w14:textFill>
                  <w14:solidFill>
                    <w14:srgbClr w14:val="000000">
                      <w14:alpha w14:val="100000"/>
                    </w14:srgbClr>
                  </w14:solidFill>
                </w14:textFill>
              </w:rPr>
              <w:t>|||</w:t>
            </w:r>
            <w:r w:rsidR="00471EB9" w:rsidRPr="00471EB9">
              <w:rPr>
                <w:color w:val="000000"/>
                <w:spacing w:val="1"/>
                <w:shd w:val="solid" w:color="000000" w:fill="000000"/>
                <w:fitText w:val="330" w:id="-694408184"/>
                <w14:textFill>
                  <w14:solidFill>
                    <w14:srgbClr w14:val="000000">
                      <w14:alpha w14:val="100000"/>
                    </w14:srgbClr>
                  </w14:solidFill>
                </w14:textFill>
              </w:rPr>
              <w:t>|</w:t>
            </w:r>
          </w:p>
        </w:tc>
        <w:tc>
          <w:tcPr>
            <w:tcW w:w="1101" w:type="pct"/>
            <w:tcBorders>
              <w:top w:val="single" w:sz="4" w:space="0" w:color="auto"/>
              <w:left w:val="single" w:sz="4" w:space="0" w:color="auto"/>
              <w:bottom w:val="single" w:sz="4" w:space="0" w:color="auto"/>
              <w:right w:val="single" w:sz="4" w:space="0" w:color="auto"/>
            </w:tcBorders>
            <w:hideMark/>
          </w:tcPr>
          <w:p w14:paraId="071B80C8" w14:textId="3BB0B02A" w:rsidR="006F4300" w:rsidRPr="00873941" w:rsidRDefault="00471EB9">
            <w:pPr>
              <w:pStyle w:val="TableText0"/>
              <w:jc w:val="center"/>
            </w:pPr>
            <w:r w:rsidRPr="00471EB9">
              <w:rPr>
                <w:color w:val="000000"/>
                <w:spacing w:val="53"/>
                <w:shd w:val="solid" w:color="000000" w:fill="000000"/>
                <w:fitText w:val="330" w:id="-694408183"/>
                <w14:textFill>
                  <w14:solidFill>
                    <w14:srgbClr w14:val="000000">
                      <w14:alpha w14:val="100000"/>
                    </w14:srgbClr>
                  </w14:solidFill>
                </w14:textFill>
              </w:rPr>
              <w:t>|||</w:t>
            </w:r>
            <w:r w:rsidRPr="00471EB9">
              <w:rPr>
                <w:color w:val="000000"/>
                <w:spacing w:val="1"/>
                <w:shd w:val="solid" w:color="000000" w:fill="000000"/>
                <w:fitText w:val="330" w:id="-694408183"/>
                <w14:textFill>
                  <w14:solidFill>
                    <w14:srgbClr w14:val="000000">
                      <w14:alpha w14:val="100000"/>
                    </w14:srgbClr>
                  </w14:solidFill>
                </w14:textFill>
              </w:rPr>
              <w:t>|</w:t>
            </w:r>
            <w:r w:rsidR="006F4300" w:rsidRPr="00873941">
              <w:t>%</w:t>
            </w:r>
          </w:p>
        </w:tc>
      </w:tr>
      <w:tr w:rsidR="006F4300" w:rsidRPr="00873941" w14:paraId="1C2EDC6A" w14:textId="77777777" w:rsidTr="00471EB9">
        <w:trPr>
          <w:cantSplit/>
          <w:tblHeader/>
        </w:trPr>
        <w:tc>
          <w:tcPr>
            <w:tcW w:w="1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82E4EF" w14:textId="77777777" w:rsidR="006F4300" w:rsidRPr="00873941" w:rsidRDefault="006F4300">
            <w:pPr>
              <w:pStyle w:val="TableText0"/>
            </w:pPr>
            <w:r w:rsidRPr="00873941">
              <w:t>Neoadjuvant AE costs</w:t>
            </w:r>
          </w:p>
        </w:tc>
        <w:tc>
          <w:tcPr>
            <w:tcW w:w="943" w:type="pct"/>
            <w:tcBorders>
              <w:top w:val="single" w:sz="4" w:space="0" w:color="auto"/>
              <w:left w:val="single" w:sz="4" w:space="0" w:color="auto"/>
              <w:bottom w:val="single" w:sz="4" w:space="0" w:color="auto"/>
              <w:right w:val="single" w:sz="4" w:space="0" w:color="auto"/>
            </w:tcBorders>
            <w:shd w:val="solid" w:color="000000" w:fill="000000"/>
            <w:hideMark/>
          </w:tcPr>
          <w:p w14:paraId="6E9571B3" w14:textId="30192D25" w:rsidR="006F4300" w:rsidRPr="006A1CA7" w:rsidRDefault="00471EB9">
            <w:pPr>
              <w:pStyle w:val="TableText0"/>
              <w:jc w:val="center"/>
              <w:rPr>
                <w:highlight w:val="darkGray"/>
              </w:rPr>
            </w:pPr>
            <w:r w:rsidRPr="00471EB9">
              <w:rPr>
                <w:color w:val="000000"/>
                <w:spacing w:val="53"/>
                <w:fitText w:val="330" w:id="-694408182"/>
                <w14:textFill>
                  <w14:solidFill>
                    <w14:srgbClr w14:val="000000">
                      <w14:alpha w14:val="100000"/>
                    </w14:srgbClr>
                  </w14:solidFill>
                </w14:textFill>
              </w:rPr>
              <w:t>|||</w:t>
            </w:r>
            <w:r w:rsidRPr="00471EB9">
              <w:rPr>
                <w:color w:val="000000"/>
                <w:spacing w:val="1"/>
                <w:fitText w:val="330" w:id="-694408182"/>
                <w14:textFill>
                  <w14:solidFill>
                    <w14:srgbClr w14:val="000000">
                      <w14:alpha w14:val="100000"/>
                    </w14:srgbClr>
                  </w14:solidFill>
                </w14:textFill>
              </w:rPr>
              <w:t>|</w:t>
            </w:r>
          </w:p>
        </w:tc>
        <w:tc>
          <w:tcPr>
            <w:tcW w:w="864" w:type="pct"/>
            <w:tcBorders>
              <w:top w:val="single" w:sz="4" w:space="0" w:color="auto"/>
              <w:left w:val="single" w:sz="4" w:space="0" w:color="auto"/>
              <w:bottom w:val="single" w:sz="4" w:space="0" w:color="auto"/>
              <w:right w:val="single" w:sz="4" w:space="0" w:color="auto"/>
            </w:tcBorders>
            <w:shd w:val="solid" w:color="000000" w:fill="000000"/>
            <w:hideMark/>
          </w:tcPr>
          <w:p w14:paraId="7637C7CD" w14:textId="58BC1210" w:rsidR="006F4300" w:rsidRPr="006A1CA7" w:rsidRDefault="00471EB9">
            <w:pPr>
              <w:pStyle w:val="TableText0"/>
              <w:jc w:val="center"/>
              <w:rPr>
                <w:highlight w:val="darkGray"/>
              </w:rPr>
            </w:pPr>
            <w:r w:rsidRPr="00471EB9">
              <w:rPr>
                <w:color w:val="000000"/>
                <w:spacing w:val="53"/>
                <w:fitText w:val="330" w:id="-694408181"/>
                <w14:textFill>
                  <w14:solidFill>
                    <w14:srgbClr w14:val="000000">
                      <w14:alpha w14:val="100000"/>
                    </w14:srgbClr>
                  </w14:solidFill>
                </w14:textFill>
              </w:rPr>
              <w:t>|||</w:t>
            </w:r>
            <w:r w:rsidRPr="00471EB9">
              <w:rPr>
                <w:color w:val="000000"/>
                <w:spacing w:val="1"/>
                <w:fitText w:val="330" w:id="-694408181"/>
                <w14:textFill>
                  <w14:solidFill>
                    <w14:srgbClr w14:val="000000">
                      <w14:alpha w14:val="100000"/>
                    </w14:srgbClr>
                  </w14:solidFill>
                </w14:textFill>
              </w:rPr>
              <w:t>|</w:t>
            </w:r>
          </w:p>
        </w:tc>
        <w:tc>
          <w:tcPr>
            <w:tcW w:w="836" w:type="pct"/>
            <w:tcBorders>
              <w:top w:val="single" w:sz="4" w:space="0" w:color="auto"/>
              <w:left w:val="single" w:sz="4" w:space="0" w:color="auto"/>
              <w:bottom w:val="single" w:sz="4" w:space="0" w:color="auto"/>
              <w:right w:val="single" w:sz="4" w:space="0" w:color="auto"/>
            </w:tcBorders>
            <w:hideMark/>
          </w:tcPr>
          <w:p w14:paraId="54F8F357" w14:textId="6EFEA7FF" w:rsidR="006F4300" w:rsidRPr="00873941" w:rsidRDefault="006F4300">
            <w:pPr>
              <w:pStyle w:val="TableText0"/>
              <w:jc w:val="center"/>
            </w:pPr>
            <w:r w:rsidRPr="00873941">
              <w:t>$</w:t>
            </w:r>
            <w:r w:rsidR="00471EB9" w:rsidRPr="00471EB9">
              <w:rPr>
                <w:color w:val="000000"/>
                <w:spacing w:val="53"/>
                <w:shd w:val="solid" w:color="000000" w:fill="000000"/>
                <w:fitText w:val="330" w:id="-694408180"/>
                <w14:textFill>
                  <w14:solidFill>
                    <w14:srgbClr w14:val="000000">
                      <w14:alpha w14:val="100000"/>
                    </w14:srgbClr>
                  </w14:solidFill>
                </w14:textFill>
              </w:rPr>
              <w:t>|||</w:t>
            </w:r>
            <w:r w:rsidR="00471EB9" w:rsidRPr="00471EB9">
              <w:rPr>
                <w:color w:val="000000"/>
                <w:spacing w:val="1"/>
                <w:shd w:val="solid" w:color="000000" w:fill="000000"/>
                <w:fitText w:val="330" w:id="-694408180"/>
                <w14:textFill>
                  <w14:solidFill>
                    <w14:srgbClr w14:val="000000">
                      <w14:alpha w14:val="100000"/>
                    </w14:srgbClr>
                  </w14:solidFill>
                </w14:textFill>
              </w:rPr>
              <w:t>|</w:t>
            </w:r>
          </w:p>
        </w:tc>
        <w:tc>
          <w:tcPr>
            <w:tcW w:w="1101" w:type="pct"/>
            <w:tcBorders>
              <w:top w:val="single" w:sz="4" w:space="0" w:color="auto"/>
              <w:left w:val="single" w:sz="4" w:space="0" w:color="auto"/>
              <w:bottom w:val="single" w:sz="4" w:space="0" w:color="auto"/>
              <w:right w:val="single" w:sz="4" w:space="0" w:color="auto"/>
            </w:tcBorders>
            <w:hideMark/>
          </w:tcPr>
          <w:p w14:paraId="6D9C31C9" w14:textId="40E20DC7" w:rsidR="006F4300" w:rsidRPr="00873941" w:rsidRDefault="00471EB9">
            <w:pPr>
              <w:pStyle w:val="TableText0"/>
              <w:jc w:val="center"/>
            </w:pPr>
            <w:r w:rsidRPr="00471EB9">
              <w:rPr>
                <w:color w:val="000000"/>
                <w:spacing w:val="53"/>
                <w:shd w:val="solid" w:color="000000" w:fill="000000"/>
                <w:fitText w:val="330" w:id="-694408179"/>
                <w14:textFill>
                  <w14:solidFill>
                    <w14:srgbClr w14:val="000000">
                      <w14:alpha w14:val="100000"/>
                    </w14:srgbClr>
                  </w14:solidFill>
                </w14:textFill>
              </w:rPr>
              <w:t>|||</w:t>
            </w:r>
            <w:r w:rsidRPr="00471EB9">
              <w:rPr>
                <w:color w:val="000000"/>
                <w:spacing w:val="1"/>
                <w:shd w:val="solid" w:color="000000" w:fill="000000"/>
                <w:fitText w:val="330" w:id="-694408179"/>
                <w14:textFill>
                  <w14:solidFill>
                    <w14:srgbClr w14:val="000000">
                      <w14:alpha w14:val="100000"/>
                    </w14:srgbClr>
                  </w14:solidFill>
                </w14:textFill>
              </w:rPr>
              <w:t>|</w:t>
            </w:r>
            <w:r w:rsidR="006F4300" w:rsidRPr="00873941">
              <w:t>%</w:t>
            </w:r>
          </w:p>
        </w:tc>
      </w:tr>
      <w:tr w:rsidR="006F4300" w:rsidRPr="00873941" w14:paraId="3FD90939" w14:textId="77777777" w:rsidTr="00471EB9">
        <w:trPr>
          <w:cantSplit/>
          <w:tblHeader/>
        </w:trPr>
        <w:tc>
          <w:tcPr>
            <w:tcW w:w="1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CCA93AB" w14:textId="77777777" w:rsidR="006F4300" w:rsidRPr="00873941" w:rsidRDefault="006F4300">
            <w:pPr>
              <w:pStyle w:val="TableText0"/>
            </w:pPr>
            <w:r w:rsidRPr="00873941">
              <w:t>Adjuvant drug costs</w:t>
            </w:r>
          </w:p>
        </w:tc>
        <w:tc>
          <w:tcPr>
            <w:tcW w:w="943" w:type="pct"/>
            <w:tcBorders>
              <w:top w:val="single" w:sz="4" w:space="0" w:color="auto"/>
              <w:left w:val="single" w:sz="4" w:space="0" w:color="auto"/>
              <w:bottom w:val="single" w:sz="4" w:space="0" w:color="auto"/>
              <w:right w:val="single" w:sz="4" w:space="0" w:color="auto"/>
            </w:tcBorders>
            <w:shd w:val="solid" w:color="000000" w:fill="000000"/>
            <w:hideMark/>
          </w:tcPr>
          <w:p w14:paraId="128FD3B3" w14:textId="6319C20C" w:rsidR="006F4300" w:rsidRPr="006A1CA7" w:rsidRDefault="00471EB9">
            <w:pPr>
              <w:pStyle w:val="TableText0"/>
              <w:jc w:val="center"/>
              <w:rPr>
                <w:highlight w:val="darkGray"/>
              </w:rPr>
            </w:pPr>
            <w:r w:rsidRPr="00471EB9">
              <w:rPr>
                <w:color w:val="000000"/>
                <w:spacing w:val="53"/>
                <w:fitText w:val="330" w:id="-694408178"/>
                <w14:textFill>
                  <w14:solidFill>
                    <w14:srgbClr w14:val="000000">
                      <w14:alpha w14:val="100000"/>
                    </w14:srgbClr>
                  </w14:solidFill>
                </w14:textFill>
              </w:rPr>
              <w:t>|||</w:t>
            </w:r>
            <w:r w:rsidRPr="00471EB9">
              <w:rPr>
                <w:color w:val="000000"/>
                <w:spacing w:val="1"/>
                <w:fitText w:val="330" w:id="-694408178"/>
                <w14:textFill>
                  <w14:solidFill>
                    <w14:srgbClr w14:val="000000">
                      <w14:alpha w14:val="100000"/>
                    </w14:srgbClr>
                  </w14:solidFill>
                </w14:textFill>
              </w:rPr>
              <w:t>|</w:t>
            </w:r>
          </w:p>
        </w:tc>
        <w:tc>
          <w:tcPr>
            <w:tcW w:w="864" w:type="pct"/>
            <w:tcBorders>
              <w:top w:val="single" w:sz="4" w:space="0" w:color="auto"/>
              <w:left w:val="single" w:sz="4" w:space="0" w:color="auto"/>
              <w:bottom w:val="single" w:sz="4" w:space="0" w:color="auto"/>
              <w:right w:val="single" w:sz="4" w:space="0" w:color="auto"/>
            </w:tcBorders>
            <w:shd w:val="solid" w:color="000000" w:fill="000000"/>
            <w:hideMark/>
          </w:tcPr>
          <w:p w14:paraId="32B945EE" w14:textId="1C94B5C0" w:rsidR="006F4300" w:rsidRPr="006A1CA7" w:rsidRDefault="00471EB9">
            <w:pPr>
              <w:pStyle w:val="TableText0"/>
              <w:jc w:val="center"/>
              <w:rPr>
                <w:highlight w:val="darkGray"/>
              </w:rPr>
            </w:pPr>
            <w:r w:rsidRPr="00471EB9">
              <w:rPr>
                <w:color w:val="000000"/>
                <w:spacing w:val="53"/>
                <w:fitText w:val="330" w:id="-694408177"/>
                <w14:textFill>
                  <w14:solidFill>
                    <w14:srgbClr w14:val="000000">
                      <w14:alpha w14:val="100000"/>
                    </w14:srgbClr>
                  </w14:solidFill>
                </w14:textFill>
              </w:rPr>
              <w:t>|||</w:t>
            </w:r>
            <w:r w:rsidRPr="00471EB9">
              <w:rPr>
                <w:color w:val="000000"/>
                <w:spacing w:val="1"/>
                <w:fitText w:val="330" w:id="-694408177"/>
                <w14:textFill>
                  <w14:solidFill>
                    <w14:srgbClr w14:val="000000">
                      <w14:alpha w14:val="100000"/>
                    </w14:srgbClr>
                  </w14:solidFill>
                </w14:textFill>
              </w:rPr>
              <w:t>|</w:t>
            </w:r>
          </w:p>
        </w:tc>
        <w:tc>
          <w:tcPr>
            <w:tcW w:w="836" w:type="pct"/>
            <w:tcBorders>
              <w:top w:val="single" w:sz="4" w:space="0" w:color="auto"/>
              <w:left w:val="single" w:sz="4" w:space="0" w:color="auto"/>
              <w:bottom w:val="single" w:sz="4" w:space="0" w:color="auto"/>
              <w:right w:val="single" w:sz="4" w:space="0" w:color="auto"/>
            </w:tcBorders>
            <w:hideMark/>
          </w:tcPr>
          <w:p w14:paraId="08BC9561" w14:textId="3278DCF1" w:rsidR="006F4300" w:rsidRPr="00873941" w:rsidRDefault="006F4300">
            <w:pPr>
              <w:pStyle w:val="TableText0"/>
              <w:jc w:val="center"/>
            </w:pPr>
            <w:r w:rsidRPr="00873941">
              <w:t>-$</w:t>
            </w:r>
            <w:r w:rsidR="00471EB9" w:rsidRPr="00471EB9">
              <w:rPr>
                <w:color w:val="000000"/>
                <w:spacing w:val="53"/>
                <w:shd w:val="solid" w:color="000000" w:fill="000000"/>
                <w:fitText w:val="330" w:id="-694408176"/>
                <w14:textFill>
                  <w14:solidFill>
                    <w14:srgbClr w14:val="000000">
                      <w14:alpha w14:val="100000"/>
                    </w14:srgbClr>
                  </w14:solidFill>
                </w14:textFill>
              </w:rPr>
              <w:t>|||</w:t>
            </w:r>
            <w:r w:rsidR="00471EB9" w:rsidRPr="00471EB9">
              <w:rPr>
                <w:color w:val="000000"/>
                <w:spacing w:val="1"/>
                <w:shd w:val="solid" w:color="000000" w:fill="000000"/>
                <w:fitText w:val="330" w:id="-694408176"/>
                <w14:textFill>
                  <w14:solidFill>
                    <w14:srgbClr w14:val="000000">
                      <w14:alpha w14:val="100000"/>
                    </w14:srgbClr>
                  </w14:solidFill>
                </w14:textFill>
              </w:rPr>
              <w:t>|</w:t>
            </w:r>
          </w:p>
        </w:tc>
        <w:tc>
          <w:tcPr>
            <w:tcW w:w="1101" w:type="pct"/>
            <w:tcBorders>
              <w:top w:val="single" w:sz="4" w:space="0" w:color="auto"/>
              <w:left w:val="single" w:sz="4" w:space="0" w:color="auto"/>
              <w:bottom w:val="single" w:sz="4" w:space="0" w:color="auto"/>
              <w:right w:val="single" w:sz="4" w:space="0" w:color="auto"/>
            </w:tcBorders>
            <w:hideMark/>
          </w:tcPr>
          <w:p w14:paraId="45BB5C84" w14:textId="73F80325" w:rsidR="006F4300" w:rsidRPr="00873941" w:rsidRDefault="006F4300">
            <w:pPr>
              <w:pStyle w:val="TableText0"/>
              <w:jc w:val="center"/>
            </w:pPr>
            <w:r w:rsidRPr="00873941">
              <w:t>-</w:t>
            </w:r>
            <w:r w:rsidR="00471EB9" w:rsidRPr="00471EB9">
              <w:rPr>
                <w:color w:val="000000"/>
                <w:spacing w:val="53"/>
                <w:shd w:val="solid" w:color="000000" w:fill="000000"/>
                <w:fitText w:val="330" w:id="-694408192"/>
                <w14:textFill>
                  <w14:solidFill>
                    <w14:srgbClr w14:val="000000">
                      <w14:alpha w14:val="100000"/>
                    </w14:srgbClr>
                  </w14:solidFill>
                </w14:textFill>
              </w:rPr>
              <w:t>|||</w:t>
            </w:r>
            <w:r w:rsidR="00471EB9" w:rsidRPr="00471EB9">
              <w:rPr>
                <w:color w:val="000000"/>
                <w:spacing w:val="1"/>
                <w:shd w:val="solid" w:color="000000" w:fill="000000"/>
                <w:fitText w:val="330" w:id="-694408192"/>
                <w14:textFill>
                  <w14:solidFill>
                    <w14:srgbClr w14:val="000000">
                      <w14:alpha w14:val="100000"/>
                    </w14:srgbClr>
                  </w14:solidFill>
                </w14:textFill>
              </w:rPr>
              <w:t>|</w:t>
            </w:r>
            <w:r w:rsidRPr="00873941">
              <w:t>%</w:t>
            </w:r>
          </w:p>
        </w:tc>
      </w:tr>
      <w:tr w:rsidR="006F4300" w:rsidRPr="00873941" w14:paraId="5DBF87A5" w14:textId="77777777" w:rsidTr="00471EB9">
        <w:trPr>
          <w:cantSplit/>
          <w:tblHeader/>
        </w:trPr>
        <w:tc>
          <w:tcPr>
            <w:tcW w:w="1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4439E50" w14:textId="77777777" w:rsidR="006F4300" w:rsidRPr="00873941" w:rsidRDefault="006F4300">
            <w:pPr>
              <w:pStyle w:val="TableText0"/>
            </w:pPr>
            <w:r w:rsidRPr="00873941">
              <w:t>Other adjuvant costs</w:t>
            </w:r>
          </w:p>
        </w:tc>
        <w:tc>
          <w:tcPr>
            <w:tcW w:w="943" w:type="pct"/>
            <w:tcBorders>
              <w:top w:val="single" w:sz="4" w:space="0" w:color="auto"/>
              <w:left w:val="single" w:sz="4" w:space="0" w:color="auto"/>
              <w:bottom w:val="single" w:sz="4" w:space="0" w:color="auto"/>
              <w:right w:val="single" w:sz="4" w:space="0" w:color="auto"/>
            </w:tcBorders>
            <w:shd w:val="solid" w:color="000000" w:fill="000000"/>
            <w:hideMark/>
          </w:tcPr>
          <w:p w14:paraId="311D04EE" w14:textId="3D0E8DCD" w:rsidR="006F4300" w:rsidRPr="006A1CA7" w:rsidRDefault="00471EB9">
            <w:pPr>
              <w:pStyle w:val="TableText0"/>
              <w:jc w:val="center"/>
              <w:rPr>
                <w:highlight w:val="darkGray"/>
              </w:rPr>
            </w:pPr>
            <w:r w:rsidRPr="00471EB9">
              <w:rPr>
                <w:color w:val="000000"/>
                <w:spacing w:val="53"/>
                <w:fitText w:val="330" w:id="-694408191"/>
                <w14:textFill>
                  <w14:solidFill>
                    <w14:srgbClr w14:val="000000">
                      <w14:alpha w14:val="100000"/>
                    </w14:srgbClr>
                  </w14:solidFill>
                </w14:textFill>
              </w:rPr>
              <w:t>|||</w:t>
            </w:r>
            <w:r w:rsidRPr="00471EB9">
              <w:rPr>
                <w:color w:val="000000"/>
                <w:spacing w:val="1"/>
                <w:fitText w:val="330" w:id="-694408191"/>
                <w14:textFill>
                  <w14:solidFill>
                    <w14:srgbClr w14:val="000000">
                      <w14:alpha w14:val="100000"/>
                    </w14:srgbClr>
                  </w14:solidFill>
                </w14:textFill>
              </w:rPr>
              <w:t>|</w:t>
            </w:r>
          </w:p>
        </w:tc>
        <w:tc>
          <w:tcPr>
            <w:tcW w:w="864" w:type="pct"/>
            <w:tcBorders>
              <w:top w:val="single" w:sz="4" w:space="0" w:color="auto"/>
              <w:left w:val="single" w:sz="4" w:space="0" w:color="auto"/>
              <w:bottom w:val="single" w:sz="4" w:space="0" w:color="auto"/>
              <w:right w:val="single" w:sz="4" w:space="0" w:color="auto"/>
            </w:tcBorders>
            <w:shd w:val="solid" w:color="000000" w:fill="000000"/>
            <w:hideMark/>
          </w:tcPr>
          <w:p w14:paraId="4152FC32" w14:textId="3D10AA38" w:rsidR="006F4300" w:rsidRPr="006A1CA7" w:rsidRDefault="00471EB9">
            <w:pPr>
              <w:pStyle w:val="TableText0"/>
              <w:jc w:val="center"/>
              <w:rPr>
                <w:highlight w:val="darkGray"/>
              </w:rPr>
            </w:pPr>
            <w:r w:rsidRPr="00471EB9">
              <w:rPr>
                <w:color w:val="000000"/>
                <w:spacing w:val="53"/>
                <w:fitText w:val="330" w:id="-694408190"/>
                <w14:textFill>
                  <w14:solidFill>
                    <w14:srgbClr w14:val="000000">
                      <w14:alpha w14:val="100000"/>
                    </w14:srgbClr>
                  </w14:solidFill>
                </w14:textFill>
              </w:rPr>
              <w:t>|||</w:t>
            </w:r>
            <w:r w:rsidRPr="00471EB9">
              <w:rPr>
                <w:color w:val="000000"/>
                <w:spacing w:val="1"/>
                <w:fitText w:val="330" w:id="-694408190"/>
                <w14:textFill>
                  <w14:solidFill>
                    <w14:srgbClr w14:val="000000">
                      <w14:alpha w14:val="100000"/>
                    </w14:srgbClr>
                  </w14:solidFill>
                </w14:textFill>
              </w:rPr>
              <w:t>|</w:t>
            </w:r>
          </w:p>
        </w:tc>
        <w:tc>
          <w:tcPr>
            <w:tcW w:w="836" w:type="pct"/>
            <w:tcBorders>
              <w:top w:val="single" w:sz="4" w:space="0" w:color="auto"/>
              <w:left w:val="single" w:sz="4" w:space="0" w:color="auto"/>
              <w:bottom w:val="single" w:sz="4" w:space="0" w:color="auto"/>
              <w:right w:val="single" w:sz="4" w:space="0" w:color="auto"/>
            </w:tcBorders>
            <w:hideMark/>
          </w:tcPr>
          <w:p w14:paraId="27A1ECEC" w14:textId="20624803" w:rsidR="006F4300" w:rsidRPr="00873941" w:rsidRDefault="006F4300">
            <w:pPr>
              <w:pStyle w:val="TableText0"/>
              <w:jc w:val="center"/>
            </w:pPr>
            <w:r w:rsidRPr="00873941">
              <w:t>-$</w:t>
            </w:r>
            <w:r w:rsidR="00471EB9" w:rsidRPr="00471EB9">
              <w:rPr>
                <w:color w:val="000000"/>
                <w:spacing w:val="53"/>
                <w:shd w:val="solid" w:color="000000" w:fill="000000"/>
                <w:fitText w:val="330" w:id="-694408189"/>
                <w14:textFill>
                  <w14:solidFill>
                    <w14:srgbClr w14:val="000000">
                      <w14:alpha w14:val="100000"/>
                    </w14:srgbClr>
                  </w14:solidFill>
                </w14:textFill>
              </w:rPr>
              <w:t>|||</w:t>
            </w:r>
            <w:r w:rsidR="00471EB9" w:rsidRPr="00471EB9">
              <w:rPr>
                <w:color w:val="000000"/>
                <w:spacing w:val="1"/>
                <w:shd w:val="solid" w:color="000000" w:fill="000000"/>
                <w:fitText w:val="330" w:id="-694408189"/>
                <w14:textFill>
                  <w14:solidFill>
                    <w14:srgbClr w14:val="000000">
                      <w14:alpha w14:val="100000"/>
                    </w14:srgbClr>
                  </w14:solidFill>
                </w14:textFill>
              </w:rPr>
              <w:t>|</w:t>
            </w:r>
          </w:p>
        </w:tc>
        <w:tc>
          <w:tcPr>
            <w:tcW w:w="1101" w:type="pct"/>
            <w:tcBorders>
              <w:top w:val="single" w:sz="4" w:space="0" w:color="auto"/>
              <w:left w:val="single" w:sz="4" w:space="0" w:color="auto"/>
              <w:bottom w:val="single" w:sz="4" w:space="0" w:color="auto"/>
              <w:right w:val="single" w:sz="4" w:space="0" w:color="auto"/>
            </w:tcBorders>
            <w:hideMark/>
          </w:tcPr>
          <w:p w14:paraId="0A0ADCA6" w14:textId="6EC94C7B" w:rsidR="006F4300" w:rsidRPr="00873941" w:rsidRDefault="006F4300">
            <w:pPr>
              <w:pStyle w:val="TableText0"/>
              <w:jc w:val="center"/>
            </w:pPr>
            <w:r w:rsidRPr="00873941">
              <w:t>-</w:t>
            </w:r>
            <w:r w:rsidR="00471EB9" w:rsidRPr="00471EB9">
              <w:rPr>
                <w:color w:val="000000"/>
                <w:spacing w:val="53"/>
                <w:shd w:val="solid" w:color="000000" w:fill="000000"/>
                <w:fitText w:val="330" w:id="-694408188"/>
                <w14:textFill>
                  <w14:solidFill>
                    <w14:srgbClr w14:val="000000">
                      <w14:alpha w14:val="100000"/>
                    </w14:srgbClr>
                  </w14:solidFill>
                </w14:textFill>
              </w:rPr>
              <w:t>|||</w:t>
            </w:r>
            <w:r w:rsidR="00471EB9" w:rsidRPr="00471EB9">
              <w:rPr>
                <w:color w:val="000000"/>
                <w:spacing w:val="1"/>
                <w:shd w:val="solid" w:color="000000" w:fill="000000"/>
                <w:fitText w:val="330" w:id="-694408188"/>
                <w14:textFill>
                  <w14:solidFill>
                    <w14:srgbClr w14:val="000000">
                      <w14:alpha w14:val="100000"/>
                    </w14:srgbClr>
                  </w14:solidFill>
                </w14:textFill>
              </w:rPr>
              <w:t>|</w:t>
            </w:r>
            <w:r w:rsidRPr="00873941">
              <w:t>%</w:t>
            </w:r>
          </w:p>
        </w:tc>
      </w:tr>
      <w:tr w:rsidR="006F4300" w:rsidRPr="00873941" w14:paraId="29C3D2FF" w14:textId="77777777" w:rsidTr="00471EB9">
        <w:trPr>
          <w:cantSplit/>
          <w:tblHeader/>
        </w:trPr>
        <w:tc>
          <w:tcPr>
            <w:tcW w:w="1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7C3BFC0" w14:textId="77777777" w:rsidR="006F4300" w:rsidRPr="00873941" w:rsidRDefault="006F4300">
            <w:pPr>
              <w:pStyle w:val="TableText0"/>
            </w:pPr>
            <w:r w:rsidRPr="00873941">
              <w:t>Subsequent treatment costs</w:t>
            </w:r>
          </w:p>
        </w:tc>
        <w:tc>
          <w:tcPr>
            <w:tcW w:w="943" w:type="pct"/>
            <w:tcBorders>
              <w:top w:val="single" w:sz="4" w:space="0" w:color="auto"/>
              <w:left w:val="single" w:sz="4" w:space="0" w:color="auto"/>
              <w:bottom w:val="single" w:sz="4" w:space="0" w:color="auto"/>
              <w:right w:val="single" w:sz="4" w:space="0" w:color="auto"/>
            </w:tcBorders>
            <w:shd w:val="solid" w:color="000000" w:fill="000000"/>
            <w:hideMark/>
          </w:tcPr>
          <w:p w14:paraId="4B9FF76D" w14:textId="61F0F3F7" w:rsidR="006F4300" w:rsidRPr="006A1CA7" w:rsidRDefault="00471EB9">
            <w:pPr>
              <w:pStyle w:val="TableText0"/>
              <w:jc w:val="center"/>
              <w:rPr>
                <w:highlight w:val="darkGray"/>
              </w:rPr>
            </w:pPr>
            <w:r w:rsidRPr="00471EB9">
              <w:rPr>
                <w:color w:val="000000"/>
                <w:spacing w:val="53"/>
                <w:fitText w:val="330" w:id="-694408187"/>
                <w14:textFill>
                  <w14:solidFill>
                    <w14:srgbClr w14:val="000000">
                      <w14:alpha w14:val="100000"/>
                    </w14:srgbClr>
                  </w14:solidFill>
                </w14:textFill>
              </w:rPr>
              <w:t>|||</w:t>
            </w:r>
            <w:r w:rsidRPr="00471EB9">
              <w:rPr>
                <w:color w:val="000000"/>
                <w:spacing w:val="1"/>
                <w:fitText w:val="330" w:id="-694408187"/>
                <w14:textFill>
                  <w14:solidFill>
                    <w14:srgbClr w14:val="000000">
                      <w14:alpha w14:val="100000"/>
                    </w14:srgbClr>
                  </w14:solidFill>
                </w14:textFill>
              </w:rPr>
              <w:t>|</w:t>
            </w:r>
          </w:p>
        </w:tc>
        <w:tc>
          <w:tcPr>
            <w:tcW w:w="864" w:type="pct"/>
            <w:tcBorders>
              <w:top w:val="single" w:sz="4" w:space="0" w:color="auto"/>
              <w:left w:val="single" w:sz="4" w:space="0" w:color="auto"/>
              <w:bottom w:val="single" w:sz="4" w:space="0" w:color="auto"/>
              <w:right w:val="single" w:sz="4" w:space="0" w:color="auto"/>
            </w:tcBorders>
            <w:shd w:val="solid" w:color="000000" w:fill="000000"/>
            <w:hideMark/>
          </w:tcPr>
          <w:p w14:paraId="52E3DFCC" w14:textId="5F4FAD64" w:rsidR="006F4300" w:rsidRPr="006A1CA7" w:rsidRDefault="00471EB9">
            <w:pPr>
              <w:pStyle w:val="TableText0"/>
              <w:jc w:val="center"/>
              <w:rPr>
                <w:highlight w:val="darkGray"/>
              </w:rPr>
            </w:pPr>
            <w:r w:rsidRPr="00471EB9">
              <w:rPr>
                <w:color w:val="000000"/>
                <w:spacing w:val="53"/>
                <w:fitText w:val="330" w:id="-694408186"/>
                <w14:textFill>
                  <w14:solidFill>
                    <w14:srgbClr w14:val="000000">
                      <w14:alpha w14:val="100000"/>
                    </w14:srgbClr>
                  </w14:solidFill>
                </w14:textFill>
              </w:rPr>
              <w:t>|||</w:t>
            </w:r>
            <w:r w:rsidRPr="00471EB9">
              <w:rPr>
                <w:color w:val="000000"/>
                <w:spacing w:val="1"/>
                <w:fitText w:val="330" w:id="-694408186"/>
                <w14:textFill>
                  <w14:solidFill>
                    <w14:srgbClr w14:val="000000">
                      <w14:alpha w14:val="100000"/>
                    </w14:srgbClr>
                  </w14:solidFill>
                </w14:textFill>
              </w:rPr>
              <w:t>|</w:t>
            </w:r>
          </w:p>
        </w:tc>
        <w:tc>
          <w:tcPr>
            <w:tcW w:w="836" w:type="pct"/>
            <w:tcBorders>
              <w:top w:val="single" w:sz="4" w:space="0" w:color="auto"/>
              <w:left w:val="single" w:sz="4" w:space="0" w:color="auto"/>
              <w:bottom w:val="single" w:sz="4" w:space="0" w:color="auto"/>
              <w:right w:val="single" w:sz="4" w:space="0" w:color="auto"/>
            </w:tcBorders>
            <w:hideMark/>
          </w:tcPr>
          <w:p w14:paraId="0B0D6EBA" w14:textId="3F75F079" w:rsidR="006F4300" w:rsidRPr="00873941" w:rsidRDefault="006F4300">
            <w:pPr>
              <w:pStyle w:val="TableText0"/>
              <w:jc w:val="center"/>
            </w:pPr>
            <w:r w:rsidRPr="00873941">
              <w:t>-$</w:t>
            </w:r>
            <w:r w:rsidR="00471EB9" w:rsidRPr="00471EB9">
              <w:rPr>
                <w:color w:val="000000"/>
                <w:spacing w:val="53"/>
                <w:shd w:val="solid" w:color="000000" w:fill="000000"/>
                <w:fitText w:val="330" w:id="-694408185"/>
                <w14:textFill>
                  <w14:solidFill>
                    <w14:srgbClr w14:val="000000">
                      <w14:alpha w14:val="100000"/>
                    </w14:srgbClr>
                  </w14:solidFill>
                </w14:textFill>
              </w:rPr>
              <w:t>|||</w:t>
            </w:r>
            <w:r w:rsidR="00471EB9" w:rsidRPr="00471EB9">
              <w:rPr>
                <w:color w:val="000000"/>
                <w:spacing w:val="1"/>
                <w:shd w:val="solid" w:color="000000" w:fill="000000"/>
                <w:fitText w:val="330" w:id="-694408185"/>
                <w14:textFill>
                  <w14:solidFill>
                    <w14:srgbClr w14:val="000000">
                      <w14:alpha w14:val="100000"/>
                    </w14:srgbClr>
                  </w14:solidFill>
                </w14:textFill>
              </w:rPr>
              <w:t>|</w:t>
            </w:r>
          </w:p>
        </w:tc>
        <w:tc>
          <w:tcPr>
            <w:tcW w:w="1101" w:type="pct"/>
            <w:tcBorders>
              <w:top w:val="single" w:sz="4" w:space="0" w:color="auto"/>
              <w:left w:val="single" w:sz="4" w:space="0" w:color="auto"/>
              <w:bottom w:val="single" w:sz="4" w:space="0" w:color="auto"/>
              <w:right w:val="single" w:sz="4" w:space="0" w:color="auto"/>
            </w:tcBorders>
            <w:hideMark/>
          </w:tcPr>
          <w:p w14:paraId="1D5D9257" w14:textId="2943765C" w:rsidR="006F4300" w:rsidRPr="00873941" w:rsidRDefault="006F4300">
            <w:pPr>
              <w:pStyle w:val="TableText0"/>
              <w:jc w:val="center"/>
            </w:pPr>
            <w:r w:rsidRPr="00873941">
              <w:t>-</w:t>
            </w:r>
            <w:r w:rsidR="00471EB9" w:rsidRPr="00471EB9">
              <w:rPr>
                <w:color w:val="000000"/>
                <w:spacing w:val="53"/>
                <w:shd w:val="solid" w:color="000000" w:fill="000000"/>
                <w:fitText w:val="330" w:id="-694408184"/>
                <w14:textFill>
                  <w14:solidFill>
                    <w14:srgbClr w14:val="000000">
                      <w14:alpha w14:val="100000"/>
                    </w14:srgbClr>
                  </w14:solidFill>
                </w14:textFill>
              </w:rPr>
              <w:t>|||</w:t>
            </w:r>
            <w:r w:rsidR="00471EB9" w:rsidRPr="00471EB9">
              <w:rPr>
                <w:color w:val="000000"/>
                <w:spacing w:val="1"/>
                <w:shd w:val="solid" w:color="000000" w:fill="000000"/>
                <w:fitText w:val="330" w:id="-694408184"/>
                <w14:textFill>
                  <w14:solidFill>
                    <w14:srgbClr w14:val="000000">
                      <w14:alpha w14:val="100000"/>
                    </w14:srgbClr>
                  </w14:solidFill>
                </w14:textFill>
              </w:rPr>
              <w:t>|</w:t>
            </w:r>
            <w:r w:rsidRPr="00873941">
              <w:t>%</w:t>
            </w:r>
          </w:p>
        </w:tc>
      </w:tr>
      <w:tr w:rsidR="006F4300" w:rsidRPr="00873941" w14:paraId="6D7EE1DB" w14:textId="77777777" w:rsidTr="00471EB9">
        <w:trPr>
          <w:cantSplit/>
        </w:trPr>
        <w:tc>
          <w:tcPr>
            <w:tcW w:w="1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8824DBD" w14:textId="77777777" w:rsidR="006F4300" w:rsidRPr="00873941" w:rsidRDefault="006F4300">
            <w:pPr>
              <w:pStyle w:val="TableText0"/>
            </w:pPr>
            <w:r w:rsidRPr="00873941">
              <w:t>End of life costs</w:t>
            </w:r>
          </w:p>
        </w:tc>
        <w:tc>
          <w:tcPr>
            <w:tcW w:w="943" w:type="pct"/>
            <w:tcBorders>
              <w:top w:val="single" w:sz="4" w:space="0" w:color="auto"/>
              <w:left w:val="single" w:sz="4" w:space="0" w:color="auto"/>
              <w:bottom w:val="single" w:sz="4" w:space="0" w:color="auto"/>
              <w:right w:val="single" w:sz="4" w:space="0" w:color="auto"/>
            </w:tcBorders>
            <w:shd w:val="solid" w:color="000000" w:fill="000000"/>
            <w:hideMark/>
          </w:tcPr>
          <w:p w14:paraId="19ED21FB" w14:textId="47245DDC" w:rsidR="006F4300" w:rsidRPr="006A1CA7" w:rsidRDefault="00471EB9">
            <w:pPr>
              <w:pStyle w:val="TableText0"/>
              <w:jc w:val="center"/>
              <w:rPr>
                <w:highlight w:val="darkGray"/>
              </w:rPr>
            </w:pPr>
            <w:r w:rsidRPr="00471EB9">
              <w:rPr>
                <w:color w:val="000000"/>
                <w:spacing w:val="53"/>
                <w:fitText w:val="330" w:id="-694408183"/>
                <w14:textFill>
                  <w14:solidFill>
                    <w14:srgbClr w14:val="000000">
                      <w14:alpha w14:val="100000"/>
                    </w14:srgbClr>
                  </w14:solidFill>
                </w14:textFill>
              </w:rPr>
              <w:t>|||</w:t>
            </w:r>
            <w:r w:rsidRPr="00471EB9">
              <w:rPr>
                <w:color w:val="000000"/>
                <w:spacing w:val="1"/>
                <w:fitText w:val="330" w:id="-694408183"/>
                <w14:textFill>
                  <w14:solidFill>
                    <w14:srgbClr w14:val="000000">
                      <w14:alpha w14:val="100000"/>
                    </w14:srgbClr>
                  </w14:solidFill>
                </w14:textFill>
              </w:rPr>
              <w:t>|</w:t>
            </w:r>
          </w:p>
        </w:tc>
        <w:tc>
          <w:tcPr>
            <w:tcW w:w="864" w:type="pct"/>
            <w:tcBorders>
              <w:top w:val="single" w:sz="4" w:space="0" w:color="auto"/>
              <w:left w:val="single" w:sz="4" w:space="0" w:color="auto"/>
              <w:bottom w:val="single" w:sz="4" w:space="0" w:color="auto"/>
              <w:right w:val="single" w:sz="4" w:space="0" w:color="auto"/>
            </w:tcBorders>
            <w:shd w:val="solid" w:color="000000" w:fill="000000"/>
            <w:hideMark/>
          </w:tcPr>
          <w:p w14:paraId="393D5740" w14:textId="417EFB46" w:rsidR="006F4300" w:rsidRPr="006A1CA7" w:rsidRDefault="00471EB9">
            <w:pPr>
              <w:pStyle w:val="TableText0"/>
              <w:jc w:val="center"/>
              <w:rPr>
                <w:highlight w:val="darkGray"/>
              </w:rPr>
            </w:pPr>
            <w:r w:rsidRPr="00471EB9">
              <w:rPr>
                <w:color w:val="000000"/>
                <w:spacing w:val="53"/>
                <w:fitText w:val="330" w:id="-694408182"/>
                <w14:textFill>
                  <w14:solidFill>
                    <w14:srgbClr w14:val="000000">
                      <w14:alpha w14:val="100000"/>
                    </w14:srgbClr>
                  </w14:solidFill>
                </w14:textFill>
              </w:rPr>
              <w:t>|||</w:t>
            </w:r>
            <w:r w:rsidRPr="00471EB9">
              <w:rPr>
                <w:color w:val="000000"/>
                <w:spacing w:val="1"/>
                <w:fitText w:val="330" w:id="-694408182"/>
                <w14:textFill>
                  <w14:solidFill>
                    <w14:srgbClr w14:val="000000">
                      <w14:alpha w14:val="100000"/>
                    </w14:srgbClr>
                  </w14:solidFill>
                </w14:textFill>
              </w:rPr>
              <w:t>|</w:t>
            </w:r>
          </w:p>
        </w:tc>
        <w:tc>
          <w:tcPr>
            <w:tcW w:w="836" w:type="pct"/>
            <w:tcBorders>
              <w:top w:val="single" w:sz="4" w:space="0" w:color="auto"/>
              <w:left w:val="single" w:sz="4" w:space="0" w:color="auto"/>
              <w:bottom w:val="single" w:sz="4" w:space="0" w:color="auto"/>
              <w:right w:val="single" w:sz="4" w:space="0" w:color="auto"/>
            </w:tcBorders>
            <w:hideMark/>
          </w:tcPr>
          <w:p w14:paraId="01490D84" w14:textId="43738596" w:rsidR="006F4300" w:rsidRPr="00873941" w:rsidRDefault="006F4300">
            <w:pPr>
              <w:pStyle w:val="TableText0"/>
              <w:jc w:val="center"/>
            </w:pPr>
            <w:r w:rsidRPr="00873941">
              <w:t>-$</w:t>
            </w:r>
            <w:r w:rsidR="00471EB9" w:rsidRPr="00471EB9">
              <w:rPr>
                <w:color w:val="000000"/>
                <w:spacing w:val="53"/>
                <w:shd w:val="solid" w:color="000000" w:fill="000000"/>
                <w:fitText w:val="330" w:id="-694408181"/>
                <w14:textFill>
                  <w14:solidFill>
                    <w14:srgbClr w14:val="000000">
                      <w14:alpha w14:val="100000"/>
                    </w14:srgbClr>
                  </w14:solidFill>
                </w14:textFill>
              </w:rPr>
              <w:t>|||</w:t>
            </w:r>
            <w:r w:rsidR="00471EB9" w:rsidRPr="00471EB9">
              <w:rPr>
                <w:color w:val="000000"/>
                <w:spacing w:val="1"/>
                <w:shd w:val="solid" w:color="000000" w:fill="000000"/>
                <w:fitText w:val="330" w:id="-694408181"/>
                <w14:textFill>
                  <w14:solidFill>
                    <w14:srgbClr w14:val="000000">
                      <w14:alpha w14:val="100000"/>
                    </w14:srgbClr>
                  </w14:solidFill>
                </w14:textFill>
              </w:rPr>
              <w:t>|</w:t>
            </w:r>
          </w:p>
        </w:tc>
        <w:tc>
          <w:tcPr>
            <w:tcW w:w="1101" w:type="pct"/>
            <w:tcBorders>
              <w:top w:val="single" w:sz="4" w:space="0" w:color="auto"/>
              <w:left w:val="single" w:sz="4" w:space="0" w:color="auto"/>
              <w:bottom w:val="single" w:sz="4" w:space="0" w:color="auto"/>
              <w:right w:val="single" w:sz="4" w:space="0" w:color="auto"/>
            </w:tcBorders>
            <w:hideMark/>
          </w:tcPr>
          <w:p w14:paraId="6A983D91" w14:textId="59FD5F9B" w:rsidR="006F4300" w:rsidRPr="00873941" w:rsidRDefault="00471EB9">
            <w:pPr>
              <w:pStyle w:val="TableText0"/>
              <w:jc w:val="center"/>
            </w:pPr>
            <w:r w:rsidRPr="00471EB9">
              <w:rPr>
                <w:color w:val="000000"/>
                <w:spacing w:val="53"/>
                <w:shd w:val="solid" w:color="000000" w:fill="000000"/>
                <w:fitText w:val="330" w:id="-694408180"/>
                <w14:textFill>
                  <w14:solidFill>
                    <w14:srgbClr w14:val="000000">
                      <w14:alpha w14:val="100000"/>
                    </w14:srgbClr>
                  </w14:solidFill>
                </w14:textFill>
              </w:rPr>
              <w:t>|||</w:t>
            </w:r>
            <w:r w:rsidRPr="00471EB9">
              <w:rPr>
                <w:color w:val="000000"/>
                <w:spacing w:val="1"/>
                <w:shd w:val="solid" w:color="000000" w:fill="000000"/>
                <w:fitText w:val="330" w:id="-694408180"/>
                <w14:textFill>
                  <w14:solidFill>
                    <w14:srgbClr w14:val="000000">
                      <w14:alpha w14:val="100000"/>
                    </w14:srgbClr>
                  </w14:solidFill>
                </w14:textFill>
              </w:rPr>
              <w:t>|</w:t>
            </w:r>
            <w:r w:rsidR="006F4300" w:rsidRPr="00873941">
              <w:t>%</w:t>
            </w:r>
          </w:p>
        </w:tc>
      </w:tr>
      <w:tr w:rsidR="006F4300" w:rsidRPr="00873941" w14:paraId="7030D1BB" w14:textId="77777777" w:rsidTr="00471EB9">
        <w:trPr>
          <w:cantSplit/>
        </w:trPr>
        <w:tc>
          <w:tcPr>
            <w:tcW w:w="1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7AB6F5E" w14:textId="77777777" w:rsidR="006F4300" w:rsidRPr="00873941" w:rsidRDefault="006F4300">
            <w:pPr>
              <w:pStyle w:val="TableText0"/>
              <w:rPr>
                <w:b/>
                <w:bCs w:val="0"/>
              </w:rPr>
            </w:pPr>
            <w:r w:rsidRPr="00873941">
              <w:rPr>
                <w:b/>
                <w:bCs w:val="0"/>
              </w:rPr>
              <w:t>Total</w:t>
            </w:r>
          </w:p>
        </w:tc>
        <w:tc>
          <w:tcPr>
            <w:tcW w:w="943" w:type="pct"/>
            <w:tcBorders>
              <w:top w:val="single" w:sz="4" w:space="0" w:color="auto"/>
              <w:left w:val="single" w:sz="4" w:space="0" w:color="auto"/>
              <w:bottom w:val="single" w:sz="4" w:space="0" w:color="auto"/>
              <w:right w:val="single" w:sz="4" w:space="0" w:color="auto"/>
            </w:tcBorders>
            <w:shd w:val="solid" w:color="000000" w:fill="000000"/>
            <w:hideMark/>
          </w:tcPr>
          <w:p w14:paraId="46DC36B3" w14:textId="3FAACBBE" w:rsidR="006F4300" w:rsidRPr="006A1CA7" w:rsidRDefault="00471EB9">
            <w:pPr>
              <w:pStyle w:val="TableText0"/>
              <w:jc w:val="center"/>
              <w:rPr>
                <w:b/>
                <w:bCs w:val="0"/>
                <w:highlight w:val="darkGray"/>
              </w:rPr>
            </w:pPr>
            <w:r w:rsidRPr="00471EB9">
              <w:rPr>
                <w:b/>
                <w:bCs w:val="0"/>
                <w:color w:val="000000"/>
                <w:spacing w:val="58"/>
                <w:fitText w:val="360" w:id="-694408179"/>
                <w14:textFill>
                  <w14:solidFill>
                    <w14:srgbClr w14:val="000000">
                      <w14:alpha w14:val="100000"/>
                    </w14:srgbClr>
                  </w14:solidFill>
                </w14:textFill>
              </w:rPr>
              <w:t>|||</w:t>
            </w:r>
            <w:r w:rsidRPr="00471EB9">
              <w:rPr>
                <w:b/>
                <w:bCs w:val="0"/>
                <w:color w:val="000000"/>
                <w:spacing w:val="3"/>
                <w:fitText w:val="360" w:id="-694408179"/>
                <w14:textFill>
                  <w14:solidFill>
                    <w14:srgbClr w14:val="000000">
                      <w14:alpha w14:val="100000"/>
                    </w14:srgbClr>
                  </w14:solidFill>
                </w14:textFill>
              </w:rPr>
              <w:t>|</w:t>
            </w:r>
          </w:p>
        </w:tc>
        <w:tc>
          <w:tcPr>
            <w:tcW w:w="864" w:type="pct"/>
            <w:tcBorders>
              <w:top w:val="single" w:sz="4" w:space="0" w:color="auto"/>
              <w:left w:val="single" w:sz="4" w:space="0" w:color="auto"/>
              <w:bottom w:val="single" w:sz="4" w:space="0" w:color="auto"/>
              <w:right w:val="single" w:sz="4" w:space="0" w:color="auto"/>
            </w:tcBorders>
            <w:shd w:val="solid" w:color="000000" w:fill="000000"/>
            <w:hideMark/>
          </w:tcPr>
          <w:p w14:paraId="092B4ACC" w14:textId="79016FFA" w:rsidR="006F4300" w:rsidRPr="006A1CA7" w:rsidRDefault="00471EB9">
            <w:pPr>
              <w:pStyle w:val="TableText0"/>
              <w:jc w:val="center"/>
              <w:rPr>
                <w:b/>
                <w:bCs w:val="0"/>
                <w:highlight w:val="darkGray"/>
              </w:rPr>
            </w:pPr>
            <w:r w:rsidRPr="00471EB9">
              <w:rPr>
                <w:b/>
                <w:bCs w:val="0"/>
                <w:color w:val="000000"/>
                <w:spacing w:val="58"/>
                <w:fitText w:val="360" w:id="-694408178"/>
                <w14:textFill>
                  <w14:solidFill>
                    <w14:srgbClr w14:val="000000">
                      <w14:alpha w14:val="100000"/>
                    </w14:srgbClr>
                  </w14:solidFill>
                </w14:textFill>
              </w:rPr>
              <w:t>|||</w:t>
            </w:r>
            <w:r w:rsidRPr="00471EB9">
              <w:rPr>
                <w:b/>
                <w:bCs w:val="0"/>
                <w:color w:val="000000"/>
                <w:spacing w:val="3"/>
                <w:fitText w:val="360" w:id="-694408178"/>
                <w14:textFill>
                  <w14:solidFill>
                    <w14:srgbClr w14:val="000000">
                      <w14:alpha w14:val="100000"/>
                    </w14:srgbClr>
                  </w14:solidFill>
                </w14:textFill>
              </w:rPr>
              <w:t>|</w:t>
            </w:r>
          </w:p>
        </w:tc>
        <w:tc>
          <w:tcPr>
            <w:tcW w:w="836" w:type="pct"/>
            <w:tcBorders>
              <w:top w:val="single" w:sz="4" w:space="0" w:color="auto"/>
              <w:left w:val="single" w:sz="4" w:space="0" w:color="auto"/>
              <w:bottom w:val="single" w:sz="4" w:space="0" w:color="auto"/>
              <w:right w:val="single" w:sz="4" w:space="0" w:color="auto"/>
            </w:tcBorders>
            <w:hideMark/>
          </w:tcPr>
          <w:p w14:paraId="5CE11873" w14:textId="4D79CB47" w:rsidR="006F4300" w:rsidRPr="00873941" w:rsidRDefault="006F4300">
            <w:pPr>
              <w:pStyle w:val="TableText0"/>
              <w:jc w:val="center"/>
              <w:rPr>
                <w:b/>
                <w:bCs w:val="0"/>
              </w:rPr>
            </w:pPr>
            <w:r w:rsidRPr="00873941">
              <w:rPr>
                <w:b/>
                <w:bCs w:val="0"/>
              </w:rPr>
              <w:t>$</w:t>
            </w:r>
            <w:r w:rsidR="00471EB9" w:rsidRPr="00471EB9">
              <w:rPr>
                <w:b/>
                <w:bCs w:val="0"/>
                <w:color w:val="000000"/>
                <w:spacing w:val="58"/>
                <w:shd w:val="solid" w:color="000000" w:fill="000000"/>
                <w:fitText w:val="360" w:id="-694408177"/>
                <w14:textFill>
                  <w14:solidFill>
                    <w14:srgbClr w14:val="000000">
                      <w14:alpha w14:val="100000"/>
                    </w14:srgbClr>
                  </w14:solidFill>
                </w14:textFill>
              </w:rPr>
              <w:t>|||</w:t>
            </w:r>
            <w:r w:rsidR="00471EB9" w:rsidRPr="00471EB9">
              <w:rPr>
                <w:b/>
                <w:bCs w:val="0"/>
                <w:color w:val="000000"/>
                <w:spacing w:val="3"/>
                <w:shd w:val="solid" w:color="000000" w:fill="000000"/>
                <w:fitText w:val="360" w:id="-694408177"/>
                <w14:textFill>
                  <w14:solidFill>
                    <w14:srgbClr w14:val="000000">
                      <w14:alpha w14:val="100000"/>
                    </w14:srgbClr>
                  </w14:solidFill>
                </w14:textFill>
              </w:rPr>
              <w:t>|</w:t>
            </w:r>
          </w:p>
        </w:tc>
        <w:tc>
          <w:tcPr>
            <w:tcW w:w="1101" w:type="pct"/>
            <w:tcBorders>
              <w:top w:val="single" w:sz="4" w:space="0" w:color="auto"/>
              <w:left w:val="single" w:sz="4" w:space="0" w:color="auto"/>
              <w:bottom w:val="single" w:sz="4" w:space="0" w:color="auto"/>
              <w:right w:val="single" w:sz="4" w:space="0" w:color="auto"/>
            </w:tcBorders>
            <w:hideMark/>
          </w:tcPr>
          <w:p w14:paraId="4273D14A" w14:textId="41CFA9AA" w:rsidR="006F4300" w:rsidRPr="00873941" w:rsidRDefault="00471EB9">
            <w:pPr>
              <w:pStyle w:val="TableText0"/>
              <w:jc w:val="center"/>
              <w:rPr>
                <w:b/>
                <w:bCs w:val="0"/>
              </w:rPr>
            </w:pPr>
            <w:r w:rsidRPr="00471EB9">
              <w:rPr>
                <w:b/>
                <w:bCs w:val="0"/>
                <w:color w:val="000000"/>
                <w:spacing w:val="58"/>
                <w:shd w:val="solid" w:color="000000" w:fill="000000"/>
                <w:fitText w:val="360" w:id="-694408176"/>
                <w14:textFill>
                  <w14:solidFill>
                    <w14:srgbClr w14:val="000000">
                      <w14:alpha w14:val="100000"/>
                    </w14:srgbClr>
                  </w14:solidFill>
                </w14:textFill>
              </w:rPr>
              <w:t>|||</w:t>
            </w:r>
            <w:r w:rsidRPr="00471EB9">
              <w:rPr>
                <w:b/>
                <w:bCs w:val="0"/>
                <w:color w:val="000000"/>
                <w:spacing w:val="3"/>
                <w:shd w:val="solid" w:color="000000" w:fill="000000"/>
                <w:fitText w:val="360" w:id="-694408176"/>
                <w14:textFill>
                  <w14:solidFill>
                    <w14:srgbClr w14:val="000000">
                      <w14:alpha w14:val="100000"/>
                    </w14:srgbClr>
                  </w14:solidFill>
                </w14:textFill>
              </w:rPr>
              <w:t>|</w:t>
            </w:r>
            <w:r w:rsidR="006F4300" w:rsidRPr="00873941">
              <w:rPr>
                <w:b/>
                <w:bCs w:val="0"/>
              </w:rPr>
              <w:t>%</w:t>
            </w:r>
          </w:p>
        </w:tc>
      </w:tr>
    </w:tbl>
    <w:p w14:paraId="1BEAE893" w14:textId="77777777" w:rsidR="006F4300" w:rsidRPr="00873941" w:rsidRDefault="006F4300" w:rsidP="006F4300">
      <w:pPr>
        <w:pStyle w:val="TableFigureFooter"/>
      </w:pPr>
      <w:r w:rsidRPr="00873941">
        <w:t xml:space="preserve">Source: Table 3-26, p191 of the resubmission. Italic values were calculated during the evaluation. </w:t>
      </w:r>
    </w:p>
    <w:p w14:paraId="1DE909C6" w14:textId="77777777" w:rsidR="006F4300" w:rsidRPr="00873941" w:rsidRDefault="006F4300" w:rsidP="006F4300">
      <w:pPr>
        <w:pStyle w:val="TableFigureFooter"/>
      </w:pPr>
      <w:r w:rsidRPr="00873941">
        <w:t xml:space="preserve">AE= adverse events; </w:t>
      </w:r>
      <w:proofErr w:type="spellStart"/>
      <w:r w:rsidRPr="00873941">
        <w:t>P+T+Chemo</w:t>
      </w:r>
      <w:proofErr w:type="spellEnd"/>
      <w:r w:rsidRPr="00873941">
        <w:t xml:space="preserve"> = pertuzumab + trastuzumab + chemotherapy; </w:t>
      </w:r>
      <w:proofErr w:type="spellStart"/>
      <w:r w:rsidRPr="00873941">
        <w:t>T+Chemo</w:t>
      </w:r>
      <w:proofErr w:type="spellEnd"/>
      <w:r w:rsidRPr="00873941">
        <w:t xml:space="preserve"> = trastuzumab + chemotherapy.</w:t>
      </w:r>
    </w:p>
    <w:p w14:paraId="1028B784" w14:textId="6FB10E0E" w:rsidR="006F4300" w:rsidRPr="00873941" w:rsidRDefault="00AA7CFF" w:rsidP="0073177E">
      <w:pPr>
        <w:pStyle w:val="3-BodyText"/>
      </w:pPr>
      <w:r w:rsidRPr="00873941">
        <w:t>The cost of neoadjuvant pertuzumab ($</w:t>
      </w:r>
      <w:r w:rsidR="00471EB9" w:rsidRPr="00471EB9">
        <w:rPr>
          <w:color w:val="000000"/>
          <w:w w:val="60"/>
          <w:shd w:val="solid" w:color="000000" w:fill="000000"/>
          <w:fitText w:val="470" w:id="-694408192"/>
          <w14:textFill>
            <w14:solidFill>
              <w14:srgbClr w14:val="000000">
                <w14:alpha w14:val="100000"/>
              </w14:srgbClr>
            </w14:solidFill>
          </w14:textFill>
        </w:rPr>
        <w:t>|||  ||</w:t>
      </w:r>
      <w:r w:rsidR="00471EB9" w:rsidRPr="00471EB9">
        <w:rPr>
          <w:color w:val="000000"/>
          <w:spacing w:val="6"/>
          <w:w w:val="60"/>
          <w:shd w:val="solid" w:color="000000" w:fill="000000"/>
          <w:fitText w:val="470" w:id="-694408192"/>
          <w14:textFill>
            <w14:solidFill>
              <w14:srgbClr w14:val="000000">
                <w14:alpha w14:val="100000"/>
              </w14:srgbClr>
            </w14:solidFill>
          </w14:textFill>
        </w:rPr>
        <w:t>|</w:t>
      </w:r>
      <w:r w:rsidRPr="00873941">
        <w:t>) was offset by reduced use of treatments in the adjuvant setting ($</w:t>
      </w:r>
      <w:r w:rsidR="00471EB9" w:rsidRPr="00471EB9">
        <w:rPr>
          <w:color w:val="000000"/>
          <w:w w:val="60"/>
          <w:shd w:val="solid" w:color="000000" w:fill="000000"/>
          <w:fitText w:val="470" w:id="-694408191"/>
          <w14:textFill>
            <w14:solidFill>
              <w14:srgbClr w14:val="000000">
                <w14:alpha w14:val="100000"/>
              </w14:srgbClr>
            </w14:solidFill>
          </w14:textFill>
        </w:rPr>
        <w:t>|||  ||</w:t>
      </w:r>
      <w:r w:rsidR="00471EB9" w:rsidRPr="00471EB9">
        <w:rPr>
          <w:color w:val="000000"/>
          <w:spacing w:val="6"/>
          <w:w w:val="60"/>
          <w:shd w:val="solid" w:color="000000" w:fill="000000"/>
          <w:fitText w:val="470" w:id="-694408191"/>
          <w14:textFill>
            <w14:solidFill>
              <w14:srgbClr w14:val="000000">
                <w14:alpha w14:val="100000"/>
              </w14:srgbClr>
            </w14:solidFill>
          </w14:textFill>
        </w:rPr>
        <w:t>|</w:t>
      </w:r>
      <w:r w:rsidRPr="00873941">
        <w:t>) and subsequent settings ($</w:t>
      </w:r>
      <w:r w:rsidR="00471EB9" w:rsidRPr="00471EB9">
        <w:rPr>
          <w:color w:val="000000"/>
          <w:w w:val="60"/>
          <w:shd w:val="solid" w:color="000000" w:fill="000000"/>
          <w:fitText w:val="470" w:id="-694408190"/>
          <w14:textFill>
            <w14:solidFill>
              <w14:srgbClr w14:val="000000">
                <w14:alpha w14:val="100000"/>
              </w14:srgbClr>
            </w14:solidFill>
          </w14:textFill>
        </w:rPr>
        <w:t>|||  ||</w:t>
      </w:r>
      <w:r w:rsidR="00471EB9" w:rsidRPr="00471EB9">
        <w:rPr>
          <w:color w:val="000000"/>
          <w:spacing w:val="6"/>
          <w:w w:val="60"/>
          <w:shd w:val="solid" w:color="000000" w:fill="000000"/>
          <w:fitText w:val="470" w:id="-694408190"/>
          <w14:textFill>
            <w14:solidFill>
              <w14:srgbClr w14:val="000000">
                <w14:alpha w14:val="100000"/>
              </w14:srgbClr>
            </w14:solidFill>
          </w14:textFill>
        </w:rPr>
        <w:t>|</w:t>
      </w:r>
      <w:r w:rsidRPr="00873941">
        <w:t xml:space="preserve">). </w:t>
      </w:r>
      <w:r w:rsidR="006F4300" w:rsidRPr="00873941">
        <w:t>The cost savings from the reduction in adjuvant drug use were contingent on the response rate at the neoadjuvant treatment phase.</w:t>
      </w:r>
    </w:p>
    <w:p w14:paraId="0514FA7B" w14:textId="1DC42E19" w:rsidR="006F4300" w:rsidRPr="00873941" w:rsidRDefault="006F4300" w:rsidP="0073177E">
      <w:pPr>
        <w:pStyle w:val="3-BodyText"/>
        <w:rPr>
          <w:i/>
          <w:iCs/>
        </w:rPr>
      </w:pPr>
      <w:r w:rsidRPr="00873941">
        <w:t xml:space="preserve">The results of key univariate and multivariate sensitivity analyses are summarised in </w:t>
      </w:r>
      <w:r w:rsidRPr="00873941">
        <w:fldChar w:fldCharType="begin"/>
      </w:r>
      <w:r w:rsidRPr="00873941">
        <w:instrText xml:space="preserve"> REF _Ref184644102 \h </w:instrText>
      </w:r>
      <w:r w:rsidRPr="00873941">
        <w:fldChar w:fldCharType="separate"/>
      </w:r>
      <w:r w:rsidR="000B094B" w:rsidRPr="00873941">
        <w:t xml:space="preserve">Table </w:t>
      </w:r>
      <w:r w:rsidR="000B094B">
        <w:rPr>
          <w:noProof/>
        </w:rPr>
        <w:t>18</w:t>
      </w:r>
      <w:r w:rsidRPr="00873941">
        <w:fldChar w:fldCharType="end"/>
      </w:r>
      <w:r w:rsidRPr="00873941">
        <w:t xml:space="preserve">. </w:t>
      </w:r>
    </w:p>
    <w:p w14:paraId="10D9E4A7" w14:textId="48233DB4" w:rsidR="006F4300" w:rsidRPr="00873941" w:rsidRDefault="006F4300" w:rsidP="0073177E">
      <w:pPr>
        <w:pStyle w:val="TableFigureHeading"/>
        <w:rPr>
          <w:rStyle w:val="CommentReference"/>
          <w:b/>
          <w:szCs w:val="24"/>
        </w:rPr>
      </w:pPr>
      <w:bookmarkStart w:id="96" w:name="_Ref184644102"/>
      <w:bookmarkStart w:id="97" w:name="_Ref104804865"/>
      <w:r w:rsidRPr="00873941">
        <w:lastRenderedPageBreak/>
        <w:t xml:space="preserve">Table </w:t>
      </w:r>
      <w:r w:rsidR="002B1DFF">
        <w:fldChar w:fldCharType="begin"/>
      </w:r>
      <w:r w:rsidR="002B1DFF">
        <w:instrText xml:space="preserve"> SEQ Table \* ARABIC </w:instrText>
      </w:r>
      <w:r w:rsidR="002B1DFF">
        <w:fldChar w:fldCharType="separate"/>
      </w:r>
      <w:r w:rsidR="000B094B">
        <w:rPr>
          <w:noProof/>
        </w:rPr>
        <w:t>18</w:t>
      </w:r>
      <w:r w:rsidR="002B1DFF">
        <w:fldChar w:fldCharType="end"/>
      </w:r>
      <w:bookmarkEnd w:id="96"/>
      <w:r w:rsidRPr="00873941">
        <w:t xml:space="preserve">: </w:t>
      </w:r>
      <w:r w:rsidRPr="00873941">
        <w:rPr>
          <w:rStyle w:val="CommentReference"/>
          <w:b/>
          <w:szCs w:val="24"/>
        </w:rPr>
        <w:t>Results of univariate and multivariate sensitivity analyses</w:t>
      </w:r>
      <w:bookmarkEnd w:id="97"/>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8: Results of univariate and multivariate sensitivity analyses"/>
      </w:tblPr>
      <w:tblGrid>
        <w:gridCol w:w="3685"/>
        <w:gridCol w:w="1418"/>
        <w:gridCol w:w="1418"/>
        <w:gridCol w:w="1421"/>
        <w:gridCol w:w="1077"/>
      </w:tblGrid>
      <w:tr w:rsidR="006F4300" w:rsidRPr="00873941" w14:paraId="6702D046" w14:textId="77777777" w:rsidTr="00471EB9">
        <w:trPr>
          <w:cantSplit/>
          <w:tblHeader/>
        </w:trPr>
        <w:tc>
          <w:tcPr>
            <w:tcW w:w="2043" w:type="pct"/>
            <w:tcBorders>
              <w:top w:val="single" w:sz="4" w:space="0" w:color="auto"/>
              <w:left w:val="single" w:sz="4" w:space="0" w:color="auto"/>
              <w:bottom w:val="single" w:sz="4" w:space="0" w:color="auto"/>
              <w:right w:val="single" w:sz="4" w:space="0" w:color="auto"/>
            </w:tcBorders>
            <w:vAlign w:val="center"/>
            <w:hideMark/>
          </w:tcPr>
          <w:p w14:paraId="12259557" w14:textId="77777777" w:rsidR="006F4300" w:rsidRPr="00873941" w:rsidRDefault="006F4300">
            <w:pPr>
              <w:pStyle w:val="TableFigureHeading"/>
            </w:pPr>
            <w:r w:rsidRPr="00873941">
              <w:t>Analyses</w:t>
            </w:r>
          </w:p>
        </w:tc>
        <w:tc>
          <w:tcPr>
            <w:tcW w:w="786" w:type="pct"/>
            <w:tcBorders>
              <w:top w:val="single" w:sz="4" w:space="0" w:color="auto"/>
              <w:left w:val="single" w:sz="4" w:space="0" w:color="auto"/>
              <w:bottom w:val="single" w:sz="4" w:space="0" w:color="auto"/>
              <w:right w:val="single" w:sz="4" w:space="0" w:color="auto"/>
            </w:tcBorders>
            <w:vAlign w:val="center"/>
            <w:hideMark/>
          </w:tcPr>
          <w:p w14:paraId="46DEE6B3" w14:textId="749EC322" w:rsidR="006F4300" w:rsidRPr="00873941" w:rsidRDefault="006F4300">
            <w:pPr>
              <w:pStyle w:val="TableFigureHeading"/>
            </w:pPr>
            <w:r w:rsidRPr="00873941">
              <w:t>Incremental cost</w:t>
            </w:r>
            <w:r w:rsidR="008D237C">
              <w:t xml:space="preserve"> ($)</w:t>
            </w:r>
          </w:p>
        </w:tc>
        <w:tc>
          <w:tcPr>
            <w:tcW w:w="786" w:type="pct"/>
            <w:tcBorders>
              <w:top w:val="single" w:sz="4" w:space="0" w:color="auto"/>
              <w:left w:val="single" w:sz="4" w:space="0" w:color="auto"/>
              <w:bottom w:val="single" w:sz="4" w:space="0" w:color="auto"/>
              <w:right w:val="single" w:sz="4" w:space="0" w:color="auto"/>
            </w:tcBorders>
            <w:vAlign w:val="center"/>
            <w:hideMark/>
          </w:tcPr>
          <w:p w14:paraId="70452E6D" w14:textId="77777777" w:rsidR="006F4300" w:rsidRPr="00873941" w:rsidRDefault="006F4300">
            <w:pPr>
              <w:pStyle w:val="TableFigureHeading"/>
            </w:pPr>
            <w:r w:rsidRPr="00873941">
              <w:t>Incremental QALY</w:t>
            </w:r>
          </w:p>
        </w:tc>
        <w:tc>
          <w:tcPr>
            <w:tcW w:w="788" w:type="pct"/>
            <w:tcBorders>
              <w:top w:val="single" w:sz="4" w:space="0" w:color="auto"/>
              <w:left w:val="single" w:sz="4" w:space="0" w:color="auto"/>
              <w:bottom w:val="single" w:sz="4" w:space="0" w:color="auto"/>
              <w:right w:val="single" w:sz="4" w:space="0" w:color="auto"/>
            </w:tcBorders>
            <w:vAlign w:val="center"/>
            <w:hideMark/>
          </w:tcPr>
          <w:p w14:paraId="2912FDCA" w14:textId="77777777" w:rsidR="006F4300" w:rsidRPr="00873941" w:rsidRDefault="006F4300">
            <w:pPr>
              <w:pStyle w:val="TableFigureHeading"/>
            </w:pPr>
            <w:r w:rsidRPr="00873941">
              <w:t>ICER</w:t>
            </w:r>
          </w:p>
        </w:tc>
        <w:tc>
          <w:tcPr>
            <w:tcW w:w="597" w:type="pct"/>
            <w:tcBorders>
              <w:top w:val="single" w:sz="4" w:space="0" w:color="auto"/>
              <w:left w:val="single" w:sz="4" w:space="0" w:color="auto"/>
              <w:bottom w:val="single" w:sz="4" w:space="0" w:color="auto"/>
              <w:right w:val="single" w:sz="4" w:space="0" w:color="auto"/>
            </w:tcBorders>
            <w:vAlign w:val="center"/>
            <w:hideMark/>
          </w:tcPr>
          <w:p w14:paraId="589F0154" w14:textId="77777777" w:rsidR="006F4300" w:rsidRPr="00873941" w:rsidRDefault="006F4300">
            <w:pPr>
              <w:pStyle w:val="TableFigureHeading"/>
            </w:pPr>
            <w:r w:rsidRPr="00873941">
              <w:t>% change to ICER</w:t>
            </w:r>
          </w:p>
        </w:tc>
      </w:tr>
      <w:tr w:rsidR="006F4300" w:rsidRPr="00873941" w14:paraId="76634C27" w14:textId="77777777" w:rsidTr="00471EB9">
        <w:trPr>
          <w:cantSplit/>
        </w:trPr>
        <w:tc>
          <w:tcPr>
            <w:tcW w:w="2043" w:type="pct"/>
            <w:tcBorders>
              <w:top w:val="single" w:sz="4" w:space="0" w:color="auto"/>
              <w:left w:val="single" w:sz="4" w:space="0" w:color="auto"/>
              <w:bottom w:val="single" w:sz="4" w:space="0" w:color="auto"/>
              <w:right w:val="single" w:sz="4" w:space="0" w:color="auto"/>
            </w:tcBorders>
            <w:hideMark/>
          </w:tcPr>
          <w:p w14:paraId="71FD08AF" w14:textId="77777777" w:rsidR="006F4300" w:rsidRPr="00873941" w:rsidRDefault="006F4300">
            <w:pPr>
              <w:pStyle w:val="TableText0"/>
              <w:rPr>
                <w:b/>
              </w:rPr>
            </w:pPr>
            <w:r w:rsidRPr="00873941">
              <w:rPr>
                <w:b/>
              </w:rPr>
              <w:t>Base case</w:t>
            </w:r>
          </w:p>
        </w:tc>
        <w:tc>
          <w:tcPr>
            <w:tcW w:w="786" w:type="pct"/>
            <w:tcBorders>
              <w:top w:val="single" w:sz="4" w:space="0" w:color="auto"/>
              <w:left w:val="single" w:sz="4" w:space="0" w:color="auto"/>
              <w:bottom w:val="single" w:sz="4" w:space="0" w:color="auto"/>
              <w:right w:val="single" w:sz="4" w:space="0" w:color="auto"/>
            </w:tcBorders>
            <w:shd w:val="solid" w:color="000000" w:fill="000000"/>
            <w:hideMark/>
          </w:tcPr>
          <w:p w14:paraId="13431A10" w14:textId="25788536" w:rsidR="006F4300" w:rsidRPr="00873941" w:rsidRDefault="00471EB9">
            <w:pPr>
              <w:pStyle w:val="TableText0"/>
              <w:jc w:val="center"/>
              <w:rPr>
                <w:b/>
                <w:highlight w:val="black"/>
              </w:rPr>
            </w:pPr>
            <w:r w:rsidRPr="00471EB9">
              <w:rPr>
                <w:rFonts w:eastAsia="Calibri"/>
                <w:b/>
                <w:color w:val="000000"/>
                <w:spacing w:val="58"/>
                <w:szCs w:val="20"/>
                <w:fitText w:val="360" w:id="-694408189"/>
                <w14:textFill>
                  <w14:solidFill>
                    <w14:srgbClr w14:val="000000">
                      <w14:alpha w14:val="100000"/>
                    </w14:srgbClr>
                  </w14:solidFill>
                </w14:textFill>
              </w:rPr>
              <w:t>|||</w:t>
            </w:r>
            <w:r w:rsidRPr="00471EB9">
              <w:rPr>
                <w:rFonts w:eastAsia="Calibri"/>
                <w:b/>
                <w:color w:val="000000"/>
                <w:spacing w:val="3"/>
                <w:szCs w:val="20"/>
                <w:fitText w:val="360" w:id="-694408189"/>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hideMark/>
          </w:tcPr>
          <w:p w14:paraId="104B8E4A" w14:textId="77777777" w:rsidR="006F4300" w:rsidRPr="00873941" w:rsidRDefault="006F4300">
            <w:pPr>
              <w:pStyle w:val="TableText0"/>
              <w:jc w:val="center"/>
              <w:rPr>
                <w:b/>
              </w:rPr>
            </w:pPr>
            <w:r w:rsidRPr="00873941">
              <w:rPr>
                <w:rFonts w:eastAsia="Calibri"/>
                <w:b/>
                <w:szCs w:val="20"/>
              </w:rPr>
              <w:t>0.152</w:t>
            </w:r>
          </w:p>
        </w:tc>
        <w:tc>
          <w:tcPr>
            <w:tcW w:w="788" w:type="pct"/>
            <w:tcBorders>
              <w:top w:val="single" w:sz="4" w:space="0" w:color="auto"/>
              <w:left w:val="single" w:sz="4" w:space="0" w:color="auto"/>
              <w:bottom w:val="single" w:sz="4" w:space="0" w:color="auto"/>
              <w:right w:val="single" w:sz="4" w:space="0" w:color="auto"/>
            </w:tcBorders>
            <w:hideMark/>
          </w:tcPr>
          <w:p w14:paraId="3D9E6262" w14:textId="296F2D32" w:rsidR="006F4300" w:rsidRPr="00873941" w:rsidRDefault="00471EB9">
            <w:pPr>
              <w:pStyle w:val="TableText0"/>
              <w:jc w:val="center"/>
              <w:rPr>
                <w:b/>
                <w:highlight w:val="black"/>
              </w:rPr>
            </w:pPr>
            <w:r w:rsidRPr="00471EB9">
              <w:rPr>
                <w:rFonts w:eastAsia="Calibri"/>
                <w:b/>
                <w:color w:val="000000"/>
                <w:spacing w:val="58"/>
                <w:szCs w:val="20"/>
                <w:shd w:val="solid" w:color="000000" w:fill="000000"/>
                <w:fitText w:val="360" w:id="-694408188"/>
                <w14:textFill>
                  <w14:solidFill>
                    <w14:srgbClr w14:val="000000">
                      <w14:alpha w14:val="100000"/>
                    </w14:srgbClr>
                  </w14:solidFill>
                </w14:textFill>
              </w:rPr>
              <w:t>|||</w:t>
            </w:r>
            <w:r w:rsidRPr="00471EB9">
              <w:rPr>
                <w:rFonts w:eastAsia="Calibri"/>
                <w:b/>
                <w:color w:val="000000"/>
                <w:spacing w:val="3"/>
                <w:szCs w:val="20"/>
                <w:shd w:val="solid" w:color="000000" w:fill="000000"/>
                <w:fitText w:val="360" w:id="-694408188"/>
                <w14:textFill>
                  <w14:solidFill>
                    <w14:srgbClr w14:val="000000">
                      <w14:alpha w14:val="100000"/>
                    </w14:srgbClr>
                  </w14:solidFill>
                </w14:textFill>
              </w:rPr>
              <w:t>|</w:t>
            </w:r>
            <w:r w:rsidR="003A5990" w:rsidRPr="003A5990">
              <w:rPr>
                <w:rFonts w:eastAsia="Calibri"/>
                <w:b/>
                <w:szCs w:val="20"/>
                <w:vertAlign w:val="superscript"/>
              </w:rPr>
              <w:t>1</w:t>
            </w:r>
          </w:p>
        </w:tc>
        <w:tc>
          <w:tcPr>
            <w:tcW w:w="597" w:type="pct"/>
            <w:tcBorders>
              <w:top w:val="single" w:sz="4" w:space="0" w:color="auto"/>
              <w:left w:val="single" w:sz="4" w:space="0" w:color="auto"/>
              <w:bottom w:val="single" w:sz="4" w:space="0" w:color="auto"/>
              <w:right w:val="single" w:sz="4" w:space="0" w:color="auto"/>
            </w:tcBorders>
            <w:hideMark/>
          </w:tcPr>
          <w:p w14:paraId="0031179B" w14:textId="60BD72EA" w:rsidR="006F4300" w:rsidRPr="00873941" w:rsidRDefault="00471EB9">
            <w:pPr>
              <w:pStyle w:val="TableText0"/>
              <w:jc w:val="center"/>
              <w:rPr>
                <w:rFonts w:eastAsia="Calibri"/>
                <w:b/>
                <w:szCs w:val="20"/>
              </w:rPr>
            </w:pPr>
            <w:r w:rsidRPr="00471EB9">
              <w:rPr>
                <w:rFonts w:eastAsia="Calibri"/>
                <w:b/>
                <w:color w:val="000000"/>
                <w:spacing w:val="55"/>
                <w:szCs w:val="20"/>
                <w:shd w:val="solid" w:color="000000" w:fill="000000"/>
                <w:fitText w:val="350" w:id="-694408187"/>
                <w14:textFill>
                  <w14:solidFill>
                    <w14:srgbClr w14:val="000000">
                      <w14:alpha w14:val="100000"/>
                    </w14:srgbClr>
                  </w14:solidFill>
                </w14:textFill>
              </w:rPr>
              <w:t>|||</w:t>
            </w:r>
            <w:r w:rsidRPr="00471EB9">
              <w:rPr>
                <w:rFonts w:eastAsia="Calibri"/>
                <w:b/>
                <w:color w:val="000000"/>
                <w:spacing w:val="2"/>
                <w:szCs w:val="20"/>
                <w:shd w:val="solid" w:color="000000" w:fill="000000"/>
                <w:fitText w:val="350" w:id="-694408187"/>
                <w14:textFill>
                  <w14:solidFill>
                    <w14:srgbClr w14:val="000000">
                      <w14:alpha w14:val="100000"/>
                    </w14:srgbClr>
                  </w14:solidFill>
                </w14:textFill>
              </w:rPr>
              <w:t>|</w:t>
            </w:r>
            <w:r w:rsidR="006F4300" w:rsidRPr="00873941">
              <w:rPr>
                <w:rFonts w:eastAsia="Calibri"/>
                <w:b/>
                <w:szCs w:val="20"/>
              </w:rPr>
              <w:t>%</w:t>
            </w:r>
          </w:p>
        </w:tc>
      </w:tr>
      <w:tr w:rsidR="006F4300" w:rsidRPr="00873941" w14:paraId="373A8FB1" w14:textId="77777777" w:rsidTr="00534902">
        <w:trPr>
          <w:cantSplit/>
        </w:trPr>
        <w:tc>
          <w:tcPr>
            <w:tcW w:w="4403" w:type="pct"/>
            <w:gridSpan w:val="4"/>
            <w:tcBorders>
              <w:top w:val="single" w:sz="4" w:space="0" w:color="auto"/>
              <w:left w:val="single" w:sz="4" w:space="0" w:color="auto"/>
              <w:bottom w:val="single" w:sz="4" w:space="0" w:color="auto"/>
              <w:right w:val="single" w:sz="4" w:space="0" w:color="auto"/>
            </w:tcBorders>
            <w:hideMark/>
          </w:tcPr>
          <w:p w14:paraId="5A6D72DF" w14:textId="277FEEA4" w:rsidR="006F4300" w:rsidRPr="00873941" w:rsidRDefault="006F4300">
            <w:pPr>
              <w:pStyle w:val="TableText0"/>
            </w:pPr>
            <w:r w:rsidRPr="00873941">
              <w:t xml:space="preserve">Time horizon (base case </w:t>
            </w:r>
            <w:r w:rsidR="00884750" w:rsidRPr="00873941">
              <w:rPr>
                <w:i/>
                <w:iCs/>
              </w:rPr>
              <w:t>4</w:t>
            </w:r>
            <w:r w:rsidRPr="00873941">
              <w:rPr>
                <w:i/>
                <w:iCs/>
              </w:rPr>
              <w:t>0</w:t>
            </w:r>
            <w:r w:rsidRPr="00873941">
              <w:t xml:space="preserve"> years)</w:t>
            </w:r>
          </w:p>
        </w:tc>
        <w:tc>
          <w:tcPr>
            <w:tcW w:w="597" w:type="pct"/>
            <w:tcBorders>
              <w:top w:val="single" w:sz="4" w:space="0" w:color="auto"/>
              <w:left w:val="single" w:sz="4" w:space="0" w:color="auto"/>
              <w:bottom w:val="single" w:sz="4" w:space="0" w:color="auto"/>
              <w:right w:val="single" w:sz="4" w:space="0" w:color="auto"/>
            </w:tcBorders>
          </w:tcPr>
          <w:p w14:paraId="33DCC33B" w14:textId="77777777" w:rsidR="006F4300" w:rsidRPr="00873941" w:rsidRDefault="006F4300">
            <w:pPr>
              <w:pStyle w:val="TableText0"/>
            </w:pPr>
          </w:p>
        </w:tc>
      </w:tr>
      <w:tr w:rsidR="006F4300" w:rsidRPr="00873941" w14:paraId="4CA7865F" w14:textId="77777777" w:rsidTr="00471EB9">
        <w:trPr>
          <w:cantSplit/>
        </w:trPr>
        <w:tc>
          <w:tcPr>
            <w:tcW w:w="2043" w:type="pct"/>
            <w:tcBorders>
              <w:top w:val="single" w:sz="4" w:space="0" w:color="auto"/>
              <w:left w:val="single" w:sz="4" w:space="0" w:color="auto"/>
              <w:bottom w:val="single" w:sz="4" w:space="0" w:color="auto"/>
              <w:right w:val="single" w:sz="4" w:space="0" w:color="auto"/>
            </w:tcBorders>
            <w:hideMark/>
          </w:tcPr>
          <w:p w14:paraId="5CA74A4C" w14:textId="77777777" w:rsidR="006F4300" w:rsidRPr="00873941" w:rsidRDefault="006F4300">
            <w:pPr>
              <w:pStyle w:val="TableText0"/>
            </w:pPr>
            <w:r w:rsidRPr="00873941">
              <w:t>20 years</w:t>
            </w:r>
          </w:p>
        </w:tc>
        <w:tc>
          <w:tcPr>
            <w:tcW w:w="786" w:type="pct"/>
            <w:tcBorders>
              <w:top w:val="single" w:sz="4" w:space="0" w:color="auto"/>
              <w:left w:val="single" w:sz="4" w:space="0" w:color="auto"/>
              <w:bottom w:val="single" w:sz="4" w:space="0" w:color="auto"/>
              <w:right w:val="single" w:sz="4" w:space="0" w:color="auto"/>
            </w:tcBorders>
            <w:shd w:val="solid" w:color="000000" w:fill="000000"/>
            <w:hideMark/>
          </w:tcPr>
          <w:p w14:paraId="18DA2D03" w14:textId="02945E94" w:rsidR="006F4300" w:rsidRPr="008D237C" w:rsidRDefault="00471EB9">
            <w:pPr>
              <w:pStyle w:val="TableText0"/>
              <w:jc w:val="center"/>
              <w:rPr>
                <w:highlight w:val="darkGray"/>
              </w:rPr>
            </w:pPr>
            <w:r w:rsidRPr="00471EB9">
              <w:rPr>
                <w:rFonts w:eastAsia="Calibri"/>
                <w:color w:val="000000"/>
                <w:spacing w:val="53"/>
                <w:szCs w:val="20"/>
                <w:fitText w:val="330" w:id="-694408186"/>
                <w14:textFill>
                  <w14:solidFill>
                    <w14:srgbClr w14:val="000000">
                      <w14:alpha w14:val="100000"/>
                    </w14:srgbClr>
                  </w14:solidFill>
                </w14:textFill>
              </w:rPr>
              <w:t>|||</w:t>
            </w:r>
            <w:r w:rsidRPr="00471EB9">
              <w:rPr>
                <w:rFonts w:eastAsia="Calibri"/>
                <w:color w:val="000000"/>
                <w:spacing w:val="1"/>
                <w:szCs w:val="20"/>
                <w:fitText w:val="330" w:id="-694408186"/>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hideMark/>
          </w:tcPr>
          <w:p w14:paraId="04FD990C" w14:textId="77777777" w:rsidR="006F4300" w:rsidRPr="00873941" w:rsidRDefault="006F4300">
            <w:pPr>
              <w:pStyle w:val="TableText0"/>
              <w:jc w:val="center"/>
            </w:pPr>
            <w:r w:rsidRPr="00873941">
              <w:rPr>
                <w:rFonts w:eastAsia="Calibri"/>
                <w:szCs w:val="20"/>
              </w:rPr>
              <w:t>0.096</w:t>
            </w:r>
          </w:p>
        </w:tc>
        <w:tc>
          <w:tcPr>
            <w:tcW w:w="788" w:type="pct"/>
            <w:tcBorders>
              <w:top w:val="single" w:sz="4" w:space="0" w:color="auto"/>
              <w:left w:val="single" w:sz="4" w:space="0" w:color="auto"/>
              <w:bottom w:val="single" w:sz="4" w:space="0" w:color="auto"/>
              <w:right w:val="single" w:sz="4" w:space="0" w:color="auto"/>
            </w:tcBorders>
            <w:hideMark/>
          </w:tcPr>
          <w:p w14:paraId="0FE50361" w14:textId="43EF2823" w:rsidR="006F4300" w:rsidRPr="00B85A8A" w:rsidRDefault="00471EB9">
            <w:pPr>
              <w:pStyle w:val="TableText0"/>
              <w:jc w:val="center"/>
              <w:rPr>
                <w:highlight w:val="darkGray"/>
              </w:rPr>
            </w:pPr>
            <w:r w:rsidRPr="00471EB9">
              <w:rPr>
                <w:rFonts w:eastAsia="Calibri"/>
                <w:color w:val="000000"/>
                <w:spacing w:val="53"/>
                <w:szCs w:val="20"/>
                <w:shd w:val="solid" w:color="000000" w:fill="000000"/>
                <w:fitText w:val="330" w:id="-694408185"/>
                <w14:textFill>
                  <w14:solidFill>
                    <w14:srgbClr w14:val="000000">
                      <w14:alpha w14:val="100000"/>
                    </w14:srgbClr>
                  </w14:solidFill>
                </w14:textFill>
              </w:rPr>
              <w:t>|||</w:t>
            </w:r>
            <w:r w:rsidRPr="00471EB9">
              <w:rPr>
                <w:rFonts w:eastAsia="Calibri"/>
                <w:color w:val="000000"/>
                <w:spacing w:val="1"/>
                <w:szCs w:val="20"/>
                <w:shd w:val="solid" w:color="000000" w:fill="000000"/>
                <w:fitText w:val="330" w:id="-694408185"/>
                <w14:textFill>
                  <w14:solidFill>
                    <w14:srgbClr w14:val="000000">
                      <w14:alpha w14:val="100000"/>
                    </w14:srgbClr>
                  </w14:solidFill>
                </w14:textFill>
              </w:rPr>
              <w:t>|</w:t>
            </w:r>
            <w:r w:rsidR="00E04A7B" w:rsidRPr="00E04A7B">
              <w:rPr>
                <w:rFonts w:eastAsia="Calibri"/>
                <w:szCs w:val="20"/>
                <w:vertAlign w:val="superscript"/>
              </w:rPr>
              <w:t>2</w:t>
            </w:r>
          </w:p>
        </w:tc>
        <w:tc>
          <w:tcPr>
            <w:tcW w:w="597" w:type="pct"/>
            <w:tcBorders>
              <w:top w:val="single" w:sz="4" w:space="0" w:color="auto"/>
              <w:left w:val="single" w:sz="4" w:space="0" w:color="auto"/>
              <w:bottom w:val="single" w:sz="4" w:space="0" w:color="auto"/>
              <w:right w:val="single" w:sz="4" w:space="0" w:color="auto"/>
            </w:tcBorders>
            <w:hideMark/>
          </w:tcPr>
          <w:p w14:paraId="5FBF658C" w14:textId="2B977723" w:rsidR="006F4300" w:rsidRPr="00873941" w:rsidRDefault="00471EB9">
            <w:pPr>
              <w:pStyle w:val="TableText0"/>
              <w:jc w:val="center"/>
              <w:rPr>
                <w:rFonts w:eastAsia="Calibri"/>
                <w:szCs w:val="20"/>
              </w:rPr>
            </w:pPr>
            <w:r w:rsidRPr="00471EB9">
              <w:rPr>
                <w:rFonts w:eastAsia="Calibri"/>
                <w:color w:val="000000"/>
                <w:spacing w:val="53"/>
                <w:szCs w:val="20"/>
                <w:shd w:val="solid" w:color="000000" w:fill="000000"/>
                <w:fitText w:val="330" w:id="-694408184"/>
                <w14:textFill>
                  <w14:solidFill>
                    <w14:srgbClr w14:val="000000">
                      <w14:alpha w14:val="100000"/>
                    </w14:srgbClr>
                  </w14:solidFill>
                </w14:textFill>
              </w:rPr>
              <w:t>|||</w:t>
            </w:r>
            <w:r w:rsidRPr="00471EB9">
              <w:rPr>
                <w:rFonts w:eastAsia="Calibri"/>
                <w:color w:val="000000"/>
                <w:spacing w:val="1"/>
                <w:szCs w:val="20"/>
                <w:shd w:val="solid" w:color="000000" w:fill="000000"/>
                <w:fitText w:val="330" w:id="-694408184"/>
                <w14:textFill>
                  <w14:solidFill>
                    <w14:srgbClr w14:val="000000">
                      <w14:alpha w14:val="100000"/>
                    </w14:srgbClr>
                  </w14:solidFill>
                </w14:textFill>
              </w:rPr>
              <w:t>|</w:t>
            </w:r>
            <w:r w:rsidR="006F4300" w:rsidRPr="00873941">
              <w:rPr>
                <w:rFonts w:eastAsia="Calibri"/>
                <w:szCs w:val="20"/>
              </w:rPr>
              <w:t>%</w:t>
            </w:r>
          </w:p>
        </w:tc>
      </w:tr>
      <w:tr w:rsidR="006F4300" w:rsidRPr="00873941" w14:paraId="328A481E" w14:textId="77777777" w:rsidTr="00471EB9">
        <w:trPr>
          <w:cantSplit/>
          <w:trHeight w:val="137"/>
        </w:trPr>
        <w:tc>
          <w:tcPr>
            <w:tcW w:w="2043" w:type="pct"/>
            <w:tcBorders>
              <w:top w:val="single" w:sz="4" w:space="0" w:color="auto"/>
              <w:left w:val="single" w:sz="4" w:space="0" w:color="auto"/>
              <w:bottom w:val="single" w:sz="4" w:space="0" w:color="auto"/>
              <w:right w:val="single" w:sz="4" w:space="0" w:color="auto"/>
            </w:tcBorders>
            <w:hideMark/>
          </w:tcPr>
          <w:p w14:paraId="51DAD489" w14:textId="77777777" w:rsidR="006F4300" w:rsidRPr="00873941" w:rsidRDefault="006F4300">
            <w:pPr>
              <w:pStyle w:val="TableText0"/>
            </w:pPr>
            <w:r w:rsidRPr="00873941">
              <w:t>30 years</w:t>
            </w:r>
          </w:p>
        </w:tc>
        <w:tc>
          <w:tcPr>
            <w:tcW w:w="786" w:type="pct"/>
            <w:tcBorders>
              <w:top w:val="single" w:sz="4" w:space="0" w:color="auto"/>
              <w:left w:val="single" w:sz="4" w:space="0" w:color="auto"/>
              <w:bottom w:val="single" w:sz="4" w:space="0" w:color="auto"/>
              <w:right w:val="single" w:sz="4" w:space="0" w:color="auto"/>
            </w:tcBorders>
            <w:shd w:val="solid" w:color="000000" w:fill="000000"/>
            <w:hideMark/>
          </w:tcPr>
          <w:p w14:paraId="5318666F" w14:textId="0D9A881B" w:rsidR="006F4300" w:rsidRPr="008D237C" w:rsidRDefault="00471EB9">
            <w:pPr>
              <w:pStyle w:val="TableText0"/>
              <w:jc w:val="center"/>
              <w:rPr>
                <w:highlight w:val="darkGray"/>
              </w:rPr>
            </w:pPr>
            <w:r w:rsidRPr="00471EB9">
              <w:rPr>
                <w:rFonts w:eastAsia="Calibri"/>
                <w:color w:val="000000"/>
                <w:spacing w:val="53"/>
                <w:szCs w:val="20"/>
                <w:fitText w:val="330" w:id="-694408183"/>
                <w14:textFill>
                  <w14:solidFill>
                    <w14:srgbClr w14:val="000000">
                      <w14:alpha w14:val="100000"/>
                    </w14:srgbClr>
                  </w14:solidFill>
                </w14:textFill>
              </w:rPr>
              <w:t>|||</w:t>
            </w:r>
            <w:r w:rsidRPr="00471EB9">
              <w:rPr>
                <w:rFonts w:eastAsia="Calibri"/>
                <w:color w:val="000000"/>
                <w:spacing w:val="1"/>
                <w:szCs w:val="20"/>
                <w:fitText w:val="330" w:id="-694408183"/>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hideMark/>
          </w:tcPr>
          <w:p w14:paraId="6A1E81EB" w14:textId="77777777" w:rsidR="006F4300" w:rsidRPr="00873941" w:rsidRDefault="006F4300">
            <w:pPr>
              <w:pStyle w:val="TableText0"/>
              <w:jc w:val="center"/>
            </w:pPr>
            <w:r w:rsidRPr="00873941">
              <w:rPr>
                <w:rFonts w:eastAsia="Calibri"/>
                <w:szCs w:val="20"/>
              </w:rPr>
              <w:t>0.139</w:t>
            </w:r>
          </w:p>
        </w:tc>
        <w:tc>
          <w:tcPr>
            <w:tcW w:w="788" w:type="pct"/>
            <w:tcBorders>
              <w:top w:val="single" w:sz="4" w:space="0" w:color="auto"/>
              <w:left w:val="single" w:sz="4" w:space="0" w:color="auto"/>
              <w:bottom w:val="single" w:sz="4" w:space="0" w:color="auto"/>
              <w:right w:val="single" w:sz="4" w:space="0" w:color="auto"/>
            </w:tcBorders>
            <w:hideMark/>
          </w:tcPr>
          <w:p w14:paraId="2F6B0D28" w14:textId="500430D5" w:rsidR="006F4300" w:rsidRPr="00B85A8A" w:rsidRDefault="00471EB9">
            <w:pPr>
              <w:pStyle w:val="TableText0"/>
              <w:jc w:val="center"/>
              <w:rPr>
                <w:highlight w:val="darkGray"/>
              </w:rPr>
            </w:pPr>
            <w:r w:rsidRPr="00471EB9">
              <w:rPr>
                <w:rFonts w:eastAsia="Calibri"/>
                <w:color w:val="000000"/>
                <w:spacing w:val="53"/>
                <w:szCs w:val="20"/>
                <w:shd w:val="solid" w:color="000000" w:fill="000000"/>
                <w:fitText w:val="330" w:id="-694408182"/>
                <w14:textFill>
                  <w14:solidFill>
                    <w14:srgbClr w14:val="000000">
                      <w14:alpha w14:val="100000"/>
                    </w14:srgbClr>
                  </w14:solidFill>
                </w14:textFill>
              </w:rPr>
              <w:t>|||</w:t>
            </w:r>
            <w:r w:rsidRPr="00471EB9">
              <w:rPr>
                <w:rFonts w:eastAsia="Calibri"/>
                <w:color w:val="000000"/>
                <w:spacing w:val="1"/>
                <w:szCs w:val="20"/>
                <w:shd w:val="solid" w:color="000000" w:fill="000000"/>
                <w:fitText w:val="330" w:id="-694408182"/>
                <w14:textFill>
                  <w14:solidFill>
                    <w14:srgbClr w14:val="000000">
                      <w14:alpha w14:val="100000"/>
                    </w14:srgbClr>
                  </w14:solidFill>
                </w14:textFill>
              </w:rPr>
              <w:t>|</w:t>
            </w:r>
            <w:r w:rsidR="00E04A7B" w:rsidRPr="003A5990">
              <w:rPr>
                <w:rFonts w:eastAsia="Calibri"/>
                <w:b/>
                <w:szCs w:val="20"/>
                <w:vertAlign w:val="superscript"/>
              </w:rPr>
              <w:t>1</w:t>
            </w:r>
          </w:p>
        </w:tc>
        <w:tc>
          <w:tcPr>
            <w:tcW w:w="597" w:type="pct"/>
            <w:tcBorders>
              <w:top w:val="single" w:sz="4" w:space="0" w:color="auto"/>
              <w:left w:val="single" w:sz="4" w:space="0" w:color="auto"/>
              <w:bottom w:val="single" w:sz="4" w:space="0" w:color="auto"/>
              <w:right w:val="single" w:sz="4" w:space="0" w:color="auto"/>
            </w:tcBorders>
            <w:hideMark/>
          </w:tcPr>
          <w:p w14:paraId="38E489E1" w14:textId="04C9ADC4" w:rsidR="006F4300" w:rsidRPr="00873941" w:rsidRDefault="00471EB9">
            <w:pPr>
              <w:pStyle w:val="TableText0"/>
              <w:jc w:val="center"/>
              <w:rPr>
                <w:rFonts w:eastAsia="Calibri"/>
                <w:szCs w:val="20"/>
              </w:rPr>
            </w:pPr>
            <w:r w:rsidRPr="00471EB9">
              <w:rPr>
                <w:rFonts w:eastAsia="Calibri"/>
                <w:color w:val="000000"/>
                <w:spacing w:val="53"/>
                <w:szCs w:val="20"/>
                <w:shd w:val="solid" w:color="000000" w:fill="000000"/>
                <w:fitText w:val="330" w:id="-694408181"/>
                <w14:textFill>
                  <w14:solidFill>
                    <w14:srgbClr w14:val="000000">
                      <w14:alpha w14:val="100000"/>
                    </w14:srgbClr>
                  </w14:solidFill>
                </w14:textFill>
              </w:rPr>
              <w:t>|||</w:t>
            </w:r>
            <w:r w:rsidRPr="00471EB9">
              <w:rPr>
                <w:rFonts w:eastAsia="Calibri"/>
                <w:color w:val="000000"/>
                <w:spacing w:val="1"/>
                <w:szCs w:val="20"/>
                <w:shd w:val="solid" w:color="000000" w:fill="000000"/>
                <w:fitText w:val="330" w:id="-694408181"/>
                <w14:textFill>
                  <w14:solidFill>
                    <w14:srgbClr w14:val="000000">
                      <w14:alpha w14:val="100000"/>
                    </w14:srgbClr>
                  </w14:solidFill>
                </w14:textFill>
              </w:rPr>
              <w:t>|</w:t>
            </w:r>
            <w:r w:rsidR="006F4300" w:rsidRPr="00873941">
              <w:rPr>
                <w:rFonts w:eastAsia="Calibri"/>
                <w:szCs w:val="20"/>
              </w:rPr>
              <w:t>%</w:t>
            </w:r>
          </w:p>
        </w:tc>
      </w:tr>
      <w:tr w:rsidR="006F4300" w:rsidRPr="00873941" w14:paraId="7FB3F62D" w14:textId="77777777" w:rsidTr="00534902">
        <w:trPr>
          <w:cantSplit/>
          <w:trHeight w:val="53"/>
        </w:trPr>
        <w:tc>
          <w:tcPr>
            <w:tcW w:w="5000" w:type="pct"/>
            <w:gridSpan w:val="5"/>
            <w:tcBorders>
              <w:top w:val="single" w:sz="4" w:space="0" w:color="auto"/>
              <w:left w:val="single" w:sz="4" w:space="0" w:color="auto"/>
              <w:bottom w:val="single" w:sz="4" w:space="0" w:color="auto"/>
              <w:right w:val="single" w:sz="4" w:space="0" w:color="auto"/>
            </w:tcBorders>
            <w:hideMark/>
          </w:tcPr>
          <w:p w14:paraId="7DFD7665" w14:textId="41BA3492" w:rsidR="006F4300" w:rsidRPr="00873941" w:rsidRDefault="006F4300">
            <w:pPr>
              <w:pStyle w:val="TableText0"/>
              <w:rPr>
                <w:rFonts w:eastAsia="Calibri"/>
                <w:szCs w:val="20"/>
              </w:rPr>
            </w:pPr>
            <w:r w:rsidRPr="00873941">
              <w:t xml:space="preserve">Discount rate (base case: </w:t>
            </w:r>
            <w:r w:rsidR="00471EB9" w:rsidRPr="00471EB9">
              <w:rPr>
                <w:color w:val="000000"/>
                <w:spacing w:val="53"/>
                <w:shd w:val="solid" w:color="000000" w:fill="000000"/>
                <w:fitText w:val="330" w:id="-694408180"/>
                <w14:textFill>
                  <w14:solidFill>
                    <w14:srgbClr w14:val="000000">
                      <w14:alpha w14:val="100000"/>
                    </w14:srgbClr>
                  </w14:solidFill>
                </w14:textFill>
              </w:rPr>
              <w:t>|||</w:t>
            </w:r>
            <w:r w:rsidR="00471EB9" w:rsidRPr="00471EB9">
              <w:rPr>
                <w:color w:val="000000"/>
                <w:spacing w:val="1"/>
                <w:shd w:val="solid" w:color="000000" w:fill="000000"/>
                <w:fitText w:val="330" w:id="-694408180"/>
                <w14:textFill>
                  <w14:solidFill>
                    <w14:srgbClr w14:val="000000">
                      <w14:alpha w14:val="100000"/>
                    </w14:srgbClr>
                  </w14:solidFill>
                </w14:textFill>
              </w:rPr>
              <w:t>|</w:t>
            </w:r>
            <w:r w:rsidRPr="00873941">
              <w:t>%)</w:t>
            </w:r>
          </w:p>
        </w:tc>
      </w:tr>
      <w:tr w:rsidR="006F4300" w:rsidRPr="00873941" w14:paraId="1E23AFE5" w14:textId="77777777" w:rsidTr="00471EB9">
        <w:trPr>
          <w:cantSplit/>
          <w:trHeight w:val="53"/>
        </w:trPr>
        <w:tc>
          <w:tcPr>
            <w:tcW w:w="2043" w:type="pct"/>
            <w:tcBorders>
              <w:top w:val="single" w:sz="4" w:space="0" w:color="auto"/>
              <w:left w:val="single" w:sz="4" w:space="0" w:color="auto"/>
              <w:bottom w:val="single" w:sz="4" w:space="0" w:color="auto"/>
              <w:right w:val="single" w:sz="4" w:space="0" w:color="auto"/>
            </w:tcBorders>
            <w:hideMark/>
          </w:tcPr>
          <w:p w14:paraId="35F8155C" w14:textId="0E95C873" w:rsidR="006F4300" w:rsidRPr="00873941" w:rsidRDefault="00471EB9">
            <w:pPr>
              <w:pStyle w:val="TableText0"/>
            </w:pPr>
            <w:r w:rsidRPr="00471EB9">
              <w:rPr>
                <w:color w:val="000000"/>
                <w:spacing w:val="53"/>
                <w:shd w:val="solid" w:color="000000" w:fill="000000"/>
                <w:fitText w:val="330" w:id="-694408179"/>
                <w14:textFill>
                  <w14:solidFill>
                    <w14:srgbClr w14:val="000000">
                      <w14:alpha w14:val="100000"/>
                    </w14:srgbClr>
                  </w14:solidFill>
                </w14:textFill>
              </w:rPr>
              <w:t>|||</w:t>
            </w:r>
            <w:r w:rsidRPr="00471EB9">
              <w:rPr>
                <w:color w:val="000000"/>
                <w:spacing w:val="1"/>
                <w:shd w:val="solid" w:color="000000" w:fill="000000"/>
                <w:fitText w:val="330" w:id="-694408179"/>
                <w14:textFill>
                  <w14:solidFill>
                    <w14:srgbClr w14:val="000000">
                      <w14:alpha w14:val="100000"/>
                    </w14:srgbClr>
                  </w14:solidFill>
                </w14:textFill>
              </w:rPr>
              <w:t>|</w:t>
            </w:r>
            <w:r w:rsidR="006F4300" w:rsidRPr="00873941">
              <w:t>%</w:t>
            </w:r>
          </w:p>
        </w:tc>
        <w:tc>
          <w:tcPr>
            <w:tcW w:w="786" w:type="pct"/>
            <w:tcBorders>
              <w:top w:val="single" w:sz="4" w:space="0" w:color="auto"/>
              <w:left w:val="single" w:sz="4" w:space="0" w:color="auto"/>
              <w:bottom w:val="single" w:sz="4" w:space="0" w:color="auto"/>
              <w:right w:val="single" w:sz="4" w:space="0" w:color="auto"/>
            </w:tcBorders>
            <w:shd w:val="solid" w:color="000000" w:fill="000000"/>
            <w:hideMark/>
          </w:tcPr>
          <w:p w14:paraId="09582B63" w14:textId="2987BD14" w:rsidR="006F4300" w:rsidRPr="008D237C" w:rsidRDefault="00471EB9">
            <w:pPr>
              <w:pStyle w:val="TableText0"/>
              <w:jc w:val="center"/>
              <w:rPr>
                <w:rFonts w:eastAsia="Calibri"/>
                <w:szCs w:val="20"/>
                <w:highlight w:val="darkGray"/>
              </w:rPr>
            </w:pPr>
            <w:r w:rsidRPr="00471EB9">
              <w:rPr>
                <w:rFonts w:eastAsia="Calibri"/>
                <w:color w:val="000000"/>
                <w:spacing w:val="53"/>
                <w:szCs w:val="20"/>
                <w:fitText w:val="330" w:id="-694408178"/>
                <w14:textFill>
                  <w14:solidFill>
                    <w14:srgbClr w14:val="000000">
                      <w14:alpha w14:val="100000"/>
                    </w14:srgbClr>
                  </w14:solidFill>
                </w14:textFill>
              </w:rPr>
              <w:t>|||</w:t>
            </w:r>
            <w:r w:rsidRPr="00471EB9">
              <w:rPr>
                <w:rFonts w:eastAsia="Calibri"/>
                <w:color w:val="000000"/>
                <w:spacing w:val="1"/>
                <w:szCs w:val="20"/>
                <w:fitText w:val="330" w:id="-694408178"/>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hideMark/>
          </w:tcPr>
          <w:p w14:paraId="16853AF3" w14:textId="77777777" w:rsidR="006F4300" w:rsidRPr="00873941" w:rsidRDefault="006F4300">
            <w:pPr>
              <w:pStyle w:val="TableText0"/>
              <w:jc w:val="center"/>
              <w:rPr>
                <w:rFonts w:eastAsia="Calibri"/>
                <w:szCs w:val="20"/>
              </w:rPr>
            </w:pPr>
            <w:r w:rsidRPr="00873941">
              <w:t>0.3823</w:t>
            </w:r>
          </w:p>
        </w:tc>
        <w:tc>
          <w:tcPr>
            <w:tcW w:w="788" w:type="pct"/>
            <w:tcBorders>
              <w:top w:val="single" w:sz="4" w:space="0" w:color="auto"/>
              <w:left w:val="single" w:sz="4" w:space="0" w:color="auto"/>
              <w:bottom w:val="single" w:sz="4" w:space="0" w:color="auto"/>
              <w:right w:val="single" w:sz="4" w:space="0" w:color="auto"/>
            </w:tcBorders>
            <w:hideMark/>
          </w:tcPr>
          <w:p w14:paraId="103348C8" w14:textId="1059995A" w:rsidR="006F4300" w:rsidRPr="00B85A8A" w:rsidRDefault="00471EB9">
            <w:pPr>
              <w:pStyle w:val="TableText0"/>
              <w:jc w:val="center"/>
              <w:rPr>
                <w:rFonts w:eastAsia="Calibri"/>
                <w:szCs w:val="20"/>
                <w:highlight w:val="darkGray"/>
              </w:rPr>
            </w:pPr>
            <w:r w:rsidRPr="00471EB9">
              <w:rPr>
                <w:color w:val="000000"/>
                <w:spacing w:val="53"/>
                <w:shd w:val="solid" w:color="000000" w:fill="000000"/>
                <w:fitText w:val="330" w:id="-694408177"/>
                <w14:textFill>
                  <w14:solidFill>
                    <w14:srgbClr w14:val="000000">
                      <w14:alpha w14:val="100000"/>
                    </w14:srgbClr>
                  </w14:solidFill>
                </w14:textFill>
              </w:rPr>
              <w:t>|||</w:t>
            </w:r>
            <w:r w:rsidRPr="00471EB9">
              <w:rPr>
                <w:color w:val="000000"/>
                <w:spacing w:val="1"/>
                <w:shd w:val="solid" w:color="000000" w:fill="000000"/>
                <w:fitText w:val="330" w:id="-694408177"/>
                <w14:textFill>
                  <w14:solidFill>
                    <w14:srgbClr w14:val="000000">
                      <w14:alpha w14:val="100000"/>
                    </w14:srgbClr>
                  </w14:solidFill>
                </w14:textFill>
              </w:rPr>
              <w:t>|</w:t>
            </w:r>
            <w:r w:rsidR="00496485" w:rsidRPr="00496485">
              <w:rPr>
                <w:vertAlign w:val="superscript"/>
              </w:rPr>
              <w:t>3</w:t>
            </w:r>
          </w:p>
        </w:tc>
        <w:tc>
          <w:tcPr>
            <w:tcW w:w="597" w:type="pct"/>
            <w:tcBorders>
              <w:top w:val="single" w:sz="4" w:space="0" w:color="auto"/>
              <w:left w:val="single" w:sz="4" w:space="0" w:color="auto"/>
              <w:bottom w:val="single" w:sz="4" w:space="0" w:color="auto"/>
              <w:right w:val="single" w:sz="4" w:space="0" w:color="auto"/>
            </w:tcBorders>
            <w:hideMark/>
          </w:tcPr>
          <w:p w14:paraId="1A7BE598" w14:textId="7D22D195" w:rsidR="006F4300" w:rsidRPr="00873941" w:rsidRDefault="006F4300">
            <w:pPr>
              <w:pStyle w:val="TableText0"/>
              <w:jc w:val="center"/>
              <w:rPr>
                <w:rFonts w:eastAsia="Calibri"/>
                <w:szCs w:val="20"/>
              </w:rPr>
            </w:pPr>
            <w:r w:rsidRPr="00873941">
              <w:rPr>
                <w:rFonts w:eastAsia="Calibri"/>
                <w:szCs w:val="20"/>
              </w:rPr>
              <w:t>-</w:t>
            </w:r>
            <w:r w:rsidR="00471EB9" w:rsidRPr="00471EB9">
              <w:rPr>
                <w:rFonts w:eastAsia="Calibri"/>
                <w:color w:val="000000"/>
                <w:spacing w:val="49"/>
                <w:szCs w:val="20"/>
                <w:shd w:val="solid" w:color="000000" w:fill="000000"/>
                <w:fitText w:val="320" w:id="-694408176"/>
                <w14:textFill>
                  <w14:solidFill>
                    <w14:srgbClr w14:val="000000">
                      <w14:alpha w14:val="100000"/>
                    </w14:srgbClr>
                  </w14:solidFill>
                </w14:textFill>
              </w:rPr>
              <w:t>|||</w:t>
            </w:r>
            <w:r w:rsidR="00471EB9" w:rsidRPr="00471EB9">
              <w:rPr>
                <w:rFonts w:eastAsia="Calibri"/>
                <w:color w:val="000000"/>
                <w:spacing w:val="3"/>
                <w:szCs w:val="20"/>
                <w:shd w:val="solid" w:color="000000" w:fill="000000"/>
                <w:fitText w:val="320" w:id="-694408176"/>
                <w14:textFill>
                  <w14:solidFill>
                    <w14:srgbClr w14:val="000000">
                      <w14:alpha w14:val="100000"/>
                    </w14:srgbClr>
                  </w14:solidFill>
                </w14:textFill>
              </w:rPr>
              <w:t>|</w:t>
            </w:r>
            <w:r w:rsidRPr="00873941">
              <w:rPr>
                <w:rFonts w:eastAsia="Calibri"/>
                <w:szCs w:val="20"/>
              </w:rPr>
              <w:t>%</w:t>
            </w:r>
          </w:p>
        </w:tc>
      </w:tr>
      <w:tr w:rsidR="006F4300" w:rsidRPr="00873941" w14:paraId="10D37548" w14:textId="77777777" w:rsidTr="00471EB9">
        <w:trPr>
          <w:cantSplit/>
          <w:trHeight w:val="53"/>
        </w:trPr>
        <w:tc>
          <w:tcPr>
            <w:tcW w:w="2043" w:type="pct"/>
            <w:tcBorders>
              <w:top w:val="single" w:sz="4" w:space="0" w:color="auto"/>
              <w:left w:val="single" w:sz="4" w:space="0" w:color="auto"/>
              <w:bottom w:val="single" w:sz="4" w:space="0" w:color="auto"/>
              <w:right w:val="single" w:sz="4" w:space="0" w:color="auto"/>
            </w:tcBorders>
            <w:hideMark/>
          </w:tcPr>
          <w:p w14:paraId="5A1F9618" w14:textId="53B2E502" w:rsidR="006F4300" w:rsidRPr="00873941" w:rsidRDefault="00471EB9">
            <w:pPr>
              <w:pStyle w:val="TableText0"/>
            </w:pPr>
            <w:r w:rsidRPr="00471EB9">
              <w:rPr>
                <w:color w:val="000000"/>
                <w:spacing w:val="53"/>
                <w:shd w:val="solid" w:color="000000" w:fill="000000"/>
                <w:fitText w:val="330" w:id="-694408192"/>
                <w14:textFill>
                  <w14:solidFill>
                    <w14:srgbClr w14:val="000000">
                      <w14:alpha w14:val="100000"/>
                    </w14:srgbClr>
                  </w14:solidFill>
                </w14:textFill>
              </w:rPr>
              <w:t>|||</w:t>
            </w:r>
            <w:r w:rsidRPr="00471EB9">
              <w:rPr>
                <w:color w:val="000000"/>
                <w:spacing w:val="1"/>
                <w:shd w:val="solid" w:color="000000" w:fill="000000"/>
                <w:fitText w:val="330" w:id="-694408192"/>
                <w14:textFill>
                  <w14:solidFill>
                    <w14:srgbClr w14:val="000000">
                      <w14:alpha w14:val="100000"/>
                    </w14:srgbClr>
                  </w14:solidFill>
                </w14:textFill>
              </w:rPr>
              <w:t>|</w:t>
            </w:r>
            <w:r w:rsidR="006F4300" w:rsidRPr="00873941">
              <w:t>%</w:t>
            </w:r>
          </w:p>
        </w:tc>
        <w:tc>
          <w:tcPr>
            <w:tcW w:w="786" w:type="pct"/>
            <w:tcBorders>
              <w:top w:val="single" w:sz="4" w:space="0" w:color="auto"/>
              <w:left w:val="single" w:sz="4" w:space="0" w:color="auto"/>
              <w:bottom w:val="single" w:sz="4" w:space="0" w:color="auto"/>
              <w:right w:val="single" w:sz="4" w:space="0" w:color="auto"/>
            </w:tcBorders>
            <w:shd w:val="solid" w:color="000000" w:fill="000000"/>
            <w:hideMark/>
          </w:tcPr>
          <w:p w14:paraId="08CDEF83" w14:textId="512F6272" w:rsidR="006F4300" w:rsidRPr="008D237C" w:rsidRDefault="00471EB9">
            <w:pPr>
              <w:pStyle w:val="TableText0"/>
              <w:jc w:val="center"/>
              <w:rPr>
                <w:rFonts w:eastAsia="Calibri"/>
                <w:szCs w:val="20"/>
                <w:highlight w:val="darkGray"/>
              </w:rPr>
            </w:pPr>
            <w:r w:rsidRPr="00471EB9">
              <w:rPr>
                <w:rFonts w:eastAsia="Calibri"/>
                <w:color w:val="000000"/>
                <w:spacing w:val="53"/>
                <w:szCs w:val="20"/>
                <w:fitText w:val="330" w:id="-694408191"/>
                <w14:textFill>
                  <w14:solidFill>
                    <w14:srgbClr w14:val="000000">
                      <w14:alpha w14:val="100000"/>
                    </w14:srgbClr>
                  </w14:solidFill>
                </w14:textFill>
              </w:rPr>
              <w:t>|||</w:t>
            </w:r>
            <w:r w:rsidRPr="00471EB9">
              <w:rPr>
                <w:rFonts w:eastAsia="Calibri"/>
                <w:color w:val="000000"/>
                <w:spacing w:val="1"/>
                <w:szCs w:val="20"/>
                <w:fitText w:val="330" w:id="-694408191"/>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hideMark/>
          </w:tcPr>
          <w:p w14:paraId="5F6A316E" w14:textId="77777777" w:rsidR="006F4300" w:rsidRPr="00873941" w:rsidRDefault="006F4300">
            <w:pPr>
              <w:pStyle w:val="TableText0"/>
              <w:jc w:val="center"/>
              <w:rPr>
                <w:rFonts w:eastAsia="Calibri"/>
                <w:szCs w:val="20"/>
              </w:rPr>
            </w:pPr>
            <w:r w:rsidRPr="00873941">
              <w:t>0.1962</w:t>
            </w:r>
          </w:p>
        </w:tc>
        <w:tc>
          <w:tcPr>
            <w:tcW w:w="788" w:type="pct"/>
            <w:tcBorders>
              <w:top w:val="single" w:sz="4" w:space="0" w:color="auto"/>
              <w:left w:val="single" w:sz="4" w:space="0" w:color="auto"/>
              <w:bottom w:val="single" w:sz="4" w:space="0" w:color="auto"/>
              <w:right w:val="single" w:sz="4" w:space="0" w:color="auto"/>
            </w:tcBorders>
            <w:hideMark/>
          </w:tcPr>
          <w:p w14:paraId="07F735B0" w14:textId="48E378E1" w:rsidR="006F4300" w:rsidRPr="00B85A8A" w:rsidRDefault="00471EB9">
            <w:pPr>
              <w:pStyle w:val="TableText0"/>
              <w:jc w:val="center"/>
              <w:rPr>
                <w:rFonts w:eastAsia="Calibri"/>
                <w:szCs w:val="20"/>
                <w:highlight w:val="darkGray"/>
              </w:rPr>
            </w:pPr>
            <w:r w:rsidRPr="00471EB9">
              <w:rPr>
                <w:color w:val="000000"/>
                <w:spacing w:val="53"/>
                <w:shd w:val="solid" w:color="000000" w:fill="000000"/>
                <w:fitText w:val="330" w:id="-694408190"/>
                <w14:textFill>
                  <w14:solidFill>
                    <w14:srgbClr w14:val="000000">
                      <w14:alpha w14:val="100000"/>
                    </w14:srgbClr>
                  </w14:solidFill>
                </w14:textFill>
              </w:rPr>
              <w:t>|||</w:t>
            </w:r>
            <w:r w:rsidRPr="00471EB9">
              <w:rPr>
                <w:color w:val="000000"/>
                <w:spacing w:val="1"/>
                <w:shd w:val="solid" w:color="000000" w:fill="000000"/>
                <w:fitText w:val="330" w:id="-694408190"/>
                <w14:textFill>
                  <w14:solidFill>
                    <w14:srgbClr w14:val="000000">
                      <w14:alpha w14:val="100000"/>
                    </w14:srgbClr>
                  </w14:solidFill>
                </w14:textFill>
              </w:rPr>
              <w:t>|</w:t>
            </w:r>
            <w:r w:rsidR="00EF4F13" w:rsidRPr="00EF4F13">
              <w:rPr>
                <w:vertAlign w:val="superscript"/>
              </w:rPr>
              <w:t>4</w:t>
            </w:r>
          </w:p>
        </w:tc>
        <w:tc>
          <w:tcPr>
            <w:tcW w:w="597" w:type="pct"/>
            <w:tcBorders>
              <w:top w:val="single" w:sz="4" w:space="0" w:color="auto"/>
              <w:left w:val="single" w:sz="4" w:space="0" w:color="auto"/>
              <w:bottom w:val="single" w:sz="4" w:space="0" w:color="auto"/>
              <w:right w:val="single" w:sz="4" w:space="0" w:color="auto"/>
            </w:tcBorders>
            <w:hideMark/>
          </w:tcPr>
          <w:p w14:paraId="31D3438E" w14:textId="138F7A77" w:rsidR="006F4300" w:rsidRPr="00873941" w:rsidRDefault="006F4300">
            <w:pPr>
              <w:pStyle w:val="TableText0"/>
              <w:jc w:val="center"/>
              <w:rPr>
                <w:rFonts w:eastAsia="Calibri"/>
                <w:szCs w:val="20"/>
              </w:rPr>
            </w:pPr>
            <w:r w:rsidRPr="00873941">
              <w:rPr>
                <w:rFonts w:eastAsia="Calibri"/>
                <w:szCs w:val="20"/>
              </w:rPr>
              <w:t>-</w:t>
            </w:r>
            <w:r w:rsidR="00471EB9" w:rsidRPr="00471EB9">
              <w:rPr>
                <w:rFonts w:eastAsia="Calibri"/>
                <w:color w:val="000000"/>
                <w:spacing w:val="49"/>
                <w:szCs w:val="20"/>
                <w:shd w:val="solid" w:color="000000" w:fill="000000"/>
                <w:fitText w:val="320" w:id="-694408189"/>
                <w14:textFill>
                  <w14:solidFill>
                    <w14:srgbClr w14:val="000000">
                      <w14:alpha w14:val="100000"/>
                    </w14:srgbClr>
                  </w14:solidFill>
                </w14:textFill>
              </w:rPr>
              <w:t>|||</w:t>
            </w:r>
            <w:r w:rsidR="00471EB9" w:rsidRPr="00471EB9">
              <w:rPr>
                <w:rFonts w:eastAsia="Calibri"/>
                <w:color w:val="000000"/>
                <w:spacing w:val="3"/>
                <w:szCs w:val="20"/>
                <w:shd w:val="solid" w:color="000000" w:fill="000000"/>
                <w:fitText w:val="320" w:id="-694408189"/>
                <w14:textFill>
                  <w14:solidFill>
                    <w14:srgbClr w14:val="000000">
                      <w14:alpha w14:val="100000"/>
                    </w14:srgbClr>
                  </w14:solidFill>
                </w14:textFill>
              </w:rPr>
              <w:t>|</w:t>
            </w:r>
            <w:r w:rsidRPr="00873941">
              <w:rPr>
                <w:rFonts w:eastAsia="Calibri"/>
                <w:szCs w:val="20"/>
              </w:rPr>
              <w:t>%</w:t>
            </w:r>
          </w:p>
        </w:tc>
      </w:tr>
      <w:tr w:rsidR="006F4300" w:rsidRPr="00873941" w14:paraId="0E8C340D" w14:textId="77777777" w:rsidTr="00534902">
        <w:trPr>
          <w:cantSplit/>
          <w:trHeight w:val="53"/>
        </w:trPr>
        <w:tc>
          <w:tcPr>
            <w:tcW w:w="5000" w:type="pct"/>
            <w:gridSpan w:val="5"/>
            <w:tcBorders>
              <w:top w:val="single" w:sz="4" w:space="0" w:color="auto"/>
              <w:left w:val="single" w:sz="4" w:space="0" w:color="auto"/>
              <w:bottom w:val="single" w:sz="4" w:space="0" w:color="auto"/>
              <w:right w:val="single" w:sz="4" w:space="0" w:color="auto"/>
            </w:tcBorders>
            <w:hideMark/>
          </w:tcPr>
          <w:p w14:paraId="1B4704B4" w14:textId="77777777" w:rsidR="006F4300" w:rsidRPr="00873941" w:rsidRDefault="006F4300">
            <w:pPr>
              <w:pStyle w:val="TableText0"/>
              <w:rPr>
                <w:rFonts w:eastAsia="Calibri"/>
                <w:szCs w:val="20"/>
              </w:rPr>
            </w:pPr>
            <w:r w:rsidRPr="00873941">
              <w:t>Number of neoadjuvant pertuzumab cycles (4.45- base case)</w:t>
            </w:r>
          </w:p>
        </w:tc>
      </w:tr>
      <w:tr w:rsidR="006F4300" w:rsidRPr="00873941" w14:paraId="024CC578" w14:textId="77777777" w:rsidTr="00471EB9">
        <w:trPr>
          <w:cantSplit/>
          <w:trHeight w:val="69"/>
        </w:trPr>
        <w:tc>
          <w:tcPr>
            <w:tcW w:w="2043" w:type="pct"/>
            <w:tcBorders>
              <w:top w:val="single" w:sz="4" w:space="0" w:color="auto"/>
              <w:left w:val="single" w:sz="4" w:space="0" w:color="auto"/>
              <w:bottom w:val="single" w:sz="4" w:space="0" w:color="auto"/>
              <w:right w:val="single" w:sz="4" w:space="0" w:color="auto"/>
            </w:tcBorders>
            <w:hideMark/>
          </w:tcPr>
          <w:p w14:paraId="33B59537" w14:textId="77777777" w:rsidR="006F4300" w:rsidRPr="00873941" w:rsidRDefault="006F4300">
            <w:pPr>
              <w:pStyle w:val="TableText0"/>
            </w:pPr>
            <w:r w:rsidRPr="00873941">
              <w:t>4 cycles</w:t>
            </w:r>
          </w:p>
        </w:tc>
        <w:tc>
          <w:tcPr>
            <w:tcW w:w="786" w:type="pct"/>
            <w:tcBorders>
              <w:top w:val="single" w:sz="4" w:space="0" w:color="auto"/>
              <w:left w:val="single" w:sz="4" w:space="0" w:color="auto"/>
              <w:bottom w:val="single" w:sz="4" w:space="0" w:color="auto"/>
              <w:right w:val="single" w:sz="4" w:space="0" w:color="auto"/>
            </w:tcBorders>
            <w:shd w:val="solid" w:color="000000" w:fill="000000"/>
            <w:hideMark/>
          </w:tcPr>
          <w:p w14:paraId="582A2530" w14:textId="43E0F61F" w:rsidR="006F4300" w:rsidRPr="008D237C" w:rsidRDefault="00471EB9">
            <w:pPr>
              <w:pStyle w:val="TableText0"/>
              <w:jc w:val="center"/>
              <w:rPr>
                <w:rFonts w:eastAsia="Calibri"/>
                <w:szCs w:val="20"/>
                <w:highlight w:val="darkGray"/>
              </w:rPr>
            </w:pPr>
            <w:r w:rsidRPr="00471EB9">
              <w:rPr>
                <w:rFonts w:eastAsia="Calibri"/>
                <w:color w:val="000000"/>
                <w:spacing w:val="53"/>
                <w:szCs w:val="20"/>
                <w:fitText w:val="330" w:id="-694408188"/>
                <w14:textFill>
                  <w14:solidFill>
                    <w14:srgbClr w14:val="000000">
                      <w14:alpha w14:val="100000"/>
                    </w14:srgbClr>
                  </w14:solidFill>
                </w14:textFill>
              </w:rPr>
              <w:t>|||</w:t>
            </w:r>
            <w:r w:rsidRPr="00471EB9">
              <w:rPr>
                <w:rFonts w:eastAsia="Calibri"/>
                <w:color w:val="000000"/>
                <w:spacing w:val="1"/>
                <w:szCs w:val="20"/>
                <w:fitText w:val="330" w:id="-694408188"/>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hideMark/>
          </w:tcPr>
          <w:p w14:paraId="63E183D8" w14:textId="77777777" w:rsidR="006F4300" w:rsidRPr="00873941" w:rsidRDefault="006F4300">
            <w:pPr>
              <w:pStyle w:val="TableText0"/>
              <w:jc w:val="center"/>
            </w:pPr>
            <w:r w:rsidRPr="00873941">
              <w:t>0.152</w:t>
            </w:r>
          </w:p>
        </w:tc>
        <w:tc>
          <w:tcPr>
            <w:tcW w:w="788" w:type="pct"/>
            <w:tcBorders>
              <w:top w:val="single" w:sz="4" w:space="0" w:color="auto"/>
              <w:left w:val="single" w:sz="4" w:space="0" w:color="auto"/>
              <w:bottom w:val="single" w:sz="4" w:space="0" w:color="auto"/>
              <w:right w:val="single" w:sz="4" w:space="0" w:color="auto"/>
            </w:tcBorders>
            <w:hideMark/>
          </w:tcPr>
          <w:p w14:paraId="5D8BD467" w14:textId="28864441" w:rsidR="006F4300" w:rsidRPr="00B85A8A" w:rsidRDefault="00471EB9">
            <w:pPr>
              <w:pStyle w:val="TableText0"/>
              <w:jc w:val="center"/>
              <w:rPr>
                <w:highlight w:val="darkGray"/>
              </w:rPr>
            </w:pPr>
            <w:r w:rsidRPr="00471EB9">
              <w:rPr>
                <w:color w:val="000000"/>
                <w:spacing w:val="53"/>
                <w:shd w:val="solid" w:color="000000" w:fill="000000"/>
                <w:fitText w:val="330" w:id="-694408187"/>
                <w14:textFill>
                  <w14:solidFill>
                    <w14:srgbClr w14:val="000000">
                      <w14:alpha w14:val="100000"/>
                    </w14:srgbClr>
                  </w14:solidFill>
                </w14:textFill>
              </w:rPr>
              <w:t>|||</w:t>
            </w:r>
            <w:r w:rsidRPr="00471EB9">
              <w:rPr>
                <w:color w:val="000000"/>
                <w:spacing w:val="1"/>
                <w:shd w:val="solid" w:color="000000" w:fill="000000"/>
                <w:fitText w:val="330" w:id="-694408187"/>
                <w14:textFill>
                  <w14:solidFill>
                    <w14:srgbClr w14:val="000000">
                      <w14:alpha w14:val="100000"/>
                    </w14:srgbClr>
                  </w14:solidFill>
                </w14:textFill>
              </w:rPr>
              <w:t>|</w:t>
            </w:r>
            <w:r w:rsidR="00EF4F13" w:rsidRPr="00EF4F13">
              <w:rPr>
                <w:vertAlign w:val="superscript"/>
              </w:rPr>
              <w:t>4</w:t>
            </w:r>
          </w:p>
        </w:tc>
        <w:tc>
          <w:tcPr>
            <w:tcW w:w="597" w:type="pct"/>
            <w:tcBorders>
              <w:top w:val="single" w:sz="4" w:space="0" w:color="auto"/>
              <w:left w:val="single" w:sz="4" w:space="0" w:color="auto"/>
              <w:bottom w:val="single" w:sz="4" w:space="0" w:color="auto"/>
              <w:right w:val="single" w:sz="4" w:space="0" w:color="auto"/>
            </w:tcBorders>
            <w:hideMark/>
          </w:tcPr>
          <w:p w14:paraId="58605293" w14:textId="74C4293A" w:rsidR="006F4300" w:rsidRPr="00873941" w:rsidRDefault="00874575">
            <w:pPr>
              <w:pStyle w:val="TableText0"/>
              <w:jc w:val="center"/>
              <w:rPr>
                <w:rFonts w:eastAsia="Calibri"/>
                <w:szCs w:val="20"/>
              </w:rPr>
            </w:pPr>
            <w:r w:rsidRPr="00873941">
              <w:rPr>
                <w:rFonts w:eastAsia="Calibri"/>
                <w:szCs w:val="20"/>
              </w:rPr>
              <w:t>-</w:t>
            </w:r>
            <w:r w:rsidR="00471EB9" w:rsidRPr="00471EB9">
              <w:rPr>
                <w:rFonts w:eastAsia="Calibri"/>
                <w:color w:val="000000"/>
                <w:spacing w:val="49"/>
                <w:szCs w:val="20"/>
                <w:shd w:val="solid" w:color="000000" w:fill="000000"/>
                <w:fitText w:val="320" w:id="-694408186"/>
                <w14:textFill>
                  <w14:solidFill>
                    <w14:srgbClr w14:val="000000">
                      <w14:alpha w14:val="100000"/>
                    </w14:srgbClr>
                  </w14:solidFill>
                </w14:textFill>
              </w:rPr>
              <w:t>|||</w:t>
            </w:r>
            <w:r w:rsidR="00471EB9" w:rsidRPr="00471EB9">
              <w:rPr>
                <w:rFonts w:eastAsia="Calibri"/>
                <w:color w:val="000000"/>
                <w:spacing w:val="3"/>
                <w:szCs w:val="20"/>
                <w:shd w:val="solid" w:color="000000" w:fill="000000"/>
                <w:fitText w:val="320" w:id="-694408186"/>
                <w14:textFill>
                  <w14:solidFill>
                    <w14:srgbClr w14:val="000000">
                      <w14:alpha w14:val="100000"/>
                    </w14:srgbClr>
                  </w14:solidFill>
                </w14:textFill>
              </w:rPr>
              <w:t>|</w:t>
            </w:r>
            <w:r w:rsidR="006F4300" w:rsidRPr="00873941">
              <w:rPr>
                <w:rFonts w:eastAsia="Calibri"/>
                <w:szCs w:val="20"/>
              </w:rPr>
              <w:t>%</w:t>
            </w:r>
          </w:p>
        </w:tc>
      </w:tr>
      <w:tr w:rsidR="006F4300" w:rsidRPr="00873941" w14:paraId="38D16F80" w14:textId="77777777" w:rsidTr="00471EB9">
        <w:trPr>
          <w:cantSplit/>
          <w:trHeight w:val="53"/>
        </w:trPr>
        <w:tc>
          <w:tcPr>
            <w:tcW w:w="2043" w:type="pct"/>
            <w:tcBorders>
              <w:top w:val="single" w:sz="4" w:space="0" w:color="auto"/>
              <w:left w:val="single" w:sz="4" w:space="0" w:color="auto"/>
              <w:bottom w:val="single" w:sz="4" w:space="0" w:color="auto"/>
              <w:right w:val="single" w:sz="4" w:space="0" w:color="auto"/>
            </w:tcBorders>
            <w:hideMark/>
          </w:tcPr>
          <w:p w14:paraId="56404DEE" w14:textId="77777777" w:rsidR="006F4300" w:rsidRPr="00873941" w:rsidRDefault="006F4300">
            <w:pPr>
              <w:pStyle w:val="TableText0"/>
            </w:pPr>
            <w:r w:rsidRPr="00873941">
              <w:t>6 cycles</w:t>
            </w:r>
          </w:p>
        </w:tc>
        <w:tc>
          <w:tcPr>
            <w:tcW w:w="786" w:type="pct"/>
            <w:tcBorders>
              <w:top w:val="single" w:sz="4" w:space="0" w:color="auto"/>
              <w:left w:val="single" w:sz="4" w:space="0" w:color="auto"/>
              <w:bottom w:val="single" w:sz="4" w:space="0" w:color="auto"/>
              <w:right w:val="single" w:sz="4" w:space="0" w:color="auto"/>
            </w:tcBorders>
            <w:shd w:val="solid" w:color="000000" w:fill="000000"/>
            <w:hideMark/>
          </w:tcPr>
          <w:p w14:paraId="7BFA8C49" w14:textId="29E079E5" w:rsidR="006F4300" w:rsidRPr="008D237C" w:rsidRDefault="00471EB9">
            <w:pPr>
              <w:pStyle w:val="TableText0"/>
              <w:jc w:val="center"/>
              <w:rPr>
                <w:rFonts w:eastAsia="Calibri"/>
                <w:szCs w:val="20"/>
                <w:highlight w:val="darkGray"/>
              </w:rPr>
            </w:pPr>
            <w:r w:rsidRPr="00471EB9">
              <w:rPr>
                <w:rFonts w:eastAsia="Calibri"/>
                <w:color w:val="000000"/>
                <w:spacing w:val="53"/>
                <w:szCs w:val="20"/>
                <w:fitText w:val="330" w:id="-694408185"/>
                <w14:textFill>
                  <w14:solidFill>
                    <w14:srgbClr w14:val="000000">
                      <w14:alpha w14:val="100000"/>
                    </w14:srgbClr>
                  </w14:solidFill>
                </w14:textFill>
              </w:rPr>
              <w:t>|||</w:t>
            </w:r>
            <w:r w:rsidRPr="00471EB9">
              <w:rPr>
                <w:rFonts w:eastAsia="Calibri"/>
                <w:color w:val="000000"/>
                <w:spacing w:val="1"/>
                <w:szCs w:val="20"/>
                <w:fitText w:val="330" w:id="-694408185"/>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hideMark/>
          </w:tcPr>
          <w:p w14:paraId="55E4C1C8" w14:textId="77777777" w:rsidR="006F4300" w:rsidRPr="00873941" w:rsidRDefault="006F4300">
            <w:pPr>
              <w:pStyle w:val="TableText0"/>
              <w:jc w:val="center"/>
            </w:pPr>
            <w:r w:rsidRPr="00873941">
              <w:t>0.152</w:t>
            </w:r>
          </w:p>
        </w:tc>
        <w:tc>
          <w:tcPr>
            <w:tcW w:w="788" w:type="pct"/>
            <w:tcBorders>
              <w:top w:val="single" w:sz="4" w:space="0" w:color="auto"/>
              <w:left w:val="single" w:sz="4" w:space="0" w:color="auto"/>
              <w:bottom w:val="single" w:sz="4" w:space="0" w:color="auto"/>
              <w:right w:val="single" w:sz="4" w:space="0" w:color="auto"/>
            </w:tcBorders>
            <w:hideMark/>
          </w:tcPr>
          <w:p w14:paraId="43EAF9D6" w14:textId="67557F7D" w:rsidR="006F4300" w:rsidRPr="00B85A8A" w:rsidRDefault="00471EB9">
            <w:pPr>
              <w:pStyle w:val="TableText0"/>
              <w:jc w:val="center"/>
              <w:rPr>
                <w:highlight w:val="darkGray"/>
              </w:rPr>
            </w:pPr>
            <w:r w:rsidRPr="00471EB9">
              <w:rPr>
                <w:color w:val="000000"/>
                <w:spacing w:val="53"/>
                <w:shd w:val="solid" w:color="000000" w:fill="000000"/>
                <w:fitText w:val="330" w:id="-694408184"/>
                <w14:textFill>
                  <w14:solidFill>
                    <w14:srgbClr w14:val="000000">
                      <w14:alpha w14:val="100000"/>
                    </w14:srgbClr>
                  </w14:solidFill>
                </w14:textFill>
              </w:rPr>
              <w:t>|||</w:t>
            </w:r>
            <w:r w:rsidRPr="00471EB9">
              <w:rPr>
                <w:color w:val="000000"/>
                <w:spacing w:val="1"/>
                <w:shd w:val="solid" w:color="000000" w:fill="000000"/>
                <w:fitText w:val="330" w:id="-694408184"/>
                <w14:textFill>
                  <w14:solidFill>
                    <w14:srgbClr w14:val="000000">
                      <w14:alpha w14:val="100000"/>
                    </w14:srgbClr>
                  </w14:solidFill>
                </w14:textFill>
              </w:rPr>
              <w:t>|</w:t>
            </w:r>
            <w:r w:rsidR="00EF4F13" w:rsidRPr="00EF4F13">
              <w:rPr>
                <w:vertAlign w:val="superscript"/>
              </w:rPr>
              <w:t>5</w:t>
            </w:r>
          </w:p>
        </w:tc>
        <w:tc>
          <w:tcPr>
            <w:tcW w:w="597" w:type="pct"/>
            <w:tcBorders>
              <w:top w:val="single" w:sz="4" w:space="0" w:color="auto"/>
              <w:left w:val="single" w:sz="4" w:space="0" w:color="auto"/>
              <w:bottom w:val="single" w:sz="4" w:space="0" w:color="auto"/>
              <w:right w:val="single" w:sz="4" w:space="0" w:color="auto"/>
            </w:tcBorders>
            <w:hideMark/>
          </w:tcPr>
          <w:p w14:paraId="287F5AF7" w14:textId="1CC2A6E3" w:rsidR="006F4300" w:rsidRPr="00873941" w:rsidRDefault="00471EB9">
            <w:pPr>
              <w:pStyle w:val="TableText0"/>
              <w:jc w:val="center"/>
              <w:rPr>
                <w:rFonts w:eastAsia="Calibri"/>
                <w:szCs w:val="20"/>
              </w:rPr>
            </w:pPr>
            <w:r w:rsidRPr="00471EB9">
              <w:rPr>
                <w:rFonts w:eastAsia="Calibri"/>
                <w:color w:val="000000"/>
                <w:spacing w:val="53"/>
                <w:szCs w:val="20"/>
                <w:shd w:val="solid" w:color="000000" w:fill="000000"/>
                <w:fitText w:val="330" w:id="-694408183"/>
                <w14:textFill>
                  <w14:solidFill>
                    <w14:srgbClr w14:val="000000">
                      <w14:alpha w14:val="100000"/>
                    </w14:srgbClr>
                  </w14:solidFill>
                </w14:textFill>
              </w:rPr>
              <w:t>|||</w:t>
            </w:r>
            <w:r w:rsidRPr="00471EB9">
              <w:rPr>
                <w:rFonts w:eastAsia="Calibri"/>
                <w:color w:val="000000"/>
                <w:spacing w:val="1"/>
                <w:szCs w:val="20"/>
                <w:shd w:val="solid" w:color="000000" w:fill="000000"/>
                <w:fitText w:val="330" w:id="-694408183"/>
                <w14:textFill>
                  <w14:solidFill>
                    <w14:srgbClr w14:val="000000">
                      <w14:alpha w14:val="100000"/>
                    </w14:srgbClr>
                  </w14:solidFill>
                </w14:textFill>
              </w:rPr>
              <w:t>|</w:t>
            </w:r>
            <w:r w:rsidR="006F4300" w:rsidRPr="00873941">
              <w:rPr>
                <w:rFonts w:eastAsia="Calibri"/>
                <w:szCs w:val="20"/>
              </w:rPr>
              <w:t>%</w:t>
            </w:r>
          </w:p>
        </w:tc>
      </w:tr>
      <w:tr w:rsidR="006F4300" w:rsidRPr="00873941" w14:paraId="4392074E" w14:textId="77777777" w:rsidTr="00534902">
        <w:trPr>
          <w:cantSplit/>
          <w:trHeight w:val="53"/>
        </w:trPr>
        <w:tc>
          <w:tcPr>
            <w:tcW w:w="5000" w:type="pct"/>
            <w:gridSpan w:val="5"/>
            <w:tcBorders>
              <w:top w:val="single" w:sz="4" w:space="0" w:color="auto"/>
              <w:left w:val="single" w:sz="4" w:space="0" w:color="auto"/>
              <w:bottom w:val="single" w:sz="4" w:space="0" w:color="auto"/>
              <w:right w:val="single" w:sz="4" w:space="0" w:color="auto"/>
            </w:tcBorders>
            <w:hideMark/>
          </w:tcPr>
          <w:p w14:paraId="55AF5D10" w14:textId="77777777" w:rsidR="006F4300" w:rsidRPr="00873941" w:rsidRDefault="006F4300">
            <w:pPr>
              <w:pStyle w:val="TableText0"/>
              <w:rPr>
                <w:rFonts w:eastAsia="Calibri"/>
                <w:szCs w:val="20"/>
              </w:rPr>
            </w:pPr>
            <w:r w:rsidRPr="00873941">
              <w:t>Relative risk of disease recurrence (HR=0.35 -base case)</w:t>
            </w:r>
          </w:p>
        </w:tc>
      </w:tr>
      <w:tr w:rsidR="006F4300" w:rsidRPr="00873941" w14:paraId="576DEDA5" w14:textId="77777777" w:rsidTr="00471EB9">
        <w:trPr>
          <w:cantSplit/>
          <w:trHeight w:val="138"/>
        </w:trPr>
        <w:tc>
          <w:tcPr>
            <w:tcW w:w="2043" w:type="pct"/>
            <w:tcBorders>
              <w:top w:val="single" w:sz="4" w:space="0" w:color="auto"/>
              <w:left w:val="single" w:sz="4" w:space="0" w:color="auto"/>
              <w:bottom w:val="single" w:sz="4" w:space="0" w:color="auto"/>
              <w:right w:val="single" w:sz="4" w:space="0" w:color="auto"/>
            </w:tcBorders>
            <w:hideMark/>
          </w:tcPr>
          <w:p w14:paraId="542F02AB" w14:textId="77777777" w:rsidR="006F4300" w:rsidRPr="00873941" w:rsidRDefault="006F4300">
            <w:pPr>
              <w:pStyle w:val="TableText0"/>
            </w:pPr>
            <w:r w:rsidRPr="00873941">
              <w:t>0.27 (95% LCL, Swain 2022)</w:t>
            </w:r>
          </w:p>
        </w:tc>
        <w:tc>
          <w:tcPr>
            <w:tcW w:w="786" w:type="pct"/>
            <w:tcBorders>
              <w:top w:val="single" w:sz="4" w:space="0" w:color="auto"/>
              <w:left w:val="single" w:sz="4" w:space="0" w:color="auto"/>
              <w:bottom w:val="single" w:sz="4" w:space="0" w:color="auto"/>
              <w:right w:val="single" w:sz="4" w:space="0" w:color="auto"/>
            </w:tcBorders>
            <w:shd w:val="solid" w:color="000000" w:fill="000000"/>
            <w:hideMark/>
          </w:tcPr>
          <w:p w14:paraId="2A8630F7" w14:textId="3428FDD5" w:rsidR="006F4300" w:rsidRPr="008D237C" w:rsidRDefault="00471EB9">
            <w:pPr>
              <w:pStyle w:val="TableText0"/>
              <w:jc w:val="center"/>
              <w:rPr>
                <w:rFonts w:eastAsia="Calibri"/>
                <w:szCs w:val="20"/>
                <w:highlight w:val="darkGray"/>
              </w:rPr>
            </w:pPr>
            <w:r w:rsidRPr="00471EB9">
              <w:rPr>
                <w:rFonts w:eastAsia="Calibri"/>
                <w:color w:val="000000"/>
                <w:spacing w:val="53"/>
                <w:szCs w:val="20"/>
                <w:fitText w:val="330" w:id="-694408182"/>
                <w14:textFill>
                  <w14:solidFill>
                    <w14:srgbClr w14:val="000000">
                      <w14:alpha w14:val="100000"/>
                    </w14:srgbClr>
                  </w14:solidFill>
                </w14:textFill>
              </w:rPr>
              <w:t>|||</w:t>
            </w:r>
            <w:r w:rsidRPr="00471EB9">
              <w:rPr>
                <w:rFonts w:eastAsia="Calibri"/>
                <w:color w:val="000000"/>
                <w:spacing w:val="1"/>
                <w:szCs w:val="20"/>
                <w:fitText w:val="330" w:id="-694408182"/>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hideMark/>
          </w:tcPr>
          <w:p w14:paraId="79113B35" w14:textId="77777777" w:rsidR="006F4300" w:rsidRPr="00873941" w:rsidRDefault="006F4300">
            <w:pPr>
              <w:pStyle w:val="TableText0"/>
              <w:jc w:val="center"/>
            </w:pPr>
            <w:r w:rsidRPr="00873941">
              <w:t>0.194</w:t>
            </w:r>
          </w:p>
        </w:tc>
        <w:tc>
          <w:tcPr>
            <w:tcW w:w="788" w:type="pct"/>
            <w:tcBorders>
              <w:top w:val="single" w:sz="4" w:space="0" w:color="auto"/>
              <w:left w:val="single" w:sz="4" w:space="0" w:color="auto"/>
              <w:bottom w:val="single" w:sz="4" w:space="0" w:color="auto"/>
              <w:right w:val="single" w:sz="4" w:space="0" w:color="auto"/>
            </w:tcBorders>
            <w:hideMark/>
          </w:tcPr>
          <w:p w14:paraId="25196B66" w14:textId="65539F23" w:rsidR="006F4300" w:rsidRPr="00B85A8A" w:rsidRDefault="00471EB9">
            <w:pPr>
              <w:pStyle w:val="TableText0"/>
              <w:jc w:val="center"/>
              <w:rPr>
                <w:highlight w:val="darkGray"/>
              </w:rPr>
            </w:pPr>
            <w:r w:rsidRPr="00471EB9">
              <w:rPr>
                <w:color w:val="000000"/>
                <w:spacing w:val="53"/>
                <w:shd w:val="solid" w:color="000000" w:fill="000000"/>
                <w:fitText w:val="330" w:id="-694408181"/>
                <w14:textFill>
                  <w14:solidFill>
                    <w14:srgbClr w14:val="000000">
                      <w14:alpha w14:val="100000"/>
                    </w14:srgbClr>
                  </w14:solidFill>
                </w14:textFill>
              </w:rPr>
              <w:t>|||</w:t>
            </w:r>
            <w:r w:rsidRPr="00471EB9">
              <w:rPr>
                <w:color w:val="000000"/>
                <w:spacing w:val="1"/>
                <w:shd w:val="solid" w:color="000000" w:fill="000000"/>
                <w:fitText w:val="330" w:id="-694408181"/>
                <w14:textFill>
                  <w14:solidFill>
                    <w14:srgbClr w14:val="000000">
                      <w14:alpha w14:val="100000"/>
                    </w14:srgbClr>
                  </w14:solidFill>
                </w14:textFill>
              </w:rPr>
              <w:t>|</w:t>
            </w:r>
            <w:r w:rsidR="00EF4F13" w:rsidRPr="00EF4F13">
              <w:rPr>
                <w:vertAlign w:val="superscript"/>
              </w:rPr>
              <w:t>4</w:t>
            </w:r>
          </w:p>
        </w:tc>
        <w:tc>
          <w:tcPr>
            <w:tcW w:w="597" w:type="pct"/>
            <w:tcBorders>
              <w:top w:val="single" w:sz="4" w:space="0" w:color="auto"/>
              <w:left w:val="single" w:sz="4" w:space="0" w:color="auto"/>
              <w:bottom w:val="single" w:sz="4" w:space="0" w:color="auto"/>
              <w:right w:val="single" w:sz="4" w:space="0" w:color="auto"/>
            </w:tcBorders>
            <w:hideMark/>
          </w:tcPr>
          <w:p w14:paraId="5B39E75E" w14:textId="0D30388D" w:rsidR="006F4300" w:rsidRPr="00873941" w:rsidRDefault="007E2715">
            <w:pPr>
              <w:pStyle w:val="TableText0"/>
              <w:jc w:val="center"/>
              <w:rPr>
                <w:rFonts w:eastAsia="Calibri"/>
                <w:szCs w:val="20"/>
              </w:rPr>
            </w:pPr>
            <w:r>
              <w:rPr>
                <w:rFonts w:eastAsia="Calibri"/>
                <w:szCs w:val="20"/>
              </w:rPr>
              <w:t>-</w:t>
            </w:r>
            <w:r w:rsidR="00471EB9" w:rsidRPr="00471EB9">
              <w:rPr>
                <w:rFonts w:eastAsia="Calibri"/>
                <w:color w:val="000000"/>
                <w:spacing w:val="49"/>
                <w:szCs w:val="20"/>
                <w:shd w:val="solid" w:color="000000" w:fill="000000"/>
                <w:fitText w:val="320" w:id="-694408180"/>
                <w14:textFill>
                  <w14:solidFill>
                    <w14:srgbClr w14:val="000000">
                      <w14:alpha w14:val="100000"/>
                    </w14:srgbClr>
                  </w14:solidFill>
                </w14:textFill>
              </w:rPr>
              <w:t>|||</w:t>
            </w:r>
            <w:r w:rsidR="00471EB9" w:rsidRPr="00471EB9">
              <w:rPr>
                <w:rFonts w:eastAsia="Calibri"/>
                <w:color w:val="000000"/>
                <w:spacing w:val="3"/>
                <w:szCs w:val="20"/>
                <w:shd w:val="solid" w:color="000000" w:fill="000000"/>
                <w:fitText w:val="320" w:id="-694408180"/>
                <w14:textFill>
                  <w14:solidFill>
                    <w14:srgbClr w14:val="000000">
                      <w14:alpha w14:val="100000"/>
                    </w14:srgbClr>
                  </w14:solidFill>
                </w14:textFill>
              </w:rPr>
              <w:t>|</w:t>
            </w:r>
            <w:r w:rsidR="006F4300" w:rsidRPr="00873941">
              <w:rPr>
                <w:rFonts w:eastAsia="Calibri"/>
                <w:szCs w:val="20"/>
              </w:rPr>
              <w:t>%</w:t>
            </w:r>
          </w:p>
        </w:tc>
      </w:tr>
      <w:tr w:rsidR="006F4300" w:rsidRPr="00873941" w14:paraId="101AE16A" w14:textId="77777777" w:rsidTr="00471EB9">
        <w:trPr>
          <w:cantSplit/>
          <w:trHeight w:val="97"/>
        </w:trPr>
        <w:tc>
          <w:tcPr>
            <w:tcW w:w="2043" w:type="pct"/>
            <w:tcBorders>
              <w:top w:val="single" w:sz="4" w:space="0" w:color="auto"/>
              <w:left w:val="single" w:sz="4" w:space="0" w:color="auto"/>
              <w:bottom w:val="single" w:sz="4" w:space="0" w:color="auto"/>
              <w:right w:val="single" w:sz="4" w:space="0" w:color="auto"/>
            </w:tcBorders>
            <w:hideMark/>
          </w:tcPr>
          <w:p w14:paraId="63754C07" w14:textId="1952F74C" w:rsidR="006F4300" w:rsidRPr="00873941" w:rsidRDefault="006F4300">
            <w:pPr>
              <w:pStyle w:val="TableText0"/>
              <w:rPr>
                <w:vertAlign w:val="superscript"/>
              </w:rPr>
            </w:pPr>
            <w:r w:rsidRPr="00873941">
              <w:t>0.49 (95% UCL, Swain 2022)</w:t>
            </w:r>
            <w:r w:rsidR="000D67D3" w:rsidRPr="00873941">
              <w:rPr>
                <w:vertAlign w:val="superscript"/>
              </w:rPr>
              <w:t>a</w:t>
            </w:r>
          </w:p>
          <w:p w14:paraId="2F42AD62" w14:textId="61558316" w:rsidR="000D67D3" w:rsidRPr="00873941" w:rsidRDefault="000D67D3">
            <w:pPr>
              <w:pStyle w:val="TableText0"/>
            </w:pPr>
            <w:r w:rsidRPr="00873941">
              <w:t>0.46</w:t>
            </w:r>
          </w:p>
        </w:tc>
        <w:tc>
          <w:tcPr>
            <w:tcW w:w="786" w:type="pct"/>
            <w:tcBorders>
              <w:top w:val="single" w:sz="4" w:space="0" w:color="auto"/>
              <w:left w:val="single" w:sz="4" w:space="0" w:color="auto"/>
              <w:bottom w:val="single" w:sz="4" w:space="0" w:color="auto"/>
              <w:right w:val="single" w:sz="4" w:space="0" w:color="auto"/>
            </w:tcBorders>
            <w:shd w:val="solid" w:color="000000" w:fill="000000"/>
            <w:hideMark/>
          </w:tcPr>
          <w:p w14:paraId="2C02454C" w14:textId="7A318AA5" w:rsidR="000E70AD" w:rsidRPr="008D237C" w:rsidRDefault="00471EB9">
            <w:pPr>
              <w:pStyle w:val="TableText0"/>
              <w:jc w:val="center"/>
              <w:rPr>
                <w:rFonts w:eastAsia="Calibri"/>
                <w:szCs w:val="20"/>
                <w:highlight w:val="darkGray"/>
              </w:rPr>
            </w:pPr>
            <w:r w:rsidRPr="00471EB9">
              <w:rPr>
                <w:rFonts w:eastAsia="Calibri"/>
                <w:color w:val="000000"/>
                <w:spacing w:val="53"/>
                <w:szCs w:val="20"/>
                <w:fitText w:val="330" w:id="-694408179"/>
                <w14:textFill>
                  <w14:solidFill>
                    <w14:srgbClr w14:val="000000">
                      <w14:alpha w14:val="100000"/>
                    </w14:srgbClr>
                  </w14:solidFill>
                </w14:textFill>
              </w:rPr>
              <w:t>|||</w:t>
            </w:r>
            <w:r w:rsidRPr="00471EB9">
              <w:rPr>
                <w:rFonts w:eastAsia="Calibri"/>
                <w:color w:val="000000"/>
                <w:spacing w:val="1"/>
                <w:szCs w:val="20"/>
                <w:fitText w:val="330" w:id="-694408179"/>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hideMark/>
          </w:tcPr>
          <w:p w14:paraId="529F37CB" w14:textId="77777777" w:rsidR="006F4300" w:rsidRPr="00873941" w:rsidRDefault="006F4300">
            <w:pPr>
              <w:pStyle w:val="TableText0"/>
              <w:jc w:val="center"/>
            </w:pPr>
            <w:r w:rsidRPr="00873941">
              <w:t>0.082</w:t>
            </w:r>
          </w:p>
          <w:p w14:paraId="6E292D07" w14:textId="4AAADD68" w:rsidR="000E70AD" w:rsidRPr="00873941" w:rsidRDefault="000E70AD">
            <w:pPr>
              <w:pStyle w:val="TableText0"/>
              <w:jc w:val="center"/>
            </w:pPr>
            <w:r w:rsidRPr="00873941">
              <w:t>0.097</w:t>
            </w:r>
          </w:p>
        </w:tc>
        <w:tc>
          <w:tcPr>
            <w:tcW w:w="788" w:type="pct"/>
            <w:tcBorders>
              <w:top w:val="single" w:sz="4" w:space="0" w:color="auto"/>
              <w:left w:val="single" w:sz="4" w:space="0" w:color="auto"/>
              <w:bottom w:val="single" w:sz="4" w:space="0" w:color="auto"/>
              <w:right w:val="single" w:sz="4" w:space="0" w:color="auto"/>
            </w:tcBorders>
            <w:hideMark/>
          </w:tcPr>
          <w:p w14:paraId="3CB15D21" w14:textId="414D3486" w:rsidR="000E70AD" w:rsidRPr="00B85A8A" w:rsidRDefault="00471EB9">
            <w:pPr>
              <w:pStyle w:val="TableText0"/>
              <w:jc w:val="center"/>
              <w:rPr>
                <w:highlight w:val="darkGray"/>
              </w:rPr>
            </w:pPr>
            <w:r w:rsidRPr="00471EB9">
              <w:rPr>
                <w:color w:val="000000"/>
                <w:spacing w:val="49"/>
                <w:shd w:val="solid" w:color="000000" w:fill="000000"/>
                <w:fitText w:val="320" w:id="-694408178"/>
                <w14:textFill>
                  <w14:solidFill>
                    <w14:srgbClr w14:val="000000">
                      <w14:alpha w14:val="100000"/>
                    </w14:srgbClr>
                  </w14:solidFill>
                </w14:textFill>
              </w:rPr>
              <w:t>|||</w:t>
            </w:r>
            <w:r w:rsidRPr="00471EB9">
              <w:rPr>
                <w:color w:val="000000"/>
                <w:spacing w:val="3"/>
                <w:shd w:val="solid" w:color="000000" w:fill="000000"/>
                <w:fitText w:val="320" w:id="-694408178"/>
                <w14:textFill>
                  <w14:solidFill>
                    <w14:srgbClr w14:val="000000">
                      <w14:alpha w14:val="100000"/>
                    </w14:srgbClr>
                  </w14:solidFill>
                </w14:textFill>
              </w:rPr>
              <w:t>|</w:t>
            </w:r>
            <w:r w:rsidR="006825EA" w:rsidRPr="006825EA">
              <w:rPr>
                <w:vertAlign w:val="superscript"/>
              </w:rPr>
              <w:t>6</w:t>
            </w:r>
            <w:r w:rsidRPr="00471EB9">
              <w:rPr>
                <w:color w:val="000000"/>
                <w:spacing w:val="53"/>
                <w:shd w:val="solid" w:color="000000" w:fill="000000"/>
                <w:fitText w:val="330" w:id="-694408177"/>
                <w14:textFill>
                  <w14:solidFill>
                    <w14:srgbClr w14:val="000000">
                      <w14:alpha w14:val="100000"/>
                    </w14:srgbClr>
                  </w14:solidFill>
                </w14:textFill>
              </w:rPr>
              <w:t>|||</w:t>
            </w:r>
            <w:r w:rsidRPr="00471EB9">
              <w:rPr>
                <w:color w:val="000000"/>
                <w:spacing w:val="1"/>
                <w:shd w:val="solid" w:color="000000" w:fill="000000"/>
                <w:fitText w:val="330" w:id="-694408177"/>
                <w14:textFill>
                  <w14:solidFill>
                    <w14:srgbClr w14:val="000000">
                      <w14:alpha w14:val="100000"/>
                    </w14:srgbClr>
                  </w14:solidFill>
                </w14:textFill>
              </w:rPr>
              <w:t>|</w:t>
            </w:r>
            <w:r w:rsidR="001F182C" w:rsidRPr="00EF4F13">
              <w:rPr>
                <w:vertAlign w:val="superscript"/>
              </w:rPr>
              <w:t>5</w:t>
            </w:r>
          </w:p>
        </w:tc>
        <w:tc>
          <w:tcPr>
            <w:tcW w:w="597" w:type="pct"/>
            <w:tcBorders>
              <w:top w:val="single" w:sz="4" w:space="0" w:color="auto"/>
              <w:left w:val="single" w:sz="4" w:space="0" w:color="auto"/>
              <w:bottom w:val="single" w:sz="4" w:space="0" w:color="auto"/>
              <w:right w:val="single" w:sz="4" w:space="0" w:color="auto"/>
            </w:tcBorders>
            <w:hideMark/>
          </w:tcPr>
          <w:p w14:paraId="1275FE00" w14:textId="2E4AC982" w:rsidR="006F4300" w:rsidRPr="00873941" w:rsidRDefault="00471EB9">
            <w:pPr>
              <w:pStyle w:val="TableText0"/>
              <w:jc w:val="center"/>
              <w:rPr>
                <w:rFonts w:eastAsia="Calibri"/>
                <w:szCs w:val="20"/>
              </w:rPr>
            </w:pPr>
            <w:r w:rsidRPr="00471EB9">
              <w:rPr>
                <w:rFonts w:eastAsia="Calibri"/>
                <w:color w:val="000000"/>
                <w:spacing w:val="53"/>
                <w:szCs w:val="20"/>
                <w:shd w:val="solid" w:color="000000" w:fill="000000"/>
                <w:fitText w:val="330" w:id="-694408176"/>
                <w14:textFill>
                  <w14:solidFill>
                    <w14:srgbClr w14:val="000000">
                      <w14:alpha w14:val="100000"/>
                    </w14:srgbClr>
                  </w14:solidFill>
                </w14:textFill>
              </w:rPr>
              <w:t>|||</w:t>
            </w:r>
            <w:r w:rsidRPr="00471EB9">
              <w:rPr>
                <w:rFonts w:eastAsia="Calibri"/>
                <w:color w:val="000000"/>
                <w:spacing w:val="1"/>
                <w:szCs w:val="20"/>
                <w:shd w:val="solid" w:color="000000" w:fill="000000"/>
                <w:fitText w:val="330" w:id="-694408176"/>
                <w14:textFill>
                  <w14:solidFill>
                    <w14:srgbClr w14:val="000000">
                      <w14:alpha w14:val="100000"/>
                    </w14:srgbClr>
                  </w14:solidFill>
                </w14:textFill>
              </w:rPr>
              <w:t>|</w:t>
            </w:r>
            <w:r w:rsidR="006F4300" w:rsidRPr="00B30EA5">
              <w:rPr>
                <w:rFonts w:eastAsia="Calibri"/>
                <w:szCs w:val="20"/>
              </w:rPr>
              <w:t>%</w:t>
            </w:r>
          </w:p>
          <w:p w14:paraId="7B4E90EE" w14:textId="3F08790D" w:rsidR="000E70AD" w:rsidRPr="00873941" w:rsidRDefault="00471EB9">
            <w:pPr>
              <w:pStyle w:val="TableText0"/>
              <w:jc w:val="center"/>
              <w:rPr>
                <w:rFonts w:eastAsia="Calibri"/>
                <w:szCs w:val="20"/>
              </w:rPr>
            </w:pPr>
            <w:r w:rsidRPr="00471EB9">
              <w:rPr>
                <w:rFonts w:eastAsia="Calibri"/>
                <w:color w:val="000000"/>
                <w:spacing w:val="53"/>
                <w:szCs w:val="20"/>
                <w:shd w:val="solid" w:color="000000" w:fill="000000"/>
                <w:fitText w:val="330" w:id="-694408192"/>
                <w14:textFill>
                  <w14:solidFill>
                    <w14:srgbClr w14:val="000000">
                      <w14:alpha w14:val="100000"/>
                    </w14:srgbClr>
                  </w14:solidFill>
                </w14:textFill>
              </w:rPr>
              <w:t>|||</w:t>
            </w:r>
            <w:r w:rsidRPr="00471EB9">
              <w:rPr>
                <w:rFonts w:eastAsia="Calibri"/>
                <w:color w:val="000000"/>
                <w:spacing w:val="1"/>
                <w:szCs w:val="20"/>
                <w:shd w:val="solid" w:color="000000" w:fill="000000"/>
                <w:fitText w:val="330" w:id="-694408192"/>
                <w14:textFill>
                  <w14:solidFill>
                    <w14:srgbClr w14:val="000000">
                      <w14:alpha w14:val="100000"/>
                    </w14:srgbClr>
                  </w14:solidFill>
                </w14:textFill>
              </w:rPr>
              <w:t>|</w:t>
            </w:r>
            <w:r w:rsidR="000E70AD" w:rsidRPr="00873941">
              <w:rPr>
                <w:rFonts w:eastAsia="Calibri"/>
                <w:szCs w:val="20"/>
              </w:rPr>
              <w:t>%</w:t>
            </w:r>
          </w:p>
        </w:tc>
      </w:tr>
      <w:tr w:rsidR="00CF356D" w:rsidRPr="00873941" w14:paraId="4B5381FC" w14:textId="77777777" w:rsidTr="00471EB9">
        <w:trPr>
          <w:cantSplit/>
          <w:trHeight w:val="97"/>
        </w:trPr>
        <w:tc>
          <w:tcPr>
            <w:tcW w:w="2043" w:type="pct"/>
            <w:tcBorders>
              <w:top w:val="single" w:sz="4" w:space="0" w:color="auto"/>
              <w:left w:val="single" w:sz="4" w:space="0" w:color="auto"/>
              <w:bottom w:val="single" w:sz="4" w:space="0" w:color="auto"/>
              <w:right w:val="single" w:sz="4" w:space="0" w:color="auto"/>
            </w:tcBorders>
          </w:tcPr>
          <w:p w14:paraId="4D8D6F99" w14:textId="7300FA2E" w:rsidR="00CF356D" w:rsidRPr="00873941" w:rsidRDefault="00CF356D">
            <w:pPr>
              <w:pStyle w:val="TableText0"/>
            </w:pPr>
            <w:r w:rsidRPr="00873941">
              <w:t>0.54</w:t>
            </w:r>
            <w:r w:rsidR="000D67D3" w:rsidRPr="00873941">
              <w:rPr>
                <w:vertAlign w:val="superscript"/>
              </w:rPr>
              <w:t>b</w:t>
            </w:r>
            <w:r w:rsidR="006260D2" w:rsidRPr="00873941">
              <w:t xml:space="preserve"> (NEOSPHERE trial)</w:t>
            </w:r>
          </w:p>
        </w:tc>
        <w:tc>
          <w:tcPr>
            <w:tcW w:w="786" w:type="pct"/>
            <w:tcBorders>
              <w:top w:val="single" w:sz="4" w:space="0" w:color="auto"/>
              <w:left w:val="single" w:sz="4" w:space="0" w:color="auto"/>
              <w:bottom w:val="single" w:sz="4" w:space="0" w:color="auto"/>
              <w:right w:val="single" w:sz="4" w:space="0" w:color="auto"/>
            </w:tcBorders>
            <w:shd w:val="solid" w:color="000000" w:fill="000000"/>
          </w:tcPr>
          <w:p w14:paraId="45FF225D" w14:textId="100F071E" w:rsidR="00CF356D" w:rsidRPr="008D237C" w:rsidRDefault="00471EB9">
            <w:pPr>
              <w:pStyle w:val="TableText0"/>
              <w:jc w:val="center"/>
              <w:rPr>
                <w:rFonts w:eastAsia="Calibri"/>
                <w:szCs w:val="20"/>
                <w:highlight w:val="darkGray"/>
              </w:rPr>
            </w:pPr>
            <w:r w:rsidRPr="00471EB9">
              <w:rPr>
                <w:rFonts w:eastAsia="Calibri"/>
                <w:color w:val="000000"/>
                <w:spacing w:val="53"/>
                <w:szCs w:val="20"/>
                <w:fitText w:val="330" w:id="-694408191"/>
                <w14:textFill>
                  <w14:solidFill>
                    <w14:srgbClr w14:val="000000">
                      <w14:alpha w14:val="100000"/>
                    </w14:srgbClr>
                  </w14:solidFill>
                </w14:textFill>
              </w:rPr>
              <w:t>|||</w:t>
            </w:r>
            <w:r w:rsidRPr="00471EB9">
              <w:rPr>
                <w:rFonts w:eastAsia="Calibri"/>
                <w:color w:val="000000"/>
                <w:spacing w:val="1"/>
                <w:szCs w:val="20"/>
                <w:fitText w:val="330" w:id="-694408191"/>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tcPr>
          <w:p w14:paraId="67D62532" w14:textId="3B4CAA55" w:rsidR="00CF356D" w:rsidRPr="00873941" w:rsidRDefault="006260D2">
            <w:pPr>
              <w:pStyle w:val="TableText0"/>
              <w:jc w:val="center"/>
            </w:pPr>
            <w:r w:rsidRPr="00873941">
              <w:t>0.058</w:t>
            </w:r>
          </w:p>
        </w:tc>
        <w:tc>
          <w:tcPr>
            <w:tcW w:w="788" w:type="pct"/>
            <w:tcBorders>
              <w:top w:val="single" w:sz="4" w:space="0" w:color="auto"/>
              <w:left w:val="single" w:sz="4" w:space="0" w:color="auto"/>
              <w:bottom w:val="single" w:sz="4" w:space="0" w:color="auto"/>
              <w:right w:val="single" w:sz="4" w:space="0" w:color="auto"/>
            </w:tcBorders>
          </w:tcPr>
          <w:p w14:paraId="1D5DE015" w14:textId="611832BE" w:rsidR="00CF356D" w:rsidRPr="00B85A8A" w:rsidRDefault="00471EB9">
            <w:pPr>
              <w:pStyle w:val="TableText0"/>
              <w:jc w:val="center"/>
              <w:rPr>
                <w:highlight w:val="darkGray"/>
              </w:rPr>
            </w:pPr>
            <w:r w:rsidRPr="00471EB9">
              <w:rPr>
                <w:color w:val="000000"/>
                <w:spacing w:val="53"/>
                <w:shd w:val="solid" w:color="000000" w:fill="000000"/>
                <w:fitText w:val="330" w:id="-694408190"/>
                <w14:textFill>
                  <w14:solidFill>
                    <w14:srgbClr w14:val="000000">
                      <w14:alpha w14:val="100000"/>
                    </w14:srgbClr>
                  </w14:solidFill>
                </w14:textFill>
              </w:rPr>
              <w:t>|||</w:t>
            </w:r>
            <w:r w:rsidRPr="00471EB9">
              <w:rPr>
                <w:color w:val="000000"/>
                <w:spacing w:val="1"/>
                <w:shd w:val="solid" w:color="000000" w:fill="000000"/>
                <w:fitText w:val="330" w:id="-694408190"/>
                <w14:textFill>
                  <w14:solidFill>
                    <w14:srgbClr w14:val="000000">
                      <w14:alpha w14:val="100000"/>
                    </w14:srgbClr>
                  </w14:solidFill>
                </w14:textFill>
              </w:rPr>
              <w:t>|</w:t>
            </w:r>
            <w:r w:rsidR="00D9218E" w:rsidRPr="00D9218E">
              <w:rPr>
                <w:vertAlign w:val="superscript"/>
              </w:rPr>
              <w:t>7</w:t>
            </w:r>
          </w:p>
        </w:tc>
        <w:tc>
          <w:tcPr>
            <w:tcW w:w="597" w:type="pct"/>
            <w:tcBorders>
              <w:top w:val="single" w:sz="4" w:space="0" w:color="auto"/>
              <w:left w:val="single" w:sz="4" w:space="0" w:color="auto"/>
              <w:bottom w:val="single" w:sz="4" w:space="0" w:color="auto"/>
              <w:right w:val="single" w:sz="4" w:space="0" w:color="auto"/>
            </w:tcBorders>
          </w:tcPr>
          <w:p w14:paraId="356A5534" w14:textId="622D24FB" w:rsidR="00CF356D" w:rsidRPr="00873941" w:rsidRDefault="00471EB9">
            <w:pPr>
              <w:pStyle w:val="TableText0"/>
              <w:jc w:val="center"/>
              <w:rPr>
                <w:rFonts w:eastAsia="Calibri"/>
                <w:szCs w:val="20"/>
              </w:rPr>
            </w:pPr>
            <w:r w:rsidRPr="00471EB9">
              <w:rPr>
                <w:rFonts w:eastAsia="Calibri"/>
                <w:color w:val="000000"/>
                <w:spacing w:val="53"/>
                <w:szCs w:val="20"/>
                <w:shd w:val="solid" w:color="000000" w:fill="000000"/>
                <w:fitText w:val="330" w:id="-694408189"/>
                <w14:textFill>
                  <w14:solidFill>
                    <w14:srgbClr w14:val="000000">
                      <w14:alpha w14:val="100000"/>
                    </w14:srgbClr>
                  </w14:solidFill>
                </w14:textFill>
              </w:rPr>
              <w:t>|||</w:t>
            </w:r>
            <w:r w:rsidRPr="00471EB9">
              <w:rPr>
                <w:rFonts w:eastAsia="Calibri"/>
                <w:color w:val="000000"/>
                <w:spacing w:val="1"/>
                <w:szCs w:val="20"/>
                <w:shd w:val="solid" w:color="000000" w:fill="000000"/>
                <w:fitText w:val="330" w:id="-694408189"/>
                <w14:textFill>
                  <w14:solidFill>
                    <w14:srgbClr w14:val="000000">
                      <w14:alpha w14:val="100000"/>
                    </w14:srgbClr>
                  </w14:solidFill>
                </w14:textFill>
              </w:rPr>
              <w:t>|</w:t>
            </w:r>
            <w:r w:rsidR="006260D2" w:rsidRPr="00873941">
              <w:rPr>
                <w:rFonts w:eastAsia="Calibri"/>
                <w:szCs w:val="20"/>
              </w:rPr>
              <w:t>%</w:t>
            </w:r>
          </w:p>
        </w:tc>
      </w:tr>
      <w:tr w:rsidR="00E37899" w:rsidRPr="00873941" w14:paraId="4A3146F3" w14:textId="77777777" w:rsidTr="00534902">
        <w:trPr>
          <w:cantSplit/>
          <w:trHeight w:val="97"/>
        </w:trPr>
        <w:tc>
          <w:tcPr>
            <w:tcW w:w="5000" w:type="pct"/>
            <w:gridSpan w:val="5"/>
            <w:tcBorders>
              <w:top w:val="single" w:sz="4" w:space="0" w:color="auto"/>
              <w:left w:val="single" w:sz="4" w:space="0" w:color="auto"/>
              <w:bottom w:val="single" w:sz="4" w:space="0" w:color="auto"/>
              <w:right w:val="single" w:sz="4" w:space="0" w:color="auto"/>
            </w:tcBorders>
          </w:tcPr>
          <w:p w14:paraId="78D97A2F" w14:textId="6C73EAC7" w:rsidR="00E37899" w:rsidRPr="00873941" w:rsidRDefault="00E37899" w:rsidP="00E37899">
            <w:pPr>
              <w:pStyle w:val="TableText0"/>
              <w:rPr>
                <w:rFonts w:eastAsia="Calibri"/>
                <w:szCs w:val="20"/>
              </w:rPr>
            </w:pPr>
            <w:r w:rsidRPr="00873941">
              <w:t>Neoadjuvant pCR rate(</w:t>
            </w:r>
            <w:proofErr w:type="spellStart"/>
            <w:r w:rsidRPr="00873941">
              <w:t>P+T+Chemo</w:t>
            </w:r>
            <w:proofErr w:type="spellEnd"/>
            <w:r w:rsidRPr="00873941">
              <w:t xml:space="preserve">: 59.2%; </w:t>
            </w:r>
            <w:proofErr w:type="spellStart"/>
            <w:r w:rsidRPr="00873941">
              <w:t>T+Chemo</w:t>
            </w:r>
            <w:proofErr w:type="spellEnd"/>
            <w:r w:rsidRPr="00873941">
              <w:t>: 41.8%) (Base case)</w:t>
            </w:r>
          </w:p>
        </w:tc>
      </w:tr>
      <w:tr w:rsidR="00E37899" w:rsidRPr="00873941" w14:paraId="11666970" w14:textId="77777777" w:rsidTr="00534902">
        <w:trPr>
          <w:cantSplit/>
          <w:trHeight w:val="473"/>
        </w:trPr>
        <w:tc>
          <w:tcPr>
            <w:tcW w:w="2043" w:type="pct"/>
            <w:tcBorders>
              <w:top w:val="single" w:sz="4" w:space="0" w:color="auto"/>
              <w:left w:val="single" w:sz="4" w:space="0" w:color="auto"/>
              <w:bottom w:val="single" w:sz="4" w:space="0" w:color="auto"/>
              <w:right w:val="single" w:sz="4" w:space="0" w:color="auto"/>
            </w:tcBorders>
          </w:tcPr>
          <w:p w14:paraId="2514E04B" w14:textId="3F0BB541" w:rsidR="00E37899" w:rsidRPr="00873941" w:rsidRDefault="00E37899" w:rsidP="00E37899">
            <w:pPr>
              <w:pStyle w:val="TableText0"/>
            </w:pPr>
            <w:r w:rsidRPr="00873941">
              <w:t xml:space="preserve">NEOSPHERE </w:t>
            </w:r>
            <w:proofErr w:type="spellStart"/>
            <w:r w:rsidRPr="00873941">
              <w:t>tpCR</w:t>
            </w:r>
            <w:proofErr w:type="spellEnd"/>
          </w:p>
          <w:p w14:paraId="12317A6A" w14:textId="569C2941" w:rsidR="00E37899" w:rsidRPr="00873941" w:rsidRDefault="00E37899" w:rsidP="00E37899">
            <w:pPr>
              <w:pStyle w:val="TableText0"/>
            </w:pPr>
            <w:r w:rsidRPr="00873941">
              <w:t>(</w:t>
            </w:r>
            <w:proofErr w:type="spellStart"/>
            <w:r w:rsidRPr="00873941">
              <w:t>P+T+Chemo</w:t>
            </w:r>
            <w:proofErr w:type="spellEnd"/>
            <w:r w:rsidRPr="00873941">
              <w:t xml:space="preserve">: 39.3%: </w:t>
            </w:r>
            <w:proofErr w:type="spellStart"/>
            <w:r w:rsidRPr="00873941">
              <w:t>T+Chemo</w:t>
            </w:r>
            <w:proofErr w:type="spellEnd"/>
            <w:r w:rsidRPr="00873941">
              <w:t>: 21.5</w:t>
            </w:r>
            <w:r w:rsidR="00AF1AE0" w:rsidRPr="00873941">
              <w:t>%)</w:t>
            </w:r>
          </w:p>
        </w:tc>
        <w:tc>
          <w:tcPr>
            <w:tcW w:w="786" w:type="pct"/>
            <w:tcBorders>
              <w:top w:val="single" w:sz="4" w:space="0" w:color="auto"/>
              <w:left w:val="single" w:sz="4" w:space="0" w:color="auto"/>
              <w:bottom w:val="single" w:sz="4" w:space="0" w:color="auto"/>
              <w:right w:val="single" w:sz="4" w:space="0" w:color="auto"/>
            </w:tcBorders>
          </w:tcPr>
          <w:p w14:paraId="2C8059D8" w14:textId="77777777" w:rsidR="00E37899" w:rsidRPr="00873941" w:rsidRDefault="00E37899">
            <w:pPr>
              <w:pStyle w:val="TableText0"/>
              <w:jc w:val="center"/>
            </w:pPr>
          </w:p>
          <w:p w14:paraId="0F31F600" w14:textId="52837B01" w:rsidR="00E37899" w:rsidRPr="00873941" w:rsidRDefault="00471EB9">
            <w:pPr>
              <w:pStyle w:val="TableText0"/>
              <w:jc w:val="center"/>
              <w:rPr>
                <w:rFonts w:eastAsia="Calibri"/>
                <w:szCs w:val="20"/>
              </w:rPr>
            </w:pPr>
            <w:r w:rsidRPr="00471EB9">
              <w:rPr>
                <w:color w:val="000000"/>
                <w:spacing w:val="53"/>
                <w:shd w:val="solid" w:color="000000" w:fill="000000"/>
                <w:fitText w:val="330" w:id="-694408188"/>
                <w14:textFill>
                  <w14:solidFill>
                    <w14:srgbClr w14:val="000000">
                      <w14:alpha w14:val="100000"/>
                    </w14:srgbClr>
                  </w14:solidFill>
                </w14:textFill>
              </w:rPr>
              <w:t>|||</w:t>
            </w:r>
            <w:r w:rsidRPr="00471EB9">
              <w:rPr>
                <w:color w:val="000000"/>
                <w:spacing w:val="1"/>
                <w:shd w:val="solid" w:color="000000" w:fill="000000"/>
                <w:fitText w:val="330" w:id="-694408188"/>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tcPr>
          <w:p w14:paraId="11CFEED1" w14:textId="77777777" w:rsidR="00E37899" w:rsidRPr="00873941" w:rsidRDefault="00E37899">
            <w:pPr>
              <w:pStyle w:val="TableText0"/>
              <w:jc w:val="center"/>
            </w:pPr>
          </w:p>
          <w:p w14:paraId="0AB7080A" w14:textId="32E18C4B" w:rsidR="00E37899" w:rsidRPr="00873941" w:rsidRDefault="00E37899">
            <w:pPr>
              <w:pStyle w:val="TableText0"/>
              <w:jc w:val="center"/>
            </w:pPr>
            <w:r w:rsidRPr="00873941">
              <w:t>0.1556</w:t>
            </w:r>
          </w:p>
        </w:tc>
        <w:tc>
          <w:tcPr>
            <w:tcW w:w="788" w:type="pct"/>
            <w:tcBorders>
              <w:top w:val="single" w:sz="4" w:space="0" w:color="auto"/>
              <w:left w:val="single" w:sz="4" w:space="0" w:color="auto"/>
              <w:bottom w:val="single" w:sz="4" w:space="0" w:color="auto"/>
              <w:right w:val="single" w:sz="4" w:space="0" w:color="auto"/>
            </w:tcBorders>
          </w:tcPr>
          <w:p w14:paraId="07F06BCB" w14:textId="77777777" w:rsidR="00E37899" w:rsidRPr="00873941" w:rsidRDefault="00E37899">
            <w:pPr>
              <w:pStyle w:val="TableText0"/>
              <w:jc w:val="center"/>
            </w:pPr>
          </w:p>
          <w:p w14:paraId="2ABC174A" w14:textId="1F259F29" w:rsidR="00E37899" w:rsidRPr="00873941" w:rsidRDefault="00471EB9">
            <w:pPr>
              <w:pStyle w:val="TableText0"/>
              <w:jc w:val="center"/>
            </w:pPr>
            <w:r w:rsidRPr="00471EB9">
              <w:rPr>
                <w:color w:val="000000"/>
                <w:spacing w:val="53"/>
                <w:shd w:val="solid" w:color="000000" w:fill="000000"/>
                <w:fitText w:val="330" w:id="-694408187"/>
                <w14:textFill>
                  <w14:solidFill>
                    <w14:srgbClr w14:val="000000">
                      <w14:alpha w14:val="100000"/>
                    </w14:srgbClr>
                  </w14:solidFill>
                </w14:textFill>
              </w:rPr>
              <w:t>|||</w:t>
            </w:r>
            <w:r w:rsidRPr="00471EB9">
              <w:rPr>
                <w:color w:val="000000"/>
                <w:spacing w:val="1"/>
                <w:shd w:val="solid" w:color="000000" w:fill="000000"/>
                <w:fitText w:val="330" w:id="-694408187"/>
                <w14:textFill>
                  <w14:solidFill>
                    <w14:srgbClr w14:val="000000">
                      <w14:alpha w14:val="100000"/>
                    </w14:srgbClr>
                  </w14:solidFill>
                </w14:textFill>
              </w:rPr>
              <w:t>|</w:t>
            </w:r>
            <w:r w:rsidR="00EF4F13" w:rsidRPr="00EF4F13">
              <w:rPr>
                <w:vertAlign w:val="superscript"/>
              </w:rPr>
              <w:t>4</w:t>
            </w:r>
          </w:p>
        </w:tc>
        <w:tc>
          <w:tcPr>
            <w:tcW w:w="597" w:type="pct"/>
            <w:tcBorders>
              <w:top w:val="single" w:sz="4" w:space="0" w:color="auto"/>
              <w:left w:val="single" w:sz="4" w:space="0" w:color="auto"/>
              <w:bottom w:val="single" w:sz="4" w:space="0" w:color="auto"/>
              <w:right w:val="single" w:sz="4" w:space="0" w:color="auto"/>
            </w:tcBorders>
          </w:tcPr>
          <w:p w14:paraId="63028BFB" w14:textId="77777777" w:rsidR="00E37899" w:rsidRPr="00873941" w:rsidRDefault="00E37899">
            <w:pPr>
              <w:pStyle w:val="TableText0"/>
              <w:jc w:val="center"/>
            </w:pPr>
          </w:p>
          <w:p w14:paraId="0CD63971" w14:textId="3E97C602" w:rsidR="00E37899" w:rsidRPr="00873941" w:rsidRDefault="00E37899">
            <w:pPr>
              <w:pStyle w:val="TableText0"/>
              <w:jc w:val="center"/>
              <w:rPr>
                <w:rFonts w:eastAsia="Calibri"/>
                <w:szCs w:val="20"/>
              </w:rPr>
            </w:pPr>
            <w:r w:rsidRPr="00873941">
              <w:t>-</w:t>
            </w:r>
            <w:r w:rsidR="00471EB9" w:rsidRPr="00471EB9">
              <w:rPr>
                <w:color w:val="000000"/>
                <w:spacing w:val="49"/>
                <w:shd w:val="solid" w:color="000000" w:fill="000000"/>
                <w:fitText w:val="320" w:id="-694408186"/>
                <w14:textFill>
                  <w14:solidFill>
                    <w14:srgbClr w14:val="000000">
                      <w14:alpha w14:val="100000"/>
                    </w14:srgbClr>
                  </w14:solidFill>
                </w14:textFill>
              </w:rPr>
              <w:t>|||</w:t>
            </w:r>
            <w:r w:rsidR="00471EB9" w:rsidRPr="00471EB9">
              <w:rPr>
                <w:color w:val="000000"/>
                <w:spacing w:val="3"/>
                <w:shd w:val="solid" w:color="000000" w:fill="000000"/>
                <w:fitText w:val="320" w:id="-694408186"/>
                <w14:textFill>
                  <w14:solidFill>
                    <w14:srgbClr w14:val="000000">
                      <w14:alpha w14:val="100000"/>
                    </w14:srgbClr>
                  </w14:solidFill>
                </w14:textFill>
              </w:rPr>
              <w:t>|</w:t>
            </w:r>
            <w:r w:rsidRPr="00873941">
              <w:t>%</w:t>
            </w:r>
          </w:p>
        </w:tc>
      </w:tr>
      <w:tr w:rsidR="006F4300" w:rsidRPr="00873941" w14:paraId="60664F03" w14:textId="77777777" w:rsidTr="00534902">
        <w:trPr>
          <w:cantSplit/>
          <w:trHeight w:val="283"/>
        </w:trPr>
        <w:tc>
          <w:tcPr>
            <w:tcW w:w="2043" w:type="pct"/>
            <w:tcBorders>
              <w:top w:val="single" w:sz="4" w:space="0" w:color="auto"/>
              <w:left w:val="single" w:sz="4" w:space="0" w:color="auto"/>
              <w:bottom w:val="single" w:sz="4" w:space="0" w:color="auto"/>
              <w:right w:val="single" w:sz="4" w:space="0" w:color="auto"/>
            </w:tcBorders>
            <w:hideMark/>
          </w:tcPr>
          <w:p w14:paraId="72466929" w14:textId="78597E69" w:rsidR="006F4300" w:rsidRPr="00873941" w:rsidRDefault="006F4300">
            <w:pPr>
              <w:pStyle w:val="TableText0"/>
            </w:pPr>
            <w:r w:rsidRPr="00873941">
              <w:t>Sustained remission adjustment (Yes- base case</w:t>
            </w:r>
            <w:r w:rsidR="00904DF7" w:rsidRPr="00873941">
              <w:t>-95%</w:t>
            </w:r>
            <w:r w:rsidRPr="00873941">
              <w:t>)</w:t>
            </w:r>
          </w:p>
          <w:p w14:paraId="19551179" w14:textId="77777777" w:rsidR="006F4300" w:rsidRPr="00873941" w:rsidRDefault="006F4300">
            <w:pPr>
              <w:pStyle w:val="TableText0"/>
            </w:pPr>
            <w:r w:rsidRPr="00873941">
              <w:t>No</w:t>
            </w:r>
          </w:p>
          <w:p w14:paraId="123D38F1" w14:textId="2671C172" w:rsidR="00904DF7" w:rsidRPr="00873941" w:rsidRDefault="00904DF7">
            <w:pPr>
              <w:pStyle w:val="TableText0"/>
            </w:pPr>
            <w:r w:rsidRPr="00873941">
              <w:t>50%</w:t>
            </w:r>
          </w:p>
        </w:tc>
        <w:tc>
          <w:tcPr>
            <w:tcW w:w="786" w:type="pct"/>
            <w:tcBorders>
              <w:top w:val="single" w:sz="4" w:space="0" w:color="auto"/>
              <w:left w:val="single" w:sz="4" w:space="0" w:color="auto"/>
              <w:bottom w:val="single" w:sz="4" w:space="0" w:color="auto"/>
              <w:right w:val="single" w:sz="4" w:space="0" w:color="auto"/>
            </w:tcBorders>
            <w:vAlign w:val="center"/>
          </w:tcPr>
          <w:p w14:paraId="51BE3085" w14:textId="77777777" w:rsidR="006F4300" w:rsidRPr="00873941" w:rsidRDefault="006F4300">
            <w:pPr>
              <w:pStyle w:val="TableText0"/>
              <w:jc w:val="center"/>
              <w:rPr>
                <w:rFonts w:eastAsia="Calibri"/>
                <w:szCs w:val="20"/>
              </w:rPr>
            </w:pPr>
          </w:p>
          <w:p w14:paraId="08583649" w14:textId="77777777" w:rsidR="006F4300" w:rsidRPr="00873941" w:rsidRDefault="006F4300">
            <w:pPr>
              <w:pStyle w:val="TableText0"/>
              <w:jc w:val="center"/>
              <w:rPr>
                <w:rFonts w:eastAsia="Calibri"/>
                <w:szCs w:val="20"/>
              </w:rPr>
            </w:pPr>
          </w:p>
          <w:p w14:paraId="3B274B70" w14:textId="6C6B8F2D" w:rsidR="00904DF7" w:rsidRPr="00873941" w:rsidRDefault="00471EB9">
            <w:pPr>
              <w:pStyle w:val="TableText0"/>
              <w:jc w:val="center"/>
              <w:rPr>
                <w:rFonts w:eastAsia="Calibri"/>
                <w:szCs w:val="20"/>
              </w:rPr>
            </w:pPr>
            <w:r w:rsidRPr="00471EB9">
              <w:rPr>
                <w:color w:val="000000"/>
                <w:spacing w:val="53"/>
                <w:shd w:val="solid" w:color="000000" w:fill="000000"/>
                <w:fitText w:val="330" w:id="-694408185"/>
                <w14:textFill>
                  <w14:solidFill>
                    <w14:srgbClr w14:val="000000">
                      <w14:alpha w14:val="100000"/>
                    </w14:srgbClr>
                  </w14:solidFill>
                </w14:textFill>
              </w:rPr>
              <w:t>|||</w:t>
            </w:r>
            <w:r w:rsidRPr="00471EB9">
              <w:rPr>
                <w:color w:val="000000"/>
                <w:spacing w:val="1"/>
                <w:shd w:val="solid" w:color="000000" w:fill="000000"/>
                <w:fitText w:val="330" w:id="-694408185"/>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vAlign w:val="center"/>
          </w:tcPr>
          <w:p w14:paraId="6D85D503" w14:textId="77777777" w:rsidR="006F4300" w:rsidRPr="00873941" w:rsidRDefault="006F4300">
            <w:pPr>
              <w:pStyle w:val="TableText0"/>
              <w:jc w:val="center"/>
            </w:pPr>
          </w:p>
          <w:p w14:paraId="4249BF50" w14:textId="77777777" w:rsidR="006F4300" w:rsidRPr="00873941" w:rsidRDefault="006F4300">
            <w:pPr>
              <w:pStyle w:val="TableText0"/>
              <w:jc w:val="center"/>
            </w:pPr>
          </w:p>
          <w:p w14:paraId="61EFB99A" w14:textId="77777777" w:rsidR="006F4300" w:rsidRPr="00873941" w:rsidRDefault="006F4300">
            <w:pPr>
              <w:pStyle w:val="TableText0"/>
              <w:jc w:val="center"/>
            </w:pPr>
            <w:r w:rsidRPr="00873941">
              <w:t>0.280</w:t>
            </w:r>
          </w:p>
          <w:p w14:paraId="223D3735" w14:textId="52EA497A" w:rsidR="00904DF7" w:rsidRPr="00873941" w:rsidRDefault="00904DF7">
            <w:pPr>
              <w:pStyle w:val="TableText0"/>
              <w:jc w:val="center"/>
            </w:pPr>
            <w:r w:rsidRPr="00873941">
              <w:t>0.229</w:t>
            </w:r>
          </w:p>
        </w:tc>
        <w:tc>
          <w:tcPr>
            <w:tcW w:w="788" w:type="pct"/>
            <w:tcBorders>
              <w:top w:val="single" w:sz="4" w:space="0" w:color="auto"/>
              <w:left w:val="single" w:sz="4" w:space="0" w:color="auto"/>
              <w:bottom w:val="single" w:sz="4" w:space="0" w:color="auto"/>
              <w:right w:val="single" w:sz="4" w:space="0" w:color="auto"/>
            </w:tcBorders>
            <w:vAlign w:val="center"/>
          </w:tcPr>
          <w:p w14:paraId="217BA93F" w14:textId="77777777" w:rsidR="006F4300" w:rsidRPr="00873941" w:rsidRDefault="006F4300">
            <w:pPr>
              <w:pStyle w:val="TableText0"/>
              <w:jc w:val="center"/>
            </w:pPr>
          </w:p>
          <w:p w14:paraId="2018AA2F" w14:textId="77777777" w:rsidR="006F4300" w:rsidRPr="00873941" w:rsidRDefault="006F4300">
            <w:pPr>
              <w:pStyle w:val="TableText0"/>
              <w:jc w:val="center"/>
            </w:pPr>
          </w:p>
          <w:p w14:paraId="6D458DCF" w14:textId="0B5650EC" w:rsidR="00904DF7" w:rsidRPr="00873941" w:rsidRDefault="00471EB9">
            <w:pPr>
              <w:pStyle w:val="TableText0"/>
              <w:jc w:val="center"/>
            </w:pPr>
            <w:r w:rsidRPr="00471EB9">
              <w:rPr>
                <w:color w:val="000000"/>
                <w:spacing w:val="49"/>
                <w:shd w:val="solid" w:color="000000" w:fill="000000"/>
                <w:fitText w:val="320" w:id="-694408184"/>
                <w14:textFill>
                  <w14:solidFill>
                    <w14:srgbClr w14:val="000000">
                      <w14:alpha w14:val="100000"/>
                    </w14:srgbClr>
                  </w14:solidFill>
                </w14:textFill>
              </w:rPr>
              <w:t>|||</w:t>
            </w:r>
            <w:r w:rsidRPr="00471EB9">
              <w:rPr>
                <w:color w:val="000000"/>
                <w:spacing w:val="3"/>
                <w:shd w:val="solid" w:color="000000" w:fill="000000"/>
                <w:fitText w:val="320" w:id="-694408184"/>
                <w14:textFill>
                  <w14:solidFill>
                    <w14:srgbClr w14:val="000000">
                      <w14:alpha w14:val="100000"/>
                    </w14:srgbClr>
                  </w14:solidFill>
                </w14:textFill>
              </w:rPr>
              <w:t>|</w:t>
            </w:r>
            <w:r w:rsidR="00E27A22" w:rsidRPr="00E27A22">
              <w:rPr>
                <w:vertAlign w:val="superscript"/>
              </w:rPr>
              <w:t>8</w:t>
            </w:r>
            <w:r w:rsidRPr="00471EB9">
              <w:rPr>
                <w:color w:val="000000"/>
                <w:spacing w:val="53"/>
                <w:shd w:val="solid" w:color="000000" w:fill="000000"/>
                <w:fitText w:val="330" w:id="-694408183"/>
                <w14:textFill>
                  <w14:solidFill>
                    <w14:srgbClr w14:val="000000">
                      <w14:alpha w14:val="100000"/>
                    </w14:srgbClr>
                  </w14:solidFill>
                </w14:textFill>
              </w:rPr>
              <w:t>|||</w:t>
            </w:r>
            <w:r w:rsidRPr="00471EB9">
              <w:rPr>
                <w:color w:val="000000"/>
                <w:spacing w:val="1"/>
                <w:shd w:val="solid" w:color="000000" w:fill="000000"/>
                <w:fitText w:val="330" w:id="-694408183"/>
                <w14:textFill>
                  <w14:solidFill>
                    <w14:srgbClr w14:val="000000">
                      <w14:alpha w14:val="100000"/>
                    </w14:srgbClr>
                  </w14:solidFill>
                </w14:textFill>
              </w:rPr>
              <w:t>|</w:t>
            </w:r>
            <w:r w:rsidR="00EF4F13" w:rsidRPr="00496485">
              <w:rPr>
                <w:vertAlign w:val="superscript"/>
              </w:rPr>
              <w:t>3</w:t>
            </w:r>
          </w:p>
        </w:tc>
        <w:tc>
          <w:tcPr>
            <w:tcW w:w="597" w:type="pct"/>
            <w:tcBorders>
              <w:top w:val="single" w:sz="4" w:space="0" w:color="auto"/>
              <w:left w:val="single" w:sz="4" w:space="0" w:color="auto"/>
              <w:bottom w:val="single" w:sz="4" w:space="0" w:color="auto"/>
              <w:right w:val="single" w:sz="4" w:space="0" w:color="auto"/>
            </w:tcBorders>
            <w:vAlign w:val="center"/>
          </w:tcPr>
          <w:p w14:paraId="205E3C02" w14:textId="77777777" w:rsidR="006F4300" w:rsidRPr="00873941" w:rsidRDefault="006F4300">
            <w:pPr>
              <w:pStyle w:val="TableText0"/>
              <w:jc w:val="center"/>
              <w:rPr>
                <w:rFonts w:eastAsia="Calibri"/>
                <w:szCs w:val="20"/>
              </w:rPr>
            </w:pPr>
          </w:p>
          <w:p w14:paraId="5A30CB4D" w14:textId="77777777" w:rsidR="006F4300" w:rsidRPr="00873941" w:rsidRDefault="006F4300">
            <w:pPr>
              <w:pStyle w:val="TableText0"/>
              <w:jc w:val="center"/>
              <w:rPr>
                <w:rFonts w:eastAsia="Calibri"/>
                <w:szCs w:val="20"/>
              </w:rPr>
            </w:pPr>
          </w:p>
          <w:p w14:paraId="0DEA77BA" w14:textId="225CC531" w:rsidR="006F4300" w:rsidRPr="00873941" w:rsidRDefault="006F4300">
            <w:pPr>
              <w:pStyle w:val="TableText0"/>
              <w:jc w:val="center"/>
            </w:pPr>
            <w:r w:rsidRPr="00873941">
              <w:t>-</w:t>
            </w:r>
            <w:r w:rsidR="00471EB9" w:rsidRPr="00471EB9">
              <w:rPr>
                <w:color w:val="000000"/>
                <w:spacing w:val="49"/>
                <w:shd w:val="solid" w:color="000000" w:fill="000000"/>
                <w:fitText w:val="320" w:id="-694408182"/>
                <w14:textFill>
                  <w14:solidFill>
                    <w14:srgbClr w14:val="000000">
                      <w14:alpha w14:val="100000"/>
                    </w14:srgbClr>
                  </w14:solidFill>
                </w14:textFill>
              </w:rPr>
              <w:t>|||</w:t>
            </w:r>
            <w:r w:rsidR="00471EB9" w:rsidRPr="00471EB9">
              <w:rPr>
                <w:color w:val="000000"/>
                <w:spacing w:val="3"/>
                <w:shd w:val="solid" w:color="000000" w:fill="000000"/>
                <w:fitText w:val="320" w:id="-694408182"/>
                <w14:textFill>
                  <w14:solidFill>
                    <w14:srgbClr w14:val="000000">
                      <w14:alpha w14:val="100000"/>
                    </w14:srgbClr>
                  </w14:solidFill>
                </w14:textFill>
              </w:rPr>
              <w:t>|</w:t>
            </w:r>
            <w:r w:rsidRPr="00873941">
              <w:t>%</w:t>
            </w:r>
          </w:p>
          <w:p w14:paraId="1CF43A1E" w14:textId="15C103B7" w:rsidR="00904DF7" w:rsidRPr="00873941" w:rsidRDefault="00904DF7">
            <w:pPr>
              <w:pStyle w:val="TableText0"/>
              <w:jc w:val="center"/>
              <w:rPr>
                <w:rFonts w:eastAsia="Calibri"/>
                <w:szCs w:val="20"/>
              </w:rPr>
            </w:pPr>
            <w:r w:rsidRPr="00873941">
              <w:t>-</w:t>
            </w:r>
            <w:r w:rsidR="00471EB9" w:rsidRPr="00471EB9">
              <w:rPr>
                <w:color w:val="000000"/>
                <w:spacing w:val="49"/>
                <w:shd w:val="solid" w:color="000000" w:fill="000000"/>
                <w:fitText w:val="320" w:id="-694408181"/>
                <w14:textFill>
                  <w14:solidFill>
                    <w14:srgbClr w14:val="000000">
                      <w14:alpha w14:val="100000"/>
                    </w14:srgbClr>
                  </w14:solidFill>
                </w14:textFill>
              </w:rPr>
              <w:t>|||</w:t>
            </w:r>
            <w:r w:rsidR="00471EB9" w:rsidRPr="00471EB9">
              <w:rPr>
                <w:color w:val="000000"/>
                <w:spacing w:val="3"/>
                <w:shd w:val="solid" w:color="000000" w:fill="000000"/>
                <w:fitText w:val="320" w:id="-694408181"/>
                <w14:textFill>
                  <w14:solidFill>
                    <w14:srgbClr w14:val="000000">
                      <w14:alpha w14:val="100000"/>
                    </w14:srgbClr>
                  </w14:solidFill>
                </w14:textFill>
              </w:rPr>
              <w:t>|</w:t>
            </w:r>
            <w:r w:rsidRPr="00873941">
              <w:t>%</w:t>
            </w:r>
          </w:p>
        </w:tc>
      </w:tr>
      <w:tr w:rsidR="006F4300" w:rsidRPr="00873941" w14:paraId="345CDADF" w14:textId="77777777" w:rsidTr="00534902">
        <w:trPr>
          <w:cantSplit/>
          <w:trHeight w:val="283"/>
        </w:trPr>
        <w:tc>
          <w:tcPr>
            <w:tcW w:w="2043" w:type="pct"/>
            <w:tcBorders>
              <w:top w:val="single" w:sz="4" w:space="0" w:color="auto"/>
              <w:left w:val="single" w:sz="4" w:space="0" w:color="auto"/>
              <w:bottom w:val="single" w:sz="4" w:space="0" w:color="auto"/>
              <w:right w:val="single" w:sz="4" w:space="0" w:color="auto"/>
            </w:tcBorders>
            <w:hideMark/>
          </w:tcPr>
          <w:p w14:paraId="4FF2162F" w14:textId="70EAFF5C" w:rsidR="006F4300" w:rsidRPr="00873941" w:rsidRDefault="006F4300">
            <w:pPr>
              <w:pStyle w:val="TableText0"/>
            </w:pPr>
            <w:r w:rsidRPr="00873941">
              <w:t>Pooled proportion of distan</w:t>
            </w:r>
            <w:r w:rsidR="00F77699" w:rsidRPr="00873941">
              <w:t>t</w:t>
            </w:r>
            <w:r w:rsidRPr="00873941">
              <w:t xml:space="preserve"> and locoregional recurrence (Selected button ‘arm specific’: T-DM1 arm- base case)</w:t>
            </w:r>
          </w:p>
          <w:p w14:paraId="1549D8BA" w14:textId="77777777" w:rsidR="006F4300" w:rsidRPr="00873941" w:rsidRDefault="006F4300">
            <w:pPr>
              <w:pStyle w:val="TableText0"/>
            </w:pPr>
            <w:r w:rsidRPr="00873941">
              <w:t xml:space="preserve"> Pooled</w:t>
            </w:r>
          </w:p>
        </w:tc>
        <w:tc>
          <w:tcPr>
            <w:tcW w:w="786" w:type="pct"/>
            <w:tcBorders>
              <w:top w:val="single" w:sz="4" w:space="0" w:color="auto"/>
              <w:left w:val="single" w:sz="4" w:space="0" w:color="auto"/>
              <w:bottom w:val="single" w:sz="4" w:space="0" w:color="auto"/>
              <w:right w:val="single" w:sz="4" w:space="0" w:color="auto"/>
            </w:tcBorders>
            <w:vAlign w:val="center"/>
          </w:tcPr>
          <w:p w14:paraId="4D0C0E44" w14:textId="77777777" w:rsidR="006F4300" w:rsidRPr="00873941" w:rsidRDefault="006F4300">
            <w:pPr>
              <w:pStyle w:val="TableText0"/>
              <w:rPr>
                <w:rFonts w:eastAsia="Calibri"/>
                <w:szCs w:val="20"/>
              </w:rPr>
            </w:pPr>
          </w:p>
          <w:p w14:paraId="628C3778" w14:textId="77777777" w:rsidR="006F4300" w:rsidRPr="00873941" w:rsidRDefault="006F4300">
            <w:pPr>
              <w:pStyle w:val="TableText0"/>
              <w:jc w:val="center"/>
            </w:pPr>
          </w:p>
          <w:p w14:paraId="3838DE98" w14:textId="77777777" w:rsidR="006F4300" w:rsidRPr="00873941" w:rsidRDefault="006F4300">
            <w:pPr>
              <w:pStyle w:val="TableText0"/>
              <w:jc w:val="center"/>
            </w:pPr>
          </w:p>
          <w:p w14:paraId="78C04B8D" w14:textId="3220A9E7" w:rsidR="006F4300" w:rsidRPr="00873941" w:rsidRDefault="00471EB9">
            <w:pPr>
              <w:pStyle w:val="TableText0"/>
              <w:jc w:val="center"/>
              <w:rPr>
                <w:rFonts w:eastAsia="Calibri"/>
                <w:szCs w:val="20"/>
              </w:rPr>
            </w:pPr>
            <w:r w:rsidRPr="00471EB9">
              <w:rPr>
                <w:color w:val="000000"/>
                <w:spacing w:val="53"/>
                <w:shd w:val="solid" w:color="000000" w:fill="000000"/>
                <w:fitText w:val="330" w:id="-694408180"/>
                <w14:textFill>
                  <w14:solidFill>
                    <w14:srgbClr w14:val="000000">
                      <w14:alpha w14:val="100000"/>
                    </w14:srgbClr>
                  </w14:solidFill>
                </w14:textFill>
              </w:rPr>
              <w:t>|||</w:t>
            </w:r>
            <w:r w:rsidRPr="00471EB9">
              <w:rPr>
                <w:color w:val="000000"/>
                <w:spacing w:val="1"/>
                <w:shd w:val="solid" w:color="000000" w:fill="000000"/>
                <w:fitText w:val="330" w:id="-694408180"/>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vAlign w:val="center"/>
          </w:tcPr>
          <w:p w14:paraId="041F545E" w14:textId="77777777" w:rsidR="006F4300" w:rsidRPr="00873941" w:rsidRDefault="006F4300">
            <w:pPr>
              <w:pStyle w:val="TableText0"/>
            </w:pPr>
          </w:p>
          <w:p w14:paraId="40F43C3E" w14:textId="77777777" w:rsidR="006F4300" w:rsidRPr="00873941" w:rsidRDefault="006F4300">
            <w:pPr>
              <w:pStyle w:val="TableText0"/>
              <w:jc w:val="center"/>
            </w:pPr>
          </w:p>
          <w:p w14:paraId="74B7E2CC" w14:textId="77777777" w:rsidR="006F4300" w:rsidRPr="00873941" w:rsidRDefault="006F4300">
            <w:pPr>
              <w:pStyle w:val="TableText0"/>
              <w:jc w:val="center"/>
            </w:pPr>
          </w:p>
          <w:p w14:paraId="4D84A8DD" w14:textId="77777777" w:rsidR="006F4300" w:rsidRPr="00873941" w:rsidRDefault="006F4300">
            <w:pPr>
              <w:pStyle w:val="TableText0"/>
              <w:jc w:val="center"/>
            </w:pPr>
            <w:r w:rsidRPr="00873941">
              <w:t>0.136</w:t>
            </w:r>
          </w:p>
        </w:tc>
        <w:tc>
          <w:tcPr>
            <w:tcW w:w="788" w:type="pct"/>
            <w:tcBorders>
              <w:top w:val="single" w:sz="4" w:space="0" w:color="auto"/>
              <w:left w:val="single" w:sz="4" w:space="0" w:color="auto"/>
              <w:bottom w:val="single" w:sz="4" w:space="0" w:color="auto"/>
              <w:right w:val="single" w:sz="4" w:space="0" w:color="auto"/>
            </w:tcBorders>
            <w:vAlign w:val="center"/>
          </w:tcPr>
          <w:p w14:paraId="4F5EC950" w14:textId="6B95DDED" w:rsidR="006F4300" w:rsidRPr="00B85A8A" w:rsidRDefault="00471EB9">
            <w:pPr>
              <w:pStyle w:val="TableText0"/>
              <w:jc w:val="center"/>
              <w:rPr>
                <w:highlight w:val="darkGray"/>
              </w:rPr>
            </w:pPr>
            <w:r w:rsidRPr="00471EB9">
              <w:rPr>
                <w:color w:val="000000"/>
                <w:spacing w:val="53"/>
                <w:shd w:val="solid" w:color="000000" w:fill="000000"/>
                <w:fitText w:val="330" w:id="-694408179"/>
                <w14:textFill>
                  <w14:solidFill>
                    <w14:srgbClr w14:val="000000">
                      <w14:alpha w14:val="100000"/>
                    </w14:srgbClr>
                  </w14:solidFill>
                </w14:textFill>
              </w:rPr>
              <w:t>|||</w:t>
            </w:r>
            <w:r w:rsidRPr="00471EB9">
              <w:rPr>
                <w:color w:val="000000"/>
                <w:spacing w:val="1"/>
                <w:shd w:val="solid" w:color="000000" w:fill="000000"/>
                <w:fitText w:val="330" w:id="-694408179"/>
                <w14:textFill>
                  <w14:solidFill>
                    <w14:srgbClr w14:val="000000">
                      <w14:alpha w14:val="100000"/>
                    </w14:srgbClr>
                  </w14:solidFill>
                </w14:textFill>
              </w:rPr>
              <w:t>|</w:t>
            </w:r>
            <w:r w:rsidR="00E04A7B" w:rsidRPr="003A5990">
              <w:rPr>
                <w:rFonts w:eastAsia="Calibri"/>
                <w:b/>
                <w:szCs w:val="20"/>
                <w:vertAlign w:val="superscript"/>
              </w:rPr>
              <w:t>1</w:t>
            </w:r>
          </w:p>
        </w:tc>
        <w:tc>
          <w:tcPr>
            <w:tcW w:w="597" w:type="pct"/>
            <w:tcBorders>
              <w:top w:val="single" w:sz="4" w:space="0" w:color="auto"/>
              <w:left w:val="single" w:sz="4" w:space="0" w:color="auto"/>
              <w:bottom w:val="single" w:sz="4" w:space="0" w:color="auto"/>
              <w:right w:val="single" w:sz="4" w:space="0" w:color="auto"/>
            </w:tcBorders>
            <w:vAlign w:val="center"/>
          </w:tcPr>
          <w:p w14:paraId="025DEC9D" w14:textId="77777777" w:rsidR="006F4300" w:rsidRPr="00873941" w:rsidRDefault="006F4300">
            <w:pPr>
              <w:pStyle w:val="TableText0"/>
              <w:rPr>
                <w:rFonts w:eastAsia="Calibri"/>
                <w:szCs w:val="20"/>
              </w:rPr>
            </w:pPr>
          </w:p>
          <w:p w14:paraId="684B01BF" w14:textId="77777777" w:rsidR="006F4300" w:rsidRPr="00873941" w:rsidRDefault="006F4300">
            <w:pPr>
              <w:pStyle w:val="TableText0"/>
              <w:jc w:val="center"/>
            </w:pPr>
          </w:p>
          <w:p w14:paraId="208EFDDE" w14:textId="77777777" w:rsidR="006F4300" w:rsidRPr="00873941" w:rsidRDefault="006F4300">
            <w:pPr>
              <w:pStyle w:val="TableText0"/>
              <w:jc w:val="center"/>
            </w:pPr>
          </w:p>
          <w:p w14:paraId="28ADF355" w14:textId="6373F9D0" w:rsidR="006F4300" w:rsidRPr="00873941" w:rsidRDefault="00471EB9">
            <w:pPr>
              <w:pStyle w:val="TableText0"/>
              <w:jc w:val="center"/>
              <w:rPr>
                <w:rFonts w:eastAsia="Calibri"/>
                <w:szCs w:val="20"/>
              </w:rPr>
            </w:pPr>
            <w:r w:rsidRPr="00471EB9">
              <w:rPr>
                <w:color w:val="000000"/>
                <w:spacing w:val="53"/>
                <w:shd w:val="solid" w:color="000000" w:fill="000000"/>
                <w:fitText w:val="330" w:id="-694408178"/>
                <w14:textFill>
                  <w14:solidFill>
                    <w14:srgbClr w14:val="000000">
                      <w14:alpha w14:val="100000"/>
                    </w14:srgbClr>
                  </w14:solidFill>
                </w14:textFill>
              </w:rPr>
              <w:t>|||</w:t>
            </w:r>
            <w:r w:rsidRPr="00471EB9">
              <w:rPr>
                <w:color w:val="000000"/>
                <w:spacing w:val="1"/>
                <w:shd w:val="solid" w:color="000000" w:fill="000000"/>
                <w:fitText w:val="330" w:id="-694408178"/>
                <w14:textFill>
                  <w14:solidFill>
                    <w14:srgbClr w14:val="000000">
                      <w14:alpha w14:val="100000"/>
                    </w14:srgbClr>
                  </w14:solidFill>
                </w14:textFill>
              </w:rPr>
              <w:t>|</w:t>
            </w:r>
            <w:r w:rsidR="006F4300" w:rsidRPr="00873941">
              <w:t>%</w:t>
            </w:r>
          </w:p>
        </w:tc>
      </w:tr>
      <w:tr w:rsidR="00E37899" w:rsidRPr="00873941" w14:paraId="4B221EAD" w14:textId="77777777" w:rsidTr="00534902">
        <w:trPr>
          <w:cantSplit/>
          <w:trHeight w:val="283"/>
        </w:trPr>
        <w:tc>
          <w:tcPr>
            <w:tcW w:w="2043" w:type="pct"/>
            <w:tcBorders>
              <w:top w:val="single" w:sz="4" w:space="0" w:color="auto"/>
              <w:left w:val="single" w:sz="4" w:space="0" w:color="auto"/>
              <w:bottom w:val="single" w:sz="4" w:space="0" w:color="auto"/>
              <w:right w:val="single" w:sz="4" w:space="0" w:color="auto"/>
            </w:tcBorders>
          </w:tcPr>
          <w:p w14:paraId="78F3B8C7" w14:textId="0ED03884" w:rsidR="00E37899" w:rsidRPr="00873941" w:rsidRDefault="00E37899">
            <w:pPr>
              <w:pStyle w:val="TableText0"/>
            </w:pPr>
            <w:r w:rsidRPr="00873941">
              <w:rPr>
                <w:b/>
              </w:rPr>
              <w:t xml:space="preserve">Utility weights for </w:t>
            </w:r>
            <w:proofErr w:type="spellStart"/>
            <w:r w:rsidRPr="00873941">
              <w:rPr>
                <w:b/>
              </w:rPr>
              <w:t>eBC</w:t>
            </w:r>
            <w:proofErr w:type="spellEnd"/>
          </w:p>
        </w:tc>
        <w:tc>
          <w:tcPr>
            <w:tcW w:w="786" w:type="pct"/>
            <w:tcBorders>
              <w:top w:val="single" w:sz="4" w:space="0" w:color="auto"/>
              <w:left w:val="single" w:sz="4" w:space="0" w:color="auto"/>
              <w:bottom w:val="single" w:sz="4" w:space="0" w:color="auto"/>
              <w:right w:val="single" w:sz="4" w:space="0" w:color="auto"/>
            </w:tcBorders>
            <w:vAlign w:val="center"/>
          </w:tcPr>
          <w:p w14:paraId="3904AF97" w14:textId="77777777" w:rsidR="00E37899" w:rsidRPr="00873941" w:rsidRDefault="00E37899">
            <w:pPr>
              <w:pStyle w:val="TableText0"/>
              <w:rPr>
                <w:rFonts w:eastAsia="Calibri"/>
                <w:szCs w:val="20"/>
              </w:rPr>
            </w:pPr>
          </w:p>
        </w:tc>
        <w:tc>
          <w:tcPr>
            <w:tcW w:w="786" w:type="pct"/>
            <w:tcBorders>
              <w:top w:val="single" w:sz="4" w:space="0" w:color="auto"/>
              <w:left w:val="single" w:sz="4" w:space="0" w:color="auto"/>
              <w:bottom w:val="single" w:sz="4" w:space="0" w:color="auto"/>
              <w:right w:val="single" w:sz="4" w:space="0" w:color="auto"/>
            </w:tcBorders>
            <w:vAlign w:val="center"/>
          </w:tcPr>
          <w:p w14:paraId="03D11318" w14:textId="77777777" w:rsidR="00E37899" w:rsidRPr="00873941" w:rsidRDefault="00E37899">
            <w:pPr>
              <w:pStyle w:val="TableText0"/>
            </w:pPr>
          </w:p>
        </w:tc>
        <w:tc>
          <w:tcPr>
            <w:tcW w:w="788" w:type="pct"/>
            <w:tcBorders>
              <w:top w:val="single" w:sz="4" w:space="0" w:color="auto"/>
              <w:left w:val="single" w:sz="4" w:space="0" w:color="auto"/>
              <w:bottom w:val="single" w:sz="4" w:space="0" w:color="auto"/>
              <w:right w:val="single" w:sz="4" w:space="0" w:color="auto"/>
            </w:tcBorders>
            <w:vAlign w:val="center"/>
          </w:tcPr>
          <w:p w14:paraId="06D62E07" w14:textId="77777777" w:rsidR="00E37899" w:rsidRPr="00873941" w:rsidRDefault="00E37899">
            <w:pPr>
              <w:pStyle w:val="TableText0"/>
            </w:pPr>
          </w:p>
        </w:tc>
        <w:tc>
          <w:tcPr>
            <w:tcW w:w="597" w:type="pct"/>
            <w:tcBorders>
              <w:top w:val="single" w:sz="4" w:space="0" w:color="auto"/>
              <w:left w:val="single" w:sz="4" w:space="0" w:color="auto"/>
              <w:bottom w:val="single" w:sz="4" w:space="0" w:color="auto"/>
              <w:right w:val="single" w:sz="4" w:space="0" w:color="auto"/>
            </w:tcBorders>
            <w:vAlign w:val="center"/>
          </w:tcPr>
          <w:p w14:paraId="61B07FC2" w14:textId="77777777" w:rsidR="00E37899" w:rsidRPr="00873941" w:rsidRDefault="00E37899">
            <w:pPr>
              <w:pStyle w:val="TableText0"/>
              <w:rPr>
                <w:rFonts w:eastAsia="Calibri"/>
                <w:szCs w:val="20"/>
              </w:rPr>
            </w:pPr>
          </w:p>
        </w:tc>
      </w:tr>
      <w:tr w:rsidR="00E37899" w:rsidRPr="00873941" w14:paraId="79D109A9" w14:textId="77777777" w:rsidTr="00534902">
        <w:trPr>
          <w:cantSplit/>
          <w:trHeight w:val="283"/>
        </w:trPr>
        <w:tc>
          <w:tcPr>
            <w:tcW w:w="2043" w:type="pct"/>
            <w:tcBorders>
              <w:top w:val="single" w:sz="4" w:space="0" w:color="auto"/>
              <w:left w:val="single" w:sz="4" w:space="0" w:color="auto"/>
              <w:bottom w:val="single" w:sz="4" w:space="0" w:color="auto"/>
              <w:right w:val="single" w:sz="4" w:space="0" w:color="auto"/>
            </w:tcBorders>
          </w:tcPr>
          <w:p w14:paraId="3D1CBCFE" w14:textId="77777777" w:rsidR="00E37899" w:rsidRPr="00873941" w:rsidRDefault="00E37899" w:rsidP="00E37899">
            <w:pPr>
              <w:pStyle w:val="TableText0"/>
            </w:pPr>
            <w:proofErr w:type="spellStart"/>
            <w:r w:rsidRPr="00873941">
              <w:t>eBC</w:t>
            </w:r>
            <w:proofErr w:type="spellEnd"/>
            <w:r w:rsidRPr="00873941">
              <w:t xml:space="preserve"> utility Selection (KATHERINE Pooled-base case)</w:t>
            </w:r>
          </w:p>
          <w:p w14:paraId="361C0709" w14:textId="4096427A" w:rsidR="00E37899" w:rsidRPr="00873941" w:rsidRDefault="00E37899" w:rsidP="00E37899">
            <w:pPr>
              <w:pStyle w:val="TableText0"/>
            </w:pPr>
            <w:r w:rsidRPr="00873941">
              <w:t>Hedden et al. 2012</w:t>
            </w:r>
          </w:p>
        </w:tc>
        <w:tc>
          <w:tcPr>
            <w:tcW w:w="786" w:type="pct"/>
            <w:tcBorders>
              <w:top w:val="single" w:sz="4" w:space="0" w:color="auto"/>
              <w:left w:val="single" w:sz="4" w:space="0" w:color="auto"/>
              <w:bottom w:val="single" w:sz="4" w:space="0" w:color="auto"/>
              <w:right w:val="single" w:sz="4" w:space="0" w:color="auto"/>
            </w:tcBorders>
          </w:tcPr>
          <w:p w14:paraId="63C9C92C" w14:textId="77777777" w:rsidR="00E37899" w:rsidRPr="00873941" w:rsidRDefault="00E37899" w:rsidP="00E37899">
            <w:pPr>
              <w:pStyle w:val="TableText0"/>
              <w:jc w:val="center"/>
            </w:pPr>
          </w:p>
          <w:p w14:paraId="3F4509C6" w14:textId="77777777" w:rsidR="00E37899" w:rsidRPr="00873941" w:rsidRDefault="00E37899" w:rsidP="00E37899">
            <w:pPr>
              <w:pStyle w:val="TableText0"/>
              <w:jc w:val="center"/>
            </w:pPr>
          </w:p>
          <w:p w14:paraId="6C46C5AD" w14:textId="447F6D2C" w:rsidR="00E37899" w:rsidRPr="00873941" w:rsidRDefault="00471EB9" w:rsidP="00E37899">
            <w:pPr>
              <w:pStyle w:val="TableText0"/>
              <w:jc w:val="center"/>
              <w:rPr>
                <w:rFonts w:eastAsia="Calibri"/>
                <w:szCs w:val="20"/>
              </w:rPr>
            </w:pPr>
            <w:r w:rsidRPr="00471EB9">
              <w:rPr>
                <w:color w:val="000000"/>
                <w:spacing w:val="53"/>
                <w:shd w:val="solid" w:color="000000" w:fill="000000"/>
                <w:fitText w:val="330" w:id="-694408177"/>
                <w14:textFill>
                  <w14:solidFill>
                    <w14:srgbClr w14:val="000000">
                      <w14:alpha w14:val="100000"/>
                    </w14:srgbClr>
                  </w14:solidFill>
                </w14:textFill>
              </w:rPr>
              <w:t>|||</w:t>
            </w:r>
            <w:r w:rsidRPr="00471EB9">
              <w:rPr>
                <w:color w:val="000000"/>
                <w:spacing w:val="1"/>
                <w:shd w:val="solid" w:color="000000" w:fill="000000"/>
                <w:fitText w:val="330" w:id="-694408177"/>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tcPr>
          <w:p w14:paraId="2F6492A2" w14:textId="77777777" w:rsidR="00E37899" w:rsidRPr="00873941" w:rsidRDefault="00E37899" w:rsidP="00E37899">
            <w:pPr>
              <w:pStyle w:val="TableText0"/>
              <w:jc w:val="center"/>
            </w:pPr>
          </w:p>
          <w:p w14:paraId="05964E89" w14:textId="77777777" w:rsidR="00E37899" w:rsidRPr="00873941" w:rsidRDefault="00E37899" w:rsidP="00E37899">
            <w:pPr>
              <w:pStyle w:val="TableText0"/>
              <w:jc w:val="center"/>
            </w:pPr>
          </w:p>
          <w:p w14:paraId="721A5CC7" w14:textId="6EC7E482" w:rsidR="00E37899" w:rsidRPr="00873941" w:rsidRDefault="00E37899" w:rsidP="00E37899">
            <w:pPr>
              <w:pStyle w:val="TableText0"/>
              <w:jc w:val="center"/>
            </w:pPr>
            <w:r w:rsidRPr="00873941">
              <w:t>0.108</w:t>
            </w:r>
          </w:p>
        </w:tc>
        <w:tc>
          <w:tcPr>
            <w:tcW w:w="788" w:type="pct"/>
            <w:tcBorders>
              <w:top w:val="single" w:sz="4" w:space="0" w:color="auto"/>
              <w:left w:val="single" w:sz="4" w:space="0" w:color="auto"/>
              <w:bottom w:val="single" w:sz="4" w:space="0" w:color="auto"/>
              <w:right w:val="single" w:sz="4" w:space="0" w:color="auto"/>
            </w:tcBorders>
          </w:tcPr>
          <w:p w14:paraId="786643E3" w14:textId="6B1CFF55" w:rsidR="00E37899" w:rsidRPr="00B85A8A" w:rsidRDefault="00471EB9" w:rsidP="00E37899">
            <w:pPr>
              <w:pStyle w:val="TableText0"/>
              <w:jc w:val="center"/>
              <w:rPr>
                <w:highlight w:val="darkGray"/>
              </w:rPr>
            </w:pPr>
            <w:r w:rsidRPr="00471EB9">
              <w:rPr>
                <w:color w:val="000000"/>
                <w:spacing w:val="53"/>
                <w:shd w:val="solid" w:color="000000" w:fill="000000"/>
                <w:fitText w:val="330" w:id="-694408176"/>
                <w14:textFill>
                  <w14:solidFill>
                    <w14:srgbClr w14:val="000000">
                      <w14:alpha w14:val="100000"/>
                    </w14:srgbClr>
                  </w14:solidFill>
                </w14:textFill>
              </w:rPr>
              <w:t>|||</w:t>
            </w:r>
            <w:r w:rsidRPr="00471EB9">
              <w:rPr>
                <w:color w:val="000000"/>
                <w:spacing w:val="1"/>
                <w:shd w:val="solid" w:color="000000" w:fill="000000"/>
                <w:fitText w:val="330" w:id="-694408176"/>
                <w14:textFill>
                  <w14:solidFill>
                    <w14:srgbClr w14:val="000000">
                      <w14:alpha w14:val="100000"/>
                    </w14:srgbClr>
                  </w14:solidFill>
                </w14:textFill>
              </w:rPr>
              <w:t>|</w:t>
            </w:r>
            <w:r w:rsidR="0097018C" w:rsidRPr="00E04A7B">
              <w:rPr>
                <w:rFonts w:eastAsia="Calibri"/>
                <w:szCs w:val="20"/>
                <w:vertAlign w:val="superscript"/>
              </w:rPr>
              <w:t>2</w:t>
            </w:r>
          </w:p>
        </w:tc>
        <w:tc>
          <w:tcPr>
            <w:tcW w:w="597" w:type="pct"/>
            <w:tcBorders>
              <w:top w:val="single" w:sz="4" w:space="0" w:color="auto"/>
              <w:left w:val="single" w:sz="4" w:space="0" w:color="auto"/>
              <w:bottom w:val="single" w:sz="4" w:space="0" w:color="auto"/>
              <w:right w:val="single" w:sz="4" w:space="0" w:color="auto"/>
            </w:tcBorders>
          </w:tcPr>
          <w:p w14:paraId="4EC9AD46" w14:textId="77777777" w:rsidR="00E37899" w:rsidRPr="00873941" w:rsidRDefault="00E37899" w:rsidP="00E37899">
            <w:pPr>
              <w:pStyle w:val="TableText0"/>
              <w:jc w:val="center"/>
            </w:pPr>
          </w:p>
          <w:p w14:paraId="0DF76566" w14:textId="77777777" w:rsidR="00E37899" w:rsidRPr="00873941" w:rsidRDefault="00E37899" w:rsidP="00E37899">
            <w:pPr>
              <w:pStyle w:val="TableText0"/>
              <w:jc w:val="center"/>
            </w:pPr>
          </w:p>
          <w:p w14:paraId="06475693" w14:textId="172A7896" w:rsidR="00E37899" w:rsidRPr="00873941" w:rsidRDefault="00471EB9" w:rsidP="00E37899">
            <w:pPr>
              <w:pStyle w:val="TableText0"/>
              <w:jc w:val="center"/>
              <w:rPr>
                <w:rFonts w:eastAsia="Calibri"/>
                <w:szCs w:val="20"/>
              </w:rPr>
            </w:pPr>
            <w:r w:rsidRPr="00471EB9">
              <w:rPr>
                <w:color w:val="000000"/>
                <w:spacing w:val="53"/>
                <w:shd w:val="solid" w:color="000000" w:fill="000000"/>
                <w:fitText w:val="330" w:id="-694408192"/>
                <w14:textFill>
                  <w14:solidFill>
                    <w14:srgbClr w14:val="000000">
                      <w14:alpha w14:val="100000"/>
                    </w14:srgbClr>
                  </w14:solidFill>
                </w14:textFill>
              </w:rPr>
              <w:t>|||</w:t>
            </w:r>
            <w:r w:rsidRPr="00471EB9">
              <w:rPr>
                <w:color w:val="000000"/>
                <w:spacing w:val="1"/>
                <w:shd w:val="solid" w:color="000000" w:fill="000000"/>
                <w:fitText w:val="330" w:id="-694408192"/>
                <w14:textFill>
                  <w14:solidFill>
                    <w14:srgbClr w14:val="000000">
                      <w14:alpha w14:val="100000"/>
                    </w14:srgbClr>
                  </w14:solidFill>
                </w14:textFill>
              </w:rPr>
              <w:t>|</w:t>
            </w:r>
            <w:r w:rsidR="00E37899" w:rsidRPr="00873941">
              <w:t>%</w:t>
            </w:r>
          </w:p>
        </w:tc>
      </w:tr>
      <w:tr w:rsidR="00AF1AE0" w:rsidRPr="00873941" w14:paraId="3700AF72" w14:textId="77777777" w:rsidTr="00534902">
        <w:trPr>
          <w:cantSplit/>
          <w:trHeight w:val="283"/>
        </w:trPr>
        <w:tc>
          <w:tcPr>
            <w:tcW w:w="2043" w:type="pct"/>
            <w:tcBorders>
              <w:top w:val="single" w:sz="4" w:space="0" w:color="auto"/>
              <w:left w:val="single" w:sz="4" w:space="0" w:color="auto"/>
              <w:bottom w:val="single" w:sz="4" w:space="0" w:color="auto"/>
              <w:right w:val="single" w:sz="4" w:space="0" w:color="auto"/>
            </w:tcBorders>
          </w:tcPr>
          <w:p w14:paraId="176B8142" w14:textId="77777777" w:rsidR="00AF1AE0" w:rsidRPr="00873941" w:rsidRDefault="00AF1AE0" w:rsidP="00AF1AE0">
            <w:pPr>
              <w:widowControl w:val="0"/>
              <w:rPr>
                <w:rFonts w:ascii="Arial Narrow" w:eastAsiaTheme="majorEastAsia" w:hAnsi="Arial Narrow" w:cstheme="majorBidi"/>
                <w:bCs/>
                <w:sz w:val="20"/>
              </w:rPr>
            </w:pPr>
            <w:proofErr w:type="spellStart"/>
            <w:r w:rsidRPr="00873941">
              <w:rPr>
                <w:rFonts w:ascii="Arial Narrow" w:eastAsiaTheme="majorEastAsia" w:hAnsi="Arial Narrow" w:cstheme="majorBidi"/>
                <w:bCs/>
                <w:sz w:val="20"/>
              </w:rPr>
              <w:t>mBC</w:t>
            </w:r>
            <w:proofErr w:type="spellEnd"/>
            <w:r w:rsidRPr="00873941">
              <w:rPr>
                <w:rFonts w:ascii="Arial Narrow" w:eastAsiaTheme="majorEastAsia" w:hAnsi="Arial Narrow" w:cstheme="majorBidi"/>
                <w:bCs/>
                <w:sz w:val="20"/>
              </w:rPr>
              <w:t xml:space="preserve"> utility Selection (Lloyd et al. 2006-base case)</w:t>
            </w:r>
          </w:p>
          <w:p w14:paraId="124A7941" w14:textId="77777777" w:rsidR="00AF1AE0" w:rsidRPr="00873941" w:rsidRDefault="00AF1AE0" w:rsidP="00AF1AE0">
            <w:pPr>
              <w:widowControl w:val="0"/>
              <w:rPr>
                <w:rFonts w:ascii="Arial Narrow" w:eastAsiaTheme="majorEastAsia" w:hAnsi="Arial Narrow" w:cstheme="majorBidi"/>
                <w:b/>
                <w:sz w:val="20"/>
              </w:rPr>
            </w:pPr>
            <w:proofErr w:type="spellStart"/>
            <w:r w:rsidRPr="00873941">
              <w:rPr>
                <w:rFonts w:ascii="Arial Narrow" w:eastAsiaTheme="majorEastAsia" w:hAnsi="Arial Narrow" w:cstheme="majorBidi"/>
                <w:bCs/>
                <w:sz w:val="20"/>
              </w:rPr>
              <w:t>Rautalin</w:t>
            </w:r>
            <w:proofErr w:type="spellEnd"/>
            <w:r w:rsidRPr="00873941">
              <w:rPr>
                <w:rFonts w:ascii="Arial Narrow" w:eastAsiaTheme="majorEastAsia" w:hAnsi="Arial Narrow" w:cstheme="majorBidi"/>
                <w:bCs/>
                <w:sz w:val="20"/>
              </w:rPr>
              <w:t xml:space="preserve"> et al. 2017</w:t>
            </w:r>
          </w:p>
          <w:p w14:paraId="396DA47F" w14:textId="4E1A668A" w:rsidR="00AF1AE0" w:rsidRPr="00873941" w:rsidRDefault="00AF1AE0" w:rsidP="00AF1AE0">
            <w:pPr>
              <w:widowControl w:val="0"/>
              <w:rPr>
                <w:rFonts w:ascii="Arial Narrow" w:eastAsiaTheme="majorEastAsia" w:hAnsi="Arial Narrow" w:cstheme="majorBidi"/>
                <w:b/>
                <w:sz w:val="20"/>
              </w:rPr>
            </w:pPr>
            <w:r w:rsidRPr="00873941">
              <w:rPr>
                <w:rFonts w:ascii="Arial Narrow" w:eastAsiaTheme="majorEastAsia" w:hAnsi="Arial Narrow" w:cstheme="majorBidi"/>
                <w:bCs/>
                <w:sz w:val="20"/>
              </w:rPr>
              <w:t>Lidgren et al. 2007</w:t>
            </w:r>
          </w:p>
        </w:tc>
        <w:tc>
          <w:tcPr>
            <w:tcW w:w="786" w:type="pct"/>
            <w:tcBorders>
              <w:top w:val="single" w:sz="4" w:space="0" w:color="auto"/>
              <w:left w:val="single" w:sz="4" w:space="0" w:color="auto"/>
              <w:bottom w:val="single" w:sz="4" w:space="0" w:color="auto"/>
              <w:right w:val="single" w:sz="4" w:space="0" w:color="auto"/>
            </w:tcBorders>
          </w:tcPr>
          <w:p w14:paraId="7514D145" w14:textId="77777777" w:rsidR="00AF1AE0" w:rsidRPr="00873941" w:rsidRDefault="00AF1AE0" w:rsidP="00AF1AE0">
            <w:pPr>
              <w:widowControl w:val="0"/>
              <w:jc w:val="center"/>
              <w:rPr>
                <w:rFonts w:ascii="Arial Narrow" w:eastAsiaTheme="majorEastAsia" w:hAnsi="Arial Narrow" w:cstheme="majorBidi"/>
                <w:bCs/>
                <w:sz w:val="20"/>
              </w:rPr>
            </w:pPr>
          </w:p>
          <w:p w14:paraId="10870255" w14:textId="77777777" w:rsidR="00AF1AE0" w:rsidRPr="00873941" w:rsidRDefault="00AF1AE0" w:rsidP="00AF1AE0">
            <w:pPr>
              <w:widowControl w:val="0"/>
              <w:jc w:val="center"/>
              <w:rPr>
                <w:rFonts w:ascii="Arial Narrow" w:eastAsiaTheme="majorEastAsia" w:hAnsi="Arial Narrow" w:cstheme="majorBidi"/>
                <w:bCs/>
                <w:sz w:val="20"/>
              </w:rPr>
            </w:pPr>
          </w:p>
          <w:p w14:paraId="3E4C7108" w14:textId="3AB60A38" w:rsidR="00AF1AE0" w:rsidRPr="00873941" w:rsidRDefault="00471EB9" w:rsidP="00AF1AE0">
            <w:pPr>
              <w:pStyle w:val="TableText0"/>
              <w:jc w:val="center"/>
              <w:rPr>
                <w:rFonts w:eastAsia="Calibri"/>
                <w:szCs w:val="20"/>
              </w:rPr>
            </w:pPr>
            <w:r w:rsidRPr="00471EB9">
              <w:rPr>
                <w:bCs w:val="0"/>
                <w:color w:val="000000"/>
                <w:spacing w:val="53"/>
                <w:shd w:val="solid" w:color="000000" w:fill="000000"/>
                <w:fitText w:val="330" w:id="-694408191"/>
                <w14:textFill>
                  <w14:solidFill>
                    <w14:srgbClr w14:val="000000">
                      <w14:alpha w14:val="100000"/>
                    </w14:srgbClr>
                  </w14:solidFill>
                </w14:textFill>
              </w:rPr>
              <w:t>|||</w:t>
            </w:r>
            <w:r w:rsidRPr="00471EB9">
              <w:rPr>
                <w:bCs w:val="0"/>
                <w:color w:val="000000"/>
                <w:spacing w:val="1"/>
                <w:shd w:val="solid" w:color="000000" w:fill="000000"/>
                <w:fitText w:val="330" w:id="-694408191"/>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tcPr>
          <w:p w14:paraId="21D31B90" w14:textId="77777777" w:rsidR="00AF1AE0" w:rsidRPr="00873941" w:rsidRDefault="00AF1AE0" w:rsidP="00AF1AE0">
            <w:pPr>
              <w:widowControl w:val="0"/>
              <w:jc w:val="center"/>
              <w:rPr>
                <w:rFonts w:ascii="Arial Narrow" w:eastAsiaTheme="majorEastAsia" w:hAnsi="Arial Narrow" w:cstheme="majorBidi"/>
                <w:bCs/>
                <w:sz w:val="20"/>
              </w:rPr>
            </w:pPr>
          </w:p>
          <w:p w14:paraId="78C930BC" w14:textId="77777777" w:rsidR="00AF1AE0" w:rsidRPr="00873941" w:rsidRDefault="00AF1AE0" w:rsidP="00AF1AE0">
            <w:pPr>
              <w:widowControl w:val="0"/>
              <w:jc w:val="center"/>
              <w:rPr>
                <w:rFonts w:ascii="Arial Narrow" w:eastAsiaTheme="majorEastAsia" w:hAnsi="Arial Narrow" w:cstheme="majorBidi"/>
                <w:bCs/>
                <w:sz w:val="20"/>
              </w:rPr>
            </w:pPr>
          </w:p>
          <w:p w14:paraId="3AD5374F" w14:textId="7DB08AC9" w:rsidR="00AF1AE0" w:rsidRPr="00873941" w:rsidRDefault="00AF1AE0" w:rsidP="00AF1AE0">
            <w:pPr>
              <w:widowControl w:val="0"/>
              <w:jc w:val="center"/>
              <w:rPr>
                <w:rFonts w:ascii="Arial Narrow" w:eastAsiaTheme="majorEastAsia" w:hAnsi="Arial Narrow" w:cstheme="majorBidi"/>
                <w:bCs/>
                <w:sz w:val="20"/>
              </w:rPr>
            </w:pPr>
            <w:r w:rsidRPr="00873941">
              <w:rPr>
                <w:rFonts w:ascii="Arial Narrow" w:eastAsiaTheme="majorEastAsia" w:hAnsi="Arial Narrow" w:cstheme="majorBidi"/>
                <w:bCs/>
                <w:sz w:val="20"/>
              </w:rPr>
              <w:t>0.142</w:t>
            </w:r>
          </w:p>
          <w:p w14:paraId="15991208" w14:textId="20B79CEE" w:rsidR="00AF1AE0" w:rsidRPr="00873941" w:rsidRDefault="00AF1AE0" w:rsidP="00AF1AE0">
            <w:pPr>
              <w:pStyle w:val="TableText0"/>
              <w:jc w:val="center"/>
            </w:pPr>
            <w:r w:rsidRPr="00873941">
              <w:t>0.133</w:t>
            </w:r>
          </w:p>
        </w:tc>
        <w:tc>
          <w:tcPr>
            <w:tcW w:w="788" w:type="pct"/>
            <w:tcBorders>
              <w:top w:val="single" w:sz="4" w:space="0" w:color="auto"/>
              <w:left w:val="single" w:sz="4" w:space="0" w:color="auto"/>
              <w:bottom w:val="single" w:sz="4" w:space="0" w:color="auto"/>
              <w:right w:val="single" w:sz="4" w:space="0" w:color="auto"/>
            </w:tcBorders>
          </w:tcPr>
          <w:p w14:paraId="2C557361" w14:textId="1B95D115" w:rsidR="00AF1AE0" w:rsidRPr="00B85A8A" w:rsidRDefault="00471EB9" w:rsidP="00AF1AE0">
            <w:pPr>
              <w:pStyle w:val="TableText0"/>
              <w:jc w:val="center"/>
              <w:rPr>
                <w:highlight w:val="darkGray"/>
              </w:rPr>
            </w:pPr>
            <w:r w:rsidRPr="00471EB9">
              <w:rPr>
                <w:bCs w:val="0"/>
                <w:color w:val="000000"/>
                <w:spacing w:val="49"/>
                <w:shd w:val="solid" w:color="000000" w:fill="000000"/>
                <w:fitText w:val="320" w:id="-694408190"/>
                <w14:textFill>
                  <w14:solidFill>
                    <w14:srgbClr w14:val="000000">
                      <w14:alpha w14:val="100000"/>
                    </w14:srgbClr>
                  </w14:solidFill>
                </w14:textFill>
              </w:rPr>
              <w:t>|||</w:t>
            </w:r>
            <w:r w:rsidRPr="00471EB9">
              <w:rPr>
                <w:bCs w:val="0"/>
                <w:color w:val="000000"/>
                <w:spacing w:val="3"/>
                <w:shd w:val="solid" w:color="000000" w:fill="000000"/>
                <w:fitText w:val="320" w:id="-694408190"/>
                <w14:textFill>
                  <w14:solidFill>
                    <w14:srgbClr w14:val="000000">
                      <w14:alpha w14:val="100000"/>
                    </w14:srgbClr>
                  </w14:solidFill>
                </w14:textFill>
              </w:rPr>
              <w:t>|</w:t>
            </w:r>
            <w:r w:rsidR="00E04A7B" w:rsidRPr="003A5990">
              <w:rPr>
                <w:rFonts w:eastAsia="Calibri"/>
                <w:b/>
                <w:szCs w:val="20"/>
                <w:vertAlign w:val="superscript"/>
              </w:rPr>
              <w:t>1</w:t>
            </w:r>
            <w:r w:rsidRPr="00471EB9">
              <w:rPr>
                <w:bCs w:val="0"/>
                <w:color w:val="000000"/>
                <w:spacing w:val="53"/>
                <w:shd w:val="solid" w:color="000000" w:fill="000000"/>
                <w:fitText w:val="330" w:id="-694408189"/>
                <w14:textFill>
                  <w14:solidFill>
                    <w14:srgbClr w14:val="000000">
                      <w14:alpha w14:val="100000"/>
                    </w14:srgbClr>
                  </w14:solidFill>
                </w14:textFill>
              </w:rPr>
              <w:t>|||</w:t>
            </w:r>
            <w:r w:rsidRPr="00471EB9">
              <w:rPr>
                <w:bCs w:val="0"/>
                <w:color w:val="000000"/>
                <w:spacing w:val="1"/>
                <w:shd w:val="solid" w:color="000000" w:fill="000000"/>
                <w:fitText w:val="330" w:id="-694408189"/>
                <w14:textFill>
                  <w14:solidFill>
                    <w14:srgbClr w14:val="000000">
                      <w14:alpha w14:val="100000"/>
                    </w14:srgbClr>
                  </w14:solidFill>
                </w14:textFill>
              </w:rPr>
              <w:t>|</w:t>
            </w:r>
            <w:r w:rsidR="00E04A7B" w:rsidRPr="003A5990">
              <w:rPr>
                <w:rFonts w:eastAsia="Calibri"/>
                <w:b/>
                <w:szCs w:val="20"/>
                <w:vertAlign w:val="superscript"/>
              </w:rPr>
              <w:t>1</w:t>
            </w:r>
          </w:p>
        </w:tc>
        <w:tc>
          <w:tcPr>
            <w:tcW w:w="597" w:type="pct"/>
            <w:tcBorders>
              <w:top w:val="single" w:sz="4" w:space="0" w:color="auto"/>
              <w:left w:val="single" w:sz="4" w:space="0" w:color="auto"/>
              <w:bottom w:val="single" w:sz="4" w:space="0" w:color="auto"/>
              <w:right w:val="single" w:sz="4" w:space="0" w:color="auto"/>
            </w:tcBorders>
          </w:tcPr>
          <w:p w14:paraId="5607D368" w14:textId="77777777" w:rsidR="00AF1AE0" w:rsidRPr="00873941" w:rsidRDefault="00AF1AE0" w:rsidP="00AF1AE0">
            <w:pPr>
              <w:widowControl w:val="0"/>
              <w:jc w:val="center"/>
              <w:rPr>
                <w:rFonts w:ascii="Arial Narrow" w:eastAsiaTheme="majorEastAsia" w:hAnsi="Arial Narrow" w:cstheme="majorBidi"/>
                <w:bCs/>
                <w:sz w:val="20"/>
              </w:rPr>
            </w:pPr>
          </w:p>
          <w:p w14:paraId="6F309C39" w14:textId="77777777" w:rsidR="00AF1AE0" w:rsidRPr="00873941" w:rsidRDefault="00AF1AE0" w:rsidP="00AF1AE0">
            <w:pPr>
              <w:widowControl w:val="0"/>
              <w:jc w:val="center"/>
              <w:rPr>
                <w:rFonts w:ascii="Arial Narrow" w:eastAsiaTheme="majorEastAsia" w:hAnsi="Arial Narrow" w:cstheme="majorBidi"/>
                <w:bCs/>
                <w:sz w:val="20"/>
              </w:rPr>
            </w:pPr>
          </w:p>
          <w:p w14:paraId="05462503" w14:textId="32DBC23C" w:rsidR="00AF1AE0" w:rsidRPr="00873941" w:rsidRDefault="00471EB9" w:rsidP="00AF1AE0">
            <w:pPr>
              <w:widowControl w:val="0"/>
              <w:jc w:val="center"/>
              <w:rPr>
                <w:rFonts w:ascii="Arial Narrow" w:eastAsiaTheme="majorEastAsia" w:hAnsi="Arial Narrow" w:cstheme="majorBidi"/>
                <w:bCs/>
                <w:sz w:val="20"/>
              </w:rPr>
            </w:pPr>
            <w:r w:rsidRPr="00471EB9">
              <w:rPr>
                <w:rFonts w:ascii="Arial Narrow" w:eastAsiaTheme="majorEastAsia" w:hAnsi="Arial Narrow" w:cstheme="majorBidi"/>
                <w:bCs/>
                <w:color w:val="000000"/>
                <w:spacing w:val="53"/>
                <w:sz w:val="20"/>
                <w:shd w:val="solid" w:color="000000" w:fill="000000"/>
                <w:fitText w:val="330" w:id="-694408188"/>
                <w14:textFill>
                  <w14:solidFill>
                    <w14:srgbClr w14:val="000000">
                      <w14:alpha w14:val="100000"/>
                    </w14:srgbClr>
                  </w14:solidFill>
                </w14:textFill>
              </w:rPr>
              <w:t>|||</w:t>
            </w:r>
            <w:r w:rsidRPr="00471EB9">
              <w:rPr>
                <w:rFonts w:ascii="Arial Narrow" w:eastAsiaTheme="majorEastAsia" w:hAnsi="Arial Narrow" w:cstheme="majorBidi"/>
                <w:bCs/>
                <w:color w:val="000000"/>
                <w:spacing w:val="1"/>
                <w:sz w:val="20"/>
                <w:shd w:val="solid" w:color="000000" w:fill="000000"/>
                <w:fitText w:val="330" w:id="-694408188"/>
                <w14:textFill>
                  <w14:solidFill>
                    <w14:srgbClr w14:val="000000">
                      <w14:alpha w14:val="100000"/>
                    </w14:srgbClr>
                  </w14:solidFill>
                </w14:textFill>
              </w:rPr>
              <w:t>|</w:t>
            </w:r>
            <w:r w:rsidR="00AF1AE0" w:rsidRPr="00873941">
              <w:rPr>
                <w:rFonts w:ascii="Arial Narrow" w:eastAsiaTheme="majorEastAsia" w:hAnsi="Arial Narrow" w:cstheme="majorBidi"/>
                <w:bCs/>
                <w:sz w:val="20"/>
              </w:rPr>
              <w:t>%</w:t>
            </w:r>
          </w:p>
          <w:p w14:paraId="65382C19" w14:textId="1B338C60" w:rsidR="00AF1AE0" w:rsidRPr="00873941" w:rsidRDefault="00471EB9" w:rsidP="00AF1AE0">
            <w:pPr>
              <w:pStyle w:val="TableText0"/>
              <w:jc w:val="center"/>
              <w:rPr>
                <w:rFonts w:eastAsia="Calibri"/>
                <w:szCs w:val="20"/>
              </w:rPr>
            </w:pPr>
            <w:r w:rsidRPr="00471EB9">
              <w:rPr>
                <w:color w:val="000000"/>
                <w:spacing w:val="53"/>
                <w:shd w:val="solid" w:color="000000" w:fill="000000"/>
                <w:fitText w:val="330" w:id="-694408187"/>
                <w14:textFill>
                  <w14:solidFill>
                    <w14:srgbClr w14:val="000000">
                      <w14:alpha w14:val="100000"/>
                    </w14:srgbClr>
                  </w14:solidFill>
                </w14:textFill>
              </w:rPr>
              <w:t>|||</w:t>
            </w:r>
            <w:r w:rsidRPr="00471EB9">
              <w:rPr>
                <w:color w:val="000000"/>
                <w:spacing w:val="1"/>
                <w:shd w:val="solid" w:color="000000" w:fill="000000"/>
                <w:fitText w:val="330" w:id="-694408187"/>
                <w14:textFill>
                  <w14:solidFill>
                    <w14:srgbClr w14:val="000000">
                      <w14:alpha w14:val="100000"/>
                    </w14:srgbClr>
                  </w14:solidFill>
                </w14:textFill>
              </w:rPr>
              <w:t>|</w:t>
            </w:r>
            <w:r w:rsidR="00AF1AE0" w:rsidRPr="00873941">
              <w:t>%</w:t>
            </w:r>
          </w:p>
        </w:tc>
      </w:tr>
      <w:tr w:rsidR="006F4300" w:rsidRPr="00873941" w14:paraId="2843C280" w14:textId="77777777" w:rsidTr="00534902">
        <w:trPr>
          <w:cantSplit/>
          <w:trHeight w:val="283"/>
        </w:trPr>
        <w:tc>
          <w:tcPr>
            <w:tcW w:w="5000" w:type="pct"/>
            <w:gridSpan w:val="5"/>
            <w:tcBorders>
              <w:top w:val="single" w:sz="4" w:space="0" w:color="auto"/>
              <w:left w:val="single" w:sz="4" w:space="0" w:color="auto"/>
              <w:bottom w:val="single" w:sz="4" w:space="0" w:color="auto"/>
              <w:right w:val="single" w:sz="4" w:space="0" w:color="auto"/>
            </w:tcBorders>
            <w:hideMark/>
          </w:tcPr>
          <w:p w14:paraId="6945726E" w14:textId="44961888" w:rsidR="006F4300" w:rsidRPr="00873941" w:rsidRDefault="006F4300" w:rsidP="00F77699">
            <w:pPr>
              <w:pStyle w:val="TableText0"/>
              <w:rPr>
                <w:rFonts w:eastAsia="Calibri"/>
                <w:b/>
                <w:bCs w:val="0"/>
                <w:szCs w:val="20"/>
              </w:rPr>
            </w:pPr>
            <w:r w:rsidRPr="00873941">
              <w:rPr>
                <w:b/>
                <w:bCs w:val="0"/>
              </w:rPr>
              <w:lastRenderedPageBreak/>
              <w:t xml:space="preserve">Multivariate analysis </w:t>
            </w:r>
          </w:p>
        </w:tc>
      </w:tr>
      <w:tr w:rsidR="006F4300" w:rsidRPr="00873941" w14:paraId="76B358D3" w14:textId="77777777" w:rsidTr="00471EB9">
        <w:trPr>
          <w:cantSplit/>
          <w:trHeight w:val="283"/>
        </w:trPr>
        <w:tc>
          <w:tcPr>
            <w:tcW w:w="2043" w:type="pct"/>
            <w:tcBorders>
              <w:top w:val="single" w:sz="4" w:space="0" w:color="auto"/>
              <w:left w:val="single" w:sz="4" w:space="0" w:color="auto"/>
              <w:bottom w:val="single" w:sz="4" w:space="0" w:color="auto"/>
              <w:right w:val="single" w:sz="4" w:space="0" w:color="auto"/>
            </w:tcBorders>
            <w:hideMark/>
          </w:tcPr>
          <w:p w14:paraId="4A89687D" w14:textId="4D37FA4A" w:rsidR="006F4300" w:rsidRPr="00873941" w:rsidRDefault="006F4300">
            <w:pPr>
              <w:pStyle w:val="TableText0"/>
            </w:pPr>
            <w:r w:rsidRPr="00873941">
              <w:t>20-year time horizon and 6 treatment cycles per patient</w:t>
            </w:r>
          </w:p>
        </w:tc>
        <w:tc>
          <w:tcPr>
            <w:tcW w:w="786"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147A61E6" w14:textId="3C56D2B9" w:rsidR="006F4300" w:rsidRPr="00FB13FA" w:rsidRDefault="00471EB9">
            <w:pPr>
              <w:pStyle w:val="TableText0"/>
              <w:jc w:val="center"/>
              <w:rPr>
                <w:rFonts w:eastAsia="Calibri"/>
                <w:szCs w:val="20"/>
                <w:highlight w:val="darkGray"/>
              </w:rPr>
            </w:pPr>
            <w:r w:rsidRPr="00471EB9">
              <w:rPr>
                <w:rFonts w:eastAsia="Calibri"/>
                <w:color w:val="000000"/>
                <w:spacing w:val="53"/>
                <w:szCs w:val="20"/>
                <w:fitText w:val="330" w:id="-694408186"/>
                <w14:textFill>
                  <w14:solidFill>
                    <w14:srgbClr w14:val="000000">
                      <w14:alpha w14:val="100000"/>
                    </w14:srgbClr>
                  </w14:solidFill>
                </w14:textFill>
              </w:rPr>
              <w:t>|||</w:t>
            </w:r>
            <w:r w:rsidRPr="00471EB9">
              <w:rPr>
                <w:rFonts w:eastAsia="Calibri"/>
                <w:color w:val="000000"/>
                <w:spacing w:val="1"/>
                <w:szCs w:val="20"/>
                <w:fitText w:val="330" w:id="-694408186"/>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vAlign w:val="center"/>
            <w:hideMark/>
          </w:tcPr>
          <w:p w14:paraId="360A69E8" w14:textId="77777777" w:rsidR="006F4300" w:rsidRPr="00873941" w:rsidRDefault="006F4300">
            <w:pPr>
              <w:pStyle w:val="TableText0"/>
              <w:jc w:val="center"/>
            </w:pPr>
            <w:r w:rsidRPr="00873941">
              <w:t>0.096</w:t>
            </w:r>
          </w:p>
        </w:tc>
        <w:tc>
          <w:tcPr>
            <w:tcW w:w="788" w:type="pct"/>
            <w:tcBorders>
              <w:top w:val="single" w:sz="4" w:space="0" w:color="auto"/>
              <w:left w:val="single" w:sz="4" w:space="0" w:color="auto"/>
              <w:bottom w:val="single" w:sz="4" w:space="0" w:color="auto"/>
              <w:right w:val="single" w:sz="4" w:space="0" w:color="auto"/>
            </w:tcBorders>
            <w:vAlign w:val="center"/>
            <w:hideMark/>
          </w:tcPr>
          <w:p w14:paraId="488DA958" w14:textId="66B3D183" w:rsidR="006F4300" w:rsidRPr="00B85A8A" w:rsidRDefault="00471EB9">
            <w:pPr>
              <w:widowControl w:val="0"/>
              <w:jc w:val="center"/>
              <w:rPr>
                <w:rFonts w:ascii="Arial Narrow" w:eastAsiaTheme="majorEastAsia" w:hAnsi="Arial Narrow" w:cstheme="majorBidi"/>
                <w:bCs/>
                <w:sz w:val="20"/>
                <w:highlight w:val="darkGray"/>
              </w:rPr>
            </w:pPr>
            <w:r w:rsidRPr="00471EB9">
              <w:rPr>
                <w:rFonts w:ascii="Arial Narrow" w:eastAsiaTheme="majorEastAsia" w:hAnsi="Arial Narrow" w:cstheme="majorBidi"/>
                <w:bCs/>
                <w:color w:val="000000"/>
                <w:spacing w:val="53"/>
                <w:sz w:val="20"/>
                <w:shd w:val="solid" w:color="000000" w:fill="000000"/>
                <w:fitText w:val="330" w:id="-694408185"/>
                <w14:textFill>
                  <w14:solidFill>
                    <w14:srgbClr w14:val="000000">
                      <w14:alpha w14:val="100000"/>
                    </w14:srgbClr>
                  </w14:solidFill>
                </w14:textFill>
              </w:rPr>
              <w:t>|||</w:t>
            </w:r>
            <w:r w:rsidRPr="00471EB9">
              <w:rPr>
                <w:rFonts w:ascii="Arial Narrow" w:eastAsiaTheme="majorEastAsia" w:hAnsi="Arial Narrow" w:cstheme="majorBidi"/>
                <w:bCs/>
                <w:color w:val="000000"/>
                <w:spacing w:val="1"/>
                <w:sz w:val="20"/>
                <w:shd w:val="solid" w:color="000000" w:fill="000000"/>
                <w:fitText w:val="330" w:id="-694408185"/>
                <w14:textFill>
                  <w14:solidFill>
                    <w14:srgbClr w14:val="000000">
                      <w14:alpha w14:val="100000"/>
                    </w14:srgbClr>
                  </w14:solidFill>
                </w14:textFill>
              </w:rPr>
              <w:t>|</w:t>
            </w:r>
            <w:r w:rsidR="003169E7" w:rsidRPr="003169E7">
              <w:rPr>
                <w:rFonts w:ascii="Arial Narrow" w:eastAsiaTheme="majorEastAsia" w:hAnsi="Arial Narrow" w:cstheme="majorBidi"/>
                <w:bCs/>
                <w:sz w:val="20"/>
                <w:vertAlign w:val="superscript"/>
              </w:rPr>
              <w:t>9</w:t>
            </w:r>
          </w:p>
        </w:tc>
        <w:tc>
          <w:tcPr>
            <w:tcW w:w="597" w:type="pct"/>
            <w:tcBorders>
              <w:top w:val="single" w:sz="4" w:space="0" w:color="auto"/>
              <w:left w:val="single" w:sz="4" w:space="0" w:color="auto"/>
              <w:bottom w:val="single" w:sz="4" w:space="0" w:color="auto"/>
              <w:right w:val="single" w:sz="4" w:space="0" w:color="auto"/>
            </w:tcBorders>
            <w:vAlign w:val="center"/>
            <w:hideMark/>
          </w:tcPr>
          <w:p w14:paraId="7DA67A6B" w14:textId="5EF24D6D" w:rsidR="006F4300" w:rsidRPr="00873941" w:rsidRDefault="00471EB9">
            <w:pPr>
              <w:widowControl w:val="0"/>
              <w:jc w:val="center"/>
              <w:rPr>
                <w:rFonts w:ascii="Arial Narrow" w:eastAsiaTheme="majorEastAsia" w:hAnsi="Arial Narrow" w:cstheme="majorBidi"/>
                <w:bCs/>
                <w:sz w:val="20"/>
              </w:rPr>
            </w:pPr>
            <w:r w:rsidRPr="00471EB9">
              <w:rPr>
                <w:rFonts w:ascii="Arial Narrow" w:eastAsiaTheme="majorEastAsia" w:hAnsi="Arial Narrow" w:cstheme="majorBidi"/>
                <w:bCs/>
                <w:color w:val="000000"/>
                <w:spacing w:val="53"/>
                <w:sz w:val="20"/>
                <w:shd w:val="solid" w:color="000000" w:fill="000000"/>
                <w:fitText w:val="330" w:id="-694408184"/>
                <w14:textFill>
                  <w14:solidFill>
                    <w14:srgbClr w14:val="000000">
                      <w14:alpha w14:val="100000"/>
                    </w14:srgbClr>
                  </w14:solidFill>
                </w14:textFill>
              </w:rPr>
              <w:t>|||</w:t>
            </w:r>
            <w:r w:rsidRPr="00471EB9">
              <w:rPr>
                <w:rFonts w:ascii="Arial Narrow" w:eastAsiaTheme="majorEastAsia" w:hAnsi="Arial Narrow" w:cstheme="majorBidi"/>
                <w:bCs/>
                <w:color w:val="000000"/>
                <w:spacing w:val="1"/>
                <w:sz w:val="20"/>
                <w:shd w:val="solid" w:color="000000" w:fill="000000"/>
                <w:fitText w:val="330" w:id="-694408184"/>
                <w14:textFill>
                  <w14:solidFill>
                    <w14:srgbClr w14:val="000000">
                      <w14:alpha w14:val="100000"/>
                    </w14:srgbClr>
                  </w14:solidFill>
                </w14:textFill>
              </w:rPr>
              <w:t>|</w:t>
            </w:r>
            <w:r w:rsidR="006F4300" w:rsidRPr="00873941">
              <w:rPr>
                <w:rFonts w:ascii="Arial Narrow" w:eastAsiaTheme="majorEastAsia" w:hAnsi="Arial Narrow" w:cstheme="majorBidi"/>
                <w:bCs/>
                <w:sz w:val="20"/>
              </w:rPr>
              <w:t>%</w:t>
            </w:r>
          </w:p>
        </w:tc>
      </w:tr>
      <w:tr w:rsidR="006F4300" w:rsidRPr="00873941" w14:paraId="54CDF2BE" w14:textId="77777777" w:rsidTr="00471EB9">
        <w:trPr>
          <w:cantSplit/>
          <w:trHeight w:val="283"/>
        </w:trPr>
        <w:tc>
          <w:tcPr>
            <w:tcW w:w="2043" w:type="pct"/>
            <w:tcBorders>
              <w:top w:val="single" w:sz="4" w:space="0" w:color="auto"/>
              <w:left w:val="single" w:sz="4" w:space="0" w:color="auto"/>
              <w:bottom w:val="single" w:sz="4" w:space="0" w:color="auto"/>
              <w:right w:val="single" w:sz="4" w:space="0" w:color="auto"/>
            </w:tcBorders>
            <w:hideMark/>
          </w:tcPr>
          <w:p w14:paraId="59637D87" w14:textId="7A33EE0F" w:rsidR="006F4300" w:rsidRPr="00873941" w:rsidRDefault="006F4300">
            <w:pPr>
              <w:pStyle w:val="TableText0"/>
            </w:pPr>
            <w:r w:rsidRPr="00873941">
              <w:t>20-year time horizon; treatment cycle 6/per patient and relative risk of disease recurrence in patients with a pCR (HR=0.4</w:t>
            </w:r>
            <w:r w:rsidR="000D67D3" w:rsidRPr="00873941">
              <w:t>6</w:t>
            </w:r>
            <w:r w:rsidRPr="00873941">
              <w:t>)</w:t>
            </w:r>
          </w:p>
        </w:tc>
        <w:tc>
          <w:tcPr>
            <w:tcW w:w="786"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58D38D04" w14:textId="165375F5" w:rsidR="006F4300" w:rsidRPr="00FB13FA" w:rsidRDefault="00471EB9">
            <w:pPr>
              <w:pStyle w:val="TableText0"/>
              <w:jc w:val="center"/>
              <w:rPr>
                <w:rFonts w:eastAsia="Calibri"/>
                <w:szCs w:val="20"/>
                <w:highlight w:val="darkGray"/>
              </w:rPr>
            </w:pPr>
            <w:r w:rsidRPr="00471EB9">
              <w:rPr>
                <w:rFonts w:eastAsia="Calibri"/>
                <w:color w:val="000000"/>
                <w:spacing w:val="53"/>
                <w:szCs w:val="20"/>
                <w:fitText w:val="330" w:id="-694408183"/>
                <w14:textFill>
                  <w14:solidFill>
                    <w14:srgbClr w14:val="000000">
                      <w14:alpha w14:val="100000"/>
                    </w14:srgbClr>
                  </w14:solidFill>
                </w14:textFill>
              </w:rPr>
              <w:t>|||</w:t>
            </w:r>
            <w:r w:rsidRPr="00471EB9">
              <w:rPr>
                <w:rFonts w:eastAsia="Calibri"/>
                <w:color w:val="000000"/>
                <w:spacing w:val="1"/>
                <w:szCs w:val="20"/>
                <w:fitText w:val="330" w:id="-694408183"/>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vAlign w:val="center"/>
            <w:hideMark/>
          </w:tcPr>
          <w:p w14:paraId="46D5BEA6" w14:textId="4ADF710A" w:rsidR="006F4300" w:rsidRPr="00873941" w:rsidRDefault="006F4300">
            <w:pPr>
              <w:pStyle w:val="TableText0"/>
              <w:jc w:val="center"/>
            </w:pPr>
            <w:r w:rsidRPr="00873941">
              <w:t>0.</w:t>
            </w:r>
            <w:r w:rsidR="000D67D3" w:rsidRPr="00873941">
              <w:t>058</w:t>
            </w:r>
          </w:p>
        </w:tc>
        <w:tc>
          <w:tcPr>
            <w:tcW w:w="788"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10FFCB3C" w14:textId="741FDA61" w:rsidR="006F4300" w:rsidRPr="00B85A8A" w:rsidRDefault="00471EB9">
            <w:pPr>
              <w:widowControl w:val="0"/>
              <w:jc w:val="center"/>
              <w:rPr>
                <w:rFonts w:ascii="Arial Narrow" w:eastAsiaTheme="majorEastAsia" w:hAnsi="Arial Narrow" w:cstheme="majorBidi"/>
                <w:bCs/>
                <w:sz w:val="20"/>
                <w:highlight w:val="darkGray"/>
              </w:rPr>
            </w:pPr>
            <w:r w:rsidRPr="00471EB9">
              <w:rPr>
                <w:rFonts w:ascii="Arial Narrow" w:eastAsiaTheme="majorEastAsia" w:hAnsi="Arial Narrow" w:cstheme="majorBidi"/>
                <w:bCs/>
                <w:color w:val="000000"/>
                <w:spacing w:val="53"/>
                <w:sz w:val="20"/>
                <w:fitText w:val="330" w:id="-694408182"/>
                <w14:textFill>
                  <w14:solidFill>
                    <w14:srgbClr w14:val="000000">
                      <w14:alpha w14:val="100000"/>
                    </w14:srgbClr>
                  </w14:solidFill>
                </w14:textFill>
              </w:rPr>
              <w:t>|||</w:t>
            </w:r>
            <w:r w:rsidRPr="00471EB9">
              <w:rPr>
                <w:rFonts w:ascii="Arial Narrow" w:eastAsiaTheme="majorEastAsia" w:hAnsi="Arial Narrow" w:cstheme="majorBidi"/>
                <w:bCs/>
                <w:color w:val="000000"/>
                <w:spacing w:val="1"/>
                <w:sz w:val="20"/>
                <w:fitText w:val="330" w:id="-694408182"/>
                <w14:textFill>
                  <w14:solidFill>
                    <w14:srgbClr w14:val="000000">
                      <w14:alpha w14:val="100000"/>
                    </w14:srgbClr>
                  </w14:solidFill>
                </w14:textFill>
              </w:rPr>
              <w:t>|</w:t>
            </w:r>
          </w:p>
        </w:tc>
        <w:tc>
          <w:tcPr>
            <w:tcW w:w="597" w:type="pct"/>
            <w:tcBorders>
              <w:top w:val="single" w:sz="4" w:space="0" w:color="auto"/>
              <w:left w:val="single" w:sz="4" w:space="0" w:color="auto"/>
              <w:bottom w:val="single" w:sz="4" w:space="0" w:color="auto"/>
              <w:right w:val="single" w:sz="4" w:space="0" w:color="auto"/>
            </w:tcBorders>
            <w:vAlign w:val="center"/>
            <w:hideMark/>
          </w:tcPr>
          <w:p w14:paraId="402489F9" w14:textId="26C23BF4" w:rsidR="006F4300" w:rsidRPr="00873941" w:rsidRDefault="00471EB9">
            <w:pPr>
              <w:widowControl w:val="0"/>
              <w:jc w:val="center"/>
              <w:rPr>
                <w:rFonts w:ascii="Arial Narrow" w:eastAsiaTheme="majorEastAsia" w:hAnsi="Arial Narrow" w:cstheme="majorBidi"/>
                <w:bCs/>
                <w:sz w:val="20"/>
              </w:rPr>
            </w:pPr>
            <w:r w:rsidRPr="00471EB9">
              <w:rPr>
                <w:rFonts w:ascii="Arial Narrow" w:eastAsiaTheme="majorEastAsia" w:hAnsi="Arial Narrow" w:cstheme="majorBidi"/>
                <w:bCs/>
                <w:color w:val="000000"/>
                <w:spacing w:val="53"/>
                <w:sz w:val="20"/>
                <w:shd w:val="solid" w:color="000000" w:fill="000000"/>
                <w:fitText w:val="330" w:id="-694408181"/>
                <w14:textFill>
                  <w14:solidFill>
                    <w14:srgbClr w14:val="000000">
                      <w14:alpha w14:val="100000"/>
                    </w14:srgbClr>
                  </w14:solidFill>
                </w14:textFill>
              </w:rPr>
              <w:t>|||</w:t>
            </w:r>
            <w:r w:rsidRPr="00471EB9">
              <w:rPr>
                <w:rFonts w:ascii="Arial Narrow" w:eastAsiaTheme="majorEastAsia" w:hAnsi="Arial Narrow" w:cstheme="majorBidi"/>
                <w:bCs/>
                <w:color w:val="000000"/>
                <w:spacing w:val="1"/>
                <w:sz w:val="20"/>
                <w:shd w:val="solid" w:color="000000" w:fill="000000"/>
                <w:fitText w:val="330" w:id="-694408181"/>
                <w14:textFill>
                  <w14:solidFill>
                    <w14:srgbClr w14:val="000000">
                      <w14:alpha w14:val="100000"/>
                    </w14:srgbClr>
                  </w14:solidFill>
                </w14:textFill>
              </w:rPr>
              <w:t>|</w:t>
            </w:r>
            <w:r w:rsidR="006F4300" w:rsidRPr="00873941">
              <w:rPr>
                <w:rFonts w:ascii="Arial Narrow" w:eastAsiaTheme="majorEastAsia" w:hAnsi="Arial Narrow" w:cstheme="majorBidi"/>
                <w:bCs/>
                <w:sz w:val="20"/>
              </w:rPr>
              <w:t>%</w:t>
            </w:r>
          </w:p>
        </w:tc>
      </w:tr>
      <w:tr w:rsidR="00534902" w:rsidRPr="00D0181E" w14:paraId="54A459E2" w14:textId="77777777" w:rsidTr="00534902">
        <w:trPr>
          <w:cantSplit/>
          <w:trHeight w:val="283"/>
        </w:trPr>
        <w:tc>
          <w:tcPr>
            <w:tcW w:w="5000" w:type="pct"/>
            <w:gridSpan w:val="5"/>
            <w:tcBorders>
              <w:top w:val="single" w:sz="4" w:space="0" w:color="auto"/>
              <w:left w:val="single" w:sz="4" w:space="0" w:color="auto"/>
              <w:bottom w:val="single" w:sz="4" w:space="0" w:color="auto"/>
              <w:right w:val="single" w:sz="4" w:space="0" w:color="auto"/>
            </w:tcBorders>
          </w:tcPr>
          <w:p w14:paraId="61BE17CF" w14:textId="77777777" w:rsidR="00534902" w:rsidRPr="00D0181E" w:rsidRDefault="00534902" w:rsidP="00EF13AB">
            <w:pPr>
              <w:pStyle w:val="TableText0"/>
              <w:rPr>
                <w:b/>
                <w:bCs w:val="0"/>
              </w:rPr>
            </w:pPr>
            <w:r w:rsidRPr="00D0181E">
              <w:rPr>
                <w:b/>
                <w:bCs w:val="0"/>
              </w:rPr>
              <w:t>Multivariate analysis - ESC</w:t>
            </w:r>
          </w:p>
        </w:tc>
      </w:tr>
      <w:tr w:rsidR="00534902" w:rsidRPr="00873941" w14:paraId="53A9D4DE" w14:textId="77777777" w:rsidTr="00471EB9">
        <w:trPr>
          <w:cantSplit/>
          <w:trHeight w:val="283"/>
        </w:trPr>
        <w:tc>
          <w:tcPr>
            <w:tcW w:w="2043" w:type="pct"/>
            <w:tcBorders>
              <w:top w:val="single" w:sz="4" w:space="0" w:color="auto"/>
              <w:left w:val="single" w:sz="4" w:space="0" w:color="auto"/>
              <w:bottom w:val="single" w:sz="4" w:space="0" w:color="auto"/>
              <w:right w:val="single" w:sz="4" w:space="0" w:color="auto"/>
            </w:tcBorders>
          </w:tcPr>
          <w:p w14:paraId="40190C57" w14:textId="77777777" w:rsidR="00534902" w:rsidRPr="00734E42" w:rsidRDefault="00534902" w:rsidP="00EF13AB">
            <w:pPr>
              <w:pStyle w:val="TableText0"/>
            </w:pPr>
            <w:r w:rsidRPr="00734E42">
              <w:t>30-year time horizon; treatment cycle 6/per patient</w:t>
            </w:r>
          </w:p>
        </w:tc>
        <w:tc>
          <w:tcPr>
            <w:tcW w:w="786" w:type="pct"/>
            <w:tcBorders>
              <w:top w:val="single" w:sz="4" w:space="0" w:color="auto"/>
              <w:left w:val="single" w:sz="4" w:space="0" w:color="auto"/>
              <w:bottom w:val="single" w:sz="4" w:space="0" w:color="auto"/>
              <w:right w:val="single" w:sz="4" w:space="0" w:color="auto"/>
            </w:tcBorders>
            <w:shd w:val="solid" w:color="000000" w:fill="000000"/>
            <w:vAlign w:val="center"/>
          </w:tcPr>
          <w:p w14:paraId="1BFB4C42" w14:textId="3F0CA11E" w:rsidR="00534902" w:rsidRPr="00FB13FA" w:rsidRDefault="00471EB9" w:rsidP="00EF13AB">
            <w:pPr>
              <w:pStyle w:val="TableText0"/>
              <w:jc w:val="center"/>
              <w:rPr>
                <w:rFonts w:eastAsia="Calibri"/>
                <w:szCs w:val="20"/>
                <w:highlight w:val="darkGray"/>
              </w:rPr>
            </w:pPr>
            <w:r w:rsidRPr="00471EB9">
              <w:rPr>
                <w:rFonts w:eastAsia="Calibri"/>
                <w:color w:val="000000"/>
                <w:spacing w:val="53"/>
                <w:szCs w:val="20"/>
                <w:fitText w:val="330" w:id="-694408180"/>
                <w14:textFill>
                  <w14:solidFill>
                    <w14:srgbClr w14:val="000000">
                      <w14:alpha w14:val="100000"/>
                    </w14:srgbClr>
                  </w14:solidFill>
                </w14:textFill>
              </w:rPr>
              <w:t>|||</w:t>
            </w:r>
            <w:r w:rsidRPr="00471EB9">
              <w:rPr>
                <w:rFonts w:eastAsia="Calibri"/>
                <w:color w:val="000000"/>
                <w:spacing w:val="1"/>
                <w:szCs w:val="20"/>
                <w:fitText w:val="330" w:id="-694408180"/>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vAlign w:val="center"/>
          </w:tcPr>
          <w:p w14:paraId="12A953F9" w14:textId="77777777" w:rsidR="00534902" w:rsidRPr="00734E42" w:rsidRDefault="00534902" w:rsidP="00EF13AB">
            <w:pPr>
              <w:pStyle w:val="TableText0"/>
              <w:jc w:val="center"/>
            </w:pPr>
            <w:r w:rsidRPr="00734E42">
              <w:t>0.139</w:t>
            </w:r>
          </w:p>
        </w:tc>
        <w:tc>
          <w:tcPr>
            <w:tcW w:w="788" w:type="pct"/>
            <w:tcBorders>
              <w:top w:val="single" w:sz="4" w:space="0" w:color="auto"/>
              <w:left w:val="single" w:sz="4" w:space="0" w:color="auto"/>
              <w:bottom w:val="single" w:sz="4" w:space="0" w:color="auto"/>
              <w:right w:val="single" w:sz="4" w:space="0" w:color="auto"/>
            </w:tcBorders>
            <w:vAlign w:val="center"/>
          </w:tcPr>
          <w:p w14:paraId="050742B0" w14:textId="46B9AFAF" w:rsidR="00534902" w:rsidRPr="00B85A8A" w:rsidRDefault="00471EB9" w:rsidP="00EF13AB">
            <w:pPr>
              <w:widowControl w:val="0"/>
              <w:jc w:val="center"/>
              <w:rPr>
                <w:rFonts w:ascii="Arial Narrow" w:eastAsiaTheme="majorEastAsia" w:hAnsi="Arial Narrow" w:cstheme="majorBidi"/>
                <w:bCs/>
                <w:sz w:val="20"/>
                <w:highlight w:val="darkGray"/>
              </w:rPr>
            </w:pPr>
            <w:r w:rsidRPr="00471EB9">
              <w:rPr>
                <w:rFonts w:ascii="Arial Narrow" w:eastAsiaTheme="majorEastAsia" w:hAnsi="Arial Narrow" w:cstheme="majorBidi"/>
                <w:bCs/>
                <w:color w:val="000000"/>
                <w:spacing w:val="53"/>
                <w:sz w:val="20"/>
                <w:shd w:val="solid" w:color="000000" w:fill="000000"/>
                <w:fitText w:val="330" w:id="-694408179"/>
                <w14:textFill>
                  <w14:solidFill>
                    <w14:srgbClr w14:val="000000">
                      <w14:alpha w14:val="100000"/>
                    </w14:srgbClr>
                  </w14:solidFill>
                </w14:textFill>
              </w:rPr>
              <w:t>|||</w:t>
            </w:r>
            <w:r w:rsidRPr="00471EB9">
              <w:rPr>
                <w:rFonts w:ascii="Arial Narrow" w:eastAsiaTheme="majorEastAsia" w:hAnsi="Arial Narrow" w:cstheme="majorBidi"/>
                <w:bCs/>
                <w:color w:val="000000"/>
                <w:spacing w:val="1"/>
                <w:sz w:val="20"/>
                <w:shd w:val="solid" w:color="000000" w:fill="000000"/>
                <w:fitText w:val="330" w:id="-694408179"/>
                <w14:textFill>
                  <w14:solidFill>
                    <w14:srgbClr w14:val="000000">
                      <w14:alpha w14:val="100000"/>
                    </w14:srgbClr>
                  </w14:solidFill>
                </w14:textFill>
              </w:rPr>
              <w:t>|</w:t>
            </w:r>
            <w:r w:rsidR="001F182C" w:rsidRPr="00EF4F13">
              <w:rPr>
                <w:vertAlign w:val="superscript"/>
              </w:rPr>
              <w:t>5</w:t>
            </w:r>
          </w:p>
        </w:tc>
        <w:tc>
          <w:tcPr>
            <w:tcW w:w="597" w:type="pct"/>
            <w:tcBorders>
              <w:top w:val="single" w:sz="4" w:space="0" w:color="auto"/>
              <w:left w:val="single" w:sz="4" w:space="0" w:color="auto"/>
              <w:bottom w:val="single" w:sz="4" w:space="0" w:color="auto"/>
              <w:right w:val="single" w:sz="4" w:space="0" w:color="auto"/>
            </w:tcBorders>
            <w:vAlign w:val="center"/>
          </w:tcPr>
          <w:p w14:paraId="02961B81" w14:textId="0EAA01F8" w:rsidR="00534902" w:rsidRPr="00734E42" w:rsidRDefault="00471EB9" w:rsidP="00EF13AB">
            <w:pPr>
              <w:widowControl w:val="0"/>
              <w:jc w:val="center"/>
              <w:rPr>
                <w:rFonts w:ascii="Arial Narrow" w:eastAsiaTheme="majorEastAsia" w:hAnsi="Arial Narrow" w:cstheme="majorBidi"/>
                <w:bCs/>
                <w:sz w:val="20"/>
              </w:rPr>
            </w:pPr>
            <w:r w:rsidRPr="00471EB9">
              <w:rPr>
                <w:rFonts w:ascii="Arial Narrow" w:eastAsiaTheme="majorEastAsia" w:hAnsi="Arial Narrow" w:cstheme="majorBidi"/>
                <w:bCs/>
                <w:color w:val="000000"/>
                <w:spacing w:val="53"/>
                <w:sz w:val="20"/>
                <w:shd w:val="solid" w:color="000000" w:fill="000000"/>
                <w:fitText w:val="330" w:id="-694408178"/>
                <w14:textFill>
                  <w14:solidFill>
                    <w14:srgbClr w14:val="000000">
                      <w14:alpha w14:val="100000"/>
                    </w14:srgbClr>
                  </w14:solidFill>
                </w14:textFill>
              </w:rPr>
              <w:t>|||</w:t>
            </w:r>
            <w:r w:rsidRPr="00471EB9">
              <w:rPr>
                <w:rFonts w:ascii="Arial Narrow" w:eastAsiaTheme="majorEastAsia" w:hAnsi="Arial Narrow" w:cstheme="majorBidi"/>
                <w:bCs/>
                <w:color w:val="000000"/>
                <w:spacing w:val="1"/>
                <w:sz w:val="20"/>
                <w:shd w:val="solid" w:color="000000" w:fill="000000"/>
                <w:fitText w:val="330" w:id="-694408178"/>
                <w14:textFill>
                  <w14:solidFill>
                    <w14:srgbClr w14:val="000000">
                      <w14:alpha w14:val="100000"/>
                    </w14:srgbClr>
                  </w14:solidFill>
                </w14:textFill>
              </w:rPr>
              <w:t>|</w:t>
            </w:r>
            <w:r w:rsidR="00534902" w:rsidRPr="00734E42">
              <w:rPr>
                <w:rFonts w:ascii="Arial Narrow" w:eastAsiaTheme="majorEastAsia" w:hAnsi="Arial Narrow" w:cstheme="majorBidi"/>
                <w:bCs/>
                <w:sz w:val="20"/>
              </w:rPr>
              <w:t>%</w:t>
            </w:r>
          </w:p>
        </w:tc>
      </w:tr>
      <w:tr w:rsidR="00534902" w:rsidRPr="00873941" w14:paraId="1FC840EE" w14:textId="77777777" w:rsidTr="00471EB9">
        <w:trPr>
          <w:cantSplit/>
          <w:trHeight w:val="283"/>
        </w:trPr>
        <w:tc>
          <w:tcPr>
            <w:tcW w:w="2043" w:type="pct"/>
            <w:tcBorders>
              <w:top w:val="single" w:sz="4" w:space="0" w:color="auto"/>
              <w:left w:val="single" w:sz="4" w:space="0" w:color="auto"/>
              <w:bottom w:val="single" w:sz="4" w:space="0" w:color="auto"/>
              <w:right w:val="single" w:sz="4" w:space="0" w:color="auto"/>
            </w:tcBorders>
          </w:tcPr>
          <w:p w14:paraId="35581A8C" w14:textId="77777777" w:rsidR="00534902" w:rsidRPr="00734E42" w:rsidRDefault="00534902" w:rsidP="00EF13AB">
            <w:pPr>
              <w:pStyle w:val="TableText0"/>
            </w:pPr>
            <w:r w:rsidRPr="00734E42">
              <w:t>30-year time horizon and relative risk of disease recurrence in patients with a pCR (HR=0.46)</w:t>
            </w:r>
          </w:p>
        </w:tc>
        <w:tc>
          <w:tcPr>
            <w:tcW w:w="786" w:type="pct"/>
            <w:tcBorders>
              <w:top w:val="single" w:sz="4" w:space="0" w:color="auto"/>
              <w:left w:val="single" w:sz="4" w:space="0" w:color="auto"/>
              <w:bottom w:val="single" w:sz="4" w:space="0" w:color="auto"/>
              <w:right w:val="single" w:sz="4" w:space="0" w:color="auto"/>
            </w:tcBorders>
            <w:shd w:val="solid" w:color="000000" w:fill="000000"/>
            <w:vAlign w:val="center"/>
          </w:tcPr>
          <w:p w14:paraId="0FFF4BCC" w14:textId="266D3181" w:rsidR="00534902" w:rsidRPr="00FB13FA" w:rsidRDefault="00471EB9" w:rsidP="00EF13AB">
            <w:pPr>
              <w:pStyle w:val="TableText0"/>
              <w:jc w:val="center"/>
              <w:rPr>
                <w:rFonts w:eastAsia="Calibri"/>
                <w:szCs w:val="20"/>
                <w:highlight w:val="darkGray"/>
              </w:rPr>
            </w:pPr>
            <w:r w:rsidRPr="00471EB9">
              <w:rPr>
                <w:rFonts w:eastAsia="Calibri"/>
                <w:color w:val="000000"/>
                <w:spacing w:val="53"/>
                <w:szCs w:val="20"/>
                <w:fitText w:val="330" w:id="-694408177"/>
                <w14:textFill>
                  <w14:solidFill>
                    <w14:srgbClr w14:val="000000">
                      <w14:alpha w14:val="100000"/>
                    </w14:srgbClr>
                  </w14:solidFill>
                </w14:textFill>
              </w:rPr>
              <w:t>|||</w:t>
            </w:r>
            <w:r w:rsidRPr="00471EB9">
              <w:rPr>
                <w:rFonts w:eastAsia="Calibri"/>
                <w:color w:val="000000"/>
                <w:spacing w:val="1"/>
                <w:szCs w:val="20"/>
                <w:fitText w:val="330" w:id="-694408177"/>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vAlign w:val="center"/>
          </w:tcPr>
          <w:p w14:paraId="500B89E8" w14:textId="77777777" w:rsidR="00534902" w:rsidRPr="00734E42" w:rsidRDefault="00534902" w:rsidP="00EF13AB">
            <w:pPr>
              <w:pStyle w:val="TableText0"/>
              <w:jc w:val="center"/>
            </w:pPr>
            <w:r w:rsidRPr="00734E42">
              <w:t>0.088</w:t>
            </w:r>
          </w:p>
        </w:tc>
        <w:tc>
          <w:tcPr>
            <w:tcW w:w="788" w:type="pct"/>
            <w:tcBorders>
              <w:top w:val="single" w:sz="4" w:space="0" w:color="auto"/>
              <w:left w:val="single" w:sz="4" w:space="0" w:color="auto"/>
              <w:bottom w:val="single" w:sz="4" w:space="0" w:color="auto"/>
              <w:right w:val="single" w:sz="4" w:space="0" w:color="auto"/>
            </w:tcBorders>
            <w:vAlign w:val="center"/>
          </w:tcPr>
          <w:p w14:paraId="65B656FB" w14:textId="4923B69F" w:rsidR="00534902" w:rsidRPr="00B85A8A" w:rsidRDefault="00471EB9" w:rsidP="00EF13AB">
            <w:pPr>
              <w:widowControl w:val="0"/>
              <w:jc w:val="center"/>
              <w:rPr>
                <w:rFonts w:ascii="Arial Narrow" w:eastAsiaTheme="majorEastAsia" w:hAnsi="Arial Narrow" w:cstheme="majorBidi"/>
                <w:bCs/>
                <w:sz w:val="20"/>
                <w:highlight w:val="darkGray"/>
              </w:rPr>
            </w:pPr>
            <w:r w:rsidRPr="00471EB9">
              <w:rPr>
                <w:rFonts w:ascii="Arial Narrow" w:eastAsiaTheme="majorEastAsia" w:hAnsi="Arial Narrow" w:cstheme="majorBidi"/>
                <w:bCs/>
                <w:color w:val="000000"/>
                <w:spacing w:val="53"/>
                <w:sz w:val="20"/>
                <w:shd w:val="solid" w:color="000000" w:fill="000000"/>
                <w:fitText w:val="330" w:id="-694408176"/>
                <w14:textFill>
                  <w14:solidFill>
                    <w14:srgbClr w14:val="000000">
                      <w14:alpha w14:val="100000"/>
                    </w14:srgbClr>
                  </w14:solidFill>
                </w14:textFill>
              </w:rPr>
              <w:t>|||</w:t>
            </w:r>
            <w:r w:rsidRPr="00471EB9">
              <w:rPr>
                <w:rFonts w:ascii="Arial Narrow" w:eastAsiaTheme="majorEastAsia" w:hAnsi="Arial Narrow" w:cstheme="majorBidi"/>
                <w:bCs/>
                <w:color w:val="000000"/>
                <w:spacing w:val="1"/>
                <w:sz w:val="20"/>
                <w:shd w:val="solid" w:color="000000" w:fill="000000"/>
                <w:fitText w:val="330" w:id="-694408176"/>
                <w14:textFill>
                  <w14:solidFill>
                    <w14:srgbClr w14:val="000000">
                      <w14:alpha w14:val="100000"/>
                    </w14:srgbClr>
                  </w14:solidFill>
                </w14:textFill>
              </w:rPr>
              <w:t>|</w:t>
            </w:r>
            <w:r w:rsidR="00D9218E" w:rsidRPr="006825EA">
              <w:rPr>
                <w:vertAlign w:val="superscript"/>
              </w:rPr>
              <w:t>6</w:t>
            </w:r>
          </w:p>
        </w:tc>
        <w:tc>
          <w:tcPr>
            <w:tcW w:w="597" w:type="pct"/>
            <w:tcBorders>
              <w:top w:val="single" w:sz="4" w:space="0" w:color="auto"/>
              <w:left w:val="single" w:sz="4" w:space="0" w:color="auto"/>
              <w:bottom w:val="single" w:sz="4" w:space="0" w:color="auto"/>
              <w:right w:val="single" w:sz="4" w:space="0" w:color="auto"/>
            </w:tcBorders>
            <w:vAlign w:val="center"/>
          </w:tcPr>
          <w:p w14:paraId="1F33C2E3" w14:textId="0D8AF185" w:rsidR="00534902" w:rsidRPr="00734E42" w:rsidRDefault="00471EB9" w:rsidP="00EF13AB">
            <w:pPr>
              <w:widowControl w:val="0"/>
              <w:jc w:val="center"/>
              <w:rPr>
                <w:rFonts w:ascii="Arial Narrow" w:eastAsiaTheme="majorEastAsia" w:hAnsi="Arial Narrow" w:cstheme="majorBidi"/>
                <w:bCs/>
                <w:sz w:val="20"/>
              </w:rPr>
            </w:pPr>
            <w:r w:rsidRPr="00471EB9">
              <w:rPr>
                <w:rFonts w:ascii="Arial Narrow" w:eastAsiaTheme="majorEastAsia" w:hAnsi="Arial Narrow" w:cstheme="majorBidi"/>
                <w:bCs/>
                <w:color w:val="000000"/>
                <w:spacing w:val="53"/>
                <w:sz w:val="20"/>
                <w:shd w:val="solid" w:color="000000" w:fill="000000"/>
                <w:fitText w:val="330" w:id="-694408192"/>
                <w14:textFill>
                  <w14:solidFill>
                    <w14:srgbClr w14:val="000000">
                      <w14:alpha w14:val="100000"/>
                    </w14:srgbClr>
                  </w14:solidFill>
                </w14:textFill>
              </w:rPr>
              <w:t>|||</w:t>
            </w:r>
            <w:r w:rsidRPr="00471EB9">
              <w:rPr>
                <w:rFonts w:ascii="Arial Narrow" w:eastAsiaTheme="majorEastAsia" w:hAnsi="Arial Narrow" w:cstheme="majorBidi"/>
                <w:bCs/>
                <w:color w:val="000000"/>
                <w:spacing w:val="1"/>
                <w:sz w:val="20"/>
                <w:shd w:val="solid" w:color="000000" w:fill="000000"/>
                <w:fitText w:val="330" w:id="-694408192"/>
                <w14:textFill>
                  <w14:solidFill>
                    <w14:srgbClr w14:val="000000">
                      <w14:alpha w14:val="100000"/>
                    </w14:srgbClr>
                  </w14:solidFill>
                </w14:textFill>
              </w:rPr>
              <w:t>|</w:t>
            </w:r>
            <w:r w:rsidR="00534902" w:rsidRPr="00734E42">
              <w:rPr>
                <w:rFonts w:ascii="Arial Narrow" w:eastAsiaTheme="majorEastAsia" w:hAnsi="Arial Narrow" w:cstheme="majorBidi"/>
                <w:bCs/>
                <w:sz w:val="20"/>
              </w:rPr>
              <w:t>%</w:t>
            </w:r>
          </w:p>
        </w:tc>
      </w:tr>
      <w:tr w:rsidR="00534902" w:rsidRPr="00873941" w14:paraId="155ED7AD" w14:textId="77777777" w:rsidTr="00471EB9">
        <w:trPr>
          <w:cantSplit/>
          <w:trHeight w:val="283"/>
        </w:trPr>
        <w:tc>
          <w:tcPr>
            <w:tcW w:w="2043" w:type="pct"/>
            <w:tcBorders>
              <w:top w:val="single" w:sz="4" w:space="0" w:color="auto"/>
              <w:left w:val="single" w:sz="4" w:space="0" w:color="auto"/>
              <w:bottom w:val="single" w:sz="4" w:space="0" w:color="auto"/>
              <w:right w:val="single" w:sz="4" w:space="0" w:color="auto"/>
            </w:tcBorders>
          </w:tcPr>
          <w:p w14:paraId="606FA25B" w14:textId="77777777" w:rsidR="00534902" w:rsidRPr="00734E42" w:rsidRDefault="00534902" w:rsidP="00EF13AB">
            <w:pPr>
              <w:pStyle w:val="TableText0"/>
            </w:pPr>
            <w:r w:rsidRPr="00734E42">
              <w:t>30-year time horizon; treatment cycle 6/per patient and relative risk of disease recurrence in patients with a pCR (HR=0.46)</w:t>
            </w:r>
          </w:p>
        </w:tc>
        <w:tc>
          <w:tcPr>
            <w:tcW w:w="786" w:type="pct"/>
            <w:tcBorders>
              <w:top w:val="single" w:sz="4" w:space="0" w:color="auto"/>
              <w:left w:val="single" w:sz="4" w:space="0" w:color="auto"/>
              <w:bottom w:val="single" w:sz="4" w:space="0" w:color="auto"/>
              <w:right w:val="single" w:sz="4" w:space="0" w:color="auto"/>
            </w:tcBorders>
            <w:shd w:val="solid" w:color="000000" w:fill="000000"/>
            <w:vAlign w:val="center"/>
          </w:tcPr>
          <w:p w14:paraId="35B46A3B" w14:textId="06D3548C" w:rsidR="00534902" w:rsidRPr="00FB13FA" w:rsidRDefault="00471EB9" w:rsidP="00EF13AB">
            <w:pPr>
              <w:pStyle w:val="TableText0"/>
              <w:jc w:val="center"/>
              <w:rPr>
                <w:rFonts w:eastAsia="Calibri"/>
                <w:szCs w:val="20"/>
                <w:highlight w:val="darkGray"/>
              </w:rPr>
            </w:pPr>
            <w:r w:rsidRPr="00471EB9">
              <w:rPr>
                <w:rFonts w:eastAsia="Calibri"/>
                <w:color w:val="000000"/>
                <w:spacing w:val="53"/>
                <w:szCs w:val="20"/>
                <w:fitText w:val="330" w:id="-694408191"/>
                <w14:textFill>
                  <w14:solidFill>
                    <w14:srgbClr w14:val="000000">
                      <w14:alpha w14:val="100000"/>
                    </w14:srgbClr>
                  </w14:solidFill>
                </w14:textFill>
              </w:rPr>
              <w:t>|||</w:t>
            </w:r>
            <w:r w:rsidRPr="00471EB9">
              <w:rPr>
                <w:rFonts w:eastAsia="Calibri"/>
                <w:color w:val="000000"/>
                <w:spacing w:val="1"/>
                <w:szCs w:val="20"/>
                <w:fitText w:val="330" w:id="-694408191"/>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vAlign w:val="center"/>
          </w:tcPr>
          <w:p w14:paraId="655C25DC" w14:textId="77777777" w:rsidR="00534902" w:rsidRPr="00734E42" w:rsidRDefault="00534902" w:rsidP="00EF13AB">
            <w:pPr>
              <w:pStyle w:val="TableText0"/>
              <w:jc w:val="center"/>
            </w:pPr>
            <w:r w:rsidRPr="00734E42">
              <w:t>0.088</w:t>
            </w:r>
          </w:p>
        </w:tc>
        <w:tc>
          <w:tcPr>
            <w:tcW w:w="788" w:type="pct"/>
            <w:tcBorders>
              <w:top w:val="single" w:sz="4" w:space="0" w:color="auto"/>
              <w:left w:val="single" w:sz="4" w:space="0" w:color="auto"/>
              <w:bottom w:val="single" w:sz="4" w:space="0" w:color="auto"/>
              <w:right w:val="single" w:sz="4" w:space="0" w:color="auto"/>
            </w:tcBorders>
            <w:vAlign w:val="center"/>
          </w:tcPr>
          <w:p w14:paraId="1B254D41" w14:textId="35CCCF8F" w:rsidR="00534902" w:rsidRPr="00B85A8A" w:rsidRDefault="00471EB9" w:rsidP="00EF13AB">
            <w:pPr>
              <w:widowControl w:val="0"/>
              <w:jc w:val="center"/>
              <w:rPr>
                <w:rFonts w:ascii="Arial Narrow" w:eastAsiaTheme="majorEastAsia" w:hAnsi="Arial Narrow" w:cstheme="majorBidi"/>
                <w:bCs/>
                <w:sz w:val="20"/>
                <w:highlight w:val="darkGray"/>
              </w:rPr>
            </w:pPr>
            <w:r w:rsidRPr="00471EB9">
              <w:rPr>
                <w:rFonts w:ascii="Arial Narrow" w:eastAsiaTheme="majorEastAsia" w:hAnsi="Arial Narrow" w:cstheme="majorBidi"/>
                <w:bCs/>
                <w:color w:val="000000"/>
                <w:spacing w:val="53"/>
                <w:sz w:val="20"/>
                <w:shd w:val="solid" w:color="000000" w:fill="000000"/>
                <w:fitText w:val="330" w:id="-694408190"/>
                <w14:textFill>
                  <w14:solidFill>
                    <w14:srgbClr w14:val="000000">
                      <w14:alpha w14:val="100000"/>
                    </w14:srgbClr>
                  </w14:solidFill>
                </w14:textFill>
              </w:rPr>
              <w:t>|||</w:t>
            </w:r>
            <w:r w:rsidRPr="00471EB9">
              <w:rPr>
                <w:rFonts w:ascii="Arial Narrow" w:eastAsiaTheme="majorEastAsia" w:hAnsi="Arial Narrow" w:cstheme="majorBidi"/>
                <w:bCs/>
                <w:color w:val="000000"/>
                <w:spacing w:val="1"/>
                <w:sz w:val="20"/>
                <w:shd w:val="solid" w:color="000000" w:fill="000000"/>
                <w:fitText w:val="330" w:id="-694408190"/>
                <w14:textFill>
                  <w14:solidFill>
                    <w14:srgbClr w14:val="000000">
                      <w14:alpha w14:val="100000"/>
                    </w14:srgbClr>
                  </w14:solidFill>
                </w14:textFill>
              </w:rPr>
              <w:t>|</w:t>
            </w:r>
            <w:r w:rsidR="00E27A22" w:rsidRPr="00D9218E">
              <w:rPr>
                <w:vertAlign w:val="superscript"/>
              </w:rPr>
              <w:t>7</w:t>
            </w:r>
          </w:p>
        </w:tc>
        <w:tc>
          <w:tcPr>
            <w:tcW w:w="597" w:type="pct"/>
            <w:tcBorders>
              <w:top w:val="single" w:sz="4" w:space="0" w:color="auto"/>
              <w:left w:val="single" w:sz="4" w:space="0" w:color="auto"/>
              <w:bottom w:val="single" w:sz="4" w:space="0" w:color="auto"/>
              <w:right w:val="single" w:sz="4" w:space="0" w:color="auto"/>
            </w:tcBorders>
            <w:vAlign w:val="center"/>
          </w:tcPr>
          <w:p w14:paraId="01117269" w14:textId="11FA2035" w:rsidR="00534902" w:rsidRPr="00734E42" w:rsidRDefault="00471EB9" w:rsidP="00EF13AB">
            <w:pPr>
              <w:widowControl w:val="0"/>
              <w:jc w:val="center"/>
              <w:rPr>
                <w:rFonts w:ascii="Arial Narrow" w:eastAsiaTheme="majorEastAsia" w:hAnsi="Arial Narrow" w:cstheme="majorBidi"/>
                <w:bCs/>
                <w:sz w:val="20"/>
              </w:rPr>
            </w:pPr>
            <w:r w:rsidRPr="00471EB9">
              <w:rPr>
                <w:rFonts w:ascii="Arial Narrow" w:eastAsiaTheme="majorEastAsia" w:hAnsi="Arial Narrow" w:cstheme="majorBidi"/>
                <w:bCs/>
                <w:color w:val="000000"/>
                <w:spacing w:val="53"/>
                <w:sz w:val="20"/>
                <w:shd w:val="solid" w:color="000000" w:fill="000000"/>
                <w:fitText w:val="330" w:id="-694408189"/>
                <w14:textFill>
                  <w14:solidFill>
                    <w14:srgbClr w14:val="000000">
                      <w14:alpha w14:val="100000"/>
                    </w14:srgbClr>
                  </w14:solidFill>
                </w14:textFill>
              </w:rPr>
              <w:t>|||</w:t>
            </w:r>
            <w:r w:rsidRPr="00471EB9">
              <w:rPr>
                <w:rFonts w:ascii="Arial Narrow" w:eastAsiaTheme="majorEastAsia" w:hAnsi="Arial Narrow" w:cstheme="majorBidi"/>
                <w:bCs/>
                <w:color w:val="000000"/>
                <w:spacing w:val="1"/>
                <w:sz w:val="20"/>
                <w:shd w:val="solid" w:color="000000" w:fill="000000"/>
                <w:fitText w:val="330" w:id="-694408189"/>
                <w14:textFill>
                  <w14:solidFill>
                    <w14:srgbClr w14:val="000000">
                      <w14:alpha w14:val="100000"/>
                    </w14:srgbClr>
                  </w14:solidFill>
                </w14:textFill>
              </w:rPr>
              <w:t>|</w:t>
            </w:r>
            <w:r w:rsidR="00534902" w:rsidRPr="00734E42">
              <w:rPr>
                <w:rFonts w:ascii="Arial Narrow" w:eastAsiaTheme="majorEastAsia" w:hAnsi="Arial Narrow" w:cstheme="majorBidi"/>
                <w:bCs/>
                <w:sz w:val="20"/>
              </w:rPr>
              <w:t>%</w:t>
            </w:r>
          </w:p>
        </w:tc>
      </w:tr>
      <w:tr w:rsidR="00357FAC" w:rsidRPr="00873941" w14:paraId="362AAD2B" w14:textId="77777777" w:rsidTr="00471EB9">
        <w:trPr>
          <w:cantSplit/>
          <w:trHeight w:val="283"/>
        </w:trPr>
        <w:tc>
          <w:tcPr>
            <w:tcW w:w="2043" w:type="pct"/>
            <w:tcBorders>
              <w:top w:val="single" w:sz="4" w:space="0" w:color="auto"/>
              <w:left w:val="single" w:sz="4" w:space="0" w:color="auto"/>
              <w:bottom w:val="single" w:sz="4" w:space="0" w:color="auto"/>
              <w:right w:val="single" w:sz="4" w:space="0" w:color="auto"/>
            </w:tcBorders>
          </w:tcPr>
          <w:p w14:paraId="4B9FBE8F" w14:textId="3F914D85" w:rsidR="00357FAC" w:rsidRPr="00734E42" w:rsidRDefault="00357FAC" w:rsidP="00EF13AB">
            <w:pPr>
              <w:pStyle w:val="TableText0"/>
            </w:pPr>
            <w:r w:rsidRPr="00734E42">
              <w:t>30-year time horizon; treatment cycle 6/per patient and relative risk of disease recurrence in patients with a pCR (HR=0.46); sustained remission reduced to 50%</w:t>
            </w:r>
          </w:p>
        </w:tc>
        <w:tc>
          <w:tcPr>
            <w:tcW w:w="786" w:type="pct"/>
            <w:tcBorders>
              <w:top w:val="single" w:sz="4" w:space="0" w:color="auto"/>
              <w:left w:val="single" w:sz="4" w:space="0" w:color="auto"/>
              <w:bottom w:val="single" w:sz="4" w:space="0" w:color="auto"/>
              <w:right w:val="single" w:sz="4" w:space="0" w:color="auto"/>
            </w:tcBorders>
            <w:shd w:val="solid" w:color="000000" w:fill="000000"/>
            <w:vAlign w:val="center"/>
          </w:tcPr>
          <w:p w14:paraId="4A5E51C2" w14:textId="6B19C6AE" w:rsidR="00357FAC" w:rsidRPr="00FB13FA" w:rsidRDefault="00471EB9" w:rsidP="00EF13AB">
            <w:pPr>
              <w:pStyle w:val="TableText0"/>
              <w:jc w:val="center"/>
              <w:rPr>
                <w:rFonts w:eastAsia="Calibri"/>
                <w:szCs w:val="20"/>
                <w:highlight w:val="darkGray"/>
              </w:rPr>
            </w:pPr>
            <w:r w:rsidRPr="00471EB9">
              <w:rPr>
                <w:rFonts w:eastAsia="Calibri"/>
                <w:color w:val="000000"/>
                <w:spacing w:val="53"/>
                <w:szCs w:val="20"/>
                <w:fitText w:val="330" w:id="-694408188"/>
                <w14:textFill>
                  <w14:solidFill>
                    <w14:srgbClr w14:val="000000">
                      <w14:alpha w14:val="100000"/>
                    </w14:srgbClr>
                  </w14:solidFill>
                </w14:textFill>
              </w:rPr>
              <w:t>|||</w:t>
            </w:r>
            <w:r w:rsidRPr="00471EB9">
              <w:rPr>
                <w:rFonts w:eastAsia="Calibri"/>
                <w:color w:val="000000"/>
                <w:spacing w:val="1"/>
                <w:szCs w:val="20"/>
                <w:fitText w:val="330" w:id="-694408188"/>
                <w14:textFill>
                  <w14:solidFill>
                    <w14:srgbClr w14:val="000000">
                      <w14:alpha w14:val="100000"/>
                    </w14:srgbClr>
                  </w14:solidFill>
                </w14:textFill>
              </w:rPr>
              <w:t>|</w:t>
            </w:r>
          </w:p>
        </w:tc>
        <w:tc>
          <w:tcPr>
            <w:tcW w:w="786" w:type="pct"/>
            <w:tcBorders>
              <w:top w:val="single" w:sz="4" w:space="0" w:color="auto"/>
              <w:left w:val="single" w:sz="4" w:space="0" w:color="auto"/>
              <w:bottom w:val="single" w:sz="4" w:space="0" w:color="auto"/>
              <w:right w:val="single" w:sz="4" w:space="0" w:color="auto"/>
            </w:tcBorders>
            <w:vAlign w:val="center"/>
          </w:tcPr>
          <w:p w14:paraId="1F736934" w14:textId="299EF0B7" w:rsidR="00357FAC" w:rsidRPr="00734E42" w:rsidRDefault="00357FAC" w:rsidP="00EF13AB">
            <w:pPr>
              <w:pStyle w:val="TableText0"/>
              <w:jc w:val="center"/>
            </w:pPr>
            <w:r w:rsidRPr="00734E42">
              <w:t>0.</w:t>
            </w:r>
            <w:r w:rsidR="00BC6CFA" w:rsidRPr="00734E42">
              <w:t>1377</w:t>
            </w:r>
          </w:p>
        </w:tc>
        <w:tc>
          <w:tcPr>
            <w:tcW w:w="788" w:type="pct"/>
            <w:tcBorders>
              <w:top w:val="single" w:sz="4" w:space="0" w:color="auto"/>
              <w:left w:val="single" w:sz="4" w:space="0" w:color="auto"/>
              <w:bottom w:val="single" w:sz="4" w:space="0" w:color="auto"/>
              <w:right w:val="single" w:sz="4" w:space="0" w:color="auto"/>
            </w:tcBorders>
            <w:vAlign w:val="center"/>
          </w:tcPr>
          <w:p w14:paraId="2997AEAF" w14:textId="7D2F5135" w:rsidR="00357FAC" w:rsidRPr="00B85A8A" w:rsidRDefault="00471EB9" w:rsidP="00EF13AB">
            <w:pPr>
              <w:widowControl w:val="0"/>
              <w:jc w:val="center"/>
              <w:rPr>
                <w:rFonts w:ascii="Arial Narrow" w:eastAsiaTheme="majorEastAsia" w:hAnsi="Arial Narrow" w:cstheme="majorBidi"/>
                <w:bCs/>
                <w:sz w:val="20"/>
                <w:highlight w:val="darkGray"/>
              </w:rPr>
            </w:pPr>
            <w:r w:rsidRPr="00471EB9">
              <w:rPr>
                <w:rFonts w:ascii="Arial Narrow" w:eastAsiaTheme="majorEastAsia" w:hAnsi="Arial Narrow" w:cstheme="majorBidi"/>
                <w:bCs/>
                <w:color w:val="000000"/>
                <w:spacing w:val="53"/>
                <w:sz w:val="20"/>
                <w:shd w:val="solid" w:color="000000" w:fill="000000"/>
                <w:fitText w:val="330" w:id="-694408187"/>
                <w14:textFill>
                  <w14:solidFill>
                    <w14:srgbClr w14:val="000000">
                      <w14:alpha w14:val="100000"/>
                    </w14:srgbClr>
                  </w14:solidFill>
                </w14:textFill>
              </w:rPr>
              <w:t>|||</w:t>
            </w:r>
            <w:r w:rsidRPr="00471EB9">
              <w:rPr>
                <w:rFonts w:ascii="Arial Narrow" w:eastAsiaTheme="majorEastAsia" w:hAnsi="Arial Narrow" w:cstheme="majorBidi"/>
                <w:bCs/>
                <w:color w:val="000000"/>
                <w:spacing w:val="1"/>
                <w:sz w:val="20"/>
                <w:shd w:val="solid" w:color="000000" w:fill="000000"/>
                <w:fitText w:val="330" w:id="-694408187"/>
                <w14:textFill>
                  <w14:solidFill>
                    <w14:srgbClr w14:val="000000">
                      <w14:alpha w14:val="100000"/>
                    </w14:srgbClr>
                  </w14:solidFill>
                </w14:textFill>
              </w:rPr>
              <w:t>|</w:t>
            </w:r>
            <w:r w:rsidR="006825EA" w:rsidRPr="00EF4F13">
              <w:rPr>
                <w:vertAlign w:val="superscript"/>
              </w:rPr>
              <w:t>5</w:t>
            </w:r>
          </w:p>
        </w:tc>
        <w:tc>
          <w:tcPr>
            <w:tcW w:w="597" w:type="pct"/>
            <w:tcBorders>
              <w:top w:val="single" w:sz="4" w:space="0" w:color="auto"/>
              <w:left w:val="single" w:sz="4" w:space="0" w:color="auto"/>
              <w:bottom w:val="single" w:sz="4" w:space="0" w:color="auto"/>
              <w:right w:val="single" w:sz="4" w:space="0" w:color="auto"/>
            </w:tcBorders>
            <w:vAlign w:val="center"/>
          </w:tcPr>
          <w:p w14:paraId="3B152B4B" w14:textId="0A649BD0" w:rsidR="00357FAC" w:rsidRPr="00734E42" w:rsidRDefault="00471EB9" w:rsidP="00EF13AB">
            <w:pPr>
              <w:widowControl w:val="0"/>
              <w:jc w:val="center"/>
              <w:rPr>
                <w:rFonts w:ascii="Arial Narrow" w:eastAsiaTheme="majorEastAsia" w:hAnsi="Arial Narrow" w:cstheme="majorBidi"/>
                <w:bCs/>
                <w:sz w:val="20"/>
              </w:rPr>
            </w:pPr>
            <w:r w:rsidRPr="00471EB9">
              <w:rPr>
                <w:rFonts w:ascii="Arial Narrow" w:eastAsiaTheme="majorEastAsia" w:hAnsi="Arial Narrow" w:cstheme="majorBidi"/>
                <w:bCs/>
                <w:color w:val="000000"/>
                <w:spacing w:val="53"/>
                <w:sz w:val="20"/>
                <w:shd w:val="solid" w:color="000000" w:fill="000000"/>
                <w:fitText w:val="330" w:id="-694408186"/>
                <w14:textFill>
                  <w14:solidFill>
                    <w14:srgbClr w14:val="000000">
                      <w14:alpha w14:val="100000"/>
                    </w14:srgbClr>
                  </w14:solidFill>
                </w14:textFill>
              </w:rPr>
              <w:t>|||</w:t>
            </w:r>
            <w:r w:rsidRPr="00471EB9">
              <w:rPr>
                <w:rFonts w:ascii="Arial Narrow" w:eastAsiaTheme="majorEastAsia" w:hAnsi="Arial Narrow" w:cstheme="majorBidi"/>
                <w:bCs/>
                <w:color w:val="000000"/>
                <w:spacing w:val="1"/>
                <w:sz w:val="20"/>
                <w:shd w:val="solid" w:color="000000" w:fill="000000"/>
                <w:fitText w:val="330" w:id="-694408186"/>
                <w14:textFill>
                  <w14:solidFill>
                    <w14:srgbClr w14:val="000000">
                      <w14:alpha w14:val="100000"/>
                    </w14:srgbClr>
                  </w14:solidFill>
                </w14:textFill>
              </w:rPr>
              <w:t>|</w:t>
            </w:r>
            <w:r w:rsidR="00357FAC" w:rsidRPr="00734E42">
              <w:rPr>
                <w:rFonts w:ascii="Arial Narrow" w:eastAsiaTheme="majorEastAsia" w:hAnsi="Arial Narrow" w:cstheme="majorBidi"/>
                <w:bCs/>
                <w:sz w:val="20"/>
              </w:rPr>
              <w:t>%</w:t>
            </w:r>
          </w:p>
        </w:tc>
      </w:tr>
    </w:tbl>
    <w:p w14:paraId="7BE64254" w14:textId="1F4F8266" w:rsidR="006F4300" w:rsidRPr="00873941" w:rsidRDefault="006F4300" w:rsidP="006F4300">
      <w:pPr>
        <w:pStyle w:val="FooterTableFigure"/>
        <w:rPr>
          <w:rStyle w:val="CommentReference"/>
          <w:rFonts w:eastAsiaTheme="majorEastAsia"/>
        </w:rPr>
      </w:pPr>
      <w:r w:rsidRPr="00873941">
        <w:t xml:space="preserve">Source: Table 3-29, pp194-195 of the resubmission and compiled during evaluation. </w:t>
      </w:r>
    </w:p>
    <w:p w14:paraId="4B8B9284" w14:textId="77777777" w:rsidR="006F4300" w:rsidRPr="00873941" w:rsidRDefault="006F4300" w:rsidP="006F4300">
      <w:pPr>
        <w:pStyle w:val="FooterTableFigure"/>
        <w:rPr>
          <w:rFonts w:eastAsia="Calibri"/>
          <w:szCs w:val="20"/>
        </w:rPr>
      </w:pPr>
      <w:r w:rsidRPr="00873941">
        <w:rPr>
          <w:rFonts w:eastAsia="Calibri"/>
          <w:szCs w:val="20"/>
        </w:rPr>
        <w:t>ICER= incremental cost effectiveness ratio; HR= hazard ratio; LCL= lower confidence interval; pCR= Pathological complete response; T= trastuzumab; T-DM1= trastuzumab emtansine; QALYs= quality adjusted life years; UCL = upper confidence interval.</w:t>
      </w:r>
    </w:p>
    <w:p w14:paraId="3997AFCB" w14:textId="61859F55" w:rsidR="000D67D3" w:rsidRPr="00873941" w:rsidRDefault="000D67D3" w:rsidP="006F4300">
      <w:pPr>
        <w:pStyle w:val="FooterTableFigure"/>
        <w:rPr>
          <w:rFonts w:eastAsia="Calibri"/>
          <w:szCs w:val="20"/>
        </w:rPr>
      </w:pPr>
      <w:proofErr w:type="spellStart"/>
      <w:r w:rsidRPr="00873941">
        <w:rPr>
          <w:rFonts w:eastAsia="Calibri"/>
          <w:szCs w:val="20"/>
          <w:vertAlign w:val="superscript"/>
        </w:rPr>
        <w:t>a</w:t>
      </w:r>
      <w:proofErr w:type="spellEnd"/>
      <w:r w:rsidRPr="00873941">
        <w:rPr>
          <w:rFonts w:eastAsia="Calibri"/>
          <w:szCs w:val="20"/>
        </w:rPr>
        <w:t xml:space="preserve"> The </w:t>
      </w:r>
      <w:r w:rsidR="000E70AD" w:rsidRPr="00873941">
        <w:rPr>
          <w:rFonts w:eastAsia="Calibri"/>
          <w:szCs w:val="20"/>
        </w:rPr>
        <w:t>re</w:t>
      </w:r>
      <w:r w:rsidRPr="00873941">
        <w:rPr>
          <w:rFonts w:eastAsia="Calibri"/>
          <w:szCs w:val="20"/>
        </w:rPr>
        <w:t xml:space="preserve">submission used 0.49 as the upper 95% CI, however 0.49 was the upper 95% CI for the comparison between </w:t>
      </w:r>
      <w:proofErr w:type="spellStart"/>
      <w:r w:rsidRPr="00873941">
        <w:rPr>
          <w:rFonts w:eastAsia="Calibri"/>
          <w:szCs w:val="20"/>
        </w:rPr>
        <w:t>P+T+Chemo</w:t>
      </w:r>
      <w:proofErr w:type="spellEnd"/>
      <w:r w:rsidRPr="00873941">
        <w:rPr>
          <w:rFonts w:eastAsia="Calibri"/>
          <w:szCs w:val="20"/>
        </w:rPr>
        <w:t xml:space="preserve"> in the neoadjuvant and adjuvant setting versus </w:t>
      </w:r>
      <w:proofErr w:type="spellStart"/>
      <w:r w:rsidRPr="00873941">
        <w:rPr>
          <w:rFonts w:eastAsia="Calibri"/>
          <w:szCs w:val="20"/>
        </w:rPr>
        <w:t>T+Chemo</w:t>
      </w:r>
      <w:proofErr w:type="spellEnd"/>
      <w:r w:rsidRPr="00873941">
        <w:rPr>
          <w:rFonts w:eastAsia="Calibri"/>
          <w:szCs w:val="20"/>
        </w:rPr>
        <w:t xml:space="preserve"> in the neoadjuvant and adjuvant setting, regardless of pCR status.</w:t>
      </w:r>
    </w:p>
    <w:p w14:paraId="01DF9FE5" w14:textId="77777777" w:rsidR="004870CC" w:rsidRDefault="000D67D3" w:rsidP="004870CC">
      <w:pPr>
        <w:pStyle w:val="FooterTableFigure"/>
        <w:rPr>
          <w:rFonts w:eastAsia="Calibri"/>
          <w:szCs w:val="20"/>
        </w:rPr>
      </w:pPr>
      <w:r w:rsidRPr="00873941">
        <w:rPr>
          <w:rFonts w:eastAsia="Calibri"/>
          <w:szCs w:val="20"/>
          <w:vertAlign w:val="superscript"/>
        </w:rPr>
        <w:t>b</w:t>
      </w:r>
      <w:r w:rsidR="006260D2" w:rsidRPr="00873941">
        <w:rPr>
          <w:rFonts w:eastAsia="Calibri"/>
          <w:szCs w:val="20"/>
        </w:rPr>
        <w:t xml:space="preserve"> </w:t>
      </w:r>
      <w:r w:rsidR="00753513" w:rsidRPr="00873941">
        <w:rPr>
          <w:rFonts w:eastAsia="Calibri"/>
          <w:szCs w:val="20"/>
        </w:rPr>
        <w:t xml:space="preserve">Value </w:t>
      </w:r>
      <w:r w:rsidR="006260D2" w:rsidRPr="00873941">
        <w:rPr>
          <w:rFonts w:eastAsia="Calibri"/>
          <w:szCs w:val="20"/>
        </w:rPr>
        <w:t xml:space="preserve">reported in Table 2-23, p85 of the resubmission. </w:t>
      </w:r>
    </w:p>
    <w:p w14:paraId="531158D6" w14:textId="03662D2C" w:rsidR="004870CC" w:rsidRPr="007D0AF2" w:rsidRDefault="004870CC" w:rsidP="004870CC">
      <w:pPr>
        <w:pStyle w:val="FooterTableFigure"/>
        <w:rPr>
          <w:rFonts w:eastAsia="Calibri"/>
          <w:i/>
          <w:iCs/>
          <w:szCs w:val="20"/>
        </w:rPr>
      </w:pPr>
      <w:r w:rsidRPr="007D0AF2">
        <w:rPr>
          <w:rFonts w:eastAsia="Calibri"/>
          <w:i/>
          <w:iCs/>
          <w:szCs w:val="20"/>
        </w:rPr>
        <w:t>The redacted values correspond to the following ranges:</w:t>
      </w:r>
    </w:p>
    <w:p w14:paraId="3E67FC15" w14:textId="77777777" w:rsidR="00E4229D" w:rsidRPr="007D0AF2" w:rsidRDefault="003A5990" w:rsidP="004870CC">
      <w:pPr>
        <w:pStyle w:val="FooterTableFigure"/>
        <w:rPr>
          <w:rFonts w:eastAsia="Calibri"/>
          <w:i/>
          <w:iCs/>
          <w:szCs w:val="20"/>
        </w:rPr>
      </w:pPr>
      <w:r w:rsidRPr="00132EE1">
        <w:rPr>
          <w:rFonts w:eastAsia="Calibri"/>
          <w:i/>
          <w:iCs/>
          <w:szCs w:val="20"/>
          <w:vertAlign w:val="superscript"/>
        </w:rPr>
        <w:t>1</w:t>
      </w:r>
      <w:r w:rsidR="004870CC" w:rsidRPr="007D0AF2">
        <w:rPr>
          <w:rFonts w:eastAsia="Calibri"/>
          <w:i/>
          <w:iCs/>
          <w:szCs w:val="20"/>
        </w:rPr>
        <w:t xml:space="preserve"> $25,000 to &lt; $35,000 </w:t>
      </w:r>
    </w:p>
    <w:p w14:paraId="6A30A8F2" w14:textId="77777777" w:rsidR="00EF4F13" w:rsidRPr="007D0AF2" w:rsidRDefault="00E4229D" w:rsidP="004870CC">
      <w:pPr>
        <w:pStyle w:val="FooterTableFigure"/>
        <w:rPr>
          <w:rFonts w:eastAsia="Calibri"/>
          <w:i/>
          <w:iCs/>
          <w:szCs w:val="20"/>
        </w:rPr>
      </w:pPr>
      <w:r w:rsidRPr="00132EE1">
        <w:rPr>
          <w:rFonts w:eastAsia="Calibri"/>
          <w:i/>
          <w:iCs/>
          <w:szCs w:val="20"/>
          <w:vertAlign w:val="superscript"/>
        </w:rPr>
        <w:t xml:space="preserve">2 </w:t>
      </w:r>
      <w:r w:rsidRPr="007D0AF2">
        <w:rPr>
          <w:rFonts w:eastAsia="Calibri"/>
          <w:i/>
          <w:iCs/>
          <w:szCs w:val="20"/>
        </w:rPr>
        <w:t>$35,000 to &lt; $45,000</w:t>
      </w:r>
      <w:r w:rsidR="00EF4F13" w:rsidRPr="007D0AF2">
        <w:rPr>
          <w:rFonts w:eastAsia="Calibri"/>
          <w:i/>
          <w:iCs/>
          <w:szCs w:val="20"/>
        </w:rPr>
        <w:t xml:space="preserve"> </w:t>
      </w:r>
    </w:p>
    <w:p w14:paraId="0D8E3597" w14:textId="77777777" w:rsidR="00EF4F13" w:rsidRPr="007D0AF2" w:rsidRDefault="00EF4F13" w:rsidP="004870CC">
      <w:pPr>
        <w:pStyle w:val="FooterTableFigure"/>
        <w:rPr>
          <w:rFonts w:eastAsia="Calibri"/>
          <w:i/>
          <w:iCs/>
          <w:szCs w:val="20"/>
        </w:rPr>
      </w:pPr>
      <w:r w:rsidRPr="00132EE1">
        <w:rPr>
          <w:rFonts w:eastAsia="Calibri"/>
          <w:i/>
          <w:iCs/>
          <w:szCs w:val="20"/>
          <w:vertAlign w:val="superscript"/>
        </w:rPr>
        <w:t xml:space="preserve">3 </w:t>
      </w:r>
      <w:r w:rsidRPr="007D0AF2">
        <w:rPr>
          <w:rFonts w:eastAsia="Calibri"/>
          <w:i/>
          <w:iCs/>
          <w:szCs w:val="20"/>
        </w:rPr>
        <w:t>$5,000 to &lt; $15,000</w:t>
      </w:r>
    </w:p>
    <w:p w14:paraId="74894D8F" w14:textId="77777777" w:rsidR="001F182C" w:rsidRPr="007D0AF2" w:rsidRDefault="00EF4F13" w:rsidP="004870CC">
      <w:pPr>
        <w:pStyle w:val="FooterTableFigure"/>
        <w:rPr>
          <w:rFonts w:eastAsia="Calibri"/>
          <w:i/>
          <w:iCs/>
          <w:szCs w:val="20"/>
        </w:rPr>
      </w:pPr>
      <w:r w:rsidRPr="00132EE1">
        <w:rPr>
          <w:rFonts w:eastAsia="Calibri"/>
          <w:i/>
          <w:iCs/>
          <w:szCs w:val="20"/>
          <w:vertAlign w:val="superscript"/>
        </w:rPr>
        <w:t>4</w:t>
      </w:r>
      <w:r w:rsidRPr="007D0AF2">
        <w:rPr>
          <w:rFonts w:eastAsia="Calibri"/>
          <w:i/>
          <w:iCs/>
          <w:szCs w:val="20"/>
        </w:rPr>
        <w:t xml:space="preserve"> $15,000 to &lt; $25,000</w:t>
      </w:r>
      <w:r w:rsidR="001F182C" w:rsidRPr="007D0AF2">
        <w:rPr>
          <w:rFonts w:eastAsia="Calibri"/>
          <w:i/>
          <w:iCs/>
          <w:szCs w:val="20"/>
        </w:rPr>
        <w:t xml:space="preserve"> </w:t>
      </w:r>
    </w:p>
    <w:p w14:paraId="3668657C" w14:textId="77777777" w:rsidR="006825EA" w:rsidRPr="007D0AF2" w:rsidRDefault="001F182C" w:rsidP="004870CC">
      <w:pPr>
        <w:pStyle w:val="FooterTableFigure"/>
        <w:rPr>
          <w:rFonts w:eastAsia="Calibri"/>
          <w:i/>
          <w:iCs/>
          <w:szCs w:val="20"/>
        </w:rPr>
      </w:pPr>
      <w:r w:rsidRPr="0055572B">
        <w:rPr>
          <w:rFonts w:eastAsia="Calibri"/>
          <w:i/>
          <w:iCs/>
          <w:szCs w:val="20"/>
          <w:vertAlign w:val="superscript"/>
        </w:rPr>
        <w:t>5</w:t>
      </w:r>
      <w:r w:rsidRPr="007D0AF2">
        <w:rPr>
          <w:rFonts w:eastAsia="Calibri"/>
          <w:i/>
          <w:iCs/>
          <w:szCs w:val="20"/>
        </w:rPr>
        <w:t xml:space="preserve"> $45,000 to &lt; $55,000</w:t>
      </w:r>
      <w:r w:rsidR="006825EA" w:rsidRPr="007D0AF2">
        <w:rPr>
          <w:rFonts w:eastAsia="Calibri"/>
          <w:i/>
          <w:iCs/>
          <w:szCs w:val="20"/>
        </w:rPr>
        <w:t xml:space="preserve"> </w:t>
      </w:r>
    </w:p>
    <w:p w14:paraId="2964D2AA" w14:textId="0B150F2F" w:rsidR="00573F21" w:rsidRPr="007D0AF2" w:rsidRDefault="006825EA" w:rsidP="004870CC">
      <w:pPr>
        <w:pStyle w:val="FooterTableFigure"/>
        <w:rPr>
          <w:rFonts w:eastAsia="Calibri"/>
          <w:i/>
          <w:iCs/>
          <w:szCs w:val="20"/>
        </w:rPr>
      </w:pPr>
      <w:r w:rsidRPr="0055572B">
        <w:rPr>
          <w:rFonts w:eastAsia="Calibri"/>
          <w:i/>
          <w:iCs/>
          <w:szCs w:val="20"/>
          <w:vertAlign w:val="superscript"/>
        </w:rPr>
        <w:t xml:space="preserve">6 </w:t>
      </w:r>
      <w:r w:rsidR="00DE57B5" w:rsidRPr="00DE57B5">
        <w:rPr>
          <w:rFonts w:eastAsia="Calibri"/>
          <w:i/>
          <w:iCs/>
          <w:szCs w:val="20"/>
        </w:rPr>
        <w:t>$</w:t>
      </w:r>
      <w:r w:rsidRPr="007D0AF2">
        <w:rPr>
          <w:rFonts w:eastAsia="Calibri"/>
          <w:i/>
          <w:iCs/>
          <w:szCs w:val="20"/>
        </w:rPr>
        <w:t>55,000 to &lt; $75,000</w:t>
      </w:r>
      <w:r w:rsidR="00573F21" w:rsidRPr="007D0AF2">
        <w:rPr>
          <w:rFonts w:eastAsia="Calibri"/>
          <w:i/>
          <w:iCs/>
          <w:szCs w:val="20"/>
        </w:rPr>
        <w:t xml:space="preserve"> </w:t>
      </w:r>
    </w:p>
    <w:p w14:paraId="3A0D42DB" w14:textId="62A685B8" w:rsidR="004870CC" w:rsidRPr="007D0AF2" w:rsidRDefault="00573F21" w:rsidP="004870CC">
      <w:pPr>
        <w:pStyle w:val="FooterTableFigure"/>
        <w:rPr>
          <w:rFonts w:eastAsia="Calibri"/>
          <w:i/>
          <w:iCs/>
          <w:szCs w:val="20"/>
        </w:rPr>
      </w:pPr>
      <w:r w:rsidRPr="0055572B">
        <w:rPr>
          <w:rFonts w:eastAsia="Calibri"/>
          <w:i/>
          <w:iCs/>
          <w:szCs w:val="20"/>
          <w:vertAlign w:val="superscript"/>
        </w:rPr>
        <w:t>7</w:t>
      </w:r>
      <w:r w:rsidRPr="007D0AF2">
        <w:rPr>
          <w:rFonts w:eastAsia="Calibri"/>
          <w:i/>
          <w:iCs/>
          <w:szCs w:val="20"/>
        </w:rPr>
        <w:t xml:space="preserve"> $95,000 to &lt; $115,000</w:t>
      </w:r>
    </w:p>
    <w:p w14:paraId="5B96021B" w14:textId="77777777" w:rsidR="00BE1858" w:rsidRPr="007D0AF2" w:rsidRDefault="009716EB" w:rsidP="004870CC">
      <w:pPr>
        <w:pStyle w:val="FooterTableFigure"/>
        <w:rPr>
          <w:rFonts w:eastAsia="Calibri"/>
          <w:i/>
          <w:iCs/>
          <w:szCs w:val="20"/>
        </w:rPr>
      </w:pPr>
      <w:r w:rsidRPr="0055572B">
        <w:rPr>
          <w:rFonts w:eastAsia="Calibri"/>
          <w:i/>
          <w:iCs/>
          <w:szCs w:val="20"/>
          <w:vertAlign w:val="superscript"/>
        </w:rPr>
        <w:t>8</w:t>
      </w:r>
      <w:r w:rsidR="004870CC" w:rsidRPr="007D0AF2">
        <w:rPr>
          <w:rFonts w:eastAsia="Calibri"/>
          <w:i/>
          <w:iCs/>
          <w:szCs w:val="20"/>
        </w:rPr>
        <w:t xml:space="preserve"> $0 to &lt; $5,000</w:t>
      </w:r>
      <w:r w:rsidR="00BE1858" w:rsidRPr="007D0AF2">
        <w:rPr>
          <w:rFonts w:eastAsia="Calibri"/>
          <w:i/>
          <w:iCs/>
          <w:szCs w:val="20"/>
        </w:rPr>
        <w:t xml:space="preserve"> </w:t>
      </w:r>
    </w:p>
    <w:p w14:paraId="414C2E89" w14:textId="77777777" w:rsidR="0072133E" w:rsidRPr="007D0AF2" w:rsidRDefault="00BE1858" w:rsidP="004870CC">
      <w:pPr>
        <w:pStyle w:val="FooterTableFigure"/>
        <w:rPr>
          <w:rFonts w:eastAsia="Calibri"/>
          <w:i/>
          <w:iCs/>
          <w:szCs w:val="20"/>
        </w:rPr>
      </w:pPr>
      <w:r w:rsidRPr="0055572B">
        <w:rPr>
          <w:rFonts w:eastAsia="Calibri"/>
          <w:i/>
          <w:iCs/>
          <w:szCs w:val="20"/>
          <w:vertAlign w:val="superscript"/>
        </w:rPr>
        <w:t>9</w:t>
      </w:r>
      <w:r w:rsidRPr="007D0AF2">
        <w:rPr>
          <w:rFonts w:eastAsia="Calibri"/>
          <w:i/>
          <w:iCs/>
          <w:szCs w:val="20"/>
        </w:rPr>
        <w:t xml:space="preserve"> $75,000 to &lt; $95,000 </w:t>
      </w:r>
    </w:p>
    <w:p w14:paraId="29CAA865" w14:textId="558E3E6B" w:rsidR="004870CC" w:rsidRPr="007D0AF2" w:rsidRDefault="0072133E" w:rsidP="004870CC">
      <w:pPr>
        <w:pStyle w:val="FooterTableFigure"/>
        <w:rPr>
          <w:rFonts w:eastAsia="Calibri"/>
          <w:i/>
          <w:iCs/>
          <w:szCs w:val="20"/>
        </w:rPr>
      </w:pPr>
      <w:r w:rsidRPr="0055572B">
        <w:rPr>
          <w:rFonts w:eastAsia="Calibri"/>
          <w:i/>
          <w:iCs/>
          <w:szCs w:val="20"/>
          <w:vertAlign w:val="superscript"/>
        </w:rPr>
        <w:t>10</w:t>
      </w:r>
      <w:r w:rsidRPr="007D0AF2">
        <w:rPr>
          <w:rFonts w:eastAsia="Calibri"/>
          <w:i/>
          <w:iCs/>
          <w:szCs w:val="20"/>
        </w:rPr>
        <w:t>$135,000 to &lt; $155,000</w:t>
      </w:r>
    </w:p>
    <w:p w14:paraId="1825D298" w14:textId="44554219" w:rsidR="006F4300" w:rsidRPr="00B30EA5" w:rsidRDefault="006F4300" w:rsidP="0073177E">
      <w:pPr>
        <w:pStyle w:val="3-BodyText"/>
      </w:pPr>
      <w:bookmarkStart w:id="98" w:name="_Ref190260880"/>
      <w:bookmarkStart w:id="99" w:name="_Hlk185175011"/>
      <w:r w:rsidRPr="00B30EA5">
        <w:t xml:space="preserve">The ICER was </w:t>
      </w:r>
      <w:r w:rsidR="00B0270C" w:rsidRPr="00B30EA5">
        <w:t xml:space="preserve">most </w:t>
      </w:r>
      <w:r w:rsidRPr="00B30EA5">
        <w:t>sensitive to the time horizon (40 years vs 20 years) (</w:t>
      </w:r>
      <w:r w:rsidR="00471EB9" w:rsidRPr="00471EB9">
        <w:rPr>
          <w:color w:val="000000"/>
          <w:w w:val="62"/>
          <w:shd w:val="solid" w:color="000000" w:fill="000000"/>
          <w:fitText w:val="480" w:id="-694408185"/>
          <w14:textFill>
            <w14:solidFill>
              <w14:srgbClr w14:val="000000">
                <w14:alpha w14:val="100000"/>
              </w14:srgbClr>
            </w14:solidFill>
          </w14:textFill>
        </w:rPr>
        <w:t>|||  ||</w:t>
      </w:r>
      <w:r w:rsidR="00471EB9" w:rsidRPr="00471EB9">
        <w:rPr>
          <w:color w:val="000000"/>
          <w:spacing w:val="2"/>
          <w:w w:val="62"/>
          <w:shd w:val="solid" w:color="000000" w:fill="000000"/>
          <w:fitText w:val="480" w:id="-694408185"/>
          <w14:textFill>
            <w14:solidFill>
              <w14:srgbClr w14:val="000000">
                <w14:alpha w14:val="100000"/>
              </w14:srgbClr>
            </w14:solidFill>
          </w14:textFill>
        </w:rPr>
        <w:t>|</w:t>
      </w:r>
      <w:r w:rsidRPr="00B30EA5">
        <w:t>% increase in ICER), number of neoadjuvant treatment cycles (4.45 cycles vs 6 cycles) (</w:t>
      </w:r>
      <w:r w:rsidR="00471EB9" w:rsidRPr="00471EB9">
        <w:rPr>
          <w:color w:val="000000"/>
          <w:w w:val="62"/>
          <w:shd w:val="solid" w:color="000000" w:fill="000000"/>
          <w:fitText w:val="480" w:id="-694408184"/>
          <w14:textFill>
            <w14:solidFill>
              <w14:srgbClr w14:val="000000">
                <w14:alpha w14:val="100000"/>
              </w14:srgbClr>
            </w14:solidFill>
          </w14:textFill>
        </w:rPr>
        <w:t>|||  ||</w:t>
      </w:r>
      <w:r w:rsidR="00471EB9" w:rsidRPr="00471EB9">
        <w:rPr>
          <w:color w:val="000000"/>
          <w:spacing w:val="2"/>
          <w:w w:val="62"/>
          <w:shd w:val="solid" w:color="000000" w:fill="000000"/>
          <w:fitText w:val="480" w:id="-694408184"/>
          <w14:textFill>
            <w14:solidFill>
              <w14:srgbClr w14:val="000000">
                <w14:alpha w14:val="100000"/>
              </w14:srgbClr>
            </w14:solidFill>
          </w14:textFill>
        </w:rPr>
        <w:t>|</w:t>
      </w:r>
      <w:r w:rsidRPr="00B30EA5">
        <w:t>% increase in ICER), and hazard ratio [Swain (2022) HR= 0.35 vs HR=0.</w:t>
      </w:r>
      <w:r w:rsidR="000E70AD" w:rsidRPr="00B30EA5">
        <w:t>46</w:t>
      </w:r>
      <w:r w:rsidRPr="00B30EA5">
        <w:t>] for disease recurrence (</w:t>
      </w:r>
      <w:r w:rsidR="00471EB9" w:rsidRPr="00471EB9">
        <w:rPr>
          <w:color w:val="000000"/>
          <w:w w:val="60"/>
          <w:shd w:val="solid" w:color="000000" w:fill="000000"/>
          <w:fitText w:val="470" w:id="-694408183"/>
          <w14:textFill>
            <w14:solidFill>
              <w14:srgbClr w14:val="000000">
                <w14:alpha w14:val="100000"/>
              </w14:srgbClr>
            </w14:solidFill>
          </w14:textFill>
        </w:rPr>
        <w:t>|||  ||</w:t>
      </w:r>
      <w:r w:rsidR="00471EB9" w:rsidRPr="00471EB9">
        <w:rPr>
          <w:color w:val="000000"/>
          <w:spacing w:val="6"/>
          <w:w w:val="60"/>
          <w:shd w:val="solid" w:color="000000" w:fill="000000"/>
          <w:fitText w:val="470" w:id="-694408183"/>
          <w14:textFill>
            <w14:solidFill>
              <w14:srgbClr w14:val="000000">
                <w14:alpha w14:val="100000"/>
              </w14:srgbClr>
            </w14:solidFill>
          </w14:textFill>
        </w:rPr>
        <w:t>|</w:t>
      </w:r>
      <w:r w:rsidRPr="00B30EA5">
        <w:t>% increase in ICER).</w:t>
      </w:r>
      <w:r w:rsidR="003A6DBF" w:rsidRPr="00B30EA5">
        <w:t xml:space="preserve"> Reducing the maximum proportion of patients achieving sustained remission to 50% from 95% reduced the ICER/QALY gained by </w:t>
      </w:r>
      <w:r w:rsidR="00471EB9" w:rsidRPr="005F7B87">
        <w:rPr>
          <w:color w:val="000000"/>
          <w:w w:val="60"/>
          <w:shd w:val="solid" w:color="000000" w:fill="000000"/>
          <w:fitText w:val="470" w:id="-694408182"/>
          <w14:textFill>
            <w14:solidFill>
              <w14:srgbClr w14:val="000000">
                <w14:alpha w14:val="100000"/>
              </w14:srgbClr>
            </w14:solidFill>
          </w14:textFill>
        </w:rPr>
        <w:t>|||  ||</w:t>
      </w:r>
      <w:r w:rsidR="00471EB9" w:rsidRPr="005F7B87">
        <w:rPr>
          <w:color w:val="000000"/>
          <w:spacing w:val="6"/>
          <w:w w:val="60"/>
          <w:shd w:val="solid" w:color="000000" w:fill="000000"/>
          <w:fitText w:val="470" w:id="-694408182"/>
          <w14:textFill>
            <w14:solidFill>
              <w14:srgbClr w14:val="000000">
                <w14:alpha w14:val="100000"/>
              </w14:srgbClr>
            </w14:solidFill>
          </w14:textFill>
        </w:rPr>
        <w:t>|</w:t>
      </w:r>
      <w:r w:rsidR="003A6DBF" w:rsidRPr="00B30EA5">
        <w:t>%.</w:t>
      </w:r>
      <w:bookmarkEnd w:id="98"/>
      <w:r w:rsidR="00FA3CE6" w:rsidRPr="00B30EA5">
        <w:t xml:space="preserve"> </w:t>
      </w:r>
    </w:p>
    <w:bookmarkEnd w:id="99"/>
    <w:p w14:paraId="7E0CBDF3" w14:textId="288BADE1" w:rsidR="006F4300" w:rsidRPr="00A0454D" w:rsidRDefault="006F4300" w:rsidP="00EF13AB">
      <w:pPr>
        <w:pStyle w:val="3-BodyText"/>
      </w:pPr>
      <w:r w:rsidRPr="00873941">
        <w:t>A multivariate sensitivity analysis with a 20-year time horizon, 6 treatment cycles per patient, and the relative risk of disease recurrence in patients achieving a pCR (HR = 0.</w:t>
      </w:r>
      <w:r w:rsidR="000E70AD" w:rsidRPr="00873941">
        <w:t>46</w:t>
      </w:r>
      <w:r w:rsidRPr="00873941">
        <w:t xml:space="preserve">, upper CI from Swain (2022)) resulted in the ICER increasing from </w:t>
      </w:r>
      <w:r w:rsidR="00BB1BB6" w:rsidRPr="00BB1BB6">
        <w:t xml:space="preserve">$25,000 to &lt; $35,000 </w:t>
      </w:r>
      <w:r w:rsidRPr="00873941">
        <w:t xml:space="preserve">to </w:t>
      </w:r>
      <w:r w:rsidR="00BB1BB6" w:rsidRPr="00BB1BB6">
        <w:t>$135,000 to &lt; $155,000</w:t>
      </w:r>
      <w:r w:rsidRPr="00873941">
        <w:t>/QALY gained.</w:t>
      </w:r>
      <w:r w:rsidR="0073670A" w:rsidRPr="00873941">
        <w:t xml:space="preserve"> </w:t>
      </w:r>
      <w:r w:rsidR="0073670A" w:rsidRPr="00A0454D">
        <w:t>The PSCR considered this multi</w:t>
      </w:r>
      <w:r w:rsidR="00081A62" w:rsidRPr="00A0454D">
        <w:t xml:space="preserve">variate sensitivity analysis was of questionable </w:t>
      </w:r>
      <w:r w:rsidR="003E0A9B" w:rsidRPr="00A0454D">
        <w:t>use for decision-making purposes, arguing that none of the three parameters tested could be considered the most reasonable or reliable estimates o</w:t>
      </w:r>
      <w:r w:rsidR="009B4B28" w:rsidRPr="00A0454D">
        <w:t>f the available evidence</w:t>
      </w:r>
      <w:r w:rsidR="004B569F" w:rsidRPr="00A0454D">
        <w:t xml:space="preserve"> </w:t>
      </w:r>
      <w:r w:rsidR="00CC2AD2" w:rsidRPr="00A0454D">
        <w:t xml:space="preserve">(a </w:t>
      </w:r>
      <w:r w:rsidR="004B569F" w:rsidRPr="00A0454D">
        <w:t xml:space="preserve">20-year time horizon is </w:t>
      </w:r>
      <w:r w:rsidR="004B569F" w:rsidRPr="00A0454D">
        <w:lastRenderedPageBreak/>
        <w:t>substantially lower than the population’s life expectancy; treatment costs based on 6 cycles reflect the maximum possible treatment cost but does not reflect the evidence used in the model; and the upper 95% CI from Swain represents the lowest likely benefit of achieving a response in the neoadjuvant setting</w:t>
      </w:r>
      <w:r w:rsidR="00CC2AD2" w:rsidRPr="00A0454D">
        <w:t>)</w:t>
      </w:r>
      <w:r w:rsidR="004B569F" w:rsidRPr="00A0454D">
        <w:t>.</w:t>
      </w:r>
      <w:r w:rsidR="00FA3CE6">
        <w:t xml:space="preserve"> </w:t>
      </w:r>
    </w:p>
    <w:p w14:paraId="68D7508F" w14:textId="60FE2682" w:rsidR="00141D0B" w:rsidRPr="00A0454D" w:rsidRDefault="00962425" w:rsidP="00141D0B">
      <w:pPr>
        <w:pStyle w:val="3-BodyText"/>
      </w:pPr>
      <w:r w:rsidRPr="00A0454D">
        <w:t xml:space="preserve">The ESC noted that </w:t>
      </w:r>
      <w:r w:rsidR="00CC2AD2" w:rsidRPr="00A0454D">
        <w:t>a</w:t>
      </w:r>
      <w:r w:rsidR="00141D0B" w:rsidRPr="00A0454D">
        <w:t xml:space="preserve"> multivariate analysis with a 30</w:t>
      </w:r>
      <w:r w:rsidR="00CC2AD2" w:rsidRPr="00A0454D">
        <w:t>-</w:t>
      </w:r>
      <w:r w:rsidR="00141D0B" w:rsidRPr="00A0454D">
        <w:t xml:space="preserve">year time horizon and a hazard ratio of disease recurrence in patients achieving pCR (HR = 0.46, upper 95% CI from Swain (2022)), resulted in the ICER increasing from </w:t>
      </w:r>
      <w:r w:rsidR="00FB04BA" w:rsidRPr="00FB04BA">
        <w:t>$25,000 to &lt; $35,000</w:t>
      </w:r>
      <w:r w:rsidR="002B3631">
        <w:t xml:space="preserve"> </w:t>
      </w:r>
      <w:r w:rsidR="00141D0B" w:rsidRPr="00A0454D">
        <w:t xml:space="preserve">to </w:t>
      </w:r>
      <w:r w:rsidR="00DC6A39" w:rsidRPr="00DC6A39">
        <w:t>55,000 to &lt; $75,000</w:t>
      </w:r>
      <w:r w:rsidR="00141D0B" w:rsidRPr="00A0454D">
        <w:t xml:space="preserve">. A multivariate sensitivity analysis with a 30-year time horizon, 6 treatment cycles per patient, and a hazard ratio of disease recurrence in patients achieving pCR (HR = 0.46, upper 95% CI from Swain (2022)), resulted in the ICER increasing from </w:t>
      </w:r>
      <w:r w:rsidR="00DC6A39" w:rsidRPr="00DC6A39">
        <w:t>$25,000 to &lt; $35,000</w:t>
      </w:r>
      <w:r w:rsidR="002B3631">
        <w:t xml:space="preserve"> </w:t>
      </w:r>
      <w:r w:rsidR="00141D0B" w:rsidRPr="00A0454D">
        <w:t xml:space="preserve">to </w:t>
      </w:r>
      <w:r w:rsidR="00DC6A39" w:rsidRPr="00DC6A39">
        <w:t>$95,000 to &lt; $115,000</w:t>
      </w:r>
      <w:r w:rsidR="00141D0B" w:rsidRPr="00A0454D">
        <w:t>/QALY gained.</w:t>
      </w:r>
    </w:p>
    <w:p w14:paraId="4CF1745C" w14:textId="273A77F9" w:rsidR="00962425" w:rsidRPr="00A0454D" w:rsidRDefault="00962425" w:rsidP="00141D0B">
      <w:pPr>
        <w:pStyle w:val="3-BodyText"/>
        <w:numPr>
          <w:ilvl w:val="0"/>
          <w:numId w:val="0"/>
        </w:numPr>
        <w:ind w:left="720"/>
      </w:pPr>
    </w:p>
    <w:p w14:paraId="6336E916" w14:textId="476E284B" w:rsidR="0059649B" w:rsidRPr="00873941" w:rsidRDefault="001458AE" w:rsidP="0059649B">
      <w:pPr>
        <w:pStyle w:val="4-SubsectionHeading"/>
      </w:pPr>
      <w:bookmarkStart w:id="100" w:name="_Toc188444279"/>
      <w:r w:rsidRPr="00873941">
        <w:t>Drug cost/patient/</w:t>
      </w:r>
      <w:r w:rsidR="0059649B" w:rsidRPr="00873941">
        <w:t>course</w:t>
      </w:r>
      <w:bookmarkEnd w:id="100"/>
      <w:r w:rsidR="0059649B" w:rsidRPr="00873941">
        <w:t xml:space="preserve"> </w:t>
      </w:r>
    </w:p>
    <w:bookmarkEnd w:id="68"/>
    <w:p w14:paraId="7C5132C2" w14:textId="56D43D50" w:rsidR="00361F64" w:rsidRPr="00873941" w:rsidRDefault="00361F64" w:rsidP="008A03BB">
      <w:pPr>
        <w:pStyle w:val="3-BodyText"/>
        <w:spacing w:after="120"/>
      </w:pPr>
      <w:r w:rsidRPr="00873941">
        <w:t xml:space="preserve">The cost per patient per course of neoadjuvant treatment with pertuzumab is presented in </w:t>
      </w:r>
      <w:r w:rsidRPr="00873941">
        <w:fldChar w:fldCharType="begin"/>
      </w:r>
      <w:r w:rsidRPr="00873941">
        <w:instrText xml:space="preserve"> REF _Ref184891773 \h </w:instrText>
      </w:r>
      <w:r w:rsidRPr="00873941">
        <w:fldChar w:fldCharType="separate"/>
      </w:r>
      <w:r w:rsidR="000B094B" w:rsidRPr="00873941">
        <w:t xml:space="preserve">Table </w:t>
      </w:r>
      <w:r w:rsidR="000B094B">
        <w:rPr>
          <w:noProof/>
        </w:rPr>
        <w:t>19</w:t>
      </w:r>
      <w:r w:rsidRPr="00873941">
        <w:fldChar w:fldCharType="end"/>
      </w:r>
      <w:r w:rsidRPr="00873941">
        <w:t xml:space="preserve">. The proposed treatment involved adding pertuzumab to </w:t>
      </w:r>
      <w:proofErr w:type="spellStart"/>
      <w:r w:rsidRPr="00873941">
        <w:t>T+Chemo</w:t>
      </w:r>
      <w:proofErr w:type="spellEnd"/>
      <w:r w:rsidRPr="00873941">
        <w:t xml:space="preserve">. The resubmission assumed that the </w:t>
      </w:r>
      <w:proofErr w:type="spellStart"/>
      <w:r w:rsidRPr="00873941">
        <w:t>T+Chemo</w:t>
      </w:r>
      <w:proofErr w:type="spellEnd"/>
      <w:r w:rsidRPr="00873941">
        <w:t xml:space="preserve"> component of the treatment regimen would be unchanged and, since it was common to the intervention and comparator arm, was not costed</w:t>
      </w:r>
      <w:r w:rsidR="00967C4B" w:rsidRPr="00873941">
        <w:t xml:space="preserve"> (for economic model and financial estimates)</w:t>
      </w:r>
      <w:r w:rsidRPr="00873941">
        <w:t xml:space="preserve">. This was reasonable. Only the additional cost of pertuzumab is presented in </w:t>
      </w:r>
      <w:r w:rsidRPr="00873941">
        <w:fldChar w:fldCharType="begin"/>
      </w:r>
      <w:r w:rsidRPr="00873941">
        <w:instrText xml:space="preserve"> REF _Ref184891773 \h  \* MERGEFORMAT </w:instrText>
      </w:r>
      <w:r w:rsidRPr="00873941">
        <w:fldChar w:fldCharType="separate"/>
      </w:r>
      <w:r w:rsidR="000B094B" w:rsidRPr="00873941">
        <w:t xml:space="preserve">Table </w:t>
      </w:r>
      <w:r w:rsidR="000B094B">
        <w:t>19</w:t>
      </w:r>
      <w:r w:rsidRPr="00873941">
        <w:fldChar w:fldCharType="end"/>
      </w:r>
      <w:r w:rsidRPr="00873941">
        <w:t xml:space="preserve">, the mean dose and duration of the comparator, and the cost per patient/course of </w:t>
      </w:r>
      <w:proofErr w:type="spellStart"/>
      <w:r w:rsidRPr="00873941">
        <w:t>T+Chemo</w:t>
      </w:r>
      <w:proofErr w:type="spellEnd"/>
      <w:r w:rsidRPr="00873941">
        <w:t xml:space="preserve"> are not presented.</w:t>
      </w:r>
    </w:p>
    <w:p w14:paraId="52152CF1" w14:textId="3AA61C67" w:rsidR="00361F64" w:rsidRPr="00873941" w:rsidRDefault="00361F64" w:rsidP="0073177E">
      <w:pPr>
        <w:pStyle w:val="TableFigureHeading"/>
        <w:rPr>
          <w:rStyle w:val="CommentReference"/>
          <w:b/>
          <w:szCs w:val="24"/>
        </w:rPr>
      </w:pPr>
      <w:bookmarkStart w:id="101" w:name="_Ref184891773"/>
      <w:bookmarkStart w:id="102" w:name="_Ref184891729"/>
      <w:r w:rsidRPr="00873941">
        <w:t xml:space="preserve">Table </w:t>
      </w:r>
      <w:r w:rsidR="00C95FE6">
        <w:fldChar w:fldCharType="begin"/>
      </w:r>
      <w:r w:rsidR="00C95FE6">
        <w:instrText xml:space="preserve"> SEQ Table \* ARABIC </w:instrText>
      </w:r>
      <w:r w:rsidR="00C95FE6">
        <w:fldChar w:fldCharType="separate"/>
      </w:r>
      <w:r w:rsidR="000B094B">
        <w:rPr>
          <w:noProof/>
        </w:rPr>
        <w:t>19</w:t>
      </w:r>
      <w:r w:rsidR="00C95FE6">
        <w:fldChar w:fldCharType="end"/>
      </w:r>
      <w:bookmarkEnd w:id="101"/>
      <w:r w:rsidRPr="00873941">
        <w:t>:</w:t>
      </w:r>
      <w:r w:rsidRPr="00873941">
        <w:rPr>
          <w:rStyle w:val="CommentReference"/>
          <w:b/>
          <w:szCs w:val="24"/>
        </w:rPr>
        <w:t xml:space="preserve"> Drug cost per patient for </w:t>
      </w:r>
      <w:bookmarkEnd w:id="102"/>
      <w:r w:rsidRPr="00873941">
        <w:rPr>
          <w:rStyle w:val="CommentReference"/>
          <w:b/>
          <w:szCs w:val="24"/>
        </w:rPr>
        <w:t>pertuzumab as neoadjuvant treatment – proposed effective price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9: Drug cost per patient for pertuzumab as neoadjuvant treatment – proposed effective price"/>
      </w:tblPr>
      <w:tblGrid>
        <w:gridCol w:w="2529"/>
        <w:gridCol w:w="2162"/>
        <w:gridCol w:w="2160"/>
        <w:gridCol w:w="2166"/>
      </w:tblGrid>
      <w:tr w:rsidR="00361F64" w:rsidRPr="00873941" w14:paraId="70FFB786" w14:textId="77777777" w:rsidTr="00361F64">
        <w:trPr>
          <w:cantSplit/>
          <w:tblHeader/>
          <w:jc w:val="center"/>
        </w:trPr>
        <w:tc>
          <w:tcPr>
            <w:tcW w:w="1402" w:type="pct"/>
            <w:tcBorders>
              <w:top w:val="single" w:sz="4" w:space="0" w:color="auto"/>
              <w:left w:val="single" w:sz="4" w:space="0" w:color="auto"/>
              <w:bottom w:val="single" w:sz="4" w:space="0" w:color="auto"/>
              <w:right w:val="single" w:sz="4" w:space="0" w:color="auto"/>
            </w:tcBorders>
            <w:vAlign w:val="center"/>
          </w:tcPr>
          <w:p w14:paraId="116A0C1F" w14:textId="77777777" w:rsidR="00361F64" w:rsidRPr="00873941" w:rsidRDefault="00361F64">
            <w:pPr>
              <w:pStyle w:val="In-tableHeading"/>
              <w:jc w:val="center"/>
              <w:rPr>
                <w:lang w:val="en-AU"/>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2C5FAA53" w14:textId="77777777" w:rsidR="00361F64" w:rsidRPr="00873941" w:rsidRDefault="00361F64">
            <w:pPr>
              <w:pStyle w:val="In-tableHeading"/>
              <w:jc w:val="center"/>
              <w:rPr>
                <w:lang w:val="en-AU"/>
              </w:rPr>
            </w:pPr>
            <w:r w:rsidRPr="00873941">
              <w:rPr>
                <w:lang w:val="en-AU"/>
              </w:rPr>
              <w:t>Trial dose and duration</w:t>
            </w:r>
          </w:p>
          <w:p w14:paraId="6D15FA4E" w14:textId="77777777" w:rsidR="00361F64" w:rsidRPr="00873941" w:rsidRDefault="00361F64">
            <w:pPr>
              <w:pStyle w:val="In-tableHeading"/>
              <w:jc w:val="center"/>
              <w:rPr>
                <w:lang w:val="en-AU"/>
              </w:rPr>
            </w:pPr>
            <w:r w:rsidRPr="00873941">
              <w:rPr>
                <w:lang w:val="en-AU"/>
              </w:rPr>
              <w:t>(NEOSPHERE)</w:t>
            </w:r>
          </w:p>
        </w:tc>
        <w:tc>
          <w:tcPr>
            <w:tcW w:w="1198" w:type="pct"/>
            <w:tcBorders>
              <w:top w:val="single" w:sz="4" w:space="0" w:color="auto"/>
              <w:left w:val="single" w:sz="4" w:space="0" w:color="auto"/>
              <w:bottom w:val="single" w:sz="4" w:space="0" w:color="auto"/>
              <w:right w:val="single" w:sz="4" w:space="0" w:color="auto"/>
            </w:tcBorders>
            <w:vAlign w:val="center"/>
            <w:hideMark/>
          </w:tcPr>
          <w:p w14:paraId="7F307F76" w14:textId="77777777" w:rsidR="00361F64" w:rsidRPr="00873941" w:rsidRDefault="00361F64">
            <w:pPr>
              <w:pStyle w:val="In-tableHeading"/>
              <w:jc w:val="center"/>
              <w:rPr>
                <w:lang w:val="en-AU"/>
              </w:rPr>
            </w:pPr>
            <w:r w:rsidRPr="00873941">
              <w:rPr>
                <w:lang w:val="en-AU"/>
              </w:rPr>
              <w:t>Economic model</w:t>
            </w:r>
          </w:p>
        </w:tc>
        <w:tc>
          <w:tcPr>
            <w:tcW w:w="1201" w:type="pct"/>
            <w:tcBorders>
              <w:top w:val="single" w:sz="4" w:space="0" w:color="auto"/>
              <w:left w:val="single" w:sz="4" w:space="0" w:color="auto"/>
              <w:bottom w:val="single" w:sz="4" w:space="0" w:color="auto"/>
              <w:right w:val="single" w:sz="4" w:space="0" w:color="auto"/>
            </w:tcBorders>
            <w:vAlign w:val="center"/>
            <w:hideMark/>
          </w:tcPr>
          <w:p w14:paraId="0296DF43" w14:textId="77777777" w:rsidR="00361F64" w:rsidRPr="00873941" w:rsidRDefault="00361F64">
            <w:pPr>
              <w:pStyle w:val="In-tableHeading"/>
              <w:jc w:val="center"/>
              <w:rPr>
                <w:lang w:val="en-AU"/>
              </w:rPr>
            </w:pPr>
            <w:r w:rsidRPr="00873941">
              <w:rPr>
                <w:lang w:val="en-AU"/>
              </w:rPr>
              <w:t>Financial estimates</w:t>
            </w:r>
          </w:p>
        </w:tc>
      </w:tr>
      <w:tr w:rsidR="00361F64" w:rsidRPr="00873941" w14:paraId="5923E4E5" w14:textId="77777777" w:rsidTr="00361F64">
        <w:trPr>
          <w:cantSplit/>
          <w:jc w:val="center"/>
        </w:trPr>
        <w:tc>
          <w:tcPr>
            <w:tcW w:w="1402" w:type="pct"/>
            <w:tcBorders>
              <w:top w:val="single" w:sz="4" w:space="0" w:color="auto"/>
              <w:left w:val="single" w:sz="4" w:space="0" w:color="auto"/>
              <w:bottom w:val="single" w:sz="4" w:space="0" w:color="auto"/>
              <w:right w:val="single" w:sz="4" w:space="0" w:color="auto"/>
            </w:tcBorders>
            <w:vAlign w:val="center"/>
            <w:hideMark/>
          </w:tcPr>
          <w:p w14:paraId="1D3073A4" w14:textId="77777777" w:rsidR="00361F64" w:rsidRPr="00873941" w:rsidRDefault="00361F64">
            <w:pPr>
              <w:pStyle w:val="TableText0"/>
            </w:pPr>
            <w:r w:rsidRPr="00873941">
              <w:t>Mean dose</w:t>
            </w:r>
          </w:p>
        </w:tc>
        <w:tc>
          <w:tcPr>
            <w:tcW w:w="3598" w:type="pct"/>
            <w:gridSpan w:val="3"/>
            <w:tcBorders>
              <w:top w:val="single" w:sz="4" w:space="0" w:color="auto"/>
              <w:left w:val="single" w:sz="4" w:space="0" w:color="auto"/>
              <w:bottom w:val="single" w:sz="4" w:space="0" w:color="auto"/>
              <w:right w:val="single" w:sz="4" w:space="0" w:color="auto"/>
            </w:tcBorders>
            <w:vAlign w:val="center"/>
            <w:hideMark/>
          </w:tcPr>
          <w:p w14:paraId="66D10A9B" w14:textId="77777777" w:rsidR="00361F64" w:rsidRPr="00873941" w:rsidRDefault="00361F64">
            <w:pPr>
              <w:pStyle w:val="TableText0"/>
              <w:jc w:val="center"/>
            </w:pPr>
            <w:r w:rsidRPr="00873941">
              <w:t>Cycle 1: 840mg</w:t>
            </w:r>
          </w:p>
          <w:p w14:paraId="7C90C6B4" w14:textId="77777777" w:rsidR="00361F64" w:rsidRPr="00873941" w:rsidRDefault="00361F64">
            <w:pPr>
              <w:pStyle w:val="TableText0"/>
              <w:jc w:val="center"/>
            </w:pPr>
            <w:r w:rsidRPr="00873941">
              <w:t>Cycles 2-4: 420mg</w:t>
            </w:r>
          </w:p>
        </w:tc>
      </w:tr>
      <w:tr w:rsidR="00361F64" w:rsidRPr="00873941" w14:paraId="1B3C6B77" w14:textId="77777777" w:rsidTr="00361F64">
        <w:trPr>
          <w:cantSplit/>
          <w:jc w:val="center"/>
        </w:trPr>
        <w:tc>
          <w:tcPr>
            <w:tcW w:w="1402" w:type="pct"/>
            <w:tcBorders>
              <w:top w:val="single" w:sz="4" w:space="0" w:color="auto"/>
              <w:left w:val="single" w:sz="4" w:space="0" w:color="auto"/>
              <w:bottom w:val="single" w:sz="4" w:space="0" w:color="auto"/>
              <w:right w:val="single" w:sz="4" w:space="0" w:color="auto"/>
            </w:tcBorders>
            <w:vAlign w:val="center"/>
            <w:hideMark/>
          </w:tcPr>
          <w:p w14:paraId="5111089F" w14:textId="77777777" w:rsidR="00361F64" w:rsidRPr="00873941" w:rsidRDefault="00361F64">
            <w:pPr>
              <w:pStyle w:val="TableText0"/>
            </w:pPr>
            <w:r w:rsidRPr="00873941">
              <w:t>Mean duration</w:t>
            </w:r>
          </w:p>
        </w:tc>
        <w:tc>
          <w:tcPr>
            <w:tcW w:w="1199" w:type="pct"/>
            <w:tcBorders>
              <w:top w:val="single" w:sz="4" w:space="0" w:color="auto"/>
              <w:left w:val="single" w:sz="4" w:space="0" w:color="auto"/>
              <w:bottom w:val="single" w:sz="4" w:space="0" w:color="auto"/>
              <w:right w:val="single" w:sz="4" w:space="0" w:color="auto"/>
            </w:tcBorders>
            <w:vAlign w:val="center"/>
            <w:hideMark/>
          </w:tcPr>
          <w:p w14:paraId="15849707" w14:textId="77777777" w:rsidR="00361F64" w:rsidRPr="00873941" w:rsidRDefault="00361F64">
            <w:pPr>
              <w:pStyle w:val="TableText0"/>
            </w:pPr>
            <w:r w:rsidRPr="00873941">
              <w:t>3.9 cycles</w:t>
            </w:r>
          </w:p>
        </w:tc>
        <w:tc>
          <w:tcPr>
            <w:tcW w:w="1198" w:type="pct"/>
            <w:tcBorders>
              <w:top w:val="single" w:sz="4" w:space="0" w:color="auto"/>
              <w:left w:val="single" w:sz="4" w:space="0" w:color="auto"/>
              <w:bottom w:val="single" w:sz="4" w:space="0" w:color="auto"/>
              <w:right w:val="single" w:sz="4" w:space="0" w:color="auto"/>
            </w:tcBorders>
            <w:vAlign w:val="center"/>
            <w:hideMark/>
          </w:tcPr>
          <w:p w14:paraId="1AA2A42A" w14:textId="77777777" w:rsidR="00361F64" w:rsidRPr="00873941" w:rsidRDefault="00361F64">
            <w:pPr>
              <w:pStyle w:val="TableText0"/>
            </w:pPr>
            <w:r w:rsidRPr="00873941">
              <w:t>4.45 cycles</w:t>
            </w:r>
          </w:p>
        </w:tc>
        <w:tc>
          <w:tcPr>
            <w:tcW w:w="1201" w:type="pct"/>
            <w:tcBorders>
              <w:top w:val="single" w:sz="4" w:space="0" w:color="auto"/>
              <w:left w:val="single" w:sz="4" w:space="0" w:color="auto"/>
              <w:bottom w:val="single" w:sz="4" w:space="0" w:color="auto"/>
              <w:right w:val="single" w:sz="4" w:space="0" w:color="auto"/>
            </w:tcBorders>
            <w:vAlign w:val="center"/>
            <w:hideMark/>
          </w:tcPr>
          <w:p w14:paraId="6C8090B5" w14:textId="77777777" w:rsidR="00361F64" w:rsidRPr="00873941" w:rsidRDefault="00361F64">
            <w:pPr>
              <w:pStyle w:val="TableText0"/>
            </w:pPr>
            <w:r w:rsidRPr="00873941">
              <w:t>4.45 cycles</w:t>
            </w:r>
          </w:p>
        </w:tc>
      </w:tr>
      <w:tr w:rsidR="00361F64" w:rsidRPr="00873941" w14:paraId="69FFBAA0" w14:textId="77777777" w:rsidTr="00361F64">
        <w:trPr>
          <w:cantSplit/>
          <w:jc w:val="center"/>
        </w:trPr>
        <w:tc>
          <w:tcPr>
            <w:tcW w:w="1402" w:type="pct"/>
            <w:tcBorders>
              <w:top w:val="single" w:sz="4" w:space="0" w:color="auto"/>
              <w:left w:val="single" w:sz="4" w:space="0" w:color="auto"/>
              <w:bottom w:val="single" w:sz="4" w:space="0" w:color="auto"/>
              <w:right w:val="single" w:sz="4" w:space="0" w:color="auto"/>
            </w:tcBorders>
            <w:vAlign w:val="center"/>
            <w:hideMark/>
          </w:tcPr>
          <w:p w14:paraId="77F36382" w14:textId="77777777" w:rsidR="00361F64" w:rsidRPr="00873941" w:rsidRDefault="00361F64">
            <w:pPr>
              <w:pStyle w:val="TableText0"/>
            </w:pPr>
            <w:r w:rsidRPr="00873941">
              <w:t>Cost/patient/</w:t>
            </w:r>
            <w:proofErr w:type="spellStart"/>
            <w:r w:rsidRPr="00873941">
              <w:t>cycle</w:t>
            </w:r>
            <w:r w:rsidRPr="00873941">
              <w:rPr>
                <w:vertAlign w:val="superscript"/>
              </w:rPr>
              <w:t>a</w:t>
            </w:r>
            <w:proofErr w:type="spellEnd"/>
          </w:p>
        </w:tc>
        <w:tc>
          <w:tcPr>
            <w:tcW w:w="1198" w:type="pct"/>
            <w:tcBorders>
              <w:top w:val="single" w:sz="4" w:space="0" w:color="auto"/>
              <w:left w:val="single" w:sz="4" w:space="0" w:color="auto"/>
              <w:bottom w:val="single" w:sz="4" w:space="0" w:color="auto"/>
              <w:right w:val="single" w:sz="4" w:space="0" w:color="auto"/>
            </w:tcBorders>
            <w:vAlign w:val="center"/>
            <w:hideMark/>
          </w:tcPr>
          <w:p w14:paraId="4F3D63AB" w14:textId="51830C0B" w:rsidR="00361F64" w:rsidRPr="00873941" w:rsidRDefault="00361F64">
            <w:pPr>
              <w:pStyle w:val="TableText0"/>
            </w:pPr>
            <w:r w:rsidRPr="00873941">
              <w:t>Cycle 1: $</w:t>
            </w:r>
            <w:r w:rsidR="00471EB9" w:rsidRPr="00471EB9">
              <w:rPr>
                <w:color w:val="000000"/>
                <w:spacing w:val="53"/>
                <w:shd w:val="solid" w:color="000000" w:fill="000000"/>
                <w:fitText w:val="330" w:id="-694408181"/>
                <w14:textFill>
                  <w14:solidFill>
                    <w14:srgbClr w14:val="000000">
                      <w14:alpha w14:val="100000"/>
                    </w14:srgbClr>
                  </w14:solidFill>
                </w14:textFill>
              </w:rPr>
              <w:t>|||</w:t>
            </w:r>
            <w:r w:rsidR="00471EB9" w:rsidRPr="00471EB9">
              <w:rPr>
                <w:color w:val="000000"/>
                <w:spacing w:val="1"/>
                <w:shd w:val="solid" w:color="000000" w:fill="000000"/>
                <w:fitText w:val="330" w:id="-694408181"/>
                <w14:textFill>
                  <w14:solidFill>
                    <w14:srgbClr w14:val="000000">
                      <w14:alpha w14:val="100000"/>
                    </w14:srgbClr>
                  </w14:solidFill>
                </w14:textFill>
              </w:rPr>
              <w:t>|</w:t>
            </w:r>
          </w:p>
          <w:p w14:paraId="01257144" w14:textId="174652A9" w:rsidR="00361F64" w:rsidRPr="00873941" w:rsidRDefault="00361F64">
            <w:pPr>
              <w:pStyle w:val="TableText0"/>
            </w:pPr>
            <w:r w:rsidRPr="00873941">
              <w:t>Cycles 2+: $</w:t>
            </w:r>
            <w:r w:rsidR="00471EB9" w:rsidRPr="00471EB9">
              <w:rPr>
                <w:color w:val="000000"/>
                <w:spacing w:val="49"/>
                <w:shd w:val="solid" w:color="000000" w:fill="000000"/>
                <w:fitText w:val="320" w:id="-694408180"/>
                <w14:textFill>
                  <w14:solidFill>
                    <w14:srgbClr w14:val="000000">
                      <w14:alpha w14:val="100000"/>
                    </w14:srgbClr>
                  </w14:solidFill>
                </w14:textFill>
              </w:rPr>
              <w:t>|||</w:t>
            </w:r>
            <w:r w:rsidR="00471EB9" w:rsidRPr="00471EB9">
              <w:rPr>
                <w:color w:val="000000"/>
                <w:spacing w:val="3"/>
                <w:shd w:val="solid" w:color="000000" w:fill="000000"/>
                <w:fitText w:val="320" w:id="-694408180"/>
                <w14:textFill>
                  <w14:solidFill>
                    <w14:srgbClr w14:val="000000">
                      <w14:alpha w14:val="100000"/>
                    </w14:srgbClr>
                  </w14:solidFill>
                </w14:textFill>
              </w:rPr>
              <w:t>|</w:t>
            </w:r>
          </w:p>
        </w:tc>
        <w:tc>
          <w:tcPr>
            <w:tcW w:w="1198" w:type="pct"/>
            <w:tcBorders>
              <w:top w:val="single" w:sz="4" w:space="0" w:color="auto"/>
              <w:left w:val="single" w:sz="4" w:space="0" w:color="auto"/>
              <w:bottom w:val="single" w:sz="4" w:space="0" w:color="auto"/>
              <w:right w:val="single" w:sz="4" w:space="0" w:color="auto"/>
            </w:tcBorders>
            <w:vAlign w:val="center"/>
            <w:hideMark/>
          </w:tcPr>
          <w:p w14:paraId="1476DE86" w14:textId="0D35CE78" w:rsidR="00361F64" w:rsidRPr="00873941" w:rsidRDefault="00361F64">
            <w:pPr>
              <w:pStyle w:val="TableText0"/>
            </w:pPr>
            <w:r w:rsidRPr="00873941">
              <w:t>Cycle 1: $</w:t>
            </w:r>
            <w:r w:rsidR="00471EB9" w:rsidRPr="00471EB9">
              <w:rPr>
                <w:color w:val="000000"/>
                <w:spacing w:val="53"/>
                <w:shd w:val="solid" w:color="000000" w:fill="000000"/>
                <w:fitText w:val="330" w:id="-694408179"/>
                <w14:textFill>
                  <w14:solidFill>
                    <w14:srgbClr w14:val="000000">
                      <w14:alpha w14:val="100000"/>
                    </w14:srgbClr>
                  </w14:solidFill>
                </w14:textFill>
              </w:rPr>
              <w:t>|||</w:t>
            </w:r>
            <w:r w:rsidR="00471EB9" w:rsidRPr="00471EB9">
              <w:rPr>
                <w:color w:val="000000"/>
                <w:spacing w:val="1"/>
                <w:shd w:val="solid" w:color="000000" w:fill="000000"/>
                <w:fitText w:val="330" w:id="-694408179"/>
                <w14:textFill>
                  <w14:solidFill>
                    <w14:srgbClr w14:val="000000">
                      <w14:alpha w14:val="100000"/>
                    </w14:srgbClr>
                  </w14:solidFill>
                </w14:textFill>
              </w:rPr>
              <w:t>|</w:t>
            </w:r>
          </w:p>
          <w:p w14:paraId="2F438396" w14:textId="79853879" w:rsidR="00361F64" w:rsidRPr="00873941" w:rsidRDefault="00361F64">
            <w:pPr>
              <w:pStyle w:val="TableText0"/>
            </w:pPr>
            <w:r w:rsidRPr="00873941">
              <w:t>Cycles 2+: $</w:t>
            </w:r>
            <w:r w:rsidR="00471EB9" w:rsidRPr="00471EB9">
              <w:rPr>
                <w:color w:val="000000"/>
                <w:spacing w:val="49"/>
                <w:shd w:val="solid" w:color="000000" w:fill="000000"/>
                <w:fitText w:val="320" w:id="-694408178"/>
                <w14:textFill>
                  <w14:solidFill>
                    <w14:srgbClr w14:val="000000">
                      <w14:alpha w14:val="100000"/>
                    </w14:srgbClr>
                  </w14:solidFill>
                </w14:textFill>
              </w:rPr>
              <w:t>|||</w:t>
            </w:r>
            <w:r w:rsidR="00471EB9" w:rsidRPr="00471EB9">
              <w:rPr>
                <w:color w:val="000000"/>
                <w:spacing w:val="3"/>
                <w:shd w:val="solid" w:color="000000" w:fill="000000"/>
                <w:fitText w:val="320" w:id="-694408178"/>
                <w14:textFill>
                  <w14:solidFill>
                    <w14:srgbClr w14:val="000000">
                      <w14:alpha w14:val="100000"/>
                    </w14:srgbClr>
                  </w14:solidFill>
                </w14:textFill>
              </w:rPr>
              <w:t>|</w:t>
            </w:r>
          </w:p>
        </w:tc>
        <w:tc>
          <w:tcPr>
            <w:tcW w:w="1201" w:type="pct"/>
            <w:tcBorders>
              <w:top w:val="single" w:sz="4" w:space="0" w:color="auto"/>
              <w:left w:val="single" w:sz="4" w:space="0" w:color="auto"/>
              <w:bottom w:val="single" w:sz="4" w:space="0" w:color="auto"/>
              <w:right w:val="single" w:sz="4" w:space="0" w:color="auto"/>
            </w:tcBorders>
            <w:vAlign w:val="center"/>
            <w:hideMark/>
          </w:tcPr>
          <w:p w14:paraId="4C1BECB8" w14:textId="1DE1FD6D" w:rsidR="00361F64" w:rsidRPr="00873941" w:rsidRDefault="00361F64">
            <w:pPr>
              <w:pStyle w:val="TableText0"/>
            </w:pPr>
            <w:r w:rsidRPr="00873941">
              <w:t>Cycle 1: $</w:t>
            </w:r>
            <w:r w:rsidR="00471EB9" w:rsidRPr="00471EB9">
              <w:rPr>
                <w:color w:val="000000"/>
                <w:spacing w:val="53"/>
                <w:shd w:val="solid" w:color="000000" w:fill="000000"/>
                <w:fitText w:val="330" w:id="-694408177"/>
                <w14:textFill>
                  <w14:solidFill>
                    <w14:srgbClr w14:val="000000">
                      <w14:alpha w14:val="100000"/>
                    </w14:srgbClr>
                  </w14:solidFill>
                </w14:textFill>
              </w:rPr>
              <w:t>|||</w:t>
            </w:r>
            <w:r w:rsidR="00471EB9" w:rsidRPr="00471EB9">
              <w:rPr>
                <w:color w:val="000000"/>
                <w:spacing w:val="1"/>
                <w:shd w:val="solid" w:color="000000" w:fill="000000"/>
                <w:fitText w:val="330" w:id="-694408177"/>
                <w14:textFill>
                  <w14:solidFill>
                    <w14:srgbClr w14:val="000000">
                      <w14:alpha w14:val="100000"/>
                    </w14:srgbClr>
                  </w14:solidFill>
                </w14:textFill>
              </w:rPr>
              <w:t>|</w:t>
            </w:r>
            <w:r w:rsidR="00414BCC" w:rsidRPr="00873941">
              <w:rPr>
                <w:vertAlign w:val="superscript"/>
              </w:rPr>
              <w:t>c</w:t>
            </w:r>
          </w:p>
          <w:p w14:paraId="66551B28" w14:textId="7F4382D3" w:rsidR="00361F64" w:rsidRPr="00873941" w:rsidRDefault="00361F64">
            <w:pPr>
              <w:pStyle w:val="TableText0"/>
            </w:pPr>
            <w:r w:rsidRPr="00873941">
              <w:t>Cycles 2+: $</w:t>
            </w:r>
            <w:r w:rsidR="00471EB9" w:rsidRPr="00471EB9">
              <w:rPr>
                <w:color w:val="000000"/>
                <w:spacing w:val="49"/>
                <w:shd w:val="solid" w:color="000000" w:fill="000000"/>
                <w:fitText w:val="320" w:id="-694408176"/>
                <w14:textFill>
                  <w14:solidFill>
                    <w14:srgbClr w14:val="000000">
                      <w14:alpha w14:val="100000"/>
                    </w14:srgbClr>
                  </w14:solidFill>
                </w14:textFill>
              </w:rPr>
              <w:t>|||</w:t>
            </w:r>
            <w:r w:rsidR="00471EB9" w:rsidRPr="00471EB9">
              <w:rPr>
                <w:color w:val="000000"/>
                <w:spacing w:val="3"/>
                <w:shd w:val="solid" w:color="000000" w:fill="000000"/>
                <w:fitText w:val="320" w:id="-694408176"/>
                <w14:textFill>
                  <w14:solidFill>
                    <w14:srgbClr w14:val="000000">
                      <w14:alpha w14:val="100000"/>
                    </w14:srgbClr>
                  </w14:solidFill>
                </w14:textFill>
              </w:rPr>
              <w:t>|</w:t>
            </w:r>
          </w:p>
        </w:tc>
      </w:tr>
      <w:tr w:rsidR="00361F64" w:rsidRPr="00873941" w14:paraId="4E2ED6E9" w14:textId="77777777" w:rsidTr="00361F64">
        <w:trPr>
          <w:cantSplit/>
          <w:jc w:val="center"/>
        </w:trPr>
        <w:tc>
          <w:tcPr>
            <w:tcW w:w="1402" w:type="pct"/>
            <w:tcBorders>
              <w:top w:val="single" w:sz="4" w:space="0" w:color="auto"/>
              <w:left w:val="single" w:sz="4" w:space="0" w:color="auto"/>
              <w:bottom w:val="single" w:sz="4" w:space="0" w:color="auto"/>
              <w:right w:val="single" w:sz="4" w:space="0" w:color="auto"/>
            </w:tcBorders>
            <w:vAlign w:val="center"/>
            <w:hideMark/>
          </w:tcPr>
          <w:p w14:paraId="12A777F3" w14:textId="77777777" w:rsidR="00361F64" w:rsidRPr="00873941" w:rsidRDefault="00361F64">
            <w:pPr>
              <w:pStyle w:val="TableText0"/>
            </w:pPr>
            <w:r w:rsidRPr="00873941">
              <w:t>Cost/patient/course</w:t>
            </w:r>
          </w:p>
        </w:tc>
        <w:tc>
          <w:tcPr>
            <w:tcW w:w="1199" w:type="pct"/>
            <w:tcBorders>
              <w:top w:val="single" w:sz="4" w:space="0" w:color="auto"/>
              <w:left w:val="single" w:sz="4" w:space="0" w:color="auto"/>
              <w:bottom w:val="single" w:sz="4" w:space="0" w:color="auto"/>
              <w:right w:val="single" w:sz="4" w:space="0" w:color="auto"/>
            </w:tcBorders>
            <w:vAlign w:val="center"/>
            <w:hideMark/>
          </w:tcPr>
          <w:p w14:paraId="3DB1675D" w14:textId="2C864C56" w:rsidR="00361F64" w:rsidRPr="00873941" w:rsidRDefault="00361F64">
            <w:pPr>
              <w:pStyle w:val="TableText0"/>
            </w:pPr>
            <w:r w:rsidRPr="00873941">
              <w:t>$</w:t>
            </w:r>
            <w:r w:rsidR="00471EB9" w:rsidRPr="00471EB9">
              <w:rPr>
                <w:color w:val="000000"/>
                <w:spacing w:val="53"/>
                <w:shd w:val="solid" w:color="000000" w:fill="000000"/>
                <w:fitText w:val="330" w:id="-694408192"/>
                <w14:textFill>
                  <w14:solidFill>
                    <w14:srgbClr w14:val="000000">
                      <w14:alpha w14:val="100000"/>
                    </w14:srgbClr>
                  </w14:solidFill>
                </w14:textFill>
              </w:rPr>
              <w:t>|||</w:t>
            </w:r>
            <w:r w:rsidR="00471EB9" w:rsidRPr="00471EB9">
              <w:rPr>
                <w:color w:val="000000"/>
                <w:spacing w:val="1"/>
                <w:shd w:val="solid" w:color="000000" w:fill="000000"/>
                <w:fitText w:val="330" w:id="-694408192"/>
                <w14:textFill>
                  <w14:solidFill>
                    <w14:srgbClr w14:val="000000">
                      <w14:alpha w14:val="100000"/>
                    </w14:srgbClr>
                  </w14:solidFill>
                </w14:textFill>
              </w:rPr>
              <w:t>|</w:t>
            </w:r>
          </w:p>
        </w:tc>
        <w:tc>
          <w:tcPr>
            <w:tcW w:w="1198" w:type="pct"/>
            <w:tcBorders>
              <w:top w:val="single" w:sz="4" w:space="0" w:color="auto"/>
              <w:left w:val="single" w:sz="4" w:space="0" w:color="auto"/>
              <w:bottom w:val="single" w:sz="4" w:space="0" w:color="auto"/>
              <w:right w:val="single" w:sz="4" w:space="0" w:color="auto"/>
            </w:tcBorders>
            <w:vAlign w:val="center"/>
            <w:hideMark/>
          </w:tcPr>
          <w:p w14:paraId="59D73C91" w14:textId="3A13B9B6" w:rsidR="00361F64" w:rsidRPr="00873941" w:rsidRDefault="00361F64">
            <w:pPr>
              <w:pStyle w:val="TableText0"/>
            </w:pPr>
            <w:r w:rsidRPr="00873941">
              <w:t>$</w:t>
            </w:r>
            <w:r w:rsidR="00471EB9" w:rsidRPr="00471EB9">
              <w:rPr>
                <w:color w:val="000000"/>
                <w:spacing w:val="53"/>
                <w:shd w:val="solid" w:color="000000" w:fill="000000"/>
                <w:fitText w:val="330" w:id="-694408191"/>
                <w14:textFill>
                  <w14:solidFill>
                    <w14:srgbClr w14:val="000000">
                      <w14:alpha w14:val="100000"/>
                    </w14:srgbClr>
                  </w14:solidFill>
                </w14:textFill>
              </w:rPr>
              <w:t>|||</w:t>
            </w:r>
            <w:r w:rsidR="00471EB9" w:rsidRPr="00471EB9">
              <w:rPr>
                <w:color w:val="000000"/>
                <w:spacing w:val="1"/>
                <w:shd w:val="solid" w:color="000000" w:fill="000000"/>
                <w:fitText w:val="330" w:id="-694408191"/>
                <w14:textFill>
                  <w14:solidFill>
                    <w14:srgbClr w14:val="000000">
                      <w14:alpha w14:val="100000"/>
                    </w14:srgbClr>
                  </w14:solidFill>
                </w14:textFill>
              </w:rPr>
              <w:t>|</w:t>
            </w:r>
            <w:r w:rsidRPr="00873941">
              <w:rPr>
                <w:vertAlign w:val="superscript"/>
              </w:rPr>
              <w:t>b</w:t>
            </w:r>
          </w:p>
        </w:tc>
        <w:tc>
          <w:tcPr>
            <w:tcW w:w="1201" w:type="pct"/>
            <w:tcBorders>
              <w:top w:val="single" w:sz="4" w:space="0" w:color="auto"/>
              <w:left w:val="single" w:sz="4" w:space="0" w:color="auto"/>
              <w:bottom w:val="single" w:sz="4" w:space="0" w:color="auto"/>
              <w:right w:val="single" w:sz="4" w:space="0" w:color="auto"/>
            </w:tcBorders>
            <w:vAlign w:val="center"/>
            <w:hideMark/>
          </w:tcPr>
          <w:p w14:paraId="313B6217" w14:textId="1C9FEE13" w:rsidR="00361F64" w:rsidRPr="00873941" w:rsidRDefault="00361F64">
            <w:pPr>
              <w:pStyle w:val="TableText0"/>
            </w:pPr>
            <w:r w:rsidRPr="00873941">
              <w:t>$</w:t>
            </w:r>
            <w:r w:rsidR="00471EB9" w:rsidRPr="00471EB9">
              <w:rPr>
                <w:color w:val="000000"/>
                <w:spacing w:val="53"/>
                <w:shd w:val="solid" w:color="000000" w:fill="000000"/>
                <w:fitText w:val="330" w:id="-694407936"/>
                <w14:textFill>
                  <w14:solidFill>
                    <w14:srgbClr w14:val="000000">
                      <w14:alpha w14:val="100000"/>
                    </w14:srgbClr>
                  </w14:solidFill>
                </w14:textFill>
              </w:rPr>
              <w:t>|||</w:t>
            </w:r>
            <w:r w:rsidR="00471EB9" w:rsidRPr="00471EB9">
              <w:rPr>
                <w:color w:val="000000"/>
                <w:spacing w:val="1"/>
                <w:shd w:val="solid" w:color="000000" w:fill="000000"/>
                <w:fitText w:val="330" w:id="-694407936"/>
                <w14:textFill>
                  <w14:solidFill>
                    <w14:srgbClr w14:val="000000">
                      <w14:alpha w14:val="100000"/>
                    </w14:srgbClr>
                  </w14:solidFill>
                </w14:textFill>
              </w:rPr>
              <w:t>|</w:t>
            </w:r>
            <w:r w:rsidR="00414BCC" w:rsidRPr="00873941">
              <w:rPr>
                <w:vertAlign w:val="superscript"/>
              </w:rPr>
              <w:t>c</w:t>
            </w:r>
          </w:p>
        </w:tc>
      </w:tr>
    </w:tbl>
    <w:p w14:paraId="75F77837" w14:textId="77777777" w:rsidR="00361F64" w:rsidRPr="00873941" w:rsidRDefault="00361F64" w:rsidP="00361F64">
      <w:pPr>
        <w:pStyle w:val="FooterTableFigure"/>
      </w:pPr>
      <w:r w:rsidRPr="00873941">
        <w:t>Source: Table 3-15, p176 of the resubmission.</w:t>
      </w:r>
    </w:p>
    <w:p w14:paraId="31CBD270" w14:textId="77777777" w:rsidR="00361F64" w:rsidRPr="00873941" w:rsidRDefault="00361F64" w:rsidP="00361F64">
      <w:pPr>
        <w:pStyle w:val="FooterTableFigure"/>
      </w:pPr>
      <w:r w:rsidRPr="00873941">
        <w:t>mg= milligram; yr = year.</w:t>
      </w:r>
    </w:p>
    <w:p w14:paraId="7354E149" w14:textId="49B4730C" w:rsidR="00361F64" w:rsidRPr="00873941" w:rsidRDefault="00361F64" w:rsidP="00361F64">
      <w:pPr>
        <w:pStyle w:val="FooterTableFigure"/>
      </w:pPr>
      <w:r w:rsidRPr="00873941">
        <w:rPr>
          <w:vertAlign w:val="superscript"/>
        </w:rPr>
        <w:t>a</w:t>
      </w:r>
      <w:r w:rsidRPr="00873941">
        <w:t xml:space="preserve"> Based on proposed effective AEMP of $</w:t>
      </w:r>
      <w:r w:rsidR="00471EB9" w:rsidRPr="00471EB9">
        <w:rPr>
          <w:color w:val="000000"/>
          <w:spacing w:val="40"/>
          <w:shd w:val="solid" w:color="000000" w:fill="000000"/>
          <w:fitText w:val="280" w:id="-694407935"/>
          <w14:textFill>
            <w14:solidFill>
              <w14:srgbClr w14:val="000000">
                <w14:alpha w14:val="100000"/>
              </w14:srgbClr>
            </w14:solidFill>
          </w14:textFill>
        </w:rPr>
        <w:t xml:space="preserve">|  </w:t>
      </w:r>
      <w:r w:rsidR="00471EB9" w:rsidRPr="00471EB9">
        <w:rPr>
          <w:color w:val="000000"/>
          <w:spacing w:val="2"/>
          <w:shd w:val="solid" w:color="000000" w:fill="000000"/>
          <w:fitText w:val="280" w:id="-694407935"/>
          <w14:textFill>
            <w14:solidFill>
              <w14:srgbClr w14:val="000000">
                <w14:alpha w14:val="100000"/>
              </w14:srgbClr>
            </w14:solidFill>
          </w14:textFill>
        </w:rPr>
        <w:t>|</w:t>
      </w:r>
      <w:r w:rsidRPr="00873941">
        <w:t xml:space="preserve"> for on</w:t>
      </w:r>
      <w:r w:rsidR="00CD104E">
        <w:t>e</w:t>
      </w:r>
      <w:r w:rsidRPr="00873941">
        <w:t xml:space="preserve"> 420 mg vial and public/private hospital utilisation of 18.59%:81.41%</w:t>
      </w:r>
    </w:p>
    <w:p w14:paraId="1A539C1E" w14:textId="3A3A42A7" w:rsidR="00361F64" w:rsidRPr="00873941" w:rsidRDefault="00361F64" w:rsidP="00361F64">
      <w:pPr>
        <w:pStyle w:val="FooterTableFigure"/>
      </w:pPr>
      <w:r w:rsidRPr="00873941">
        <w:rPr>
          <w:vertAlign w:val="superscript"/>
        </w:rPr>
        <w:t>b</w:t>
      </w:r>
      <w:r w:rsidRPr="00873941">
        <w:t xml:space="preserve"> Modelled estimate did not round to 4.45 cycles. Verifying using a calculator produced an estimate of $</w:t>
      </w:r>
      <w:r w:rsidR="00471EB9" w:rsidRPr="00471EB9">
        <w:rPr>
          <w:color w:val="000000"/>
          <w:spacing w:val="40"/>
          <w:shd w:val="solid" w:color="000000" w:fill="000000"/>
          <w:fitText w:val="280" w:id="-694407934"/>
          <w14:textFill>
            <w14:solidFill>
              <w14:srgbClr w14:val="000000">
                <w14:alpha w14:val="100000"/>
              </w14:srgbClr>
            </w14:solidFill>
          </w14:textFill>
        </w:rPr>
        <w:t xml:space="preserve">|  </w:t>
      </w:r>
      <w:r w:rsidR="00471EB9" w:rsidRPr="00471EB9">
        <w:rPr>
          <w:color w:val="000000"/>
          <w:spacing w:val="2"/>
          <w:shd w:val="solid" w:color="000000" w:fill="000000"/>
          <w:fitText w:val="280" w:id="-694407934"/>
          <w14:textFill>
            <w14:solidFill>
              <w14:srgbClr w14:val="000000">
                <w14:alpha w14:val="100000"/>
              </w14:srgbClr>
            </w14:solidFill>
          </w14:textFill>
        </w:rPr>
        <w:t>|</w:t>
      </w:r>
      <w:r w:rsidRPr="00873941">
        <w:t xml:space="preserve">. </w:t>
      </w:r>
    </w:p>
    <w:p w14:paraId="7B3B7E3A" w14:textId="27181DED" w:rsidR="00414BCC" w:rsidRPr="00873941" w:rsidRDefault="00414BCC" w:rsidP="00361F64">
      <w:pPr>
        <w:pStyle w:val="FooterTableFigure"/>
      </w:pPr>
      <w:r w:rsidRPr="00873941">
        <w:rPr>
          <w:vertAlign w:val="superscript"/>
        </w:rPr>
        <w:t>c</w:t>
      </w:r>
      <w:r w:rsidRPr="00873941">
        <w:t xml:space="preserve"> revising the Cycle 1 calculation to be (2*AEMP for one 420 mg vial) + EFC markups for public and private hospitals changed the cost of Cycle 1 to $</w:t>
      </w:r>
      <w:r w:rsidR="00471EB9" w:rsidRPr="00471EB9">
        <w:rPr>
          <w:color w:val="000000"/>
          <w:spacing w:val="37"/>
          <w:shd w:val="solid" w:color="000000" w:fill="000000"/>
          <w:fitText w:val="270" w:id="-694407933"/>
          <w14:textFill>
            <w14:solidFill>
              <w14:srgbClr w14:val="000000">
                <w14:alpha w14:val="100000"/>
              </w14:srgbClr>
            </w14:solidFill>
          </w14:textFill>
        </w:rPr>
        <w:t xml:space="preserve">|  </w:t>
      </w:r>
      <w:r w:rsidR="00471EB9" w:rsidRPr="00471EB9">
        <w:rPr>
          <w:color w:val="000000"/>
          <w:spacing w:val="1"/>
          <w:shd w:val="solid" w:color="000000" w:fill="000000"/>
          <w:fitText w:val="270" w:id="-694407933"/>
          <w14:textFill>
            <w14:solidFill>
              <w14:srgbClr w14:val="000000">
                <w14:alpha w14:val="100000"/>
              </w14:srgbClr>
            </w14:solidFill>
          </w14:textFill>
        </w:rPr>
        <w:t>|</w:t>
      </w:r>
      <w:r w:rsidRPr="00873941">
        <w:t xml:space="preserve"> and the cost/patient/course to $</w:t>
      </w:r>
      <w:r w:rsidR="00471EB9" w:rsidRPr="005F7B87">
        <w:rPr>
          <w:color w:val="000000"/>
          <w:spacing w:val="40"/>
          <w:shd w:val="solid" w:color="000000" w:fill="000000"/>
          <w:fitText w:val="280" w:id="-694407932"/>
          <w14:textFill>
            <w14:solidFill>
              <w14:srgbClr w14:val="000000">
                <w14:alpha w14:val="100000"/>
              </w14:srgbClr>
            </w14:solidFill>
          </w14:textFill>
        </w:rPr>
        <w:t xml:space="preserve">|  </w:t>
      </w:r>
      <w:r w:rsidR="00471EB9" w:rsidRPr="005F7B87">
        <w:rPr>
          <w:color w:val="000000"/>
          <w:spacing w:val="2"/>
          <w:shd w:val="solid" w:color="000000" w:fill="000000"/>
          <w:fitText w:val="280" w:id="-694407932"/>
          <w14:textFill>
            <w14:solidFill>
              <w14:srgbClr w14:val="000000">
                <w14:alpha w14:val="100000"/>
              </w14:srgbClr>
            </w14:solidFill>
          </w14:textFill>
        </w:rPr>
        <w:t>|</w:t>
      </w:r>
      <w:r w:rsidRPr="00873941">
        <w:t>, consistent with the economic model.</w:t>
      </w:r>
    </w:p>
    <w:p w14:paraId="1498E246" w14:textId="5E84792D" w:rsidR="00361F64" w:rsidRPr="00873941" w:rsidRDefault="00361F64" w:rsidP="00361F64">
      <w:pPr>
        <w:pStyle w:val="3-BodyText"/>
      </w:pPr>
      <w:r w:rsidRPr="00873941">
        <w:t xml:space="preserve">The cost (DPMA) in the first cycle </w:t>
      </w:r>
      <w:r w:rsidR="008474F2">
        <w:t>was calculated</w:t>
      </w:r>
      <w:r w:rsidR="00453F3B">
        <w:t xml:space="preserve"> correctly in the </w:t>
      </w:r>
      <w:r w:rsidR="008977FC">
        <w:t>economic model but</w:t>
      </w:r>
      <w:r w:rsidR="008474F2">
        <w:t xml:space="preserve"> incorrectly in the financial estimates in the submission</w:t>
      </w:r>
      <w:r w:rsidR="008977FC">
        <w:t>. This</w:t>
      </w:r>
      <w:r w:rsidR="008474F2">
        <w:t xml:space="preserve"> was corrected during the evaluation as in </w:t>
      </w:r>
      <w:r w:rsidR="008474F2" w:rsidRPr="00873941">
        <w:fldChar w:fldCharType="begin"/>
      </w:r>
      <w:r w:rsidR="008474F2" w:rsidRPr="00873941">
        <w:instrText xml:space="preserve"> REF _Ref183186744 \h  \* MERGEFORMAT </w:instrText>
      </w:r>
      <w:r w:rsidR="008474F2" w:rsidRPr="00873941">
        <w:fldChar w:fldCharType="separate"/>
      </w:r>
      <w:r w:rsidR="000B094B" w:rsidRPr="00873941">
        <w:t xml:space="preserve">Table </w:t>
      </w:r>
      <w:r w:rsidR="000B094B">
        <w:t>21</w:t>
      </w:r>
      <w:r w:rsidR="008474F2" w:rsidRPr="00873941">
        <w:fldChar w:fldCharType="end"/>
      </w:r>
      <w:r w:rsidR="008474F2" w:rsidRPr="00873941">
        <w:t>.</w:t>
      </w:r>
      <w:r w:rsidR="008474F2" w:rsidRPr="00873941">
        <w:rPr>
          <w:i/>
          <w:iCs/>
        </w:rPr>
        <w:t xml:space="preserve"> </w:t>
      </w:r>
      <w:r w:rsidRPr="00873941">
        <w:t>The cost of subsequent cycles was calculated consistently</w:t>
      </w:r>
      <w:r w:rsidR="00414BCC" w:rsidRPr="00873941">
        <w:t xml:space="preserve"> in the economic model and financial estimates</w:t>
      </w:r>
      <w:r w:rsidRPr="00873941">
        <w:t xml:space="preserve"> as AEMP+EFC markups.</w:t>
      </w:r>
    </w:p>
    <w:p w14:paraId="482D53D2" w14:textId="2030BF6E" w:rsidR="00361F64" w:rsidRPr="00A0454D" w:rsidRDefault="00361F64" w:rsidP="00846722">
      <w:pPr>
        <w:pStyle w:val="3-BodyText"/>
        <w:spacing w:after="240"/>
      </w:pPr>
      <w:bookmarkStart w:id="103" w:name="_Ref190263767"/>
      <w:r w:rsidRPr="00873941">
        <w:t xml:space="preserve">The cost/patient/course based on the NEOSPHERE trial was lower than the cost estimated in the economic model and financial estimates. The NEOSPHERE trial had a mean duration of 3.9 cycles, whereas the economic model and financial estimates applied a mean duration of 4.45 cycles based on the I-SPY2 trial and 5 observational </w:t>
      </w:r>
      <w:r w:rsidRPr="00873941">
        <w:lastRenderedPageBreak/>
        <w:t xml:space="preserve">studies where </w:t>
      </w:r>
      <w:proofErr w:type="spellStart"/>
      <w:r w:rsidRPr="00873941">
        <w:t>P+T+Chemo</w:t>
      </w:r>
      <w:proofErr w:type="spellEnd"/>
      <w:r w:rsidRPr="00873941">
        <w:t xml:space="preserve"> included anthracyclines and the number of neoadjuvant cycles was reported (Acevedo 2023, Bilici 2023, Canino 2024, Hung 2022, and Vieira 2023 from </w:t>
      </w:r>
      <w:r w:rsidRPr="00873941">
        <w:fldChar w:fldCharType="begin"/>
      </w:r>
      <w:r w:rsidRPr="00873941">
        <w:instrText xml:space="preserve"> REF _Ref184766834 \h </w:instrText>
      </w:r>
      <w:r w:rsidRPr="00873941">
        <w:fldChar w:fldCharType="separate"/>
      </w:r>
      <w:r w:rsidR="000B094B" w:rsidRPr="00873941">
        <w:t xml:space="preserve">Table </w:t>
      </w:r>
      <w:r w:rsidR="000B094B">
        <w:rPr>
          <w:noProof/>
        </w:rPr>
        <w:t>4</w:t>
      </w:r>
      <w:r w:rsidRPr="00873941">
        <w:fldChar w:fldCharType="end"/>
      </w:r>
      <w:r w:rsidRPr="00873941">
        <w:t>).</w:t>
      </w:r>
      <w:r w:rsidR="009C2999" w:rsidRPr="00873941">
        <w:t xml:space="preserve"> </w:t>
      </w:r>
      <w:r w:rsidR="002878EC" w:rsidRPr="00A0454D">
        <w:t xml:space="preserve">The ESC noted that DUSC previously </w:t>
      </w:r>
      <w:r w:rsidR="00AF50ED" w:rsidRPr="00A0454D">
        <w:t xml:space="preserve">considered the estimate of 4 cycles per patient was an overestimate and considered 3.7 would be a reasonable estimate (based on the </w:t>
      </w:r>
      <w:r w:rsidR="00B91403" w:rsidRPr="00A0454D">
        <w:t xml:space="preserve">duration of treatment in the </w:t>
      </w:r>
      <w:r w:rsidR="004B2849" w:rsidRPr="00A0454D">
        <w:t>NEOSPHERE trial)</w:t>
      </w:r>
      <w:r w:rsidR="00AF50ED" w:rsidRPr="00A0454D">
        <w:t>.</w:t>
      </w:r>
      <w:r w:rsidR="004B2849" w:rsidRPr="00A0454D">
        <w:t xml:space="preserve"> However the ESC noted that this did not reflect</w:t>
      </w:r>
      <w:r w:rsidR="00B54093" w:rsidRPr="00A0454D">
        <w:t xml:space="preserve"> </w:t>
      </w:r>
      <w:r w:rsidR="00C009B8" w:rsidRPr="00A0454D">
        <w:t>recommendations for neoadjuvant pertuzumab in</w:t>
      </w:r>
      <w:r w:rsidR="004B2849" w:rsidRPr="00A0454D">
        <w:t xml:space="preserve"> the </w:t>
      </w:r>
      <w:r w:rsidR="00776364" w:rsidRPr="00A0454D">
        <w:t xml:space="preserve">Australian PI </w:t>
      </w:r>
      <w:r w:rsidR="00B54093" w:rsidRPr="00A0454D">
        <w:t xml:space="preserve">(6 cycles) </w:t>
      </w:r>
      <w:r w:rsidR="00776364" w:rsidRPr="00A0454D">
        <w:t xml:space="preserve">or current </w:t>
      </w:r>
      <w:r w:rsidR="00C009B8" w:rsidRPr="00A0454D">
        <w:t xml:space="preserve">ESMO </w:t>
      </w:r>
      <w:r w:rsidR="00776364" w:rsidRPr="00A0454D">
        <w:t>guidelines</w:t>
      </w:r>
      <w:r w:rsidR="00B54093" w:rsidRPr="00A0454D">
        <w:t xml:space="preserve"> (</w:t>
      </w:r>
      <w:r w:rsidR="00776364" w:rsidRPr="00A0454D">
        <w:t>6-8 cycles</w:t>
      </w:r>
      <w:r w:rsidR="00B54093" w:rsidRPr="00A0454D">
        <w:t>)</w:t>
      </w:r>
      <w:r w:rsidR="00C009B8" w:rsidRPr="00A0454D">
        <w:t xml:space="preserve">. </w:t>
      </w:r>
      <w:r w:rsidR="00A60382" w:rsidRPr="00A0454D">
        <w:rPr>
          <w:color w:val="000000" w:themeColor="text1"/>
        </w:rPr>
        <w:t>The ESC considered information from the existing pertuzumab access program may be informative to verify or revise this input in both the economic model and financial estimates. The sponsor provide</w:t>
      </w:r>
      <w:r w:rsidR="00F06883">
        <w:rPr>
          <w:color w:val="000000" w:themeColor="text1"/>
        </w:rPr>
        <w:t>d</w:t>
      </w:r>
      <w:r w:rsidR="00A60382" w:rsidRPr="00A0454D">
        <w:rPr>
          <w:color w:val="000000" w:themeColor="text1"/>
        </w:rPr>
        <w:t xml:space="preserve"> information regarding the duration of neoadjuvant pertuzumab </w:t>
      </w:r>
      <w:r w:rsidR="000B1C80" w:rsidRPr="00A0454D">
        <w:rPr>
          <w:color w:val="000000" w:themeColor="text1"/>
        </w:rPr>
        <w:t xml:space="preserve">treatment and the duration of adjuvant pertuzumab </w:t>
      </w:r>
      <w:r w:rsidR="00A60382" w:rsidRPr="00A0454D">
        <w:rPr>
          <w:color w:val="000000" w:themeColor="text1"/>
        </w:rPr>
        <w:t>treatment for Australian patients in its pre-PBAC response</w:t>
      </w:r>
      <w:r w:rsidR="00851695">
        <w:rPr>
          <w:color w:val="000000" w:themeColor="text1"/>
        </w:rPr>
        <w:t xml:space="preserve">, which indicated that on average patients were treated for </w:t>
      </w:r>
      <w:r w:rsidR="00471EB9" w:rsidRPr="00471EB9">
        <w:rPr>
          <w:color w:val="000000" w:themeColor="text1"/>
          <w:w w:val="60"/>
          <w:shd w:val="solid" w:color="000000" w:fill="000000"/>
          <w:fitText w:val="470" w:id="-694407931"/>
          <w14:textFill>
            <w14:solidFill>
              <w14:schemeClr w14:val="tx1">
                <w14:alpha w14:val="100000"/>
              </w14:schemeClr>
            </w14:solidFill>
          </w14:textFill>
        </w:rPr>
        <w:t>|||  ||</w:t>
      </w:r>
      <w:r w:rsidR="00471EB9" w:rsidRPr="00471EB9">
        <w:rPr>
          <w:color w:val="000000" w:themeColor="text1"/>
          <w:spacing w:val="6"/>
          <w:w w:val="60"/>
          <w:shd w:val="solid" w:color="000000" w:fill="000000"/>
          <w:fitText w:val="470" w:id="-694407931"/>
          <w14:textFill>
            <w14:solidFill>
              <w14:schemeClr w14:val="tx1">
                <w14:alpha w14:val="100000"/>
              </w14:schemeClr>
            </w14:solidFill>
          </w14:textFill>
        </w:rPr>
        <w:t>|</w:t>
      </w:r>
      <w:r w:rsidR="00851695">
        <w:rPr>
          <w:color w:val="000000" w:themeColor="text1"/>
        </w:rPr>
        <w:t xml:space="preserve"> cycles of neoadjuvant pertuzumab</w:t>
      </w:r>
      <w:r w:rsidR="0060736A">
        <w:rPr>
          <w:color w:val="000000" w:themeColor="text1"/>
        </w:rPr>
        <w:t xml:space="preserve"> (see also paragraph </w:t>
      </w:r>
      <w:r w:rsidR="0060736A">
        <w:rPr>
          <w:color w:val="000000" w:themeColor="text1"/>
        </w:rPr>
        <w:fldChar w:fldCharType="begin"/>
      </w:r>
      <w:r w:rsidR="0060736A">
        <w:rPr>
          <w:color w:val="000000" w:themeColor="text1"/>
        </w:rPr>
        <w:instrText xml:space="preserve"> REF _Ref193798466 \r \h </w:instrText>
      </w:r>
      <w:r w:rsidR="0060736A">
        <w:rPr>
          <w:color w:val="000000" w:themeColor="text1"/>
        </w:rPr>
      </w:r>
      <w:r w:rsidR="0060736A">
        <w:rPr>
          <w:color w:val="000000" w:themeColor="text1"/>
        </w:rPr>
        <w:fldChar w:fldCharType="separate"/>
      </w:r>
      <w:r w:rsidR="000B094B">
        <w:rPr>
          <w:color w:val="000000" w:themeColor="text1"/>
        </w:rPr>
        <w:t>6.92</w:t>
      </w:r>
      <w:r w:rsidR="0060736A">
        <w:rPr>
          <w:color w:val="000000" w:themeColor="text1"/>
        </w:rPr>
        <w:fldChar w:fldCharType="end"/>
      </w:r>
      <w:r w:rsidR="0060736A">
        <w:rPr>
          <w:color w:val="000000" w:themeColor="text1"/>
        </w:rPr>
        <w:t>)</w:t>
      </w:r>
      <w:r w:rsidR="00A60382" w:rsidRPr="00A0454D">
        <w:rPr>
          <w:color w:val="000000" w:themeColor="text1"/>
        </w:rPr>
        <w:t>.</w:t>
      </w:r>
      <w:r w:rsidR="00776364" w:rsidRPr="00A0454D">
        <w:t xml:space="preserve"> </w:t>
      </w:r>
      <w:bookmarkEnd w:id="103"/>
    </w:p>
    <w:p w14:paraId="6C3B93A4" w14:textId="77777777" w:rsidR="00A55AF1" w:rsidRPr="00873941" w:rsidRDefault="00A55AF1" w:rsidP="00A55AF1">
      <w:pPr>
        <w:pStyle w:val="4-SubsectionHeading"/>
        <w:rPr>
          <w:lang w:eastAsia="en-AU"/>
        </w:rPr>
      </w:pPr>
      <w:bookmarkStart w:id="104" w:name="_Toc22897647"/>
      <w:bookmarkStart w:id="105" w:name="_Toc188444280"/>
      <w:bookmarkEnd w:id="69"/>
      <w:r w:rsidRPr="00873941">
        <w:rPr>
          <w:lang w:eastAsia="en-AU"/>
        </w:rPr>
        <w:t>Estimated PBS usage &amp; financial implications</w:t>
      </w:r>
      <w:bookmarkEnd w:id="104"/>
      <w:bookmarkEnd w:id="105"/>
    </w:p>
    <w:p w14:paraId="266868D3" w14:textId="2A57A27A" w:rsidR="007D0CF5" w:rsidRPr="00873941" w:rsidRDefault="007D0CF5" w:rsidP="007D0CF5">
      <w:pPr>
        <w:pStyle w:val="3-BodyText"/>
        <w:rPr>
          <w:color w:val="0066FF"/>
        </w:rPr>
      </w:pPr>
      <w:bookmarkStart w:id="106" w:name="_Toc22897650"/>
      <w:r w:rsidRPr="00873941">
        <w:t>This submission w</w:t>
      </w:r>
      <w:r w:rsidR="00825E3E" w:rsidRPr="00873941">
        <w:t>as</w:t>
      </w:r>
      <w:r w:rsidRPr="00873941">
        <w:t xml:space="preserve"> not considered by DUSC. The resubmission took an epidemiological approach to estimate the number of patients treated with neoadjuvant pertuzumab. </w:t>
      </w:r>
      <w:r w:rsidR="00D90948" w:rsidRPr="00873941">
        <w:t xml:space="preserve">The resubmission claimed that it did not differ greatly from the March 2020 submission in that trastuzumab is used to estimate the eligible patient population given pertuzumab will be used as an “add-on” treatment to trastuzumab. </w:t>
      </w:r>
      <w:r w:rsidRPr="00873941">
        <w:t>This was reasonable. However, the approach was different to the March 2020 submission that used a modified market share approach based on trastuzumab PBS script substitution.</w:t>
      </w:r>
      <w:r w:rsidR="000812BD" w:rsidRPr="00873941">
        <w:rPr>
          <w:i/>
          <w:iCs/>
        </w:rPr>
        <w:t xml:space="preserve"> </w:t>
      </w:r>
      <w:r w:rsidRPr="00873941">
        <w:t>The DUSC considered the approach taken in the March 2020 submission to be reasonable (para. 6.59, pertuzumab PSD, March 2020 PBAC meeting).</w:t>
      </w:r>
    </w:p>
    <w:p w14:paraId="0E8A3927" w14:textId="7F00E3E1" w:rsidR="007D0CF5" w:rsidRPr="00873941" w:rsidRDefault="007D0CF5" w:rsidP="007D0CF5">
      <w:pPr>
        <w:pStyle w:val="3-BodyText"/>
      </w:pPr>
      <w:r w:rsidRPr="00873941">
        <w:t>The resubmission performed the following steps to estimate the total number of pertuzumab vials per year:</w:t>
      </w:r>
    </w:p>
    <w:p w14:paraId="67BF401E" w14:textId="783DDE25" w:rsidR="007D0CF5" w:rsidRPr="00873941" w:rsidRDefault="007D0CF5" w:rsidP="00C37360">
      <w:pPr>
        <w:pStyle w:val="3-BodyText"/>
        <w:numPr>
          <w:ilvl w:val="0"/>
          <w:numId w:val="9"/>
        </w:numPr>
      </w:pPr>
      <w:r w:rsidRPr="00873941">
        <w:t>Estimated the number of patients potentially eligible for pertuzumab</w:t>
      </w:r>
      <w:r w:rsidR="00C70442" w:rsidRPr="00873941">
        <w:t xml:space="preserve"> based on PBS 10% data</w:t>
      </w:r>
      <w:r w:rsidRPr="00873941">
        <w:t>.</w:t>
      </w:r>
    </w:p>
    <w:p w14:paraId="2F0BAC85" w14:textId="77777777" w:rsidR="007D0CF5" w:rsidRPr="00873941" w:rsidRDefault="007D0CF5" w:rsidP="00C37360">
      <w:pPr>
        <w:pStyle w:val="3-BodyText"/>
        <w:numPr>
          <w:ilvl w:val="0"/>
          <w:numId w:val="9"/>
        </w:numPr>
      </w:pPr>
      <w:r w:rsidRPr="00873941">
        <w:t>Estimated the proportion of patients receiving neoadjuvant treatment.</w:t>
      </w:r>
    </w:p>
    <w:p w14:paraId="6DE63A30" w14:textId="77777777" w:rsidR="007D0CF5" w:rsidRPr="00873941" w:rsidRDefault="007D0CF5" w:rsidP="00C37360">
      <w:pPr>
        <w:pStyle w:val="3-BodyText"/>
        <w:numPr>
          <w:ilvl w:val="0"/>
          <w:numId w:val="9"/>
        </w:numPr>
      </w:pPr>
      <w:r w:rsidRPr="00873941">
        <w:t>Estimated the rates of uptake of pertuzumab.</w:t>
      </w:r>
    </w:p>
    <w:p w14:paraId="34533568" w14:textId="77777777" w:rsidR="007D0CF5" w:rsidRPr="00873941" w:rsidRDefault="007D0CF5" w:rsidP="00C37360">
      <w:pPr>
        <w:pStyle w:val="3-BodyText"/>
        <w:numPr>
          <w:ilvl w:val="0"/>
          <w:numId w:val="9"/>
        </w:numPr>
      </w:pPr>
      <w:r w:rsidRPr="00873941">
        <w:t>Estimated the number of vials of pertuzumab per patient per year.</w:t>
      </w:r>
    </w:p>
    <w:p w14:paraId="773494E5" w14:textId="5F2B8FB7" w:rsidR="007D0CF5" w:rsidRPr="00873941" w:rsidRDefault="007D0CF5" w:rsidP="002839AC">
      <w:pPr>
        <w:pStyle w:val="3-BodyText"/>
        <w:spacing w:after="120"/>
      </w:pPr>
      <w:r w:rsidRPr="00873941">
        <w:fldChar w:fldCharType="begin"/>
      </w:r>
      <w:r w:rsidRPr="00873941">
        <w:instrText xml:space="preserve"> REF _Ref183185471 \h </w:instrText>
      </w:r>
      <w:r w:rsidRPr="00873941">
        <w:fldChar w:fldCharType="separate"/>
      </w:r>
      <w:r w:rsidR="000B094B" w:rsidRPr="00873941">
        <w:t xml:space="preserve">Table </w:t>
      </w:r>
      <w:r w:rsidR="000B094B">
        <w:rPr>
          <w:noProof/>
        </w:rPr>
        <w:t>20</w:t>
      </w:r>
      <w:r w:rsidRPr="00873941">
        <w:fldChar w:fldCharType="end"/>
      </w:r>
      <w:r w:rsidRPr="00873941">
        <w:t xml:space="preserve"> presents the key inputs relied on in the financial estimates.</w:t>
      </w:r>
    </w:p>
    <w:p w14:paraId="37410549" w14:textId="7BF1B9E3" w:rsidR="007D0CF5" w:rsidRPr="00873941" w:rsidRDefault="007D0CF5" w:rsidP="00882297">
      <w:pPr>
        <w:pStyle w:val="Caption"/>
        <w:rPr>
          <w:rStyle w:val="CommentReference"/>
          <w:b/>
          <w:szCs w:val="24"/>
        </w:rPr>
      </w:pPr>
      <w:bookmarkStart w:id="107" w:name="_Ref183185471"/>
      <w:r w:rsidRPr="00873941">
        <w:lastRenderedPageBreak/>
        <w:t xml:space="preserve">Table </w:t>
      </w:r>
      <w:r w:rsidR="003363A5">
        <w:fldChar w:fldCharType="begin"/>
      </w:r>
      <w:r w:rsidR="003363A5">
        <w:instrText xml:space="preserve"> SEQ Table \* ARABIC </w:instrText>
      </w:r>
      <w:r w:rsidR="003363A5">
        <w:fldChar w:fldCharType="separate"/>
      </w:r>
      <w:r w:rsidR="000B094B">
        <w:rPr>
          <w:noProof/>
        </w:rPr>
        <w:t>20</w:t>
      </w:r>
      <w:r w:rsidR="003363A5">
        <w:fldChar w:fldCharType="end"/>
      </w:r>
      <w:bookmarkEnd w:id="107"/>
      <w:r w:rsidRPr="00873941">
        <w:t>:</w:t>
      </w:r>
      <w:r w:rsidRPr="00873941">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0: Key inputs for financial estimates"/>
      </w:tblPr>
      <w:tblGrid>
        <w:gridCol w:w="1413"/>
        <w:gridCol w:w="1416"/>
        <w:gridCol w:w="3120"/>
        <w:gridCol w:w="3068"/>
      </w:tblGrid>
      <w:tr w:rsidR="00DF503A" w:rsidRPr="00873941" w14:paraId="3216BEA0" w14:textId="77777777" w:rsidTr="004B5173">
        <w:trPr>
          <w:tblHeader/>
        </w:trPr>
        <w:tc>
          <w:tcPr>
            <w:tcW w:w="784" w:type="pct"/>
            <w:vAlign w:val="center"/>
          </w:tcPr>
          <w:p w14:paraId="5474912B" w14:textId="77777777" w:rsidR="007D0CF5" w:rsidRPr="00873941" w:rsidRDefault="007D0CF5" w:rsidP="00882297">
            <w:pPr>
              <w:pStyle w:val="In-tableHeading"/>
              <w:rPr>
                <w:lang w:val="en-AU"/>
              </w:rPr>
            </w:pPr>
            <w:r w:rsidRPr="00873941">
              <w:rPr>
                <w:lang w:val="en-AU"/>
              </w:rPr>
              <w:t>Data</w:t>
            </w:r>
          </w:p>
        </w:tc>
        <w:tc>
          <w:tcPr>
            <w:tcW w:w="785" w:type="pct"/>
            <w:vAlign w:val="center"/>
          </w:tcPr>
          <w:p w14:paraId="16F1FBAF" w14:textId="77777777" w:rsidR="007D0CF5" w:rsidRPr="00873941" w:rsidRDefault="007D0CF5" w:rsidP="00882297">
            <w:pPr>
              <w:pStyle w:val="In-tableHeading"/>
              <w:rPr>
                <w:lang w:val="en-AU"/>
              </w:rPr>
            </w:pPr>
            <w:r w:rsidRPr="00873941">
              <w:rPr>
                <w:lang w:val="en-AU"/>
              </w:rPr>
              <w:t>Value</w:t>
            </w:r>
          </w:p>
        </w:tc>
        <w:tc>
          <w:tcPr>
            <w:tcW w:w="1730" w:type="pct"/>
            <w:vAlign w:val="center"/>
          </w:tcPr>
          <w:p w14:paraId="5C5132FA" w14:textId="77777777" w:rsidR="007D0CF5" w:rsidRPr="00873941" w:rsidRDefault="007D0CF5" w:rsidP="00882297">
            <w:pPr>
              <w:pStyle w:val="In-tableHeading"/>
              <w:rPr>
                <w:lang w:val="en-AU"/>
              </w:rPr>
            </w:pPr>
            <w:r w:rsidRPr="00873941">
              <w:rPr>
                <w:lang w:val="en-AU"/>
              </w:rPr>
              <w:t>Source</w:t>
            </w:r>
          </w:p>
        </w:tc>
        <w:tc>
          <w:tcPr>
            <w:tcW w:w="1701" w:type="pct"/>
            <w:vAlign w:val="center"/>
          </w:tcPr>
          <w:p w14:paraId="321D88D2" w14:textId="77777777" w:rsidR="007D0CF5" w:rsidRPr="00873941" w:rsidRDefault="007D0CF5" w:rsidP="00882297">
            <w:pPr>
              <w:pStyle w:val="In-tableHeading"/>
              <w:rPr>
                <w:lang w:val="en-AU"/>
              </w:rPr>
            </w:pPr>
            <w:r w:rsidRPr="00873941">
              <w:rPr>
                <w:lang w:val="en-AU"/>
              </w:rPr>
              <w:t>Comment</w:t>
            </w:r>
          </w:p>
        </w:tc>
      </w:tr>
      <w:tr w:rsidR="007D0CF5" w:rsidRPr="00873941" w14:paraId="4D36DF39" w14:textId="77777777" w:rsidTr="00DF503A">
        <w:tc>
          <w:tcPr>
            <w:tcW w:w="5000" w:type="pct"/>
            <w:gridSpan w:val="4"/>
            <w:vAlign w:val="center"/>
          </w:tcPr>
          <w:p w14:paraId="2D9BCDE7" w14:textId="77777777" w:rsidR="007D0CF5" w:rsidRPr="00873941" w:rsidRDefault="007D0CF5" w:rsidP="00882297">
            <w:pPr>
              <w:pStyle w:val="In-tableHeading"/>
              <w:rPr>
                <w:lang w:val="en-AU"/>
              </w:rPr>
            </w:pPr>
            <w:r w:rsidRPr="00873941">
              <w:rPr>
                <w:lang w:val="en-AU"/>
              </w:rPr>
              <w:t>Eligible population</w:t>
            </w:r>
          </w:p>
        </w:tc>
      </w:tr>
      <w:tr w:rsidR="00DF503A" w:rsidRPr="00873941" w14:paraId="7AF7B4D6" w14:textId="77777777" w:rsidTr="004B5173">
        <w:tc>
          <w:tcPr>
            <w:tcW w:w="784" w:type="pct"/>
            <w:vAlign w:val="center"/>
          </w:tcPr>
          <w:p w14:paraId="4D1E7269" w14:textId="77777777" w:rsidR="007D0CF5" w:rsidRPr="00873941" w:rsidRDefault="007D0CF5" w:rsidP="00882297">
            <w:pPr>
              <w:pStyle w:val="TableText0"/>
            </w:pPr>
            <w:r w:rsidRPr="00873941">
              <w:t>Number patients potentially eligible for pertuzumab</w:t>
            </w:r>
          </w:p>
        </w:tc>
        <w:tc>
          <w:tcPr>
            <w:tcW w:w="785" w:type="pct"/>
            <w:vAlign w:val="center"/>
          </w:tcPr>
          <w:p w14:paraId="241804C8" w14:textId="4E3724E4" w:rsidR="007D0CF5" w:rsidRPr="00873941" w:rsidRDefault="007D0CF5" w:rsidP="00882297">
            <w:pPr>
              <w:pStyle w:val="TableText0"/>
            </w:pPr>
            <w:r w:rsidRPr="00873941">
              <w:t xml:space="preserve">Yr 1: </w:t>
            </w:r>
            <w:r w:rsidR="00471EB9" w:rsidRPr="00471EB9">
              <w:rPr>
                <w:color w:val="000000"/>
                <w:spacing w:val="53"/>
                <w:shd w:val="solid" w:color="000000" w:fill="000000"/>
                <w:fitText w:val="330" w:id="-694407930"/>
                <w14:textFill>
                  <w14:solidFill>
                    <w14:srgbClr w14:val="000000">
                      <w14:alpha w14:val="100000"/>
                    </w14:srgbClr>
                  </w14:solidFill>
                </w14:textFill>
              </w:rPr>
              <w:t>|||</w:t>
            </w:r>
            <w:r w:rsidR="00471EB9" w:rsidRPr="00471EB9">
              <w:rPr>
                <w:color w:val="000000"/>
                <w:spacing w:val="1"/>
                <w:shd w:val="solid" w:color="000000" w:fill="000000"/>
                <w:fitText w:val="330" w:id="-694407930"/>
                <w14:textFill>
                  <w14:solidFill>
                    <w14:srgbClr w14:val="000000">
                      <w14:alpha w14:val="100000"/>
                    </w14:srgbClr>
                  </w14:solidFill>
                </w14:textFill>
              </w:rPr>
              <w:t>|</w:t>
            </w:r>
            <w:r w:rsidR="00A969AB" w:rsidRPr="00A969AB">
              <w:rPr>
                <w:vertAlign w:val="superscript"/>
              </w:rPr>
              <w:t>1</w:t>
            </w:r>
          </w:p>
          <w:p w14:paraId="487C2FF1" w14:textId="3C791CE0" w:rsidR="007D0CF5" w:rsidRPr="00873941" w:rsidRDefault="007D0CF5" w:rsidP="00882297">
            <w:pPr>
              <w:pStyle w:val="TableText0"/>
            </w:pPr>
            <w:r w:rsidRPr="00873941">
              <w:t xml:space="preserve">Yr 2: </w:t>
            </w:r>
            <w:r w:rsidR="00471EB9" w:rsidRPr="00471EB9">
              <w:rPr>
                <w:color w:val="000000"/>
                <w:spacing w:val="53"/>
                <w:shd w:val="solid" w:color="000000" w:fill="000000"/>
                <w:fitText w:val="330" w:id="-694407929"/>
                <w14:textFill>
                  <w14:solidFill>
                    <w14:srgbClr w14:val="000000">
                      <w14:alpha w14:val="100000"/>
                    </w14:srgbClr>
                  </w14:solidFill>
                </w14:textFill>
              </w:rPr>
              <w:t>|||</w:t>
            </w:r>
            <w:r w:rsidR="00471EB9" w:rsidRPr="00471EB9">
              <w:rPr>
                <w:color w:val="000000"/>
                <w:spacing w:val="1"/>
                <w:shd w:val="solid" w:color="000000" w:fill="000000"/>
                <w:fitText w:val="330" w:id="-694407929"/>
                <w14:textFill>
                  <w14:solidFill>
                    <w14:srgbClr w14:val="000000">
                      <w14:alpha w14:val="100000"/>
                    </w14:srgbClr>
                  </w14:solidFill>
                </w14:textFill>
              </w:rPr>
              <w:t>|</w:t>
            </w:r>
            <w:r w:rsidR="00A969AB" w:rsidRPr="00A969AB">
              <w:rPr>
                <w:vertAlign w:val="superscript"/>
              </w:rPr>
              <w:t>1</w:t>
            </w:r>
          </w:p>
          <w:p w14:paraId="5F480EBC" w14:textId="218E2ED1" w:rsidR="007D0CF5" w:rsidRPr="00873941" w:rsidRDefault="007D0CF5" w:rsidP="00882297">
            <w:pPr>
              <w:pStyle w:val="TableText0"/>
            </w:pPr>
            <w:r w:rsidRPr="00873941">
              <w:t xml:space="preserve">Yr 3: </w:t>
            </w:r>
            <w:r w:rsidR="00471EB9" w:rsidRPr="00471EB9">
              <w:rPr>
                <w:color w:val="000000"/>
                <w:spacing w:val="53"/>
                <w:shd w:val="solid" w:color="000000" w:fill="000000"/>
                <w:fitText w:val="330" w:id="-694407928"/>
                <w14:textFill>
                  <w14:solidFill>
                    <w14:srgbClr w14:val="000000">
                      <w14:alpha w14:val="100000"/>
                    </w14:srgbClr>
                  </w14:solidFill>
                </w14:textFill>
              </w:rPr>
              <w:t>|||</w:t>
            </w:r>
            <w:r w:rsidR="00471EB9" w:rsidRPr="00471EB9">
              <w:rPr>
                <w:color w:val="000000"/>
                <w:spacing w:val="1"/>
                <w:shd w:val="solid" w:color="000000" w:fill="000000"/>
                <w:fitText w:val="330" w:id="-694407928"/>
                <w14:textFill>
                  <w14:solidFill>
                    <w14:srgbClr w14:val="000000">
                      <w14:alpha w14:val="100000"/>
                    </w14:srgbClr>
                  </w14:solidFill>
                </w14:textFill>
              </w:rPr>
              <w:t>|</w:t>
            </w:r>
            <w:r w:rsidR="00A969AB" w:rsidRPr="00A969AB">
              <w:rPr>
                <w:vertAlign w:val="superscript"/>
              </w:rPr>
              <w:t>1</w:t>
            </w:r>
          </w:p>
          <w:p w14:paraId="6A6A287F" w14:textId="19567F10" w:rsidR="007D0CF5" w:rsidRPr="00873941" w:rsidRDefault="007D0CF5" w:rsidP="00882297">
            <w:pPr>
              <w:pStyle w:val="TableText0"/>
            </w:pPr>
            <w:r w:rsidRPr="00873941">
              <w:t xml:space="preserve">Yr 4: </w:t>
            </w:r>
            <w:r w:rsidR="00471EB9" w:rsidRPr="00471EB9">
              <w:rPr>
                <w:color w:val="000000"/>
                <w:spacing w:val="53"/>
                <w:shd w:val="solid" w:color="000000" w:fill="000000"/>
                <w:fitText w:val="330" w:id="-694407927"/>
                <w14:textFill>
                  <w14:solidFill>
                    <w14:srgbClr w14:val="000000">
                      <w14:alpha w14:val="100000"/>
                    </w14:srgbClr>
                  </w14:solidFill>
                </w14:textFill>
              </w:rPr>
              <w:t>|||</w:t>
            </w:r>
            <w:r w:rsidR="00471EB9" w:rsidRPr="00471EB9">
              <w:rPr>
                <w:color w:val="000000"/>
                <w:spacing w:val="1"/>
                <w:shd w:val="solid" w:color="000000" w:fill="000000"/>
                <w:fitText w:val="330" w:id="-694407927"/>
                <w14:textFill>
                  <w14:solidFill>
                    <w14:srgbClr w14:val="000000">
                      <w14:alpha w14:val="100000"/>
                    </w14:srgbClr>
                  </w14:solidFill>
                </w14:textFill>
              </w:rPr>
              <w:t>|</w:t>
            </w:r>
            <w:r w:rsidR="00A969AB" w:rsidRPr="00A969AB">
              <w:rPr>
                <w:vertAlign w:val="superscript"/>
              </w:rPr>
              <w:t>1</w:t>
            </w:r>
          </w:p>
          <w:p w14:paraId="05A0870D" w14:textId="61345D56" w:rsidR="007D0CF5" w:rsidRPr="00873941" w:rsidRDefault="007D0CF5" w:rsidP="00882297">
            <w:pPr>
              <w:pStyle w:val="TableText0"/>
            </w:pPr>
            <w:r w:rsidRPr="00873941">
              <w:t xml:space="preserve">Yr 5: </w:t>
            </w:r>
            <w:r w:rsidR="00471EB9" w:rsidRPr="00471EB9">
              <w:rPr>
                <w:color w:val="000000"/>
                <w:spacing w:val="53"/>
                <w:shd w:val="solid" w:color="000000" w:fill="000000"/>
                <w:fitText w:val="330" w:id="-694407926"/>
                <w14:textFill>
                  <w14:solidFill>
                    <w14:srgbClr w14:val="000000">
                      <w14:alpha w14:val="100000"/>
                    </w14:srgbClr>
                  </w14:solidFill>
                </w14:textFill>
              </w:rPr>
              <w:t>|||</w:t>
            </w:r>
            <w:r w:rsidR="00471EB9" w:rsidRPr="00471EB9">
              <w:rPr>
                <w:color w:val="000000"/>
                <w:spacing w:val="1"/>
                <w:shd w:val="solid" w:color="000000" w:fill="000000"/>
                <w:fitText w:val="330" w:id="-694407926"/>
                <w14:textFill>
                  <w14:solidFill>
                    <w14:srgbClr w14:val="000000">
                      <w14:alpha w14:val="100000"/>
                    </w14:srgbClr>
                  </w14:solidFill>
                </w14:textFill>
              </w:rPr>
              <w:t>|</w:t>
            </w:r>
            <w:r w:rsidR="00A969AB" w:rsidRPr="00A969AB">
              <w:rPr>
                <w:vertAlign w:val="superscript"/>
              </w:rPr>
              <w:t>1</w:t>
            </w:r>
          </w:p>
          <w:p w14:paraId="7A69BB4F" w14:textId="6214DEFC" w:rsidR="007D0CF5" w:rsidRPr="00873941" w:rsidRDefault="007D0CF5" w:rsidP="00882297">
            <w:pPr>
              <w:pStyle w:val="TableText0"/>
            </w:pPr>
            <w:r w:rsidRPr="00873941">
              <w:t xml:space="preserve">Yr 6: </w:t>
            </w:r>
            <w:r w:rsidR="00471EB9" w:rsidRPr="00471EB9">
              <w:rPr>
                <w:color w:val="000000"/>
                <w:spacing w:val="53"/>
                <w:shd w:val="solid" w:color="000000" w:fill="000000"/>
                <w:fitText w:val="330" w:id="-694407925"/>
                <w14:textFill>
                  <w14:solidFill>
                    <w14:srgbClr w14:val="000000">
                      <w14:alpha w14:val="100000"/>
                    </w14:srgbClr>
                  </w14:solidFill>
                </w14:textFill>
              </w:rPr>
              <w:t>|||</w:t>
            </w:r>
            <w:r w:rsidR="00471EB9" w:rsidRPr="00471EB9">
              <w:rPr>
                <w:color w:val="000000"/>
                <w:spacing w:val="1"/>
                <w:shd w:val="solid" w:color="000000" w:fill="000000"/>
                <w:fitText w:val="330" w:id="-694407925"/>
                <w14:textFill>
                  <w14:solidFill>
                    <w14:srgbClr w14:val="000000">
                      <w14:alpha w14:val="100000"/>
                    </w14:srgbClr>
                  </w14:solidFill>
                </w14:textFill>
              </w:rPr>
              <w:t>|</w:t>
            </w:r>
            <w:r w:rsidR="00A969AB" w:rsidRPr="00A969AB">
              <w:rPr>
                <w:vertAlign w:val="superscript"/>
              </w:rPr>
              <w:t>1</w:t>
            </w:r>
          </w:p>
        </w:tc>
        <w:tc>
          <w:tcPr>
            <w:tcW w:w="1730" w:type="pct"/>
            <w:vAlign w:val="center"/>
          </w:tcPr>
          <w:p w14:paraId="4543D1BD" w14:textId="5208C244" w:rsidR="007D0CF5" w:rsidRPr="00873941" w:rsidRDefault="00C434BF" w:rsidP="00882297">
            <w:pPr>
              <w:pStyle w:val="TableText0"/>
            </w:pPr>
            <w:r w:rsidRPr="00873941">
              <w:t xml:space="preserve">PBS 10% sample, </w:t>
            </w:r>
            <w:proofErr w:type="spellStart"/>
            <w:r w:rsidRPr="00873941">
              <w:t>eBC</w:t>
            </w:r>
            <w:proofErr w:type="spellEnd"/>
            <w:r w:rsidRPr="00873941">
              <w:t xml:space="preserve"> patients initiating treatment with trastuzumab 2006-2024. Exponential function based on moving 5-year average: y=1,160.5e^0.0343x, where y = number of patients and x = difference in years from initial year (2006).</w:t>
            </w:r>
          </w:p>
        </w:tc>
        <w:tc>
          <w:tcPr>
            <w:tcW w:w="1701" w:type="pct"/>
            <w:vAlign w:val="center"/>
          </w:tcPr>
          <w:p w14:paraId="55D22C3B" w14:textId="2032EB66" w:rsidR="007D0CF5" w:rsidRPr="00873941" w:rsidRDefault="007D0CF5" w:rsidP="00882297">
            <w:pPr>
              <w:pStyle w:val="TableText0"/>
            </w:pPr>
            <w:r w:rsidRPr="00873941">
              <w:t>Th</w:t>
            </w:r>
            <w:r w:rsidR="00F30C45" w:rsidRPr="00873941">
              <w:t>e</w:t>
            </w:r>
            <w:r w:rsidRPr="00873941">
              <w:t xml:space="preserve"> </w:t>
            </w:r>
            <w:r w:rsidR="00F30C45" w:rsidRPr="00A0454D">
              <w:t xml:space="preserve">evaluation considered this </w:t>
            </w:r>
            <w:r w:rsidRPr="00A0454D">
              <w:t>was</w:t>
            </w:r>
            <w:r w:rsidRPr="00873941">
              <w:t xml:space="preserve"> reasonable.</w:t>
            </w:r>
          </w:p>
        </w:tc>
      </w:tr>
      <w:tr w:rsidR="00DF503A" w:rsidRPr="00873941" w14:paraId="371F7C90" w14:textId="77777777" w:rsidTr="004B5173">
        <w:tc>
          <w:tcPr>
            <w:tcW w:w="784" w:type="pct"/>
            <w:vAlign w:val="center"/>
          </w:tcPr>
          <w:p w14:paraId="0BE17B0B" w14:textId="77777777" w:rsidR="007D0CF5" w:rsidRPr="00873941" w:rsidRDefault="007D0CF5" w:rsidP="00882297">
            <w:pPr>
              <w:pStyle w:val="TableText0"/>
            </w:pPr>
            <w:r w:rsidRPr="00873941">
              <w:t>Proportion of patients receiving neoadjuvant treatment</w:t>
            </w:r>
          </w:p>
        </w:tc>
        <w:tc>
          <w:tcPr>
            <w:tcW w:w="785" w:type="pct"/>
            <w:vAlign w:val="center"/>
          </w:tcPr>
          <w:p w14:paraId="643A0DDD" w14:textId="77777777" w:rsidR="007D0CF5" w:rsidRPr="00873941" w:rsidRDefault="007D0CF5" w:rsidP="00882297">
            <w:pPr>
              <w:pStyle w:val="TableText0"/>
              <w:jc w:val="center"/>
            </w:pPr>
            <w:r w:rsidRPr="00873941">
              <w:t>80%</w:t>
            </w:r>
          </w:p>
        </w:tc>
        <w:tc>
          <w:tcPr>
            <w:tcW w:w="1730" w:type="pct"/>
            <w:vAlign w:val="center"/>
          </w:tcPr>
          <w:p w14:paraId="2232D252" w14:textId="77777777" w:rsidR="007D0CF5" w:rsidRPr="00873941" w:rsidRDefault="007D0CF5" w:rsidP="00882297">
            <w:pPr>
              <w:pStyle w:val="TableText0"/>
            </w:pPr>
            <w:r w:rsidRPr="00873941">
              <w:t>Duffield (2023) and market research data.</w:t>
            </w:r>
          </w:p>
        </w:tc>
        <w:tc>
          <w:tcPr>
            <w:tcW w:w="1701" w:type="pct"/>
            <w:vAlign w:val="center"/>
          </w:tcPr>
          <w:p w14:paraId="12BB5102" w14:textId="4E6F488D" w:rsidR="007D0CF5" w:rsidRPr="00873941" w:rsidRDefault="007D0CF5" w:rsidP="00882297">
            <w:pPr>
              <w:pStyle w:val="TableText0"/>
            </w:pPr>
            <w:r w:rsidRPr="00613364">
              <w:t>Th</w:t>
            </w:r>
            <w:r w:rsidR="00F30C45" w:rsidRPr="00613364">
              <w:t>e</w:t>
            </w:r>
            <w:r w:rsidR="00F30C45" w:rsidRPr="00873941">
              <w:rPr>
                <w:i/>
                <w:iCs/>
              </w:rPr>
              <w:t xml:space="preserve"> </w:t>
            </w:r>
            <w:r w:rsidR="00F30C45" w:rsidRPr="00A0454D">
              <w:t>evaluation considered</w:t>
            </w:r>
            <w:r w:rsidR="00F30C45" w:rsidRPr="00873941">
              <w:t xml:space="preserve"> th</w:t>
            </w:r>
            <w:r w:rsidRPr="00873941">
              <w:t>is was reasonable. However, data from Duffield (2023) used an uncertain long-term exponential extrapolation.</w:t>
            </w:r>
          </w:p>
        </w:tc>
      </w:tr>
      <w:tr w:rsidR="007D0CF5" w:rsidRPr="00873941" w14:paraId="1D4F7A4A" w14:textId="77777777" w:rsidTr="00DF503A">
        <w:tc>
          <w:tcPr>
            <w:tcW w:w="5000" w:type="pct"/>
            <w:gridSpan w:val="4"/>
            <w:vAlign w:val="center"/>
          </w:tcPr>
          <w:p w14:paraId="4DFA7B0D" w14:textId="77777777" w:rsidR="007D0CF5" w:rsidRPr="00873941" w:rsidRDefault="007D0CF5" w:rsidP="006139B4">
            <w:pPr>
              <w:pStyle w:val="TableText0"/>
              <w:keepNext w:val="0"/>
              <w:rPr>
                <w:b/>
              </w:rPr>
            </w:pPr>
            <w:r w:rsidRPr="00873941">
              <w:rPr>
                <w:b/>
              </w:rPr>
              <w:t>Treatment utilisation</w:t>
            </w:r>
          </w:p>
        </w:tc>
      </w:tr>
      <w:tr w:rsidR="00DF503A" w:rsidRPr="00873941" w14:paraId="626A56AE" w14:textId="77777777" w:rsidTr="004B5173">
        <w:tc>
          <w:tcPr>
            <w:tcW w:w="784" w:type="pct"/>
            <w:vAlign w:val="center"/>
          </w:tcPr>
          <w:p w14:paraId="0D133730" w14:textId="77777777" w:rsidR="007D0CF5" w:rsidRPr="00873941" w:rsidRDefault="007D0CF5" w:rsidP="006139B4">
            <w:pPr>
              <w:pStyle w:val="TableText0"/>
              <w:keepNext w:val="0"/>
            </w:pPr>
            <w:r w:rsidRPr="00873941">
              <w:t>Uptake rate</w:t>
            </w:r>
          </w:p>
        </w:tc>
        <w:tc>
          <w:tcPr>
            <w:tcW w:w="785" w:type="pct"/>
            <w:vAlign w:val="center"/>
          </w:tcPr>
          <w:p w14:paraId="3538D8CC" w14:textId="00C47EDE" w:rsidR="007D0CF5" w:rsidRPr="00873941" w:rsidRDefault="007D0CF5" w:rsidP="006139B4">
            <w:pPr>
              <w:pStyle w:val="TableText0"/>
              <w:keepNext w:val="0"/>
            </w:pPr>
            <w:r w:rsidRPr="00873941">
              <w:t xml:space="preserve">Yr 1: </w:t>
            </w:r>
            <w:r w:rsidR="00471EB9" w:rsidRPr="00471EB9">
              <w:rPr>
                <w:color w:val="000000"/>
                <w:spacing w:val="53"/>
                <w:shd w:val="solid" w:color="000000" w:fill="000000"/>
                <w:fitText w:val="330" w:id="-694407924"/>
                <w14:textFill>
                  <w14:solidFill>
                    <w14:srgbClr w14:val="000000">
                      <w14:alpha w14:val="100000"/>
                    </w14:srgbClr>
                  </w14:solidFill>
                </w14:textFill>
              </w:rPr>
              <w:t>|||</w:t>
            </w:r>
            <w:r w:rsidR="00471EB9" w:rsidRPr="00471EB9">
              <w:rPr>
                <w:color w:val="000000"/>
                <w:spacing w:val="1"/>
                <w:shd w:val="solid" w:color="000000" w:fill="000000"/>
                <w:fitText w:val="330" w:id="-694407924"/>
                <w14:textFill>
                  <w14:solidFill>
                    <w14:srgbClr w14:val="000000">
                      <w14:alpha w14:val="100000"/>
                    </w14:srgbClr>
                  </w14:solidFill>
                </w14:textFill>
              </w:rPr>
              <w:t>|</w:t>
            </w:r>
            <w:r w:rsidRPr="00873941">
              <w:t xml:space="preserve">%, increasing to Yr 6: </w:t>
            </w:r>
            <w:r w:rsidR="00471EB9" w:rsidRPr="00471EB9">
              <w:rPr>
                <w:color w:val="000000"/>
                <w:spacing w:val="53"/>
                <w:shd w:val="solid" w:color="000000" w:fill="000000"/>
                <w:fitText w:val="330" w:id="-694407923"/>
                <w14:textFill>
                  <w14:solidFill>
                    <w14:srgbClr w14:val="000000">
                      <w14:alpha w14:val="100000"/>
                    </w14:srgbClr>
                  </w14:solidFill>
                </w14:textFill>
              </w:rPr>
              <w:t>|||</w:t>
            </w:r>
            <w:r w:rsidR="00471EB9" w:rsidRPr="00471EB9">
              <w:rPr>
                <w:color w:val="000000"/>
                <w:spacing w:val="1"/>
                <w:shd w:val="solid" w:color="000000" w:fill="000000"/>
                <w:fitText w:val="330" w:id="-694407923"/>
                <w14:textFill>
                  <w14:solidFill>
                    <w14:srgbClr w14:val="000000">
                      <w14:alpha w14:val="100000"/>
                    </w14:srgbClr>
                  </w14:solidFill>
                </w14:textFill>
              </w:rPr>
              <w:t>|</w:t>
            </w:r>
            <w:r w:rsidRPr="00873941">
              <w:t>%</w:t>
            </w:r>
          </w:p>
        </w:tc>
        <w:tc>
          <w:tcPr>
            <w:tcW w:w="1730" w:type="pct"/>
            <w:vAlign w:val="center"/>
          </w:tcPr>
          <w:p w14:paraId="60E1D1F7" w14:textId="77777777" w:rsidR="007D0CF5" w:rsidRPr="00873941" w:rsidRDefault="007D0CF5" w:rsidP="006139B4">
            <w:pPr>
              <w:pStyle w:val="TableText0"/>
              <w:keepNext w:val="0"/>
            </w:pPr>
            <w:r w:rsidRPr="00873941">
              <w:t>Submission estimate.</w:t>
            </w:r>
          </w:p>
        </w:tc>
        <w:tc>
          <w:tcPr>
            <w:tcW w:w="1701" w:type="pct"/>
            <w:vAlign w:val="center"/>
          </w:tcPr>
          <w:p w14:paraId="1BC4A7E9" w14:textId="7C098EF8" w:rsidR="007D0CF5" w:rsidRPr="00873941" w:rsidRDefault="007D0CF5" w:rsidP="00DC0EF1">
            <w:pPr>
              <w:pStyle w:val="TableText0"/>
              <w:keepNext w:val="0"/>
            </w:pPr>
            <w:r w:rsidRPr="00873941">
              <w:t xml:space="preserve">Uptake </w:t>
            </w:r>
            <w:r w:rsidR="008F1CEC" w:rsidRPr="00873941">
              <w:t xml:space="preserve">was </w:t>
            </w:r>
            <w:r w:rsidRPr="00873941">
              <w:t>expected to be high due to the superior effectiveness of pertuzumab plus trastuzumab relative to current standard of care.</w:t>
            </w:r>
            <w:r w:rsidR="00DC0EF1" w:rsidRPr="00873941">
              <w:t xml:space="preserve"> This was uncertain.</w:t>
            </w:r>
          </w:p>
        </w:tc>
      </w:tr>
      <w:tr w:rsidR="00DF503A" w:rsidRPr="00873941" w14:paraId="49D3B8C5" w14:textId="77777777" w:rsidTr="004B5173">
        <w:tc>
          <w:tcPr>
            <w:tcW w:w="784" w:type="pct"/>
            <w:vAlign w:val="center"/>
          </w:tcPr>
          <w:p w14:paraId="248C4487" w14:textId="4FC80FB3" w:rsidR="007D0CF5" w:rsidRPr="00873941" w:rsidRDefault="007D0CF5" w:rsidP="006139B4">
            <w:pPr>
              <w:pStyle w:val="TableText0"/>
              <w:keepNext w:val="0"/>
            </w:pPr>
            <w:r w:rsidRPr="00873941">
              <w:t xml:space="preserve">Number of vials of pertuzumab per patient </w:t>
            </w:r>
          </w:p>
        </w:tc>
        <w:tc>
          <w:tcPr>
            <w:tcW w:w="785" w:type="pct"/>
            <w:vAlign w:val="center"/>
          </w:tcPr>
          <w:p w14:paraId="342DB76D" w14:textId="77777777" w:rsidR="007D0CF5" w:rsidRPr="00873941" w:rsidRDefault="007D0CF5" w:rsidP="006139B4">
            <w:pPr>
              <w:pStyle w:val="TableText0"/>
              <w:keepNext w:val="0"/>
              <w:jc w:val="center"/>
            </w:pPr>
            <w:r w:rsidRPr="00873941">
              <w:t>5.45</w:t>
            </w:r>
          </w:p>
        </w:tc>
        <w:tc>
          <w:tcPr>
            <w:tcW w:w="1730" w:type="pct"/>
            <w:vAlign w:val="center"/>
          </w:tcPr>
          <w:p w14:paraId="58E295E8" w14:textId="494B2E7F" w:rsidR="007D0CF5" w:rsidRPr="00873941" w:rsidRDefault="007D0CF5" w:rsidP="006139B4">
            <w:pPr>
              <w:pStyle w:val="TableText0"/>
              <w:keepNext w:val="0"/>
            </w:pPr>
            <w:r w:rsidRPr="00873941">
              <w:t xml:space="preserve">Estimated </w:t>
            </w:r>
            <w:r w:rsidR="005E2BE3" w:rsidRPr="00873941">
              <w:t xml:space="preserve">based on </w:t>
            </w:r>
            <w:r w:rsidR="005E2BE3" w:rsidRPr="000B6F07">
              <w:t>the weighted average duration of treatment in</w:t>
            </w:r>
            <w:r w:rsidRPr="000B6F07">
              <w:t xml:space="preserve"> studies</w:t>
            </w:r>
            <w:r w:rsidR="002837C9" w:rsidRPr="000B6F07">
              <w:t xml:space="preserve"> </w:t>
            </w:r>
            <w:r w:rsidR="00F32B0F" w:rsidRPr="000B6F07">
              <w:t xml:space="preserve">included in </w:t>
            </w:r>
            <w:r w:rsidR="002837C9" w:rsidRPr="000B6F07">
              <w:t>the resubmission</w:t>
            </w:r>
            <w:r w:rsidRPr="000B6F07">
              <w:t>.</w:t>
            </w:r>
          </w:p>
        </w:tc>
        <w:tc>
          <w:tcPr>
            <w:tcW w:w="1701" w:type="pct"/>
            <w:vAlign w:val="center"/>
          </w:tcPr>
          <w:p w14:paraId="079DBFCC" w14:textId="07BF1B20" w:rsidR="007D0CF5" w:rsidRPr="00873941" w:rsidRDefault="007D0CF5" w:rsidP="006139B4">
            <w:pPr>
              <w:pStyle w:val="TableText0"/>
              <w:keepNext w:val="0"/>
            </w:pPr>
            <w:r w:rsidRPr="00873941">
              <w:t>This was consistent with</w:t>
            </w:r>
            <w:r w:rsidR="002837C9" w:rsidRPr="00873941">
              <w:t xml:space="preserve"> the</w:t>
            </w:r>
            <w:r w:rsidRPr="00873941">
              <w:t xml:space="preserve"> economic model.</w:t>
            </w:r>
            <w:r w:rsidR="003850EC" w:rsidRPr="00873941">
              <w:t xml:space="preserve"> Sensitivity analysis was conducted assuming 6 vials per patient.</w:t>
            </w:r>
            <w:r w:rsidR="00EB6E3D" w:rsidRPr="00873941">
              <w:t xml:space="preserve"> </w:t>
            </w:r>
            <w:r w:rsidR="00EB6E3D" w:rsidRPr="00A0454D">
              <w:t xml:space="preserve">See also paragraph </w:t>
            </w:r>
            <w:r w:rsidR="009351A2" w:rsidRPr="00A0454D">
              <w:fldChar w:fldCharType="begin"/>
            </w:r>
            <w:r w:rsidR="009351A2" w:rsidRPr="00A0454D">
              <w:instrText xml:space="preserve"> REF _Ref190263767 \r \h  \* MERGEFORMAT </w:instrText>
            </w:r>
            <w:r w:rsidR="009351A2" w:rsidRPr="00A0454D">
              <w:fldChar w:fldCharType="separate"/>
            </w:r>
            <w:r w:rsidR="000B094B">
              <w:t>6.82</w:t>
            </w:r>
            <w:r w:rsidR="009351A2" w:rsidRPr="00A0454D">
              <w:fldChar w:fldCharType="end"/>
            </w:r>
            <w:r w:rsidR="00475850">
              <w:t>.</w:t>
            </w:r>
          </w:p>
        </w:tc>
      </w:tr>
      <w:tr w:rsidR="00DF503A" w:rsidRPr="00873941" w14:paraId="6859A3A9" w14:textId="77777777" w:rsidTr="004B5173">
        <w:tc>
          <w:tcPr>
            <w:tcW w:w="784" w:type="pct"/>
            <w:vAlign w:val="center"/>
          </w:tcPr>
          <w:p w14:paraId="5A64383A" w14:textId="77777777" w:rsidR="007D0CF5" w:rsidRPr="00873941" w:rsidRDefault="007D0CF5" w:rsidP="006139B4">
            <w:pPr>
              <w:pStyle w:val="TableText0"/>
              <w:keepNext w:val="0"/>
            </w:pPr>
            <w:proofErr w:type="spellStart"/>
            <w:r w:rsidRPr="00873941">
              <w:t>P+T+Chemo</w:t>
            </w:r>
            <w:proofErr w:type="spellEnd"/>
            <w:r w:rsidRPr="00873941">
              <w:t xml:space="preserve"> response rate</w:t>
            </w:r>
          </w:p>
        </w:tc>
        <w:tc>
          <w:tcPr>
            <w:tcW w:w="785" w:type="pct"/>
            <w:vAlign w:val="center"/>
          </w:tcPr>
          <w:p w14:paraId="51CE0108" w14:textId="77777777" w:rsidR="007D0CF5" w:rsidRPr="00873941" w:rsidRDefault="007D0CF5" w:rsidP="006139B4">
            <w:pPr>
              <w:pStyle w:val="TableText0"/>
              <w:keepNext w:val="0"/>
              <w:jc w:val="center"/>
            </w:pPr>
            <w:r w:rsidRPr="00873941">
              <w:t>59.2%</w:t>
            </w:r>
          </w:p>
        </w:tc>
        <w:tc>
          <w:tcPr>
            <w:tcW w:w="1730" w:type="pct"/>
            <w:vAlign w:val="center"/>
          </w:tcPr>
          <w:p w14:paraId="670A6253" w14:textId="10C55C83" w:rsidR="007D0CF5" w:rsidRPr="00873941" w:rsidRDefault="007D0CF5" w:rsidP="006139B4">
            <w:pPr>
              <w:pStyle w:val="TableText0"/>
              <w:keepNext w:val="0"/>
            </w:pPr>
            <w:r w:rsidRPr="00873941">
              <w:t xml:space="preserve">Estimated </w:t>
            </w:r>
            <w:r w:rsidR="00196EBE" w:rsidRPr="00873941">
              <w:t>from the</w:t>
            </w:r>
            <w:r w:rsidRPr="00873941">
              <w:t xml:space="preserve"> meta-analysis of studies</w:t>
            </w:r>
            <w:r w:rsidR="002837C9" w:rsidRPr="00873941">
              <w:t xml:space="preserve"> </w:t>
            </w:r>
            <w:r w:rsidR="00196EBE" w:rsidRPr="00873941">
              <w:t>including anthracyclines</w:t>
            </w:r>
          </w:p>
        </w:tc>
        <w:tc>
          <w:tcPr>
            <w:tcW w:w="1701" w:type="pct"/>
            <w:vMerge w:val="restart"/>
            <w:vAlign w:val="center"/>
          </w:tcPr>
          <w:p w14:paraId="146B02DD" w14:textId="39374346" w:rsidR="007D0CF5" w:rsidRPr="00873941" w:rsidRDefault="007D0CF5" w:rsidP="006139B4">
            <w:pPr>
              <w:pStyle w:val="TableText0"/>
              <w:keepNext w:val="0"/>
            </w:pPr>
            <w:r w:rsidRPr="00A0454D">
              <w:t>Th</w:t>
            </w:r>
            <w:r w:rsidR="00196EBE" w:rsidRPr="00A0454D">
              <w:t>e evaluation considered</w:t>
            </w:r>
            <w:r w:rsidR="00196EBE" w:rsidRPr="00873941">
              <w:t xml:space="preserve"> th</w:t>
            </w:r>
            <w:r w:rsidRPr="00873941">
              <w:t xml:space="preserve">is was reasonable. </w:t>
            </w:r>
            <w:r w:rsidR="003850EC" w:rsidRPr="00873941">
              <w:t>This a</w:t>
            </w:r>
            <w:r w:rsidRPr="00873941">
              <w:t>ffect</w:t>
            </w:r>
            <w:r w:rsidR="003850EC" w:rsidRPr="00873941">
              <w:t>ed the</w:t>
            </w:r>
            <w:r w:rsidRPr="00873941">
              <w:t xml:space="preserve"> downstream use of T-DM1 and trastuzumab in </w:t>
            </w:r>
            <w:r w:rsidR="003850EC" w:rsidRPr="00873941">
              <w:t xml:space="preserve">the </w:t>
            </w:r>
            <w:r w:rsidRPr="00873941">
              <w:t xml:space="preserve">adjuvant setting, and treatment in </w:t>
            </w:r>
            <w:proofErr w:type="spellStart"/>
            <w:r w:rsidR="003850EC" w:rsidRPr="00873941">
              <w:t>mBC</w:t>
            </w:r>
            <w:proofErr w:type="spellEnd"/>
            <w:r w:rsidRPr="00873941">
              <w:t>.</w:t>
            </w:r>
          </w:p>
        </w:tc>
      </w:tr>
      <w:tr w:rsidR="00DF503A" w:rsidRPr="00873941" w14:paraId="73DCEBAF" w14:textId="77777777" w:rsidTr="004B5173">
        <w:tc>
          <w:tcPr>
            <w:tcW w:w="784" w:type="pct"/>
            <w:vAlign w:val="center"/>
          </w:tcPr>
          <w:p w14:paraId="51E88042" w14:textId="77777777" w:rsidR="007D0CF5" w:rsidRPr="00873941" w:rsidRDefault="007D0CF5" w:rsidP="006139B4">
            <w:pPr>
              <w:pStyle w:val="TableText0"/>
              <w:keepNext w:val="0"/>
            </w:pPr>
            <w:proofErr w:type="spellStart"/>
            <w:r w:rsidRPr="00873941">
              <w:t>T+Chemo</w:t>
            </w:r>
            <w:proofErr w:type="spellEnd"/>
            <w:r w:rsidRPr="00873941">
              <w:t xml:space="preserve"> response rate</w:t>
            </w:r>
          </w:p>
        </w:tc>
        <w:tc>
          <w:tcPr>
            <w:tcW w:w="785" w:type="pct"/>
            <w:vAlign w:val="center"/>
          </w:tcPr>
          <w:p w14:paraId="5F8D3319" w14:textId="77777777" w:rsidR="007D0CF5" w:rsidRPr="00873941" w:rsidRDefault="007D0CF5" w:rsidP="006139B4">
            <w:pPr>
              <w:pStyle w:val="TableText0"/>
              <w:keepNext w:val="0"/>
              <w:jc w:val="center"/>
            </w:pPr>
            <w:r w:rsidRPr="00873941">
              <w:t>41.8%</w:t>
            </w:r>
          </w:p>
        </w:tc>
        <w:tc>
          <w:tcPr>
            <w:tcW w:w="1730" w:type="pct"/>
            <w:vAlign w:val="center"/>
          </w:tcPr>
          <w:p w14:paraId="46EE3F17" w14:textId="5F0F1C23" w:rsidR="007D0CF5" w:rsidRPr="00873941" w:rsidRDefault="00196EBE" w:rsidP="006139B4">
            <w:pPr>
              <w:pStyle w:val="TableText0"/>
              <w:keepNext w:val="0"/>
            </w:pPr>
            <w:r w:rsidRPr="00873941">
              <w:t xml:space="preserve"> Estimated from the meta-analysis of studies including anthracyclines</w:t>
            </w:r>
          </w:p>
        </w:tc>
        <w:tc>
          <w:tcPr>
            <w:tcW w:w="1701" w:type="pct"/>
            <w:vMerge/>
            <w:vAlign w:val="center"/>
          </w:tcPr>
          <w:p w14:paraId="3CF73C9B" w14:textId="77777777" w:rsidR="007D0CF5" w:rsidRPr="00873941" w:rsidRDefault="007D0CF5" w:rsidP="006139B4">
            <w:pPr>
              <w:pStyle w:val="TableText0"/>
              <w:keepNext w:val="0"/>
            </w:pPr>
          </w:p>
        </w:tc>
      </w:tr>
      <w:tr w:rsidR="00DF503A" w:rsidRPr="00873941" w14:paraId="511209AB" w14:textId="77777777" w:rsidTr="004B5173">
        <w:tc>
          <w:tcPr>
            <w:tcW w:w="784" w:type="pct"/>
            <w:vAlign w:val="center"/>
          </w:tcPr>
          <w:p w14:paraId="7D4A8F8F" w14:textId="77777777" w:rsidR="007D0CF5" w:rsidRPr="00873941" w:rsidRDefault="007D0CF5" w:rsidP="006139B4">
            <w:pPr>
              <w:pStyle w:val="TableText0"/>
              <w:keepNext w:val="0"/>
            </w:pPr>
            <w:r w:rsidRPr="00873941">
              <w:t>Uptake of adjuvant T-DM1 in neoadjuvant non-responders</w:t>
            </w:r>
          </w:p>
        </w:tc>
        <w:tc>
          <w:tcPr>
            <w:tcW w:w="785" w:type="pct"/>
            <w:vAlign w:val="center"/>
          </w:tcPr>
          <w:p w14:paraId="30724BE0" w14:textId="1211CB2D" w:rsidR="007D0CF5" w:rsidRPr="00873941" w:rsidRDefault="00471EB9" w:rsidP="006139B4">
            <w:pPr>
              <w:pStyle w:val="TableText0"/>
              <w:keepNext w:val="0"/>
              <w:jc w:val="center"/>
            </w:pPr>
            <w:r w:rsidRPr="00471EB9">
              <w:rPr>
                <w:color w:val="000000"/>
                <w:spacing w:val="53"/>
                <w:shd w:val="solid" w:color="000000" w:fill="000000"/>
                <w:fitText w:val="330" w:id="-694407922"/>
                <w14:textFill>
                  <w14:solidFill>
                    <w14:srgbClr w14:val="000000">
                      <w14:alpha w14:val="100000"/>
                    </w14:srgbClr>
                  </w14:solidFill>
                </w14:textFill>
              </w:rPr>
              <w:t>|||</w:t>
            </w:r>
            <w:r w:rsidRPr="00471EB9">
              <w:rPr>
                <w:color w:val="000000"/>
                <w:spacing w:val="1"/>
                <w:shd w:val="solid" w:color="000000" w:fill="000000"/>
                <w:fitText w:val="330" w:id="-694407922"/>
                <w14:textFill>
                  <w14:solidFill>
                    <w14:srgbClr w14:val="000000">
                      <w14:alpha w14:val="100000"/>
                    </w14:srgbClr>
                  </w14:solidFill>
                </w14:textFill>
              </w:rPr>
              <w:t>|</w:t>
            </w:r>
            <w:r w:rsidR="007D0CF5" w:rsidRPr="00873941">
              <w:t>%</w:t>
            </w:r>
          </w:p>
        </w:tc>
        <w:tc>
          <w:tcPr>
            <w:tcW w:w="1730" w:type="pct"/>
            <w:vAlign w:val="center"/>
          </w:tcPr>
          <w:p w14:paraId="2BD58BA5" w14:textId="4401879C" w:rsidR="007D0CF5" w:rsidRPr="00873941" w:rsidRDefault="003850EC" w:rsidP="006139B4">
            <w:pPr>
              <w:pStyle w:val="TableText0"/>
              <w:keepNext w:val="0"/>
            </w:pPr>
            <w:r w:rsidRPr="00873941">
              <w:t>Assumed</w:t>
            </w:r>
          </w:p>
        </w:tc>
        <w:tc>
          <w:tcPr>
            <w:tcW w:w="1701" w:type="pct"/>
            <w:vAlign w:val="center"/>
          </w:tcPr>
          <w:p w14:paraId="3A5B066B" w14:textId="55673D2B" w:rsidR="007D0CF5" w:rsidRPr="00873941" w:rsidRDefault="007D0CF5" w:rsidP="006139B4">
            <w:pPr>
              <w:pStyle w:val="TableText0"/>
              <w:keepNext w:val="0"/>
            </w:pPr>
            <w:r w:rsidRPr="00873941">
              <w:t xml:space="preserve">This was </w:t>
            </w:r>
            <w:r w:rsidR="003850EC" w:rsidRPr="00873941">
              <w:t>uncertain but</w:t>
            </w:r>
            <w:r w:rsidRPr="00873941">
              <w:t xml:space="preserve"> </w:t>
            </w:r>
            <w:r w:rsidR="003850EC" w:rsidRPr="00873941">
              <w:t>c</w:t>
            </w:r>
            <w:r w:rsidRPr="00873941">
              <w:t xml:space="preserve">onsistent with </w:t>
            </w:r>
            <w:r w:rsidR="00074035" w:rsidRPr="00873941">
              <w:t>the economic model</w:t>
            </w:r>
            <w:r w:rsidRPr="00873941">
              <w:t>.</w:t>
            </w:r>
          </w:p>
        </w:tc>
      </w:tr>
      <w:tr w:rsidR="007D0CF5" w:rsidRPr="00873941" w14:paraId="5B49280C" w14:textId="77777777" w:rsidTr="00DF503A">
        <w:tc>
          <w:tcPr>
            <w:tcW w:w="5000" w:type="pct"/>
            <w:gridSpan w:val="4"/>
            <w:vAlign w:val="center"/>
          </w:tcPr>
          <w:p w14:paraId="3C09B3F2" w14:textId="77777777" w:rsidR="007D0CF5" w:rsidRPr="00873941" w:rsidRDefault="007D0CF5" w:rsidP="006139B4">
            <w:pPr>
              <w:pStyle w:val="TableText0"/>
              <w:keepNext w:val="0"/>
              <w:rPr>
                <w:b/>
              </w:rPr>
            </w:pPr>
            <w:r w:rsidRPr="00873941">
              <w:rPr>
                <w:b/>
              </w:rPr>
              <w:t>Costs</w:t>
            </w:r>
          </w:p>
        </w:tc>
      </w:tr>
      <w:tr w:rsidR="00DF503A" w:rsidRPr="00873941" w14:paraId="22C2307A" w14:textId="77777777" w:rsidTr="004B5173">
        <w:tc>
          <w:tcPr>
            <w:tcW w:w="784" w:type="pct"/>
            <w:vAlign w:val="center"/>
          </w:tcPr>
          <w:p w14:paraId="20924C19" w14:textId="77777777" w:rsidR="007D0CF5" w:rsidRPr="00873941" w:rsidRDefault="007D0CF5" w:rsidP="006139B4">
            <w:pPr>
              <w:pStyle w:val="TableText0"/>
              <w:keepNext w:val="0"/>
            </w:pPr>
            <w:r w:rsidRPr="00873941">
              <w:t>Pertuzumab (DPMA; public, private)</w:t>
            </w:r>
          </w:p>
        </w:tc>
        <w:tc>
          <w:tcPr>
            <w:tcW w:w="785" w:type="pct"/>
            <w:vAlign w:val="center"/>
          </w:tcPr>
          <w:p w14:paraId="277E189A" w14:textId="77777777" w:rsidR="007D0CF5" w:rsidRPr="00873941" w:rsidRDefault="007D0CF5" w:rsidP="006139B4">
            <w:pPr>
              <w:pStyle w:val="TableText0"/>
              <w:keepNext w:val="0"/>
              <w:rPr>
                <w:u w:val="single"/>
              </w:rPr>
            </w:pPr>
            <w:r w:rsidRPr="00873941">
              <w:rPr>
                <w:u w:val="single"/>
              </w:rPr>
              <w:t>Published</w:t>
            </w:r>
          </w:p>
          <w:p w14:paraId="2B82844B" w14:textId="77777777" w:rsidR="007D0CF5" w:rsidRPr="00873941" w:rsidRDefault="007D0CF5" w:rsidP="006139B4">
            <w:pPr>
              <w:pStyle w:val="TableText0"/>
              <w:keepNext w:val="0"/>
            </w:pPr>
            <w:r w:rsidRPr="00873941">
              <w:t>Initial (2 vials): $3,008.88, $3,094.41</w:t>
            </w:r>
          </w:p>
          <w:p w14:paraId="4919FB80" w14:textId="77777777" w:rsidR="007D0CF5" w:rsidRPr="00873941" w:rsidRDefault="007D0CF5" w:rsidP="006139B4">
            <w:pPr>
              <w:pStyle w:val="TableText0"/>
              <w:keepNext w:val="0"/>
            </w:pPr>
            <w:r w:rsidRPr="00873941">
              <w:t>Continuing (1 vial): $3,008.88, $3,094.41</w:t>
            </w:r>
          </w:p>
          <w:p w14:paraId="04D23791" w14:textId="77777777" w:rsidR="007D0CF5" w:rsidRPr="00873941" w:rsidRDefault="007D0CF5" w:rsidP="006139B4">
            <w:pPr>
              <w:pStyle w:val="TableText0"/>
              <w:keepNext w:val="0"/>
            </w:pPr>
          </w:p>
          <w:p w14:paraId="0FAA75E5" w14:textId="77777777" w:rsidR="007D0CF5" w:rsidRPr="00873941" w:rsidRDefault="007D0CF5" w:rsidP="006139B4">
            <w:pPr>
              <w:pStyle w:val="TableText0"/>
              <w:keepNext w:val="0"/>
              <w:rPr>
                <w:u w:val="single"/>
              </w:rPr>
            </w:pPr>
            <w:r w:rsidRPr="00873941">
              <w:rPr>
                <w:u w:val="single"/>
              </w:rPr>
              <w:t>Effective</w:t>
            </w:r>
          </w:p>
          <w:p w14:paraId="197978DB" w14:textId="625B8DFE" w:rsidR="007D0CF5" w:rsidRPr="00873941" w:rsidRDefault="007D0CF5" w:rsidP="006139B4">
            <w:pPr>
              <w:pStyle w:val="TableText0"/>
              <w:keepNext w:val="0"/>
            </w:pPr>
            <w:r w:rsidRPr="00873941">
              <w:t>Initial (2 vials): $</w:t>
            </w:r>
            <w:r w:rsidR="00471EB9" w:rsidRPr="00471EB9">
              <w:rPr>
                <w:color w:val="000000"/>
                <w:spacing w:val="53"/>
                <w:shd w:val="solid" w:color="000000" w:fill="000000"/>
                <w:fitText w:val="330" w:id="-694407921"/>
                <w14:textFill>
                  <w14:solidFill>
                    <w14:srgbClr w14:val="000000">
                      <w14:alpha w14:val="100000"/>
                    </w14:srgbClr>
                  </w14:solidFill>
                </w14:textFill>
              </w:rPr>
              <w:t>|||</w:t>
            </w:r>
            <w:r w:rsidR="00471EB9" w:rsidRPr="00471EB9">
              <w:rPr>
                <w:color w:val="000000"/>
                <w:spacing w:val="1"/>
                <w:shd w:val="solid" w:color="000000" w:fill="000000"/>
                <w:fitText w:val="330" w:id="-694407921"/>
                <w14:textFill>
                  <w14:solidFill>
                    <w14:srgbClr w14:val="000000">
                      <w14:alpha w14:val="100000"/>
                    </w14:srgbClr>
                  </w14:solidFill>
                </w14:textFill>
              </w:rPr>
              <w:t>|</w:t>
            </w:r>
            <w:r w:rsidRPr="00873941">
              <w:t>, $</w:t>
            </w:r>
            <w:r w:rsidR="00471EB9" w:rsidRPr="00471EB9">
              <w:rPr>
                <w:color w:val="000000"/>
                <w:spacing w:val="53"/>
                <w:shd w:val="solid" w:color="000000" w:fill="000000"/>
                <w:fitText w:val="330" w:id="-694407920"/>
                <w14:textFill>
                  <w14:solidFill>
                    <w14:srgbClr w14:val="000000">
                      <w14:alpha w14:val="100000"/>
                    </w14:srgbClr>
                  </w14:solidFill>
                </w14:textFill>
              </w:rPr>
              <w:t>|||</w:t>
            </w:r>
            <w:r w:rsidR="00471EB9" w:rsidRPr="00471EB9">
              <w:rPr>
                <w:color w:val="000000"/>
                <w:spacing w:val="1"/>
                <w:shd w:val="solid" w:color="000000" w:fill="000000"/>
                <w:fitText w:val="330" w:id="-694407920"/>
                <w14:textFill>
                  <w14:solidFill>
                    <w14:srgbClr w14:val="000000">
                      <w14:alpha w14:val="100000"/>
                    </w14:srgbClr>
                  </w14:solidFill>
                </w14:textFill>
              </w:rPr>
              <w:t>|</w:t>
            </w:r>
          </w:p>
          <w:p w14:paraId="767A03D4" w14:textId="40D801E7" w:rsidR="007D0CF5" w:rsidRPr="00873941" w:rsidRDefault="007D0CF5" w:rsidP="006139B4">
            <w:pPr>
              <w:pStyle w:val="TableText0"/>
              <w:keepNext w:val="0"/>
              <w:rPr>
                <w:i/>
                <w:iCs/>
              </w:rPr>
            </w:pPr>
            <w:r w:rsidRPr="00873941">
              <w:t>Continuing (1 vial): $</w:t>
            </w:r>
            <w:r w:rsidR="00471EB9" w:rsidRPr="00471EB9">
              <w:rPr>
                <w:color w:val="000000"/>
                <w:spacing w:val="53"/>
                <w:shd w:val="solid" w:color="000000" w:fill="000000"/>
                <w:fitText w:val="330" w:id="-694407936"/>
                <w14:textFill>
                  <w14:solidFill>
                    <w14:srgbClr w14:val="000000">
                      <w14:alpha w14:val="100000"/>
                    </w14:srgbClr>
                  </w14:solidFill>
                </w14:textFill>
              </w:rPr>
              <w:t>|||</w:t>
            </w:r>
            <w:r w:rsidR="00471EB9" w:rsidRPr="00471EB9">
              <w:rPr>
                <w:color w:val="000000"/>
                <w:spacing w:val="1"/>
                <w:shd w:val="solid" w:color="000000" w:fill="000000"/>
                <w:fitText w:val="330" w:id="-694407936"/>
                <w14:textFill>
                  <w14:solidFill>
                    <w14:srgbClr w14:val="000000">
                      <w14:alpha w14:val="100000"/>
                    </w14:srgbClr>
                  </w14:solidFill>
                </w14:textFill>
              </w:rPr>
              <w:t>|</w:t>
            </w:r>
            <w:r w:rsidRPr="00873941">
              <w:t>, $</w:t>
            </w:r>
            <w:r w:rsidR="00471EB9" w:rsidRPr="00471EB9">
              <w:rPr>
                <w:color w:val="000000"/>
                <w:spacing w:val="53"/>
                <w:shd w:val="solid" w:color="000000" w:fill="000000"/>
                <w:fitText w:val="330" w:id="-694407935"/>
                <w14:textFill>
                  <w14:solidFill>
                    <w14:srgbClr w14:val="000000">
                      <w14:alpha w14:val="100000"/>
                    </w14:srgbClr>
                  </w14:solidFill>
                </w14:textFill>
              </w:rPr>
              <w:t>|||</w:t>
            </w:r>
            <w:r w:rsidR="00471EB9" w:rsidRPr="00471EB9">
              <w:rPr>
                <w:color w:val="000000"/>
                <w:spacing w:val="1"/>
                <w:shd w:val="solid" w:color="000000" w:fill="000000"/>
                <w:fitText w:val="330" w:id="-694407935"/>
                <w14:textFill>
                  <w14:solidFill>
                    <w14:srgbClr w14:val="000000">
                      <w14:alpha w14:val="100000"/>
                    </w14:srgbClr>
                  </w14:solidFill>
                </w14:textFill>
              </w:rPr>
              <w:t>|</w:t>
            </w:r>
          </w:p>
        </w:tc>
        <w:tc>
          <w:tcPr>
            <w:tcW w:w="1730" w:type="pct"/>
            <w:vAlign w:val="center"/>
          </w:tcPr>
          <w:p w14:paraId="41F1DD44" w14:textId="77777777" w:rsidR="007D0CF5" w:rsidRPr="00873941" w:rsidRDefault="007D0CF5" w:rsidP="006139B4">
            <w:pPr>
              <w:pStyle w:val="TableText0"/>
              <w:keepNext w:val="0"/>
              <w:rPr>
                <w:u w:val="single"/>
              </w:rPr>
            </w:pPr>
            <w:r w:rsidRPr="00873941">
              <w:rPr>
                <w:u w:val="single"/>
              </w:rPr>
              <w:t>Proposed AEMP</w:t>
            </w:r>
          </w:p>
          <w:p w14:paraId="76C26047" w14:textId="5D102D8F" w:rsidR="007D0CF5" w:rsidRPr="00873941" w:rsidRDefault="007D0CF5" w:rsidP="006139B4">
            <w:pPr>
              <w:pStyle w:val="TableText0"/>
              <w:keepNext w:val="0"/>
            </w:pPr>
            <w:r w:rsidRPr="00873941">
              <w:t>Published: $</w:t>
            </w:r>
            <w:r w:rsidR="00471EB9" w:rsidRPr="00471EB9">
              <w:rPr>
                <w:color w:val="000000"/>
                <w:spacing w:val="53"/>
                <w:shd w:val="solid" w:color="000000" w:fill="000000"/>
                <w:fitText w:val="330" w:id="-694407934"/>
                <w14:textFill>
                  <w14:solidFill>
                    <w14:srgbClr w14:val="000000">
                      <w14:alpha w14:val="100000"/>
                    </w14:srgbClr>
                  </w14:solidFill>
                </w14:textFill>
              </w:rPr>
              <w:t>|||</w:t>
            </w:r>
            <w:r w:rsidR="00471EB9" w:rsidRPr="00471EB9">
              <w:rPr>
                <w:color w:val="000000"/>
                <w:spacing w:val="1"/>
                <w:shd w:val="solid" w:color="000000" w:fill="000000"/>
                <w:fitText w:val="330" w:id="-694407934"/>
                <w14:textFill>
                  <w14:solidFill>
                    <w14:srgbClr w14:val="000000">
                      <w14:alpha w14:val="100000"/>
                    </w14:srgbClr>
                  </w14:solidFill>
                </w14:textFill>
              </w:rPr>
              <w:t>|</w:t>
            </w:r>
          </w:p>
          <w:p w14:paraId="19F4772F" w14:textId="290B996C" w:rsidR="007D0CF5" w:rsidRPr="00873941" w:rsidRDefault="007D0CF5" w:rsidP="006139B4">
            <w:pPr>
              <w:pStyle w:val="TableText0"/>
              <w:keepNext w:val="0"/>
            </w:pPr>
            <w:r w:rsidRPr="00873941">
              <w:t>Effective: $</w:t>
            </w:r>
            <w:r w:rsidR="00471EB9" w:rsidRPr="00471EB9">
              <w:rPr>
                <w:color w:val="000000"/>
                <w:spacing w:val="53"/>
                <w:shd w:val="solid" w:color="000000" w:fill="000000"/>
                <w:fitText w:val="330" w:id="-694407933"/>
                <w14:textFill>
                  <w14:solidFill>
                    <w14:srgbClr w14:val="000000">
                      <w14:alpha w14:val="100000"/>
                    </w14:srgbClr>
                  </w14:solidFill>
                </w14:textFill>
              </w:rPr>
              <w:t>|||</w:t>
            </w:r>
            <w:r w:rsidR="00471EB9" w:rsidRPr="00471EB9">
              <w:rPr>
                <w:color w:val="000000"/>
                <w:spacing w:val="1"/>
                <w:shd w:val="solid" w:color="000000" w:fill="000000"/>
                <w:fitText w:val="330" w:id="-694407933"/>
                <w14:textFill>
                  <w14:solidFill>
                    <w14:srgbClr w14:val="000000">
                      <w14:alpha w14:val="100000"/>
                    </w14:srgbClr>
                  </w14:solidFill>
                </w14:textFill>
              </w:rPr>
              <w:t>|</w:t>
            </w:r>
          </w:p>
          <w:p w14:paraId="528D156C" w14:textId="77777777" w:rsidR="007D0CF5" w:rsidRPr="00873941" w:rsidRDefault="007D0CF5" w:rsidP="006139B4">
            <w:pPr>
              <w:pStyle w:val="TableText0"/>
              <w:keepNext w:val="0"/>
            </w:pPr>
          </w:p>
          <w:p w14:paraId="097BB7CA" w14:textId="56FCCE6B" w:rsidR="007D0CF5" w:rsidRPr="00873941" w:rsidRDefault="007D0CF5" w:rsidP="006139B4">
            <w:pPr>
              <w:pStyle w:val="TableText0"/>
              <w:keepNext w:val="0"/>
            </w:pPr>
            <w:r w:rsidRPr="00873941">
              <w:t xml:space="preserve">The resubmission presented the number of vials rather than the number of scripts and stated that although </w:t>
            </w:r>
            <w:r w:rsidR="00F74FD3" w:rsidRPr="00873941">
              <w:t xml:space="preserve">2 </w:t>
            </w:r>
            <w:r w:rsidRPr="00873941">
              <w:t xml:space="preserve">vials are taken in the initiating stages (one script), it was assumed these were separate scripts in the Workbook. The </w:t>
            </w:r>
            <w:r w:rsidR="008A62CC" w:rsidRPr="00873941">
              <w:t>D</w:t>
            </w:r>
            <w:r w:rsidR="008A62CC">
              <w:t>PM</w:t>
            </w:r>
            <w:r w:rsidR="008A62CC" w:rsidRPr="00873941">
              <w:t xml:space="preserve">As </w:t>
            </w:r>
            <w:r w:rsidRPr="00873941">
              <w:t>were calculated as (AEMP for one 420 mg vial) + EFC markups instead of (2*AEMP for one 420 mg vial) + EFC markups.</w:t>
            </w:r>
          </w:p>
        </w:tc>
        <w:tc>
          <w:tcPr>
            <w:tcW w:w="1701" w:type="pct"/>
            <w:vAlign w:val="center"/>
          </w:tcPr>
          <w:p w14:paraId="6A4674E8" w14:textId="4267B44B" w:rsidR="007D0CF5" w:rsidRPr="00873941" w:rsidRDefault="007D0CF5" w:rsidP="006139B4">
            <w:pPr>
              <w:pStyle w:val="TableText0"/>
              <w:keepNext w:val="0"/>
            </w:pPr>
            <w:r w:rsidRPr="00873941">
              <w:t>The initial DPMAs should be:</w:t>
            </w:r>
          </w:p>
          <w:p w14:paraId="2BFFCEC9" w14:textId="77777777" w:rsidR="007D0CF5" w:rsidRPr="00873941" w:rsidRDefault="007D0CF5" w:rsidP="006139B4">
            <w:pPr>
              <w:pStyle w:val="TableText0"/>
              <w:keepNext w:val="0"/>
            </w:pPr>
            <w:r w:rsidRPr="00873941">
              <w:t xml:space="preserve">Published: $5,927.63, $6,054.03; </w:t>
            </w:r>
          </w:p>
          <w:p w14:paraId="48CCB4CC" w14:textId="577F26E0" w:rsidR="00AC6442" w:rsidRPr="00873941" w:rsidRDefault="007D0CF5" w:rsidP="006139B4">
            <w:pPr>
              <w:pStyle w:val="TableText0"/>
              <w:keepNext w:val="0"/>
            </w:pPr>
            <w:r w:rsidRPr="00873941">
              <w:t>Effective: $</w:t>
            </w:r>
            <w:r w:rsidR="00471EB9" w:rsidRPr="00471EB9">
              <w:rPr>
                <w:color w:val="000000"/>
                <w:spacing w:val="53"/>
                <w:shd w:val="solid" w:color="000000" w:fill="000000"/>
                <w:fitText w:val="330" w:id="-694407932"/>
                <w14:textFill>
                  <w14:solidFill>
                    <w14:srgbClr w14:val="000000">
                      <w14:alpha w14:val="100000"/>
                    </w14:srgbClr>
                  </w14:solidFill>
                </w14:textFill>
              </w:rPr>
              <w:t>|||</w:t>
            </w:r>
            <w:r w:rsidR="00471EB9" w:rsidRPr="00471EB9">
              <w:rPr>
                <w:color w:val="000000"/>
                <w:spacing w:val="1"/>
                <w:shd w:val="solid" w:color="000000" w:fill="000000"/>
                <w:fitText w:val="330" w:id="-694407932"/>
                <w14:textFill>
                  <w14:solidFill>
                    <w14:srgbClr w14:val="000000">
                      <w14:alpha w14:val="100000"/>
                    </w14:srgbClr>
                  </w14:solidFill>
                </w14:textFill>
              </w:rPr>
              <w:t>|</w:t>
            </w:r>
            <w:r w:rsidRPr="00873941">
              <w:t>, $</w:t>
            </w:r>
            <w:r w:rsidR="00471EB9" w:rsidRPr="00471EB9">
              <w:rPr>
                <w:color w:val="000000"/>
                <w:spacing w:val="53"/>
                <w:shd w:val="solid" w:color="000000" w:fill="000000"/>
                <w:fitText w:val="330" w:id="-694407931"/>
                <w14:textFill>
                  <w14:solidFill>
                    <w14:srgbClr w14:val="000000">
                      <w14:alpha w14:val="100000"/>
                    </w14:srgbClr>
                  </w14:solidFill>
                </w14:textFill>
              </w:rPr>
              <w:t>|||</w:t>
            </w:r>
            <w:r w:rsidR="00471EB9" w:rsidRPr="00471EB9">
              <w:rPr>
                <w:color w:val="000000"/>
                <w:spacing w:val="1"/>
                <w:shd w:val="solid" w:color="000000" w:fill="000000"/>
                <w:fitText w:val="330" w:id="-694407931"/>
                <w14:textFill>
                  <w14:solidFill>
                    <w14:srgbClr w14:val="000000">
                      <w14:alpha w14:val="100000"/>
                    </w14:srgbClr>
                  </w14:solidFill>
                </w14:textFill>
              </w:rPr>
              <w:t>|</w:t>
            </w:r>
            <w:r w:rsidRPr="00873941">
              <w:t>.</w:t>
            </w:r>
            <w:r w:rsidR="00C434BF" w:rsidRPr="00873941">
              <w:t xml:space="preserve"> </w:t>
            </w:r>
          </w:p>
          <w:p w14:paraId="5E27120F" w14:textId="77777777" w:rsidR="00AC6442" w:rsidRPr="00873941" w:rsidRDefault="00AC6442" w:rsidP="006139B4">
            <w:pPr>
              <w:pStyle w:val="TableText0"/>
              <w:keepNext w:val="0"/>
            </w:pPr>
          </w:p>
          <w:p w14:paraId="7091C1BC" w14:textId="0018A373" w:rsidR="007D0CF5" w:rsidRPr="00873941" w:rsidRDefault="00C434BF" w:rsidP="006139B4">
            <w:pPr>
              <w:pStyle w:val="TableText0"/>
              <w:keepNext w:val="0"/>
            </w:pPr>
            <w:r w:rsidRPr="00873941">
              <w:t xml:space="preserve">The financial impact using corrected DPMAs is presented in </w:t>
            </w:r>
            <w:r w:rsidRPr="00873941">
              <w:fldChar w:fldCharType="begin"/>
            </w:r>
            <w:r w:rsidRPr="00873941">
              <w:instrText xml:space="preserve"> REF _Ref183186744 \h  \* MERGEFORMAT </w:instrText>
            </w:r>
            <w:r w:rsidRPr="00873941">
              <w:fldChar w:fldCharType="separate"/>
            </w:r>
            <w:r w:rsidR="000B094B" w:rsidRPr="00873941">
              <w:t xml:space="preserve">Table </w:t>
            </w:r>
            <w:r w:rsidR="000B094B">
              <w:t>21</w:t>
            </w:r>
            <w:r w:rsidRPr="00873941">
              <w:fldChar w:fldCharType="end"/>
            </w:r>
            <w:r w:rsidRPr="00873941">
              <w:t>.</w:t>
            </w:r>
          </w:p>
        </w:tc>
      </w:tr>
      <w:tr w:rsidR="00DF503A" w:rsidRPr="00873941" w14:paraId="3F698D20" w14:textId="77777777" w:rsidTr="004B5173">
        <w:tc>
          <w:tcPr>
            <w:tcW w:w="784" w:type="pct"/>
            <w:vAlign w:val="center"/>
          </w:tcPr>
          <w:p w14:paraId="0ECA7072" w14:textId="77777777" w:rsidR="007D0CF5" w:rsidRPr="00873941" w:rsidRDefault="007D0CF5" w:rsidP="00882297">
            <w:pPr>
              <w:pStyle w:val="TableText0"/>
            </w:pPr>
            <w:r w:rsidRPr="00873941">
              <w:lastRenderedPageBreak/>
              <w:t>Adjuvant T-DM1 (DPMA)</w:t>
            </w:r>
          </w:p>
        </w:tc>
        <w:tc>
          <w:tcPr>
            <w:tcW w:w="785" w:type="pct"/>
            <w:vAlign w:val="center"/>
          </w:tcPr>
          <w:p w14:paraId="1536AAE8" w14:textId="77777777" w:rsidR="000A76C8" w:rsidRPr="00873941" w:rsidRDefault="000A76C8" w:rsidP="00882297">
            <w:pPr>
              <w:pStyle w:val="TableText0"/>
            </w:pPr>
            <w:r w:rsidRPr="00873941">
              <w:t>Public: $7,270.12</w:t>
            </w:r>
          </w:p>
          <w:p w14:paraId="07487AC4" w14:textId="0A45D499" w:rsidR="007D0CF5" w:rsidRPr="00873941" w:rsidRDefault="000A76C8" w:rsidP="00882297">
            <w:pPr>
              <w:pStyle w:val="TableText0"/>
            </w:pPr>
            <w:r w:rsidRPr="00873941">
              <w:t>Private: $7,415.30</w:t>
            </w:r>
          </w:p>
        </w:tc>
        <w:tc>
          <w:tcPr>
            <w:tcW w:w="1730" w:type="pct"/>
            <w:vAlign w:val="center"/>
          </w:tcPr>
          <w:p w14:paraId="029A7145" w14:textId="6FC04A37" w:rsidR="007D0CF5" w:rsidRPr="00873941" w:rsidRDefault="007D0CF5" w:rsidP="00882297">
            <w:pPr>
              <w:pStyle w:val="TableText0"/>
            </w:pPr>
            <w:r w:rsidRPr="00873941">
              <w:t>PBS</w:t>
            </w:r>
            <w:r w:rsidR="000A76C8" w:rsidRPr="00873941">
              <w:t xml:space="preserve"> items 11951B &amp; </w:t>
            </w:r>
            <w:r w:rsidR="00AC2989" w:rsidRPr="00873941">
              <w:t>119</w:t>
            </w:r>
            <w:r w:rsidR="00AC2989">
              <w:t>56</w:t>
            </w:r>
            <w:r w:rsidR="00AC2989" w:rsidRPr="00873941">
              <w:t>G</w:t>
            </w:r>
          </w:p>
        </w:tc>
        <w:tc>
          <w:tcPr>
            <w:tcW w:w="1701" w:type="pct"/>
            <w:vAlign w:val="center"/>
          </w:tcPr>
          <w:p w14:paraId="79F82327" w14:textId="604EE3C1" w:rsidR="007D0CF5" w:rsidRPr="00873941" w:rsidRDefault="007D0CF5" w:rsidP="00882297">
            <w:pPr>
              <w:pStyle w:val="TableText0"/>
            </w:pPr>
          </w:p>
        </w:tc>
      </w:tr>
      <w:tr w:rsidR="00DF503A" w:rsidRPr="00873941" w14:paraId="1FDAC2EA" w14:textId="77777777" w:rsidTr="004B5173">
        <w:tc>
          <w:tcPr>
            <w:tcW w:w="784" w:type="pct"/>
            <w:vAlign w:val="center"/>
          </w:tcPr>
          <w:p w14:paraId="4F57DC11" w14:textId="77777777" w:rsidR="007D0CF5" w:rsidRPr="00873941" w:rsidRDefault="007D0CF5" w:rsidP="006139B4">
            <w:pPr>
              <w:pStyle w:val="TableText0"/>
              <w:keepNext w:val="0"/>
            </w:pPr>
            <w:r w:rsidRPr="00873941">
              <w:t>Adjuvant trastuzumab (DPMA)</w:t>
            </w:r>
          </w:p>
        </w:tc>
        <w:tc>
          <w:tcPr>
            <w:tcW w:w="785" w:type="pct"/>
            <w:vAlign w:val="center"/>
          </w:tcPr>
          <w:p w14:paraId="0A39BF8D" w14:textId="77777777" w:rsidR="000A76C8" w:rsidRPr="00873941" w:rsidRDefault="000A76C8" w:rsidP="000A76C8">
            <w:pPr>
              <w:pStyle w:val="TableText0"/>
              <w:keepNext w:val="0"/>
            </w:pPr>
            <w:r w:rsidRPr="00873941">
              <w:t>Public: $708.44</w:t>
            </w:r>
          </w:p>
          <w:p w14:paraId="78A2510A" w14:textId="7E8D8F9D" w:rsidR="007D0CF5" w:rsidRPr="00873941" w:rsidRDefault="000A76C8" w:rsidP="000A76C8">
            <w:pPr>
              <w:pStyle w:val="TableText0"/>
              <w:keepNext w:val="0"/>
            </w:pPr>
            <w:r w:rsidRPr="00873941">
              <w:t>Private: $731.70</w:t>
            </w:r>
          </w:p>
        </w:tc>
        <w:tc>
          <w:tcPr>
            <w:tcW w:w="1730" w:type="pct"/>
            <w:vAlign w:val="center"/>
          </w:tcPr>
          <w:p w14:paraId="060BD6CF" w14:textId="60C62488" w:rsidR="007D0CF5" w:rsidRPr="00873941" w:rsidRDefault="007D0CF5" w:rsidP="006139B4">
            <w:pPr>
              <w:pStyle w:val="TableText0"/>
              <w:keepNext w:val="0"/>
            </w:pPr>
            <w:r w:rsidRPr="00873941">
              <w:t>PBS</w:t>
            </w:r>
            <w:r w:rsidR="000A76C8" w:rsidRPr="00873941">
              <w:t xml:space="preserve"> Items 4703M &amp; 7267L</w:t>
            </w:r>
          </w:p>
        </w:tc>
        <w:tc>
          <w:tcPr>
            <w:tcW w:w="1701" w:type="pct"/>
            <w:vAlign w:val="center"/>
          </w:tcPr>
          <w:p w14:paraId="0F3C8584" w14:textId="6C3B5F0F" w:rsidR="007D0CF5" w:rsidRPr="00873941" w:rsidRDefault="007D0CF5" w:rsidP="006139B4">
            <w:pPr>
              <w:pStyle w:val="TableText0"/>
              <w:keepNext w:val="0"/>
            </w:pPr>
          </w:p>
        </w:tc>
      </w:tr>
      <w:tr w:rsidR="00DF503A" w:rsidRPr="00873941" w14:paraId="38318DBF" w14:textId="77777777" w:rsidTr="004B5173">
        <w:tc>
          <w:tcPr>
            <w:tcW w:w="784" w:type="pct"/>
            <w:vAlign w:val="center"/>
          </w:tcPr>
          <w:p w14:paraId="26745A0F" w14:textId="77777777" w:rsidR="007D0CF5" w:rsidRPr="00873941" w:rsidRDefault="007D0CF5" w:rsidP="006139B4">
            <w:pPr>
              <w:pStyle w:val="TableText0"/>
              <w:keepNext w:val="0"/>
            </w:pPr>
            <w:r w:rsidRPr="00873941">
              <w:t>Reduction in metastatic treatment costs (cumulative per patient)</w:t>
            </w:r>
          </w:p>
        </w:tc>
        <w:tc>
          <w:tcPr>
            <w:tcW w:w="785" w:type="pct"/>
            <w:vAlign w:val="center"/>
          </w:tcPr>
          <w:p w14:paraId="58AFBD20" w14:textId="472C33FA" w:rsidR="007D0CF5" w:rsidRPr="00873941" w:rsidRDefault="007D0CF5" w:rsidP="006139B4">
            <w:pPr>
              <w:pStyle w:val="TableText0"/>
              <w:keepNext w:val="0"/>
            </w:pPr>
            <w:r w:rsidRPr="00873941">
              <w:t>Yr 1: -$</w:t>
            </w:r>
            <w:r w:rsidR="00471EB9" w:rsidRPr="00471EB9">
              <w:rPr>
                <w:color w:val="000000"/>
                <w:spacing w:val="53"/>
                <w:shd w:val="solid" w:color="000000" w:fill="000000"/>
                <w:fitText w:val="330" w:id="-694407930"/>
                <w14:textFill>
                  <w14:solidFill>
                    <w14:srgbClr w14:val="000000">
                      <w14:alpha w14:val="100000"/>
                    </w14:srgbClr>
                  </w14:solidFill>
                </w14:textFill>
              </w:rPr>
              <w:t>|||</w:t>
            </w:r>
            <w:r w:rsidR="00471EB9" w:rsidRPr="00471EB9">
              <w:rPr>
                <w:color w:val="000000"/>
                <w:spacing w:val="1"/>
                <w:shd w:val="solid" w:color="000000" w:fill="000000"/>
                <w:fitText w:val="330" w:id="-694407930"/>
                <w14:textFill>
                  <w14:solidFill>
                    <w14:srgbClr w14:val="000000">
                      <w14:alpha w14:val="100000"/>
                    </w14:srgbClr>
                  </w14:solidFill>
                </w14:textFill>
              </w:rPr>
              <w:t>|</w:t>
            </w:r>
          </w:p>
          <w:p w14:paraId="68F75FFF" w14:textId="7C918E76" w:rsidR="007D0CF5" w:rsidRPr="00873941" w:rsidRDefault="007D0CF5" w:rsidP="006139B4">
            <w:pPr>
              <w:pStyle w:val="TableText0"/>
              <w:keepNext w:val="0"/>
            </w:pPr>
            <w:r w:rsidRPr="00873941">
              <w:t>Yr 2: -$</w:t>
            </w:r>
            <w:r w:rsidR="00471EB9" w:rsidRPr="00471EB9">
              <w:rPr>
                <w:color w:val="000000"/>
                <w:spacing w:val="53"/>
                <w:shd w:val="solid" w:color="000000" w:fill="000000"/>
                <w:fitText w:val="330" w:id="-694407929"/>
                <w14:textFill>
                  <w14:solidFill>
                    <w14:srgbClr w14:val="000000">
                      <w14:alpha w14:val="100000"/>
                    </w14:srgbClr>
                  </w14:solidFill>
                </w14:textFill>
              </w:rPr>
              <w:t>|||</w:t>
            </w:r>
            <w:r w:rsidR="00471EB9" w:rsidRPr="00471EB9">
              <w:rPr>
                <w:color w:val="000000"/>
                <w:spacing w:val="1"/>
                <w:shd w:val="solid" w:color="000000" w:fill="000000"/>
                <w:fitText w:val="330" w:id="-694407929"/>
                <w14:textFill>
                  <w14:solidFill>
                    <w14:srgbClr w14:val="000000">
                      <w14:alpha w14:val="100000"/>
                    </w14:srgbClr>
                  </w14:solidFill>
                </w14:textFill>
              </w:rPr>
              <w:t>|</w:t>
            </w:r>
          </w:p>
          <w:p w14:paraId="752A9EA3" w14:textId="7749F7C3" w:rsidR="007D0CF5" w:rsidRPr="00873941" w:rsidRDefault="007D0CF5" w:rsidP="006139B4">
            <w:pPr>
              <w:pStyle w:val="TableText0"/>
              <w:keepNext w:val="0"/>
            </w:pPr>
            <w:r w:rsidRPr="00873941">
              <w:t>Yr 3: -$</w:t>
            </w:r>
            <w:r w:rsidR="00471EB9" w:rsidRPr="00471EB9">
              <w:rPr>
                <w:color w:val="000000"/>
                <w:spacing w:val="53"/>
                <w:shd w:val="solid" w:color="000000" w:fill="000000"/>
                <w:fitText w:val="330" w:id="-694407928"/>
                <w14:textFill>
                  <w14:solidFill>
                    <w14:srgbClr w14:val="000000">
                      <w14:alpha w14:val="100000"/>
                    </w14:srgbClr>
                  </w14:solidFill>
                </w14:textFill>
              </w:rPr>
              <w:t>|||</w:t>
            </w:r>
            <w:r w:rsidR="00471EB9" w:rsidRPr="00471EB9">
              <w:rPr>
                <w:color w:val="000000"/>
                <w:spacing w:val="1"/>
                <w:shd w:val="solid" w:color="000000" w:fill="000000"/>
                <w:fitText w:val="330" w:id="-694407928"/>
                <w14:textFill>
                  <w14:solidFill>
                    <w14:srgbClr w14:val="000000">
                      <w14:alpha w14:val="100000"/>
                    </w14:srgbClr>
                  </w14:solidFill>
                </w14:textFill>
              </w:rPr>
              <w:t>|</w:t>
            </w:r>
          </w:p>
          <w:p w14:paraId="7F14CDB8" w14:textId="74D93615" w:rsidR="007D0CF5" w:rsidRPr="00873941" w:rsidRDefault="007D0CF5" w:rsidP="006139B4">
            <w:pPr>
              <w:pStyle w:val="TableText0"/>
              <w:keepNext w:val="0"/>
            </w:pPr>
            <w:r w:rsidRPr="00873941">
              <w:t>Yr 4: -$</w:t>
            </w:r>
            <w:r w:rsidR="00471EB9" w:rsidRPr="00471EB9">
              <w:rPr>
                <w:color w:val="000000"/>
                <w:spacing w:val="53"/>
                <w:shd w:val="solid" w:color="000000" w:fill="000000"/>
                <w:fitText w:val="330" w:id="-694407927"/>
                <w14:textFill>
                  <w14:solidFill>
                    <w14:srgbClr w14:val="000000">
                      <w14:alpha w14:val="100000"/>
                    </w14:srgbClr>
                  </w14:solidFill>
                </w14:textFill>
              </w:rPr>
              <w:t>|||</w:t>
            </w:r>
            <w:r w:rsidR="00471EB9" w:rsidRPr="00471EB9">
              <w:rPr>
                <w:color w:val="000000"/>
                <w:spacing w:val="1"/>
                <w:shd w:val="solid" w:color="000000" w:fill="000000"/>
                <w:fitText w:val="330" w:id="-694407927"/>
                <w14:textFill>
                  <w14:solidFill>
                    <w14:srgbClr w14:val="000000">
                      <w14:alpha w14:val="100000"/>
                    </w14:srgbClr>
                  </w14:solidFill>
                </w14:textFill>
              </w:rPr>
              <w:t>|</w:t>
            </w:r>
          </w:p>
          <w:p w14:paraId="5C250B72" w14:textId="67EAAA1D" w:rsidR="007D0CF5" w:rsidRPr="00873941" w:rsidRDefault="007D0CF5" w:rsidP="006139B4">
            <w:pPr>
              <w:pStyle w:val="TableText0"/>
              <w:keepNext w:val="0"/>
            </w:pPr>
            <w:r w:rsidRPr="00873941">
              <w:t>Yr 5: -$</w:t>
            </w:r>
            <w:r w:rsidR="00471EB9" w:rsidRPr="00471EB9">
              <w:rPr>
                <w:color w:val="000000"/>
                <w:spacing w:val="53"/>
                <w:shd w:val="solid" w:color="000000" w:fill="000000"/>
                <w:fitText w:val="330" w:id="-694407926"/>
                <w14:textFill>
                  <w14:solidFill>
                    <w14:srgbClr w14:val="000000">
                      <w14:alpha w14:val="100000"/>
                    </w14:srgbClr>
                  </w14:solidFill>
                </w14:textFill>
              </w:rPr>
              <w:t>|||</w:t>
            </w:r>
            <w:r w:rsidR="00471EB9" w:rsidRPr="00471EB9">
              <w:rPr>
                <w:color w:val="000000"/>
                <w:spacing w:val="1"/>
                <w:shd w:val="solid" w:color="000000" w:fill="000000"/>
                <w:fitText w:val="330" w:id="-694407926"/>
                <w14:textFill>
                  <w14:solidFill>
                    <w14:srgbClr w14:val="000000">
                      <w14:alpha w14:val="100000"/>
                    </w14:srgbClr>
                  </w14:solidFill>
                </w14:textFill>
              </w:rPr>
              <w:t>|</w:t>
            </w:r>
          </w:p>
          <w:p w14:paraId="1434FB25" w14:textId="0DAA85C3" w:rsidR="007D0CF5" w:rsidRPr="00873941" w:rsidRDefault="007D0CF5" w:rsidP="006139B4">
            <w:pPr>
              <w:pStyle w:val="TableText0"/>
              <w:keepNext w:val="0"/>
            </w:pPr>
            <w:r w:rsidRPr="00873941">
              <w:t>Yr 6: -$</w:t>
            </w:r>
            <w:r w:rsidR="00471EB9" w:rsidRPr="00471EB9">
              <w:rPr>
                <w:color w:val="000000"/>
                <w:spacing w:val="53"/>
                <w:shd w:val="solid" w:color="000000" w:fill="000000"/>
                <w:fitText w:val="330" w:id="-694407925"/>
                <w14:textFill>
                  <w14:solidFill>
                    <w14:srgbClr w14:val="000000">
                      <w14:alpha w14:val="100000"/>
                    </w14:srgbClr>
                  </w14:solidFill>
                </w14:textFill>
              </w:rPr>
              <w:t>|||</w:t>
            </w:r>
            <w:r w:rsidR="00471EB9" w:rsidRPr="00471EB9">
              <w:rPr>
                <w:color w:val="000000"/>
                <w:spacing w:val="1"/>
                <w:shd w:val="solid" w:color="000000" w:fill="000000"/>
                <w:fitText w:val="330" w:id="-694407925"/>
                <w14:textFill>
                  <w14:solidFill>
                    <w14:srgbClr w14:val="000000">
                      <w14:alpha w14:val="100000"/>
                    </w14:srgbClr>
                  </w14:solidFill>
                </w14:textFill>
              </w:rPr>
              <w:t>|</w:t>
            </w:r>
          </w:p>
        </w:tc>
        <w:tc>
          <w:tcPr>
            <w:tcW w:w="1730" w:type="pct"/>
            <w:vAlign w:val="center"/>
          </w:tcPr>
          <w:p w14:paraId="4F936F0A" w14:textId="77777777" w:rsidR="007D0CF5" w:rsidRPr="00873941" w:rsidRDefault="007D0CF5" w:rsidP="006139B4">
            <w:pPr>
              <w:pStyle w:val="TableText0"/>
              <w:keepNext w:val="0"/>
            </w:pPr>
            <w:r w:rsidRPr="00873941">
              <w:t>Output from the economic model</w:t>
            </w:r>
          </w:p>
        </w:tc>
        <w:tc>
          <w:tcPr>
            <w:tcW w:w="1701" w:type="pct"/>
            <w:vAlign w:val="center"/>
          </w:tcPr>
          <w:p w14:paraId="6617C01A" w14:textId="1D6D661C" w:rsidR="007D0CF5" w:rsidRPr="00873941" w:rsidRDefault="007D0CF5" w:rsidP="006139B4">
            <w:pPr>
              <w:pStyle w:val="TableText0"/>
              <w:keepNext w:val="0"/>
            </w:pPr>
            <w:r w:rsidRPr="00A0454D">
              <w:t>Th</w:t>
            </w:r>
            <w:r w:rsidR="00FC4692" w:rsidRPr="00A0454D">
              <w:t>e evaluation considered th</w:t>
            </w:r>
            <w:r w:rsidRPr="00A0454D">
              <w:t>is</w:t>
            </w:r>
            <w:r w:rsidRPr="00873941">
              <w:t xml:space="preserve"> was reasonable. The economic model included the cost of treating locoregional recurrence.</w:t>
            </w:r>
          </w:p>
        </w:tc>
      </w:tr>
      <w:tr w:rsidR="00DF503A" w:rsidRPr="00873941" w14:paraId="5E5ED887" w14:textId="77777777" w:rsidTr="004B5173">
        <w:tc>
          <w:tcPr>
            <w:tcW w:w="784" w:type="pct"/>
            <w:vAlign w:val="center"/>
          </w:tcPr>
          <w:p w14:paraId="6017AC3B" w14:textId="77777777" w:rsidR="007D0CF5" w:rsidRPr="00873941" w:rsidRDefault="007D0CF5" w:rsidP="006139B4">
            <w:pPr>
              <w:pStyle w:val="TableText0"/>
              <w:keepNext w:val="0"/>
            </w:pPr>
            <w:r w:rsidRPr="00873941">
              <w:t>MBS costs</w:t>
            </w:r>
          </w:p>
        </w:tc>
        <w:tc>
          <w:tcPr>
            <w:tcW w:w="785" w:type="pct"/>
            <w:vAlign w:val="center"/>
          </w:tcPr>
          <w:p w14:paraId="07373718" w14:textId="77777777" w:rsidR="007D0CF5" w:rsidRPr="00873941" w:rsidRDefault="007D0CF5" w:rsidP="006139B4">
            <w:pPr>
              <w:pStyle w:val="TableText0"/>
              <w:keepNext w:val="0"/>
            </w:pPr>
            <w:r w:rsidRPr="00873941">
              <w:t>None</w:t>
            </w:r>
          </w:p>
        </w:tc>
        <w:tc>
          <w:tcPr>
            <w:tcW w:w="1730" w:type="pct"/>
            <w:vAlign w:val="center"/>
          </w:tcPr>
          <w:p w14:paraId="6C493728" w14:textId="77777777" w:rsidR="007D0CF5" w:rsidRPr="00873941" w:rsidRDefault="007D0CF5" w:rsidP="006139B4">
            <w:pPr>
              <w:pStyle w:val="TableText0"/>
              <w:keepNext w:val="0"/>
            </w:pPr>
            <w:r w:rsidRPr="00873941">
              <w:t>None</w:t>
            </w:r>
          </w:p>
        </w:tc>
        <w:tc>
          <w:tcPr>
            <w:tcW w:w="1701" w:type="pct"/>
            <w:vAlign w:val="center"/>
          </w:tcPr>
          <w:p w14:paraId="4FD5F683" w14:textId="77777777" w:rsidR="007D0CF5" w:rsidRPr="00873941" w:rsidRDefault="007D0CF5" w:rsidP="006139B4">
            <w:pPr>
              <w:pStyle w:val="TableText0"/>
              <w:keepNext w:val="0"/>
            </w:pPr>
            <w:r w:rsidRPr="00873941">
              <w:t>This was inconsistent with the economic model, which included changes in MBS utilisation (e.g. intravenous drug administration).</w:t>
            </w:r>
          </w:p>
        </w:tc>
      </w:tr>
    </w:tbl>
    <w:p w14:paraId="77A5A42E" w14:textId="7DA52B1F" w:rsidR="007D0CF5" w:rsidRPr="00873941" w:rsidRDefault="007D0CF5" w:rsidP="007D0CF5">
      <w:pPr>
        <w:pStyle w:val="FooterTableFigure"/>
        <w:keepNext/>
      </w:pPr>
      <w:r w:rsidRPr="00873941">
        <w:t>Source: Tables 4-6, 4-7, 4-9, 4-11, 4-13 &amp; 4-15of the resubmission.</w:t>
      </w:r>
    </w:p>
    <w:p w14:paraId="19ECBE12" w14:textId="77777777" w:rsidR="00FD2278" w:rsidRDefault="007D0CF5" w:rsidP="007D0CF5">
      <w:pPr>
        <w:pStyle w:val="FooterTableFigure"/>
      </w:pPr>
      <w:r w:rsidRPr="00873941">
        <w:t>Chemo=chemotherapy; DPMA=dispensed price for maximum amount; P=pertuzumab; PBS=Pharmaceuticals Benefit Scheme; T=trastuzumab; T-DM1=Trastuzumab emtansine; Yr=year.</w:t>
      </w:r>
      <w:r w:rsidR="00FD2278" w:rsidRPr="00FD2278">
        <w:t xml:space="preserve"> </w:t>
      </w:r>
    </w:p>
    <w:p w14:paraId="17D907B6" w14:textId="77777777" w:rsidR="0036737D" w:rsidRPr="005E4AA1" w:rsidRDefault="00FD2278" w:rsidP="007D0CF5">
      <w:pPr>
        <w:pStyle w:val="FooterTableFigure"/>
        <w:rPr>
          <w:i/>
          <w:iCs/>
        </w:rPr>
      </w:pPr>
      <w:r w:rsidRPr="005E4AA1">
        <w:rPr>
          <w:i/>
          <w:iCs/>
        </w:rPr>
        <w:t>The redacted values correspond to the following ranges:</w:t>
      </w:r>
      <w:r w:rsidR="0036737D" w:rsidRPr="005E4AA1">
        <w:rPr>
          <w:i/>
          <w:iCs/>
        </w:rPr>
        <w:t xml:space="preserve"> </w:t>
      </w:r>
    </w:p>
    <w:p w14:paraId="2898838E" w14:textId="71BA6C48" w:rsidR="007D0CF5" w:rsidRPr="005E4AA1" w:rsidRDefault="0036737D" w:rsidP="007D0CF5">
      <w:pPr>
        <w:pStyle w:val="FooterTableFigure"/>
        <w:rPr>
          <w:i/>
          <w:iCs/>
        </w:rPr>
      </w:pPr>
      <w:r w:rsidRPr="005E4AA1">
        <w:rPr>
          <w:i/>
          <w:iCs/>
          <w:vertAlign w:val="superscript"/>
        </w:rPr>
        <w:t>1</w:t>
      </w:r>
      <w:r w:rsidRPr="005E4AA1">
        <w:rPr>
          <w:i/>
          <w:iCs/>
        </w:rPr>
        <w:t xml:space="preserve"> 500 to &lt; 5,000</w:t>
      </w:r>
    </w:p>
    <w:p w14:paraId="7DFBA863" w14:textId="11F4FBAA" w:rsidR="007D0CF5" w:rsidRPr="00873941" w:rsidRDefault="007D0CF5" w:rsidP="007D0CF5">
      <w:pPr>
        <w:pStyle w:val="3-BodyText"/>
      </w:pPr>
      <w:r w:rsidRPr="00873941">
        <w:t>In addition to changing from a market share to epidemiological approach, key differences between the March 2020 submission and the resubmission include</w:t>
      </w:r>
      <w:r w:rsidR="00115F23" w:rsidRPr="00873941">
        <w:t>d</w:t>
      </w:r>
      <w:r w:rsidRPr="00873941">
        <w:t xml:space="preserve"> the uptake rate of neoadjuvant treatment (was 27-52%, now 80%), uptake rate of pertuzumab (was 60-80%, now </w:t>
      </w:r>
      <w:r w:rsidR="00471EB9" w:rsidRPr="00471EB9">
        <w:rPr>
          <w:color w:val="000000"/>
          <w:w w:val="60"/>
          <w:shd w:val="solid" w:color="000000" w:fill="000000"/>
          <w:fitText w:val="470" w:id="-694407924"/>
          <w14:textFill>
            <w14:solidFill>
              <w14:srgbClr w14:val="000000">
                <w14:alpha w14:val="100000"/>
              </w14:srgbClr>
            </w14:solidFill>
          </w14:textFill>
        </w:rPr>
        <w:t>|||  |||</w:t>
      </w:r>
      <w:r w:rsidRPr="00873941">
        <w:t>-</w:t>
      </w:r>
      <w:r w:rsidR="00471EB9" w:rsidRPr="00471EB9">
        <w:rPr>
          <w:color w:val="000000"/>
          <w:w w:val="60"/>
          <w:shd w:val="solid" w:color="000000" w:fill="000000"/>
          <w:fitText w:val="470" w:id="-694407923"/>
          <w14:textFill>
            <w14:solidFill>
              <w14:srgbClr w14:val="000000">
                <w14:alpha w14:val="100000"/>
              </w14:srgbClr>
            </w14:solidFill>
          </w14:textFill>
        </w:rPr>
        <w:t>|||  ||</w:t>
      </w:r>
      <w:r w:rsidR="00471EB9" w:rsidRPr="00471EB9">
        <w:rPr>
          <w:color w:val="000000"/>
          <w:spacing w:val="6"/>
          <w:w w:val="60"/>
          <w:shd w:val="solid" w:color="000000" w:fill="000000"/>
          <w:fitText w:val="470" w:id="-694407923"/>
          <w14:textFill>
            <w14:solidFill>
              <w14:srgbClr w14:val="000000">
                <w14:alpha w14:val="100000"/>
              </w14:srgbClr>
            </w14:solidFill>
          </w14:textFill>
        </w:rPr>
        <w:t>|</w:t>
      </w:r>
      <w:r w:rsidRPr="00873941">
        <w:t>%), and number of neoadjuvant cycles (was 4, now 4.45). The resubmission also include</w:t>
      </w:r>
      <w:r w:rsidR="00115F23" w:rsidRPr="00873941">
        <w:t>d</w:t>
      </w:r>
      <w:r w:rsidRPr="00873941">
        <w:t xml:space="preserve"> cost offsets for adjuvant and metastatic treatment.</w:t>
      </w:r>
    </w:p>
    <w:p w14:paraId="5E19385E" w14:textId="228FB82E" w:rsidR="000F50B3" w:rsidRPr="00A0454D" w:rsidRDefault="000F50B3" w:rsidP="007D0CF5">
      <w:pPr>
        <w:pStyle w:val="3-BodyText"/>
      </w:pPr>
      <w:r w:rsidRPr="00873941">
        <w:t>The method used to estimate the cost offsets for T-DM1</w:t>
      </w:r>
      <w:r w:rsidR="009F48E0" w:rsidRPr="00873941">
        <w:t xml:space="preserve"> and trastuzumab</w:t>
      </w:r>
      <w:r w:rsidRPr="00873941">
        <w:t xml:space="preserve"> in the adjuvant setting double counted the EFC dispensing fees. </w:t>
      </w:r>
      <w:r w:rsidR="00E501C7" w:rsidRPr="00A0454D">
        <w:t xml:space="preserve">The PSCR provided </w:t>
      </w:r>
      <w:r w:rsidR="006D5BC1" w:rsidRPr="00A0454D">
        <w:t xml:space="preserve">revised financial estimates correcting </w:t>
      </w:r>
      <w:r w:rsidR="00395D21" w:rsidRPr="00A0454D">
        <w:t xml:space="preserve">the </w:t>
      </w:r>
      <w:r w:rsidR="00977C46" w:rsidRPr="00A0454D">
        <w:t xml:space="preserve">pertuzumab DPMA and </w:t>
      </w:r>
      <w:r w:rsidR="00C0524D" w:rsidRPr="00A0454D">
        <w:t xml:space="preserve">revising the </w:t>
      </w:r>
      <w:r w:rsidR="00331969" w:rsidRPr="00A0454D">
        <w:t>cost offsets in the adjuvant setting to remove</w:t>
      </w:r>
      <w:r w:rsidR="00D86E1B" w:rsidRPr="00A0454D">
        <w:t xml:space="preserve"> </w:t>
      </w:r>
      <w:r w:rsidR="006D5BC1" w:rsidRPr="00A0454D">
        <w:t xml:space="preserve">the double counting of EFC dispensing fees. </w:t>
      </w:r>
    </w:p>
    <w:p w14:paraId="3A77DAF2" w14:textId="65C7EFAF" w:rsidR="007D0CF5" w:rsidRPr="00873941" w:rsidRDefault="007D0CF5" w:rsidP="003F7F5C">
      <w:pPr>
        <w:pStyle w:val="3-BodyText"/>
        <w:spacing w:after="240"/>
      </w:pPr>
      <w:r w:rsidRPr="00873941">
        <w:fldChar w:fldCharType="begin"/>
      </w:r>
      <w:r w:rsidRPr="00873941">
        <w:instrText xml:space="preserve"> REF _Ref183186744 \h </w:instrText>
      </w:r>
      <w:r w:rsidRPr="00873941">
        <w:fldChar w:fldCharType="separate"/>
      </w:r>
      <w:r w:rsidR="000B094B" w:rsidRPr="00873941">
        <w:t xml:space="preserve">Table </w:t>
      </w:r>
      <w:r w:rsidR="000B094B">
        <w:rPr>
          <w:noProof/>
        </w:rPr>
        <w:t>21</w:t>
      </w:r>
      <w:r w:rsidRPr="00873941">
        <w:fldChar w:fldCharType="end"/>
      </w:r>
      <w:r w:rsidRPr="00873941">
        <w:t xml:space="preserve"> </w:t>
      </w:r>
      <w:r w:rsidR="00115F23" w:rsidRPr="00873941">
        <w:t xml:space="preserve">presents </w:t>
      </w:r>
      <w:r w:rsidRPr="00873941">
        <w:t>the estimated use and financial implications to the PBS/RPBS of listing pertuzumab using the effective prices of pertuzumab</w:t>
      </w:r>
      <w:r w:rsidR="00C434BF" w:rsidRPr="00873941">
        <w:t xml:space="preserve"> and </w:t>
      </w:r>
      <w:r w:rsidR="00102743" w:rsidRPr="00873941">
        <w:t>assumed effective price</w:t>
      </w:r>
      <w:r w:rsidR="00C434BF" w:rsidRPr="00873941">
        <w:t xml:space="preserve"> of T-</w:t>
      </w:r>
      <w:proofErr w:type="spellStart"/>
      <w:r w:rsidR="00C434BF" w:rsidRPr="00873941">
        <w:t>DXd</w:t>
      </w:r>
      <w:proofErr w:type="spellEnd"/>
      <w:r w:rsidR="00102743" w:rsidRPr="00873941">
        <w:t xml:space="preserve"> (</w:t>
      </w:r>
      <w:r w:rsidR="00471EB9" w:rsidRPr="00471EB9">
        <w:rPr>
          <w:color w:val="000000"/>
          <w:w w:val="60"/>
          <w:shd w:val="solid" w:color="000000" w:fill="000000"/>
          <w:fitText w:val="470" w:id="-694407922"/>
          <w14:textFill>
            <w14:solidFill>
              <w14:srgbClr w14:val="000000">
                <w14:alpha w14:val="100000"/>
              </w14:srgbClr>
            </w14:solidFill>
          </w14:textFill>
        </w:rPr>
        <w:t>|||  ||</w:t>
      </w:r>
      <w:r w:rsidR="00471EB9" w:rsidRPr="00471EB9">
        <w:rPr>
          <w:color w:val="000000"/>
          <w:spacing w:val="6"/>
          <w:w w:val="60"/>
          <w:shd w:val="solid" w:color="000000" w:fill="000000"/>
          <w:fitText w:val="470" w:id="-694407922"/>
          <w14:textFill>
            <w14:solidFill>
              <w14:srgbClr w14:val="000000">
                <w14:alpha w14:val="100000"/>
              </w14:srgbClr>
            </w14:solidFill>
          </w14:textFill>
        </w:rPr>
        <w:t>|</w:t>
      </w:r>
      <w:r w:rsidR="00102743" w:rsidRPr="00873941">
        <w:t>% reduction from published price)</w:t>
      </w:r>
      <w:r w:rsidRPr="00873941">
        <w:t>.</w:t>
      </w:r>
      <w:r w:rsidR="00C434BF" w:rsidRPr="00873941">
        <w:t xml:space="preserve"> </w:t>
      </w:r>
    </w:p>
    <w:p w14:paraId="5038F256" w14:textId="318B0F97" w:rsidR="007D0CF5" w:rsidRPr="00873941" w:rsidRDefault="007D0CF5" w:rsidP="007D0CF5">
      <w:pPr>
        <w:pStyle w:val="Caption"/>
      </w:pPr>
      <w:bookmarkStart w:id="108" w:name="_Ref183186744"/>
      <w:bookmarkStart w:id="109" w:name="_Hlk184231180"/>
      <w:r w:rsidRPr="00873941">
        <w:lastRenderedPageBreak/>
        <w:t xml:space="preserve">Table </w:t>
      </w:r>
      <w:r w:rsidR="003363A5">
        <w:fldChar w:fldCharType="begin"/>
      </w:r>
      <w:r w:rsidR="003363A5">
        <w:instrText xml:space="preserve"> SEQ Table \* ARABIC </w:instrText>
      </w:r>
      <w:r w:rsidR="003363A5">
        <w:fldChar w:fldCharType="separate"/>
      </w:r>
      <w:r w:rsidR="000B094B">
        <w:rPr>
          <w:noProof/>
        </w:rPr>
        <w:t>21</w:t>
      </w:r>
      <w:r w:rsidR="003363A5">
        <w:fldChar w:fldCharType="end"/>
      </w:r>
      <w:bookmarkEnd w:id="108"/>
      <w:r w:rsidRPr="00873941">
        <w:t>: Estimated use and financial implications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Estimated use and financial implications"/>
      </w:tblPr>
      <w:tblGrid>
        <w:gridCol w:w="2402"/>
        <w:gridCol w:w="1102"/>
        <w:gridCol w:w="1102"/>
        <w:gridCol w:w="1102"/>
        <w:gridCol w:w="1102"/>
        <w:gridCol w:w="1102"/>
        <w:gridCol w:w="1105"/>
      </w:tblGrid>
      <w:tr w:rsidR="007D0CF5" w:rsidRPr="00873941" w14:paraId="30985699" w14:textId="77777777" w:rsidTr="006139B4">
        <w:trPr>
          <w:tblHeader/>
        </w:trPr>
        <w:tc>
          <w:tcPr>
            <w:tcW w:w="2402" w:type="dxa"/>
            <w:shd w:val="clear" w:color="auto" w:fill="auto"/>
            <w:vAlign w:val="center"/>
          </w:tcPr>
          <w:p w14:paraId="33B5B1B9" w14:textId="77777777" w:rsidR="007D0CF5" w:rsidRPr="00873941" w:rsidRDefault="007D0CF5" w:rsidP="006139B4">
            <w:pPr>
              <w:pStyle w:val="In-tableHeading"/>
              <w:rPr>
                <w:lang w:val="en-AU"/>
              </w:rPr>
            </w:pPr>
          </w:p>
        </w:tc>
        <w:tc>
          <w:tcPr>
            <w:tcW w:w="1102" w:type="dxa"/>
            <w:shd w:val="clear" w:color="auto" w:fill="auto"/>
            <w:vAlign w:val="center"/>
          </w:tcPr>
          <w:p w14:paraId="5C6FCFEF" w14:textId="77777777" w:rsidR="007D0CF5" w:rsidRPr="00873941" w:rsidRDefault="007D0CF5" w:rsidP="006139B4">
            <w:pPr>
              <w:pStyle w:val="In-tableHeading"/>
              <w:rPr>
                <w:lang w:val="en-AU"/>
              </w:rPr>
            </w:pPr>
            <w:r w:rsidRPr="00873941">
              <w:rPr>
                <w:lang w:val="en-AU"/>
              </w:rPr>
              <w:t>Year 1</w:t>
            </w:r>
          </w:p>
        </w:tc>
        <w:tc>
          <w:tcPr>
            <w:tcW w:w="1102" w:type="dxa"/>
            <w:shd w:val="clear" w:color="auto" w:fill="auto"/>
            <w:vAlign w:val="center"/>
          </w:tcPr>
          <w:p w14:paraId="4888F9D6" w14:textId="77777777" w:rsidR="007D0CF5" w:rsidRPr="00873941" w:rsidRDefault="007D0CF5" w:rsidP="006139B4">
            <w:pPr>
              <w:pStyle w:val="In-tableHeading"/>
              <w:rPr>
                <w:lang w:val="en-AU"/>
              </w:rPr>
            </w:pPr>
            <w:r w:rsidRPr="00873941">
              <w:rPr>
                <w:lang w:val="en-AU"/>
              </w:rPr>
              <w:t>Year 2</w:t>
            </w:r>
          </w:p>
        </w:tc>
        <w:tc>
          <w:tcPr>
            <w:tcW w:w="1102" w:type="dxa"/>
            <w:shd w:val="clear" w:color="auto" w:fill="auto"/>
            <w:vAlign w:val="center"/>
          </w:tcPr>
          <w:p w14:paraId="49E563CE" w14:textId="77777777" w:rsidR="007D0CF5" w:rsidRPr="00873941" w:rsidRDefault="007D0CF5" w:rsidP="006139B4">
            <w:pPr>
              <w:pStyle w:val="In-tableHeading"/>
              <w:rPr>
                <w:lang w:val="en-AU"/>
              </w:rPr>
            </w:pPr>
            <w:r w:rsidRPr="00873941">
              <w:rPr>
                <w:lang w:val="en-AU"/>
              </w:rPr>
              <w:t>Year 3</w:t>
            </w:r>
          </w:p>
        </w:tc>
        <w:tc>
          <w:tcPr>
            <w:tcW w:w="1102" w:type="dxa"/>
            <w:shd w:val="clear" w:color="auto" w:fill="auto"/>
            <w:vAlign w:val="center"/>
          </w:tcPr>
          <w:p w14:paraId="0032A03E" w14:textId="77777777" w:rsidR="007D0CF5" w:rsidRPr="00873941" w:rsidRDefault="007D0CF5" w:rsidP="006139B4">
            <w:pPr>
              <w:pStyle w:val="In-tableHeading"/>
              <w:rPr>
                <w:lang w:val="en-AU"/>
              </w:rPr>
            </w:pPr>
            <w:r w:rsidRPr="00873941">
              <w:rPr>
                <w:lang w:val="en-AU"/>
              </w:rPr>
              <w:t>Year 4</w:t>
            </w:r>
          </w:p>
        </w:tc>
        <w:tc>
          <w:tcPr>
            <w:tcW w:w="1102" w:type="dxa"/>
            <w:shd w:val="clear" w:color="auto" w:fill="auto"/>
            <w:vAlign w:val="center"/>
          </w:tcPr>
          <w:p w14:paraId="313A2C29" w14:textId="77777777" w:rsidR="007D0CF5" w:rsidRPr="00873941" w:rsidRDefault="007D0CF5" w:rsidP="006139B4">
            <w:pPr>
              <w:pStyle w:val="In-tableHeading"/>
              <w:rPr>
                <w:lang w:val="en-AU"/>
              </w:rPr>
            </w:pPr>
            <w:r w:rsidRPr="00873941">
              <w:rPr>
                <w:lang w:val="en-AU"/>
              </w:rPr>
              <w:t>Year 5</w:t>
            </w:r>
          </w:p>
        </w:tc>
        <w:tc>
          <w:tcPr>
            <w:tcW w:w="1105" w:type="dxa"/>
          </w:tcPr>
          <w:p w14:paraId="1FBCFF3C" w14:textId="77777777" w:rsidR="007D0CF5" w:rsidRPr="00873941" w:rsidRDefault="007D0CF5" w:rsidP="006139B4">
            <w:pPr>
              <w:pStyle w:val="In-tableHeading"/>
              <w:rPr>
                <w:lang w:val="en-AU"/>
              </w:rPr>
            </w:pPr>
            <w:r w:rsidRPr="00873941">
              <w:rPr>
                <w:lang w:val="en-AU"/>
              </w:rPr>
              <w:t>Year 6</w:t>
            </w:r>
          </w:p>
        </w:tc>
      </w:tr>
      <w:tr w:rsidR="007D0CF5" w:rsidRPr="00873941" w14:paraId="0C673873" w14:textId="77777777" w:rsidTr="006139B4">
        <w:tc>
          <w:tcPr>
            <w:tcW w:w="9017" w:type="dxa"/>
            <w:gridSpan w:val="7"/>
            <w:shd w:val="clear" w:color="auto" w:fill="auto"/>
            <w:vAlign w:val="center"/>
          </w:tcPr>
          <w:p w14:paraId="5F3EEF17" w14:textId="77777777" w:rsidR="007D0CF5" w:rsidRPr="00873941" w:rsidRDefault="007D0CF5" w:rsidP="006139B4">
            <w:pPr>
              <w:pStyle w:val="In-tableHeading"/>
              <w:rPr>
                <w:bCs/>
                <w:color w:val="000000"/>
                <w:lang w:val="en-AU"/>
              </w:rPr>
            </w:pPr>
            <w:r w:rsidRPr="00873941">
              <w:rPr>
                <w:bCs/>
                <w:color w:val="000000"/>
                <w:lang w:val="en-AU"/>
              </w:rPr>
              <w:t>Estimated extent of use</w:t>
            </w:r>
          </w:p>
        </w:tc>
      </w:tr>
      <w:tr w:rsidR="007D0CF5" w:rsidRPr="00873941" w14:paraId="46B09A8D" w14:textId="77777777" w:rsidTr="00115F23">
        <w:tc>
          <w:tcPr>
            <w:tcW w:w="2402" w:type="dxa"/>
            <w:shd w:val="clear" w:color="auto" w:fill="auto"/>
            <w:vAlign w:val="center"/>
          </w:tcPr>
          <w:p w14:paraId="6EED4740" w14:textId="77777777" w:rsidR="007D0CF5" w:rsidRPr="00873941" w:rsidRDefault="007D0CF5" w:rsidP="006139B4">
            <w:pPr>
              <w:pStyle w:val="TableText0"/>
              <w:rPr>
                <w:rFonts w:ascii="Times" w:hAnsi="Times"/>
              </w:rPr>
            </w:pPr>
            <w:r w:rsidRPr="00873941">
              <w:t>Number of patients treated with pertuzumab</w:t>
            </w:r>
          </w:p>
        </w:tc>
        <w:tc>
          <w:tcPr>
            <w:tcW w:w="1102" w:type="dxa"/>
            <w:shd w:val="clear" w:color="auto" w:fill="auto"/>
            <w:vAlign w:val="center"/>
          </w:tcPr>
          <w:p w14:paraId="1FD35A4A" w14:textId="51C90ABD" w:rsidR="007D0CF5" w:rsidRPr="000D035B" w:rsidRDefault="00471EB9" w:rsidP="00115F23">
            <w:pPr>
              <w:pStyle w:val="TableText0"/>
              <w:jc w:val="center"/>
              <w:rPr>
                <w:color w:val="000000"/>
                <w:highlight w:val="darkGray"/>
              </w:rPr>
            </w:pPr>
            <w:r w:rsidRPr="00471EB9">
              <w:rPr>
                <w:color w:val="000000"/>
                <w:spacing w:val="53"/>
                <w:shd w:val="solid" w:color="000000" w:fill="000000"/>
                <w:fitText w:val="330" w:id="-694407921"/>
                <w14:textFill>
                  <w14:solidFill>
                    <w14:srgbClr w14:val="000000">
                      <w14:alpha w14:val="100000"/>
                    </w14:srgbClr>
                  </w14:solidFill>
                </w14:textFill>
              </w:rPr>
              <w:t>|||</w:t>
            </w:r>
            <w:r w:rsidRPr="00471EB9">
              <w:rPr>
                <w:color w:val="000000"/>
                <w:spacing w:val="1"/>
                <w:shd w:val="solid" w:color="000000" w:fill="000000"/>
                <w:fitText w:val="330" w:id="-694407921"/>
                <w14:textFill>
                  <w14:solidFill>
                    <w14:srgbClr w14:val="000000">
                      <w14:alpha w14:val="100000"/>
                    </w14:srgbClr>
                  </w14:solidFill>
                </w14:textFill>
              </w:rPr>
              <w:t>|</w:t>
            </w:r>
            <w:r w:rsidR="006A1047" w:rsidRPr="006A1047">
              <w:rPr>
                <w:vertAlign w:val="superscript"/>
              </w:rPr>
              <w:t>1</w:t>
            </w:r>
          </w:p>
        </w:tc>
        <w:tc>
          <w:tcPr>
            <w:tcW w:w="1102" w:type="dxa"/>
            <w:shd w:val="clear" w:color="auto" w:fill="auto"/>
            <w:vAlign w:val="center"/>
          </w:tcPr>
          <w:p w14:paraId="0A3B7C10" w14:textId="0A927B10" w:rsidR="007D0CF5" w:rsidRPr="000D035B" w:rsidRDefault="00471EB9" w:rsidP="00115F23">
            <w:pPr>
              <w:pStyle w:val="TableText0"/>
              <w:jc w:val="center"/>
              <w:rPr>
                <w:color w:val="000000"/>
                <w:highlight w:val="darkGray"/>
              </w:rPr>
            </w:pPr>
            <w:r w:rsidRPr="00471EB9">
              <w:rPr>
                <w:color w:val="000000"/>
                <w:spacing w:val="53"/>
                <w:shd w:val="solid" w:color="000000" w:fill="000000"/>
                <w:fitText w:val="330" w:id="-694407920"/>
                <w14:textFill>
                  <w14:solidFill>
                    <w14:srgbClr w14:val="000000">
                      <w14:alpha w14:val="100000"/>
                    </w14:srgbClr>
                  </w14:solidFill>
                </w14:textFill>
              </w:rPr>
              <w:t>|||</w:t>
            </w:r>
            <w:r w:rsidRPr="00471EB9">
              <w:rPr>
                <w:color w:val="000000"/>
                <w:spacing w:val="1"/>
                <w:shd w:val="solid" w:color="000000" w:fill="000000"/>
                <w:fitText w:val="330" w:id="-694407920"/>
                <w14:textFill>
                  <w14:solidFill>
                    <w14:srgbClr w14:val="000000">
                      <w14:alpha w14:val="100000"/>
                    </w14:srgbClr>
                  </w14:solidFill>
                </w14:textFill>
              </w:rPr>
              <w:t>|</w:t>
            </w:r>
            <w:r w:rsidR="006A1047" w:rsidRPr="006A1047">
              <w:rPr>
                <w:vertAlign w:val="superscript"/>
              </w:rPr>
              <w:t>1</w:t>
            </w:r>
          </w:p>
        </w:tc>
        <w:tc>
          <w:tcPr>
            <w:tcW w:w="1102" w:type="dxa"/>
            <w:shd w:val="clear" w:color="auto" w:fill="auto"/>
            <w:vAlign w:val="center"/>
          </w:tcPr>
          <w:p w14:paraId="2713279D" w14:textId="0C079C56" w:rsidR="007D0CF5" w:rsidRPr="000D035B" w:rsidRDefault="00471EB9" w:rsidP="00115F23">
            <w:pPr>
              <w:pStyle w:val="TableText0"/>
              <w:jc w:val="center"/>
              <w:rPr>
                <w:color w:val="000000"/>
                <w:highlight w:val="darkGray"/>
              </w:rPr>
            </w:pPr>
            <w:r w:rsidRPr="00471EB9">
              <w:rPr>
                <w:color w:val="000000"/>
                <w:spacing w:val="53"/>
                <w:shd w:val="solid" w:color="000000" w:fill="000000"/>
                <w:fitText w:val="330" w:id="-694407936"/>
                <w14:textFill>
                  <w14:solidFill>
                    <w14:srgbClr w14:val="000000">
                      <w14:alpha w14:val="100000"/>
                    </w14:srgbClr>
                  </w14:solidFill>
                </w14:textFill>
              </w:rPr>
              <w:t>|||</w:t>
            </w:r>
            <w:r w:rsidRPr="00471EB9">
              <w:rPr>
                <w:color w:val="000000"/>
                <w:spacing w:val="1"/>
                <w:shd w:val="solid" w:color="000000" w:fill="000000"/>
                <w:fitText w:val="330" w:id="-694407936"/>
                <w14:textFill>
                  <w14:solidFill>
                    <w14:srgbClr w14:val="000000">
                      <w14:alpha w14:val="100000"/>
                    </w14:srgbClr>
                  </w14:solidFill>
                </w14:textFill>
              </w:rPr>
              <w:t>|</w:t>
            </w:r>
            <w:r w:rsidR="006A1047" w:rsidRPr="006A1047">
              <w:rPr>
                <w:vertAlign w:val="superscript"/>
              </w:rPr>
              <w:t>1</w:t>
            </w:r>
          </w:p>
        </w:tc>
        <w:tc>
          <w:tcPr>
            <w:tcW w:w="1102" w:type="dxa"/>
            <w:shd w:val="clear" w:color="auto" w:fill="auto"/>
            <w:vAlign w:val="center"/>
          </w:tcPr>
          <w:p w14:paraId="24E3758C" w14:textId="2F54F0D6" w:rsidR="007D0CF5" w:rsidRPr="000D035B" w:rsidRDefault="00471EB9" w:rsidP="00115F23">
            <w:pPr>
              <w:pStyle w:val="TableText0"/>
              <w:jc w:val="center"/>
              <w:rPr>
                <w:color w:val="000000"/>
                <w:highlight w:val="darkGray"/>
              </w:rPr>
            </w:pPr>
            <w:r w:rsidRPr="00471EB9">
              <w:rPr>
                <w:color w:val="000000"/>
                <w:spacing w:val="53"/>
                <w:shd w:val="solid" w:color="000000" w:fill="000000"/>
                <w:fitText w:val="330" w:id="-694407935"/>
                <w14:textFill>
                  <w14:solidFill>
                    <w14:srgbClr w14:val="000000">
                      <w14:alpha w14:val="100000"/>
                    </w14:srgbClr>
                  </w14:solidFill>
                </w14:textFill>
              </w:rPr>
              <w:t>|||</w:t>
            </w:r>
            <w:r w:rsidRPr="00471EB9">
              <w:rPr>
                <w:color w:val="000000"/>
                <w:spacing w:val="1"/>
                <w:shd w:val="solid" w:color="000000" w:fill="000000"/>
                <w:fitText w:val="330" w:id="-694407935"/>
                <w14:textFill>
                  <w14:solidFill>
                    <w14:srgbClr w14:val="000000">
                      <w14:alpha w14:val="100000"/>
                    </w14:srgbClr>
                  </w14:solidFill>
                </w14:textFill>
              </w:rPr>
              <w:t>|</w:t>
            </w:r>
            <w:r w:rsidR="006A1047" w:rsidRPr="006A1047">
              <w:rPr>
                <w:vertAlign w:val="superscript"/>
              </w:rPr>
              <w:t>1</w:t>
            </w:r>
          </w:p>
        </w:tc>
        <w:tc>
          <w:tcPr>
            <w:tcW w:w="1102" w:type="dxa"/>
            <w:shd w:val="clear" w:color="auto" w:fill="auto"/>
            <w:vAlign w:val="center"/>
          </w:tcPr>
          <w:p w14:paraId="45214896" w14:textId="25B83691" w:rsidR="007D0CF5" w:rsidRPr="000D035B" w:rsidRDefault="00471EB9" w:rsidP="00115F23">
            <w:pPr>
              <w:pStyle w:val="TableText0"/>
              <w:jc w:val="center"/>
              <w:rPr>
                <w:color w:val="000000"/>
                <w:highlight w:val="darkGray"/>
              </w:rPr>
            </w:pPr>
            <w:r w:rsidRPr="00471EB9">
              <w:rPr>
                <w:color w:val="000000"/>
                <w:spacing w:val="53"/>
                <w:shd w:val="solid" w:color="000000" w:fill="000000"/>
                <w:fitText w:val="330" w:id="-694407934"/>
                <w14:textFill>
                  <w14:solidFill>
                    <w14:srgbClr w14:val="000000">
                      <w14:alpha w14:val="100000"/>
                    </w14:srgbClr>
                  </w14:solidFill>
                </w14:textFill>
              </w:rPr>
              <w:t>|||</w:t>
            </w:r>
            <w:r w:rsidRPr="00471EB9">
              <w:rPr>
                <w:color w:val="000000"/>
                <w:spacing w:val="1"/>
                <w:shd w:val="solid" w:color="000000" w:fill="000000"/>
                <w:fitText w:val="330" w:id="-694407934"/>
                <w14:textFill>
                  <w14:solidFill>
                    <w14:srgbClr w14:val="000000">
                      <w14:alpha w14:val="100000"/>
                    </w14:srgbClr>
                  </w14:solidFill>
                </w14:textFill>
              </w:rPr>
              <w:t>|</w:t>
            </w:r>
            <w:r w:rsidR="006A1047" w:rsidRPr="006A1047">
              <w:rPr>
                <w:vertAlign w:val="superscript"/>
              </w:rPr>
              <w:t>1</w:t>
            </w:r>
          </w:p>
        </w:tc>
        <w:tc>
          <w:tcPr>
            <w:tcW w:w="1105" w:type="dxa"/>
            <w:vAlign w:val="center"/>
          </w:tcPr>
          <w:p w14:paraId="28EA7C55" w14:textId="59BE0864" w:rsidR="007D0CF5" w:rsidRPr="000D035B" w:rsidRDefault="00471EB9" w:rsidP="00115F23">
            <w:pPr>
              <w:pStyle w:val="TableText0"/>
              <w:jc w:val="center"/>
              <w:rPr>
                <w:color w:val="000000"/>
                <w:highlight w:val="darkGray"/>
              </w:rPr>
            </w:pPr>
            <w:r w:rsidRPr="00471EB9">
              <w:rPr>
                <w:color w:val="000000"/>
                <w:spacing w:val="49"/>
                <w:shd w:val="solid" w:color="000000" w:fill="000000"/>
                <w:fitText w:val="320" w:id="-694407933"/>
                <w14:textFill>
                  <w14:solidFill>
                    <w14:srgbClr w14:val="000000">
                      <w14:alpha w14:val="100000"/>
                    </w14:srgbClr>
                  </w14:solidFill>
                </w14:textFill>
              </w:rPr>
              <w:t>|||</w:t>
            </w:r>
            <w:r w:rsidRPr="00471EB9">
              <w:rPr>
                <w:color w:val="000000"/>
                <w:spacing w:val="3"/>
                <w:shd w:val="solid" w:color="000000" w:fill="000000"/>
                <w:fitText w:val="320" w:id="-694407933"/>
                <w14:textFill>
                  <w14:solidFill>
                    <w14:srgbClr w14:val="000000">
                      <w14:alpha w14:val="100000"/>
                    </w14:srgbClr>
                  </w14:solidFill>
                </w14:textFill>
              </w:rPr>
              <w:t>|</w:t>
            </w:r>
            <w:r w:rsidR="006A1047" w:rsidRPr="006A1047">
              <w:rPr>
                <w:vertAlign w:val="superscript"/>
              </w:rPr>
              <w:t>1</w:t>
            </w:r>
          </w:p>
        </w:tc>
      </w:tr>
      <w:tr w:rsidR="007D0CF5" w:rsidRPr="00873941" w14:paraId="5F780906" w14:textId="77777777" w:rsidTr="00115F23">
        <w:tc>
          <w:tcPr>
            <w:tcW w:w="2402" w:type="dxa"/>
            <w:shd w:val="clear" w:color="auto" w:fill="auto"/>
            <w:vAlign w:val="center"/>
          </w:tcPr>
          <w:p w14:paraId="0025EC9E" w14:textId="77777777" w:rsidR="007D0CF5" w:rsidRPr="00873941" w:rsidRDefault="007D0CF5" w:rsidP="006139B4">
            <w:pPr>
              <w:pStyle w:val="TableText0"/>
              <w:rPr>
                <w:rFonts w:ascii="Times" w:hAnsi="Times"/>
              </w:rPr>
            </w:pPr>
            <w:r w:rsidRPr="00873941">
              <w:t>Number of pertuzumab vials per patient per year</w:t>
            </w:r>
          </w:p>
        </w:tc>
        <w:tc>
          <w:tcPr>
            <w:tcW w:w="1102" w:type="dxa"/>
            <w:shd w:val="clear" w:color="auto" w:fill="auto"/>
            <w:vAlign w:val="center"/>
          </w:tcPr>
          <w:p w14:paraId="49F31143" w14:textId="4E866E3D" w:rsidR="007D0CF5" w:rsidRPr="000D035B" w:rsidRDefault="00471EB9" w:rsidP="00115F23">
            <w:pPr>
              <w:pStyle w:val="TableText0"/>
              <w:jc w:val="center"/>
              <w:rPr>
                <w:color w:val="000000"/>
                <w:highlight w:val="darkGray"/>
              </w:rPr>
            </w:pPr>
            <w:r w:rsidRPr="00471EB9">
              <w:rPr>
                <w:color w:val="000000"/>
                <w:spacing w:val="53"/>
                <w:shd w:val="solid" w:color="000000" w:fill="000000"/>
                <w:fitText w:val="330" w:id="-694407932"/>
                <w14:textFill>
                  <w14:solidFill>
                    <w14:srgbClr w14:val="000000">
                      <w14:alpha w14:val="100000"/>
                    </w14:srgbClr>
                  </w14:solidFill>
                </w14:textFill>
              </w:rPr>
              <w:t>|||</w:t>
            </w:r>
            <w:r w:rsidRPr="00471EB9">
              <w:rPr>
                <w:color w:val="000000"/>
                <w:spacing w:val="1"/>
                <w:shd w:val="solid" w:color="000000" w:fill="000000"/>
                <w:fitText w:val="330" w:id="-694407932"/>
                <w14:textFill>
                  <w14:solidFill>
                    <w14:srgbClr w14:val="000000">
                      <w14:alpha w14:val="100000"/>
                    </w14:srgbClr>
                  </w14:solidFill>
                </w14:textFill>
              </w:rPr>
              <w:t>|</w:t>
            </w:r>
            <w:r w:rsidR="00754CE2" w:rsidRPr="00754CE2">
              <w:rPr>
                <w:vertAlign w:val="superscript"/>
              </w:rPr>
              <w:t>3</w:t>
            </w:r>
          </w:p>
        </w:tc>
        <w:tc>
          <w:tcPr>
            <w:tcW w:w="1102" w:type="dxa"/>
            <w:shd w:val="clear" w:color="auto" w:fill="auto"/>
            <w:vAlign w:val="center"/>
          </w:tcPr>
          <w:p w14:paraId="0CEA0319" w14:textId="2DA7E42A" w:rsidR="007D0CF5" w:rsidRPr="000D035B" w:rsidRDefault="00471EB9" w:rsidP="00115F23">
            <w:pPr>
              <w:pStyle w:val="TableText0"/>
              <w:jc w:val="center"/>
              <w:rPr>
                <w:color w:val="000000"/>
                <w:highlight w:val="darkGray"/>
              </w:rPr>
            </w:pPr>
            <w:r w:rsidRPr="00471EB9">
              <w:rPr>
                <w:color w:val="000000"/>
                <w:spacing w:val="53"/>
                <w:shd w:val="solid" w:color="000000" w:fill="000000"/>
                <w:fitText w:val="330" w:id="-694407931"/>
                <w14:textFill>
                  <w14:solidFill>
                    <w14:srgbClr w14:val="000000">
                      <w14:alpha w14:val="100000"/>
                    </w14:srgbClr>
                  </w14:solidFill>
                </w14:textFill>
              </w:rPr>
              <w:t>|||</w:t>
            </w:r>
            <w:r w:rsidRPr="00471EB9">
              <w:rPr>
                <w:color w:val="000000"/>
                <w:spacing w:val="1"/>
                <w:shd w:val="solid" w:color="000000" w:fill="000000"/>
                <w:fitText w:val="330" w:id="-694407931"/>
                <w14:textFill>
                  <w14:solidFill>
                    <w14:srgbClr w14:val="000000">
                      <w14:alpha w14:val="100000"/>
                    </w14:srgbClr>
                  </w14:solidFill>
                </w14:textFill>
              </w:rPr>
              <w:t>|</w:t>
            </w:r>
            <w:r w:rsidR="00754CE2" w:rsidRPr="00754CE2">
              <w:rPr>
                <w:vertAlign w:val="superscript"/>
              </w:rPr>
              <w:t>3</w:t>
            </w:r>
          </w:p>
        </w:tc>
        <w:tc>
          <w:tcPr>
            <w:tcW w:w="1102" w:type="dxa"/>
            <w:shd w:val="clear" w:color="auto" w:fill="auto"/>
            <w:vAlign w:val="center"/>
          </w:tcPr>
          <w:p w14:paraId="08858A16" w14:textId="6A5F4475" w:rsidR="007D0CF5" w:rsidRPr="000D035B" w:rsidRDefault="00471EB9" w:rsidP="00115F23">
            <w:pPr>
              <w:pStyle w:val="TableText0"/>
              <w:jc w:val="center"/>
              <w:rPr>
                <w:color w:val="000000"/>
                <w:highlight w:val="darkGray"/>
              </w:rPr>
            </w:pPr>
            <w:r w:rsidRPr="00471EB9">
              <w:rPr>
                <w:color w:val="000000"/>
                <w:spacing w:val="53"/>
                <w:shd w:val="solid" w:color="000000" w:fill="000000"/>
                <w:fitText w:val="330" w:id="-694407930"/>
                <w14:textFill>
                  <w14:solidFill>
                    <w14:srgbClr w14:val="000000">
                      <w14:alpha w14:val="100000"/>
                    </w14:srgbClr>
                  </w14:solidFill>
                </w14:textFill>
              </w:rPr>
              <w:t>|||</w:t>
            </w:r>
            <w:r w:rsidRPr="00471EB9">
              <w:rPr>
                <w:color w:val="000000"/>
                <w:spacing w:val="1"/>
                <w:shd w:val="solid" w:color="000000" w:fill="000000"/>
                <w:fitText w:val="330" w:id="-694407930"/>
                <w14:textFill>
                  <w14:solidFill>
                    <w14:srgbClr w14:val="000000">
                      <w14:alpha w14:val="100000"/>
                    </w14:srgbClr>
                  </w14:solidFill>
                </w14:textFill>
              </w:rPr>
              <w:t>|</w:t>
            </w:r>
            <w:r w:rsidR="00754CE2" w:rsidRPr="00754CE2">
              <w:rPr>
                <w:vertAlign w:val="superscript"/>
              </w:rPr>
              <w:t>3</w:t>
            </w:r>
          </w:p>
        </w:tc>
        <w:tc>
          <w:tcPr>
            <w:tcW w:w="1102" w:type="dxa"/>
            <w:shd w:val="clear" w:color="auto" w:fill="auto"/>
            <w:vAlign w:val="center"/>
          </w:tcPr>
          <w:p w14:paraId="060F23B8" w14:textId="7D562C85" w:rsidR="007D0CF5" w:rsidRPr="00754CE2" w:rsidRDefault="00471EB9" w:rsidP="00115F23">
            <w:pPr>
              <w:pStyle w:val="TableText0"/>
              <w:jc w:val="center"/>
              <w:rPr>
                <w:color w:val="000000"/>
                <w:highlight w:val="darkGray"/>
                <w:vertAlign w:val="superscript"/>
              </w:rPr>
            </w:pPr>
            <w:r w:rsidRPr="00471EB9">
              <w:rPr>
                <w:color w:val="000000"/>
                <w:spacing w:val="53"/>
                <w:shd w:val="solid" w:color="000000" w:fill="000000"/>
                <w:fitText w:val="330" w:id="-694407929"/>
                <w14:textFill>
                  <w14:solidFill>
                    <w14:srgbClr w14:val="000000">
                      <w14:alpha w14:val="100000"/>
                    </w14:srgbClr>
                  </w14:solidFill>
                </w14:textFill>
              </w:rPr>
              <w:t>|||</w:t>
            </w:r>
            <w:r w:rsidRPr="00471EB9">
              <w:rPr>
                <w:color w:val="000000"/>
                <w:spacing w:val="1"/>
                <w:shd w:val="solid" w:color="000000" w:fill="000000"/>
                <w:fitText w:val="330" w:id="-694407929"/>
                <w14:textFill>
                  <w14:solidFill>
                    <w14:srgbClr w14:val="000000">
                      <w14:alpha w14:val="100000"/>
                    </w14:srgbClr>
                  </w14:solidFill>
                </w14:textFill>
              </w:rPr>
              <w:t>|</w:t>
            </w:r>
            <w:r w:rsidR="00754CE2" w:rsidRPr="00754CE2">
              <w:rPr>
                <w:vertAlign w:val="superscript"/>
              </w:rPr>
              <w:t>3</w:t>
            </w:r>
          </w:p>
        </w:tc>
        <w:tc>
          <w:tcPr>
            <w:tcW w:w="1102" w:type="dxa"/>
            <w:shd w:val="clear" w:color="auto" w:fill="auto"/>
            <w:vAlign w:val="center"/>
          </w:tcPr>
          <w:p w14:paraId="0DDA0664" w14:textId="749614AC" w:rsidR="007D0CF5" w:rsidRPr="000D035B" w:rsidRDefault="00471EB9" w:rsidP="00115F23">
            <w:pPr>
              <w:pStyle w:val="TableText0"/>
              <w:jc w:val="center"/>
              <w:rPr>
                <w:color w:val="000000"/>
                <w:highlight w:val="darkGray"/>
              </w:rPr>
            </w:pPr>
            <w:r w:rsidRPr="00471EB9">
              <w:rPr>
                <w:color w:val="000000"/>
                <w:spacing w:val="53"/>
                <w:shd w:val="solid" w:color="000000" w:fill="000000"/>
                <w:fitText w:val="330" w:id="-694407928"/>
                <w14:textFill>
                  <w14:solidFill>
                    <w14:srgbClr w14:val="000000">
                      <w14:alpha w14:val="100000"/>
                    </w14:srgbClr>
                  </w14:solidFill>
                </w14:textFill>
              </w:rPr>
              <w:t>|||</w:t>
            </w:r>
            <w:r w:rsidRPr="00471EB9">
              <w:rPr>
                <w:color w:val="000000"/>
                <w:spacing w:val="1"/>
                <w:shd w:val="solid" w:color="000000" w:fill="000000"/>
                <w:fitText w:val="330" w:id="-694407928"/>
                <w14:textFill>
                  <w14:solidFill>
                    <w14:srgbClr w14:val="000000">
                      <w14:alpha w14:val="100000"/>
                    </w14:srgbClr>
                  </w14:solidFill>
                </w14:textFill>
              </w:rPr>
              <w:t>|</w:t>
            </w:r>
            <w:r w:rsidR="00754CE2" w:rsidRPr="00754CE2">
              <w:rPr>
                <w:vertAlign w:val="superscript"/>
              </w:rPr>
              <w:t>3</w:t>
            </w:r>
          </w:p>
        </w:tc>
        <w:tc>
          <w:tcPr>
            <w:tcW w:w="1105" w:type="dxa"/>
            <w:vAlign w:val="center"/>
          </w:tcPr>
          <w:p w14:paraId="0033D4D1" w14:textId="7B264597" w:rsidR="007D0CF5" w:rsidRPr="000D035B" w:rsidRDefault="00471EB9" w:rsidP="00115F23">
            <w:pPr>
              <w:pStyle w:val="TableText0"/>
              <w:jc w:val="center"/>
              <w:rPr>
                <w:color w:val="000000"/>
                <w:highlight w:val="darkGray"/>
              </w:rPr>
            </w:pPr>
            <w:r w:rsidRPr="00471EB9">
              <w:rPr>
                <w:color w:val="000000"/>
                <w:spacing w:val="49"/>
                <w:shd w:val="solid" w:color="000000" w:fill="000000"/>
                <w:fitText w:val="320" w:id="-694407927"/>
                <w14:textFill>
                  <w14:solidFill>
                    <w14:srgbClr w14:val="000000">
                      <w14:alpha w14:val="100000"/>
                    </w14:srgbClr>
                  </w14:solidFill>
                </w14:textFill>
              </w:rPr>
              <w:t>|||</w:t>
            </w:r>
            <w:r w:rsidRPr="00471EB9">
              <w:rPr>
                <w:color w:val="000000"/>
                <w:spacing w:val="3"/>
                <w:shd w:val="solid" w:color="000000" w:fill="000000"/>
                <w:fitText w:val="320" w:id="-694407927"/>
                <w14:textFill>
                  <w14:solidFill>
                    <w14:srgbClr w14:val="000000">
                      <w14:alpha w14:val="100000"/>
                    </w14:srgbClr>
                  </w14:solidFill>
                </w14:textFill>
              </w:rPr>
              <w:t>|</w:t>
            </w:r>
            <w:r w:rsidR="00754CE2" w:rsidRPr="00754CE2">
              <w:rPr>
                <w:vertAlign w:val="superscript"/>
              </w:rPr>
              <w:t>3</w:t>
            </w:r>
          </w:p>
        </w:tc>
      </w:tr>
      <w:tr w:rsidR="007D0CF5" w:rsidRPr="00873941" w14:paraId="18A85F6D" w14:textId="77777777" w:rsidTr="00115F23">
        <w:tc>
          <w:tcPr>
            <w:tcW w:w="2402" w:type="dxa"/>
          </w:tcPr>
          <w:p w14:paraId="1AFF26BE" w14:textId="77777777" w:rsidR="007D0CF5" w:rsidRPr="00873941" w:rsidRDefault="007D0CF5" w:rsidP="006139B4">
            <w:pPr>
              <w:pStyle w:val="TableText0"/>
            </w:pPr>
            <w:r w:rsidRPr="00873941">
              <w:rPr>
                <w:szCs w:val="20"/>
              </w:rPr>
              <w:t xml:space="preserve">Total pertuzumab </w:t>
            </w:r>
            <w:proofErr w:type="spellStart"/>
            <w:r w:rsidRPr="00873941">
              <w:rPr>
                <w:szCs w:val="20"/>
              </w:rPr>
              <w:t>scripts</w:t>
            </w:r>
            <w:r w:rsidRPr="00873941">
              <w:rPr>
                <w:szCs w:val="20"/>
                <w:vertAlign w:val="superscript"/>
              </w:rPr>
              <w:t>a,b</w:t>
            </w:r>
            <w:proofErr w:type="spellEnd"/>
          </w:p>
        </w:tc>
        <w:tc>
          <w:tcPr>
            <w:tcW w:w="1102" w:type="dxa"/>
            <w:vAlign w:val="center"/>
          </w:tcPr>
          <w:p w14:paraId="497DF6AD" w14:textId="36C9D48F" w:rsidR="007D0CF5" w:rsidRPr="000D035B" w:rsidRDefault="00471EB9" w:rsidP="00115F23">
            <w:pPr>
              <w:pStyle w:val="TableText0"/>
              <w:jc w:val="center"/>
              <w:rPr>
                <w:highlight w:val="darkGray"/>
              </w:rPr>
            </w:pPr>
            <w:r w:rsidRPr="00471EB9">
              <w:rPr>
                <w:color w:val="000000"/>
                <w:spacing w:val="53"/>
                <w:szCs w:val="20"/>
                <w:shd w:val="solid" w:color="000000" w:fill="000000"/>
                <w:fitText w:val="330" w:id="-694407926"/>
                <w14:textFill>
                  <w14:solidFill>
                    <w14:srgbClr w14:val="000000">
                      <w14:alpha w14:val="100000"/>
                    </w14:srgbClr>
                  </w14:solidFill>
                </w14:textFill>
              </w:rPr>
              <w:t>|||</w:t>
            </w:r>
            <w:r w:rsidRPr="00471EB9">
              <w:rPr>
                <w:color w:val="000000"/>
                <w:spacing w:val="1"/>
                <w:szCs w:val="20"/>
                <w:shd w:val="solid" w:color="000000" w:fill="000000"/>
                <w:fitText w:val="330" w:id="-694407926"/>
                <w14:textFill>
                  <w14:solidFill>
                    <w14:srgbClr w14:val="000000">
                      <w14:alpha w14:val="100000"/>
                    </w14:srgbClr>
                  </w14:solidFill>
                </w14:textFill>
              </w:rPr>
              <w:t>|</w:t>
            </w:r>
            <w:r w:rsidR="00754CE2" w:rsidRPr="00754CE2">
              <w:rPr>
                <w:vertAlign w:val="superscript"/>
              </w:rPr>
              <w:t>3</w:t>
            </w:r>
          </w:p>
        </w:tc>
        <w:tc>
          <w:tcPr>
            <w:tcW w:w="1102" w:type="dxa"/>
            <w:vAlign w:val="center"/>
          </w:tcPr>
          <w:p w14:paraId="006D38C6" w14:textId="17D9D629" w:rsidR="007D0CF5" w:rsidRPr="000D035B" w:rsidRDefault="00471EB9" w:rsidP="00115F23">
            <w:pPr>
              <w:pStyle w:val="TableText0"/>
              <w:jc w:val="center"/>
              <w:rPr>
                <w:highlight w:val="darkGray"/>
              </w:rPr>
            </w:pPr>
            <w:r w:rsidRPr="00471EB9">
              <w:rPr>
                <w:color w:val="000000"/>
                <w:spacing w:val="53"/>
                <w:szCs w:val="20"/>
                <w:shd w:val="solid" w:color="000000" w:fill="000000"/>
                <w:fitText w:val="330" w:id="-694407925"/>
                <w14:textFill>
                  <w14:solidFill>
                    <w14:srgbClr w14:val="000000">
                      <w14:alpha w14:val="100000"/>
                    </w14:srgbClr>
                  </w14:solidFill>
                </w14:textFill>
              </w:rPr>
              <w:t>|||</w:t>
            </w:r>
            <w:r w:rsidRPr="00471EB9">
              <w:rPr>
                <w:color w:val="000000"/>
                <w:spacing w:val="1"/>
                <w:szCs w:val="20"/>
                <w:shd w:val="solid" w:color="000000" w:fill="000000"/>
                <w:fitText w:val="330" w:id="-694407925"/>
                <w14:textFill>
                  <w14:solidFill>
                    <w14:srgbClr w14:val="000000">
                      <w14:alpha w14:val="100000"/>
                    </w14:srgbClr>
                  </w14:solidFill>
                </w14:textFill>
              </w:rPr>
              <w:t>|</w:t>
            </w:r>
            <w:r w:rsidR="00754CE2" w:rsidRPr="00754CE2">
              <w:rPr>
                <w:vertAlign w:val="superscript"/>
              </w:rPr>
              <w:t>3</w:t>
            </w:r>
          </w:p>
        </w:tc>
        <w:tc>
          <w:tcPr>
            <w:tcW w:w="1102" w:type="dxa"/>
            <w:vAlign w:val="center"/>
          </w:tcPr>
          <w:p w14:paraId="7927A2F2" w14:textId="5DF24D73" w:rsidR="007D0CF5" w:rsidRPr="000D035B" w:rsidRDefault="00471EB9" w:rsidP="00115F23">
            <w:pPr>
              <w:pStyle w:val="TableText0"/>
              <w:jc w:val="center"/>
              <w:rPr>
                <w:highlight w:val="darkGray"/>
              </w:rPr>
            </w:pPr>
            <w:r w:rsidRPr="00471EB9">
              <w:rPr>
                <w:color w:val="000000"/>
                <w:spacing w:val="53"/>
                <w:szCs w:val="20"/>
                <w:shd w:val="solid" w:color="000000" w:fill="000000"/>
                <w:fitText w:val="330" w:id="-694407924"/>
                <w14:textFill>
                  <w14:solidFill>
                    <w14:srgbClr w14:val="000000">
                      <w14:alpha w14:val="100000"/>
                    </w14:srgbClr>
                  </w14:solidFill>
                </w14:textFill>
              </w:rPr>
              <w:t>|||</w:t>
            </w:r>
            <w:r w:rsidRPr="00471EB9">
              <w:rPr>
                <w:color w:val="000000"/>
                <w:spacing w:val="1"/>
                <w:szCs w:val="20"/>
                <w:shd w:val="solid" w:color="000000" w:fill="000000"/>
                <w:fitText w:val="330" w:id="-694407924"/>
                <w14:textFill>
                  <w14:solidFill>
                    <w14:srgbClr w14:val="000000">
                      <w14:alpha w14:val="100000"/>
                    </w14:srgbClr>
                  </w14:solidFill>
                </w14:textFill>
              </w:rPr>
              <w:t>|</w:t>
            </w:r>
            <w:r w:rsidR="00754CE2" w:rsidRPr="00754CE2">
              <w:rPr>
                <w:vertAlign w:val="superscript"/>
              </w:rPr>
              <w:t>3</w:t>
            </w:r>
          </w:p>
        </w:tc>
        <w:tc>
          <w:tcPr>
            <w:tcW w:w="1102" w:type="dxa"/>
            <w:vAlign w:val="center"/>
          </w:tcPr>
          <w:p w14:paraId="00A325C4" w14:textId="731B58B0" w:rsidR="007D0CF5" w:rsidRPr="000D035B" w:rsidRDefault="00471EB9" w:rsidP="00115F23">
            <w:pPr>
              <w:pStyle w:val="TableText0"/>
              <w:jc w:val="center"/>
              <w:rPr>
                <w:highlight w:val="darkGray"/>
              </w:rPr>
            </w:pPr>
            <w:r w:rsidRPr="00471EB9">
              <w:rPr>
                <w:color w:val="000000"/>
                <w:spacing w:val="53"/>
                <w:szCs w:val="20"/>
                <w:shd w:val="solid" w:color="000000" w:fill="000000"/>
                <w:fitText w:val="330" w:id="-694407923"/>
                <w14:textFill>
                  <w14:solidFill>
                    <w14:srgbClr w14:val="000000">
                      <w14:alpha w14:val="100000"/>
                    </w14:srgbClr>
                  </w14:solidFill>
                </w14:textFill>
              </w:rPr>
              <w:t>|||</w:t>
            </w:r>
            <w:r w:rsidRPr="00471EB9">
              <w:rPr>
                <w:color w:val="000000"/>
                <w:spacing w:val="1"/>
                <w:szCs w:val="20"/>
                <w:shd w:val="solid" w:color="000000" w:fill="000000"/>
                <w:fitText w:val="330" w:id="-694407923"/>
                <w14:textFill>
                  <w14:solidFill>
                    <w14:srgbClr w14:val="000000">
                      <w14:alpha w14:val="100000"/>
                    </w14:srgbClr>
                  </w14:solidFill>
                </w14:textFill>
              </w:rPr>
              <w:t>|</w:t>
            </w:r>
            <w:r w:rsidR="00754CE2" w:rsidRPr="00754CE2">
              <w:rPr>
                <w:vertAlign w:val="superscript"/>
              </w:rPr>
              <w:t>3</w:t>
            </w:r>
          </w:p>
        </w:tc>
        <w:tc>
          <w:tcPr>
            <w:tcW w:w="1102" w:type="dxa"/>
            <w:vAlign w:val="center"/>
          </w:tcPr>
          <w:p w14:paraId="0DEC74FF" w14:textId="05A7A309" w:rsidR="007D0CF5" w:rsidRPr="000D035B" w:rsidRDefault="00471EB9" w:rsidP="00115F23">
            <w:pPr>
              <w:pStyle w:val="TableText0"/>
              <w:jc w:val="center"/>
              <w:rPr>
                <w:highlight w:val="darkGray"/>
              </w:rPr>
            </w:pPr>
            <w:r w:rsidRPr="00471EB9">
              <w:rPr>
                <w:color w:val="000000"/>
                <w:spacing w:val="53"/>
                <w:szCs w:val="20"/>
                <w:shd w:val="solid" w:color="000000" w:fill="000000"/>
                <w:fitText w:val="330" w:id="-694407922"/>
                <w14:textFill>
                  <w14:solidFill>
                    <w14:srgbClr w14:val="000000">
                      <w14:alpha w14:val="100000"/>
                    </w14:srgbClr>
                  </w14:solidFill>
                </w14:textFill>
              </w:rPr>
              <w:t>|||</w:t>
            </w:r>
            <w:r w:rsidRPr="00471EB9">
              <w:rPr>
                <w:color w:val="000000"/>
                <w:spacing w:val="1"/>
                <w:szCs w:val="20"/>
                <w:shd w:val="solid" w:color="000000" w:fill="000000"/>
                <w:fitText w:val="330" w:id="-694407922"/>
                <w14:textFill>
                  <w14:solidFill>
                    <w14:srgbClr w14:val="000000">
                      <w14:alpha w14:val="100000"/>
                    </w14:srgbClr>
                  </w14:solidFill>
                </w14:textFill>
              </w:rPr>
              <w:t>|</w:t>
            </w:r>
            <w:r w:rsidR="00754CE2" w:rsidRPr="00754CE2">
              <w:rPr>
                <w:vertAlign w:val="superscript"/>
              </w:rPr>
              <w:t>3</w:t>
            </w:r>
          </w:p>
        </w:tc>
        <w:tc>
          <w:tcPr>
            <w:tcW w:w="1105" w:type="dxa"/>
            <w:vAlign w:val="center"/>
          </w:tcPr>
          <w:p w14:paraId="4351153B" w14:textId="46D6B13D" w:rsidR="007D0CF5" w:rsidRPr="000D035B" w:rsidRDefault="00471EB9" w:rsidP="00115F23">
            <w:pPr>
              <w:pStyle w:val="TableText0"/>
              <w:jc w:val="center"/>
              <w:rPr>
                <w:highlight w:val="darkGray"/>
              </w:rPr>
            </w:pPr>
            <w:r w:rsidRPr="00471EB9">
              <w:rPr>
                <w:color w:val="000000"/>
                <w:spacing w:val="49"/>
                <w:szCs w:val="20"/>
                <w:shd w:val="solid" w:color="000000" w:fill="000000"/>
                <w:fitText w:val="320" w:id="-694407921"/>
                <w14:textFill>
                  <w14:solidFill>
                    <w14:srgbClr w14:val="000000">
                      <w14:alpha w14:val="100000"/>
                    </w14:srgbClr>
                  </w14:solidFill>
                </w14:textFill>
              </w:rPr>
              <w:t>|||</w:t>
            </w:r>
            <w:r w:rsidRPr="00471EB9">
              <w:rPr>
                <w:color w:val="000000"/>
                <w:spacing w:val="3"/>
                <w:szCs w:val="20"/>
                <w:shd w:val="solid" w:color="000000" w:fill="000000"/>
                <w:fitText w:val="320" w:id="-694407921"/>
                <w14:textFill>
                  <w14:solidFill>
                    <w14:srgbClr w14:val="000000">
                      <w14:alpha w14:val="100000"/>
                    </w14:srgbClr>
                  </w14:solidFill>
                </w14:textFill>
              </w:rPr>
              <w:t>|</w:t>
            </w:r>
            <w:r w:rsidR="00754CE2" w:rsidRPr="00754CE2">
              <w:rPr>
                <w:vertAlign w:val="superscript"/>
              </w:rPr>
              <w:t>3</w:t>
            </w:r>
          </w:p>
        </w:tc>
      </w:tr>
      <w:tr w:rsidR="007D0CF5" w:rsidRPr="00873941" w14:paraId="503BDB95" w14:textId="77777777" w:rsidTr="006139B4">
        <w:tc>
          <w:tcPr>
            <w:tcW w:w="9017" w:type="dxa"/>
            <w:gridSpan w:val="7"/>
            <w:shd w:val="clear" w:color="auto" w:fill="auto"/>
            <w:vAlign w:val="center"/>
          </w:tcPr>
          <w:p w14:paraId="0E619272" w14:textId="77777777" w:rsidR="007D0CF5" w:rsidRPr="00873941" w:rsidRDefault="007D0CF5" w:rsidP="006139B4">
            <w:pPr>
              <w:pStyle w:val="In-tableHeading"/>
              <w:rPr>
                <w:lang w:val="en-AU"/>
              </w:rPr>
            </w:pPr>
            <w:r w:rsidRPr="00873941">
              <w:rPr>
                <w:lang w:val="en-AU"/>
              </w:rPr>
              <w:t>Estimated financial implications of pertuzumab</w:t>
            </w:r>
          </w:p>
        </w:tc>
      </w:tr>
      <w:tr w:rsidR="007D0CF5" w:rsidRPr="00A0454D" w14:paraId="54F6E65D" w14:textId="77777777" w:rsidTr="006139B4">
        <w:tc>
          <w:tcPr>
            <w:tcW w:w="2402" w:type="dxa"/>
            <w:shd w:val="clear" w:color="auto" w:fill="auto"/>
            <w:vAlign w:val="center"/>
          </w:tcPr>
          <w:p w14:paraId="2363B780" w14:textId="77777777" w:rsidR="007D0CF5" w:rsidRPr="00A0454D" w:rsidRDefault="007D0CF5" w:rsidP="006139B4">
            <w:pPr>
              <w:pStyle w:val="TableText0"/>
              <w:rPr>
                <w:sz w:val="19"/>
                <w:szCs w:val="19"/>
              </w:rPr>
            </w:pPr>
            <w:r w:rsidRPr="00A0454D">
              <w:rPr>
                <w:sz w:val="19"/>
                <w:szCs w:val="19"/>
              </w:rPr>
              <w:t>Cost to PBS/RPBS less copayments</w:t>
            </w:r>
          </w:p>
        </w:tc>
        <w:tc>
          <w:tcPr>
            <w:tcW w:w="1102" w:type="dxa"/>
            <w:shd w:val="clear" w:color="auto" w:fill="auto"/>
            <w:vAlign w:val="center"/>
          </w:tcPr>
          <w:p w14:paraId="43837135" w14:textId="66527018" w:rsidR="007D0CF5" w:rsidRPr="006A1047" w:rsidRDefault="00471EB9" w:rsidP="006139B4">
            <w:pPr>
              <w:pStyle w:val="TableText0"/>
              <w:jc w:val="center"/>
              <w:rPr>
                <w:highlight w:val="darkGray"/>
              </w:rPr>
            </w:pPr>
            <w:r w:rsidRPr="00471EB9">
              <w:rPr>
                <w:color w:val="000000"/>
                <w:spacing w:val="53"/>
                <w:shd w:val="solid" w:color="000000" w:fill="000000"/>
                <w:fitText w:val="330" w:id="-694407920"/>
                <w14:textFill>
                  <w14:solidFill>
                    <w14:srgbClr w14:val="000000">
                      <w14:alpha w14:val="100000"/>
                    </w14:srgbClr>
                  </w14:solidFill>
                </w14:textFill>
              </w:rPr>
              <w:t>|||</w:t>
            </w:r>
            <w:r w:rsidRPr="00471EB9">
              <w:rPr>
                <w:color w:val="000000"/>
                <w:spacing w:val="1"/>
                <w:shd w:val="solid" w:color="000000" w:fill="000000"/>
                <w:fitText w:val="330" w:id="-694407920"/>
                <w14:textFill>
                  <w14:solidFill>
                    <w14:srgbClr w14:val="000000">
                      <w14:alpha w14:val="100000"/>
                    </w14:srgbClr>
                  </w14:solidFill>
                </w14:textFill>
              </w:rPr>
              <w:t>|</w:t>
            </w:r>
            <w:r w:rsidR="003736FD" w:rsidRPr="003736FD">
              <w:rPr>
                <w:vertAlign w:val="superscript"/>
              </w:rPr>
              <w:t>4</w:t>
            </w:r>
          </w:p>
        </w:tc>
        <w:tc>
          <w:tcPr>
            <w:tcW w:w="1102" w:type="dxa"/>
            <w:shd w:val="clear" w:color="auto" w:fill="auto"/>
            <w:vAlign w:val="center"/>
          </w:tcPr>
          <w:p w14:paraId="249AD193" w14:textId="16578D99" w:rsidR="007D0CF5" w:rsidRPr="006A1047" w:rsidRDefault="00471EB9" w:rsidP="006139B4">
            <w:pPr>
              <w:pStyle w:val="TableText0"/>
              <w:jc w:val="center"/>
              <w:rPr>
                <w:highlight w:val="darkGray"/>
              </w:rPr>
            </w:pPr>
            <w:r w:rsidRPr="00471EB9">
              <w:rPr>
                <w:color w:val="000000"/>
                <w:spacing w:val="53"/>
                <w:shd w:val="solid" w:color="000000" w:fill="000000"/>
                <w:fitText w:val="330" w:id="-694407936"/>
                <w14:textFill>
                  <w14:solidFill>
                    <w14:srgbClr w14:val="000000">
                      <w14:alpha w14:val="100000"/>
                    </w14:srgbClr>
                  </w14:solidFill>
                </w14:textFill>
              </w:rPr>
              <w:t>|||</w:t>
            </w:r>
            <w:r w:rsidRPr="00471EB9">
              <w:rPr>
                <w:color w:val="000000"/>
                <w:spacing w:val="1"/>
                <w:shd w:val="solid" w:color="000000" w:fill="000000"/>
                <w:fitText w:val="330" w:id="-694407936"/>
                <w14:textFill>
                  <w14:solidFill>
                    <w14:srgbClr w14:val="000000">
                      <w14:alpha w14:val="100000"/>
                    </w14:srgbClr>
                  </w14:solidFill>
                </w14:textFill>
              </w:rPr>
              <w:t>|</w:t>
            </w:r>
            <w:r w:rsidR="003736FD" w:rsidRPr="003736FD">
              <w:rPr>
                <w:vertAlign w:val="superscript"/>
              </w:rPr>
              <w:t>4</w:t>
            </w:r>
          </w:p>
        </w:tc>
        <w:tc>
          <w:tcPr>
            <w:tcW w:w="1102" w:type="dxa"/>
            <w:shd w:val="clear" w:color="auto" w:fill="auto"/>
            <w:vAlign w:val="center"/>
          </w:tcPr>
          <w:p w14:paraId="6266CDA4" w14:textId="7E8DD331" w:rsidR="007D0CF5" w:rsidRPr="006A1047" w:rsidRDefault="00471EB9" w:rsidP="006139B4">
            <w:pPr>
              <w:pStyle w:val="TableText0"/>
              <w:jc w:val="center"/>
              <w:rPr>
                <w:highlight w:val="darkGray"/>
              </w:rPr>
            </w:pPr>
            <w:r w:rsidRPr="00471EB9">
              <w:rPr>
                <w:color w:val="000000"/>
                <w:spacing w:val="53"/>
                <w:shd w:val="solid" w:color="000000" w:fill="000000"/>
                <w:fitText w:val="330" w:id="-694407935"/>
                <w14:textFill>
                  <w14:solidFill>
                    <w14:srgbClr w14:val="000000">
                      <w14:alpha w14:val="100000"/>
                    </w14:srgbClr>
                  </w14:solidFill>
                </w14:textFill>
              </w:rPr>
              <w:t>|||</w:t>
            </w:r>
            <w:r w:rsidRPr="00471EB9">
              <w:rPr>
                <w:color w:val="000000"/>
                <w:spacing w:val="1"/>
                <w:shd w:val="solid" w:color="000000" w:fill="000000"/>
                <w:fitText w:val="330" w:id="-694407935"/>
                <w14:textFill>
                  <w14:solidFill>
                    <w14:srgbClr w14:val="000000">
                      <w14:alpha w14:val="100000"/>
                    </w14:srgbClr>
                  </w14:solidFill>
                </w14:textFill>
              </w:rPr>
              <w:t>|</w:t>
            </w:r>
            <w:r w:rsidR="003736FD" w:rsidRPr="003736FD">
              <w:rPr>
                <w:vertAlign w:val="superscript"/>
              </w:rPr>
              <w:t>4</w:t>
            </w:r>
          </w:p>
        </w:tc>
        <w:tc>
          <w:tcPr>
            <w:tcW w:w="1102" w:type="dxa"/>
            <w:shd w:val="clear" w:color="auto" w:fill="auto"/>
            <w:vAlign w:val="center"/>
          </w:tcPr>
          <w:p w14:paraId="1CEBF33B" w14:textId="7E2F1312" w:rsidR="007D0CF5" w:rsidRPr="006A1047" w:rsidRDefault="00471EB9" w:rsidP="006139B4">
            <w:pPr>
              <w:pStyle w:val="TableText0"/>
              <w:jc w:val="center"/>
              <w:rPr>
                <w:highlight w:val="darkGray"/>
              </w:rPr>
            </w:pPr>
            <w:r w:rsidRPr="00471EB9">
              <w:rPr>
                <w:color w:val="000000"/>
                <w:spacing w:val="53"/>
                <w:shd w:val="solid" w:color="000000" w:fill="000000"/>
                <w:fitText w:val="330" w:id="-694407934"/>
                <w14:textFill>
                  <w14:solidFill>
                    <w14:srgbClr w14:val="000000">
                      <w14:alpha w14:val="100000"/>
                    </w14:srgbClr>
                  </w14:solidFill>
                </w14:textFill>
              </w:rPr>
              <w:t>|||</w:t>
            </w:r>
            <w:r w:rsidRPr="00471EB9">
              <w:rPr>
                <w:color w:val="000000"/>
                <w:spacing w:val="1"/>
                <w:shd w:val="solid" w:color="000000" w:fill="000000"/>
                <w:fitText w:val="330" w:id="-694407934"/>
                <w14:textFill>
                  <w14:solidFill>
                    <w14:srgbClr w14:val="000000">
                      <w14:alpha w14:val="100000"/>
                    </w14:srgbClr>
                  </w14:solidFill>
                </w14:textFill>
              </w:rPr>
              <w:t>|</w:t>
            </w:r>
            <w:r w:rsidR="003736FD" w:rsidRPr="003736FD">
              <w:rPr>
                <w:vertAlign w:val="superscript"/>
              </w:rPr>
              <w:t>4</w:t>
            </w:r>
          </w:p>
        </w:tc>
        <w:tc>
          <w:tcPr>
            <w:tcW w:w="1102" w:type="dxa"/>
            <w:shd w:val="clear" w:color="auto" w:fill="auto"/>
            <w:vAlign w:val="center"/>
          </w:tcPr>
          <w:p w14:paraId="22DEF26E" w14:textId="6DD4166C" w:rsidR="007D0CF5" w:rsidRPr="006A1047" w:rsidRDefault="00471EB9" w:rsidP="006139B4">
            <w:pPr>
              <w:pStyle w:val="TableText0"/>
              <w:jc w:val="center"/>
              <w:rPr>
                <w:highlight w:val="darkGray"/>
              </w:rPr>
            </w:pPr>
            <w:r w:rsidRPr="00471EB9">
              <w:rPr>
                <w:color w:val="000000"/>
                <w:spacing w:val="53"/>
                <w:shd w:val="solid" w:color="000000" w:fill="000000"/>
                <w:fitText w:val="330" w:id="-694407933"/>
                <w14:textFill>
                  <w14:solidFill>
                    <w14:srgbClr w14:val="000000">
                      <w14:alpha w14:val="100000"/>
                    </w14:srgbClr>
                  </w14:solidFill>
                </w14:textFill>
              </w:rPr>
              <w:t>|||</w:t>
            </w:r>
            <w:r w:rsidRPr="00471EB9">
              <w:rPr>
                <w:color w:val="000000"/>
                <w:spacing w:val="1"/>
                <w:shd w:val="solid" w:color="000000" w:fill="000000"/>
                <w:fitText w:val="330" w:id="-694407933"/>
                <w14:textFill>
                  <w14:solidFill>
                    <w14:srgbClr w14:val="000000">
                      <w14:alpha w14:val="100000"/>
                    </w14:srgbClr>
                  </w14:solidFill>
                </w14:textFill>
              </w:rPr>
              <w:t>|</w:t>
            </w:r>
            <w:r w:rsidR="003736FD" w:rsidRPr="003736FD">
              <w:rPr>
                <w:vertAlign w:val="superscript"/>
              </w:rPr>
              <w:t>4</w:t>
            </w:r>
          </w:p>
        </w:tc>
        <w:tc>
          <w:tcPr>
            <w:tcW w:w="1105" w:type="dxa"/>
            <w:vAlign w:val="center"/>
          </w:tcPr>
          <w:p w14:paraId="5E073130" w14:textId="70C0A3E3" w:rsidR="007D0CF5" w:rsidRPr="006A1047" w:rsidRDefault="00471EB9" w:rsidP="006139B4">
            <w:pPr>
              <w:pStyle w:val="TableText0"/>
              <w:jc w:val="center"/>
              <w:rPr>
                <w:highlight w:val="darkGray"/>
              </w:rPr>
            </w:pPr>
            <w:r w:rsidRPr="00471EB9">
              <w:rPr>
                <w:color w:val="000000"/>
                <w:spacing w:val="49"/>
                <w:shd w:val="solid" w:color="000000" w:fill="000000"/>
                <w:fitText w:val="320" w:id="-694407932"/>
                <w14:textFill>
                  <w14:solidFill>
                    <w14:srgbClr w14:val="000000">
                      <w14:alpha w14:val="100000"/>
                    </w14:srgbClr>
                  </w14:solidFill>
                </w14:textFill>
              </w:rPr>
              <w:t>|||</w:t>
            </w:r>
            <w:r w:rsidRPr="00471EB9">
              <w:rPr>
                <w:color w:val="000000"/>
                <w:spacing w:val="3"/>
                <w:shd w:val="solid" w:color="000000" w:fill="000000"/>
                <w:fitText w:val="320" w:id="-694407932"/>
                <w14:textFill>
                  <w14:solidFill>
                    <w14:srgbClr w14:val="000000">
                      <w14:alpha w14:val="100000"/>
                    </w14:srgbClr>
                  </w14:solidFill>
                </w14:textFill>
              </w:rPr>
              <w:t>|</w:t>
            </w:r>
            <w:r w:rsidR="003736FD" w:rsidRPr="003736FD">
              <w:rPr>
                <w:vertAlign w:val="superscript"/>
              </w:rPr>
              <w:t>4</w:t>
            </w:r>
          </w:p>
        </w:tc>
      </w:tr>
      <w:tr w:rsidR="00E36229" w:rsidRPr="00A0454D" w14:paraId="5EE3E2C1" w14:textId="77777777" w:rsidTr="006139B4">
        <w:tc>
          <w:tcPr>
            <w:tcW w:w="2402" w:type="dxa"/>
            <w:shd w:val="clear" w:color="auto" w:fill="auto"/>
            <w:vAlign w:val="center"/>
          </w:tcPr>
          <w:p w14:paraId="4DCA2A97" w14:textId="5CE1A031" w:rsidR="00E36229" w:rsidRPr="00A0454D" w:rsidRDefault="00E36229" w:rsidP="00E36229">
            <w:pPr>
              <w:pStyle w:val="TableText0"/>
              <w:rPr>
                <w:sz w:val="19"/>
                <w:szCs w:val="19"/>
              </w:rPr>
            </w:pPr>
            <w:r w:rsidRPr="00A0454D">
              <w:rPr>
                <w:sz w:val="19"/>
                <w:szCs w:val="19"/>
              </w:rPr>
              <w:t>Cost to PBS/RPBS less copayments PSCR revised</w:t>
            </w:r>
          </w:p>
        </w:tc>
        <w:tc>
          <w:tcPr>
            <w:tcW w:w="1102" w:type="dxa"/>
            <w:shd w:val="clear" w:color="auto" w:fill="auto"/>
            <w:vAlign w:val="center"/>
          </w:tcPr>
          <w:p w14:paraId="5FD0C310" w14:textId="3D076D35" w:rsidR="00E36229" w:rsidRPr="006A1047" w:rsidRDefault="00471EB9" w:rsidP="00E36229">
            <w:pPr>
              <w:pStyle w:val="TableText0"/>
              <w:jc w:val="center"/>
              <w:rPr>
                <w:highlight w:val="darkGray"/>
              </w:rPr>
            </w:pPr>
            <w:r w:rsidRPr="00471EB9">
              <w:rPr>
                <w:color w:val="000000"/>
                <w:spacing w:val="53"/>
                <w:shd w:val="solid" w:color="000000" w:fill="000000"/>
                <w:fitText w:val="330" w:id="-694407931"/>
                <w14:textFill>
                  <w14:solidFill>
                    <w14:srgbClr w14:val="000000">
                      <w14:alpha w14:val="100000"/>
                    </w14:srgbClr>
                  </w14:solidFill>
                </w14:textFill>
              </w:rPr>
              <w:t>|||</w:t>
            </w:r>
            <w:r w:rsidRPr="00471EB9">
              <w:rPr>
                <w:color w:val="000000"/>
                <w:spacing w:val="1"/>
                <w:shd w:val="solid" w:color="000000" w:fill="000000"/>
                <w:fitText w:val="330" w:id="-694407931"/>
                <w14:textFill>
                  <w14:solidFill>
                    <w14:srgbClr w14:val="000000">
                      <w14:alpha w14:val="100000"/>
                    </w14:srgbClr>
                  </w14:solidFill>
                </w14:textFill>
              </w:rPr>
              <w:t>|</w:t>
            </w:r>
            <w:r w:rsidR="003736FD" w:rsidRPr="003736FD">
              <w:rPr>
                <w:vertAlign w:val="superscript"/>
              </w:rPr>
              <w:t>4</w:t>
            </w:r>
          </w:p>
        </w:tc>
        <w:tc>
          <w:tcPr>
            <w:tcW w:w="1102" w:type="dxa"/>
            <w:shd w:val="clear" w:color="auto" w:fill="auto"/>
            <w:vAlign w:val="center"/>
          </w:tcPr>
          <w:p w14:paraId="66D81F57" w14:textId="2F991F6E" w:rsidR="00E36229" w:rsidRPr="006A1047" w:rsidRDefault="00471EB9" w:rsidP="00E36229">
            <w:pPr>
              <w:pStyle w:val="TableText0"/>
              <w:jc w:val="center"/>
              <w:rPr>
                <w:highlight w:val="darkGray"/>
              </w:rPr>
            </w:pPr>
            <w:r w:rsidRPr="00471EB9">
              <w:rPr>
                <w:color w:val="000000"/>
                <w:spacing w:val="53"/>
                <w:shd w:val="solid" w:color="000000" w:fill="000000"/>
                <w:fitText w:val="330" w:id="-694407930"/>
                <w14:textFill>
                  <w14:solidFill>
                    <w14:srgbClr w14:val="000000">
                      <w14:alpha w14:val="100000"/>
                    </w14:srgbClr>
                  </w14:solidFill>
                </w14:textFill>
              </w:rPr>
              <w:t>|||</w:t>
            </w:r>
            <w:r w:rsidRPr="00471EB9">
              <w:rPr>
                <w:color w:val="000000"/>
                <w:spacing w:val="1"/>
                <w:shd w:val="solid" w:color="000000" w:fill="000000"/>
                <w:fitText w:val="330" w:id="-694407930"/>
                <w14:textFill>
                  <w14:solidFill>
                    <w14:srgbClr w14:val="000000">
                      <w14:alpha w14:val="100000"/>
                    </w14:srgbClr>
                  </w14:solidFill>
                </w14:textFill>
              </w:rPr>
              <w:t>|</w:t>
            </w:r>
            <w:r w:rsidR="003736FD" w:rsidRPr="003736FD">
              <w:rPr>
                <w:vertAlign w:val="superscript"/>
              </w:rPr>
              <w:t>4</w:t>
            </w:r>
          </w:p>
        </w:tc>
        <w:tc>
          <w:tcPr>
            <w:tcW w:w="1102" w:type="dxa"/>
            <w:shd w:val="clear" w:color="auto" w:fill="auto"/>
            <w:vAlign w:val="center"/>
          </w:tcPr>
          <w:p w14:paraId="0C374757" w14:textId="1D29DD64" w:rsidR="00E36229" w:rsidRPr="006A1047" w:rsidRDefault="00471EB9" w:rsidP="00E36229">
            <w:pPr>
              <w:pStyle w:val="TableText0"/>
              <w:jc w:val="center"/>
              <w:rPr>
                <w:highlight w:val="darkGray"/>
              </w:rPr>
            </w:pPr>
            <w:r w:rsidRPr="00471EB9">
              <w:rPr>
                <w:color w:val="000000"/>
                <w:spacing w:val="53"/>
                <w:shd w:val="solid" w:color="000000" w:fill="000000"/>
                <w:fitText w:val="330" w:id="-694407929"/>
                <w14:textFill>
                  <w14:solidFill>
                    <w14:srgbClr w14:val="000000">
                      <w14:alpha w14:val="100000"/>
                    </w14:srgbClr>
                  </w14:solidFill>
                </w14:textFill>
              </w:rPr>
              <w:t>|||</w:t>
            </w:r>
            <w:r w:rsidRPr="00471EB9">
              <w:rPr>
                <w:color w:val="000000"/>
                <w:spacing w:val="1"/>
                <w:shd w:val="solid" w:color="000000" w:fill="000000"/>
                <w:fitText w:val="330" w:id="-694407929"/>
                <w14:textFill>
                  <w14:solidFill>
                    <w14:srgbClr w14:val="000000">
                      <w14:alpha w14:val="100000"/>
                    </w14:srgbClr>
                  </w14:solidFill>
                </w14:textFill>
              </w:rPr>
              <w:t>|</w:t>
            </w:r>
            <w:r w:rsidR="003736FD" w:rsidRPr="003736FD">
              <w:rPr>
                <w:vertAlign w:val="superscript"/>
              </w:rPr>
              <w:t>4</w:t>
            </w:r>
          </w:p>
        </w:tc>
        <w:tc>
          <w:tcPr>
            <w:tcW w:w="1102" w:type="dxa"/>
            <w:shd w:val="clear" w:color="auto" w:fill="auto"/>
            <w:vAlign w:val="center"/>
          </w:tcPr>
          <w:p w14:paraId="3FB89C50" w14:textId="1C25DB8A" w:rsidR="00E36229" w:rsidRPr="006A1047" w:rsidRDefault="00471EB9" w:rsidP="00E36229">
            <w:pPr>
              <w:pStyle w:val="TableText0"/>
              <w:jc w:val="center"/>
              <w:rPr>
                <w:highlight w:val="darkGray"/>
              </w:rPr>
            </w:pPr>
            <w:r w:rsidRPr="00471EB9">
              <w:rPr>
                <w:color w:val="000000"/>
                <w:spacing w:val="53"/>
                <w:shd w:val="solid" w:color="000000" w:fill="000000"/>
                <w:fitText w:val="330" w:id="-694407928"/>
                <w14:textFill>
                  <w14:solidFill>
                    <w14:srgbClr w14:val="000000">
                      <w14:alpha w14:val="100000"/>
                    </w14:srgbClr>
                  </w14:solidFill>
                </w14:textFill>
              </w:rPr>
              <w:t>|||</w:t>
            </w:r>
            <w:r w:rsidRPr="00471EB9">
              <w:rPr>
                <w:color w:val="000000"/>
                <w:spacing w:val="1"/>
                <w:shd w:val="solid" w:color="000000" w:fill="000000"/>
                <w:fitText w:val="330" w:id="-694407928"/>
                <w14:textFill>
                  <w14:solidFill>
                    <w14:srgbClr w14:val="000000">
                      <w14:alpha w14:val="100000"/>
                    </w14:srgbClr>
                  </w14:solidFill>
                </w14:textFill>
              </w:rPr>
              <w:t>|</w:t>
            </w:r>
            <w:r w:rsidR="003736FD" w:rsidRPr="003736FD">
              <w:rPr>
                <w:vertAlign w:val="superscript"/>
              </w:rPr>
              <w:t>4</w:t>
            </w:r>
          </w:p>
        </w:tc>
        <w:tc>
          <w:tcPr>
            <w:tcW w:w="1102" w:type="dxa"/>
            <w:shd w:val="clear" w:color="auto" w:fill="auto"/>
            <w:vAlign w:val="center"/>
          </w:tcPr>
          <w:p w14:paraId="28517C62" w14:textId="7CE6814C" w:rsidR="00E36229" w:rsidRPr="006A1047" w:rsidRDefault="00471EB9" w:rsidP="00E36229">
            <w:pPr>
              <w:pStyle w:val="TableText0"/>
              <w:jc w:val="center"/>
              <w:rPr>
                <w:highlight w:val="darkGray"/>
              </w:rPr>
            </w:pPr>
            <w:r w:rsidRPr="00471EB9">
              <w:rPr>
                <w:color w:val="000000"/>
                <w:spacing w:val="53"/>
                <w:shd w:val="solid" w:color="000000" w:fill="000000"/>
                <w:fitText w:val="330" w:id="-694407927"/>
                <w14:textFill>
                  <w14:solidFill>
                    <w14:srgbClr w14:val="000000">
                      <w14:alpha w14:val="100000"/>
                    </w14:srgbClr>
                  </w14:solidFill>
                </w14:textFill>
              </w:rPr>
              <w:t>|||</w:t>
            </w:r>
            <w:r w:rsidRPr="00471EB9">
              <w:rPr>
                <w:color w:val="000000"/>
                <w:spacing w:val="1"/>
                <w:shd w:val="solid" w:color="000000" w:fill="000000"/>
                <w:fitText w:val="330" w:id="-694407927"/>
                <w14:textFill>
                  <w14:solidFill>
                    <w14:srgbClr w14:val="000000">
                      <w14:alpha w14:val="100000"/>
                    </w14:srgbClr>
                  </w14:solidFill>
                </w14:textFill>
              </w:rPr>
              <w:t>|</w:t>
            </w:r>
            <w:r w:rsidR="003736FD" w:rsidRPr="003736FD">
              <w:rPr>
                <w:vertAlign w:val="superscript"/>
              </w:rPr>
              <w:t>4</w:t>
            </w:r>
          </w:p>
        </w:tc>
        <w:tc>
          <w:tcPr>
            <w:tcW w:w="1105" w:type="dxa"/>
            <w:vAlign w:val="center"/>
          </w:tcPr>
          <w:p w14:paraId="591D94D7" w14:textId="6A642D06" w:rsidR="00E36229" w:rsidRPr="006A1047" w:rsidRDefault="00471EB9" w:rsidP="00E36229">
            <w:pPr>
              <w:pStyle w:val="TableText0"/>
              <w:jc w:val="center"/>
              <w:rPr>
                <w:highlight w:val="darkGray"/>
              </w:rPr>
            </w:pPr>
            <w:r w:rsidRPr="00471EB9">
              <w:rPr>
                <w:color w:val="000000"/>
                <w:spacing w:val="49"/>
                <w:shd w:val="solid" w:color="000000" w:fill="000000"/>
                <w:fitText w:val="320" w:id="-694407926"/>
                <w14:textFill>
                  <w14:solidFill>
                    <w14:srgbClr w14:val="000000">
                      <w14:alpha w14:val="100000"/>
                    </w14:srgbClr>
                  </w14:solidFill>
                </w14:textFill>
              </w:rPr>
              <w:t>|||</w:t>
            </w:r>
            <w:r w:rsidRPr="00471EB9">
              <w:rPr>
                <w:color w:val="000000"/>
                <w:spacing w:val="3"/>
                <w:shd w:val="solid" w:color="000000" w:fill="000000"/>
                <w:fitText w:val="320" w:id="-694407926"/>
                <w14:textFill>
                  <w14:solidFill>
                    <w14:srgbClr w14:val="000000">
                      <w14:alpha w14:val="100000"/>
                    </w14:srgbClr>
                  </w14:solidFill>
                </w14:textFill>
              </w:rPr>
              <w:t>|</w:t>
            </w:r>
            <w:r w:rsidR="003736FD" w:rsidRPr="003736FD">
              <w:rPr>
                <w:vertAlign w:val="superscript"/>
              </w:rPr>
              <w:t>4</w:t>
            </w:r>
          </w:p>
        </w:tc>
      </w:tr>
      <w:tr w:rsidR="007D0CF5" w:rsidRPr="00873941" w14:paraId="04FF8B12" w14:textId="77777777" w:rsidTr="006139B4">
        <w:tc>
          <w:tcPr>
            <w:tcW w:w="9017" w:type="dxa"/>
            <w:gridSpan w:val="7"/>
            <w:shd w:val="clear" w:color="auto" w:fill="auto"/>
            <w:vAlign w:val="center"/>
          </w:tcPr>
          <w:p w14:paraId="1EF05527" w14:textId="77777777" w:rsidR="007D0CF5" w:rsidRPr="00873941" w:rsidRDefault="007D0CF5" w:rsidP="006139B4">
            <w:pPr>
              <w:pStyle w:val="In-tableHeading"/>
              <w:rPr>
                <w:lang w:val="en-AU"/>
              </w:rPr>
            </w:pPr>
            <w:r w:rsidRPr="00873941">
              <w:rPr>
                <w:lang w:val="en-AU"/>
              </w:rPr>
              <w:t>Estimated financial implications for other medicines</w:t>
            </w:r>
          </w:p>
        </w:tc>
      </w:tr>
      <w:tr w:rsidR="007D0CF5" w:rsidRPr="00873941" w14:paraId="793F518A" w14:textId="77777777" w:rsidTr="006139B4">
        <w:tc>
          <w:tcPr>
            <w:tcW w:w="2402" w:type="dxa"/>
            <w:shd w:val="clear" w:color="auto" w:fill="auto"/>
            <w:vAlign w:val="center"/>
          </w:tcPr>
          <w:p w14:paraId="5A86D31B" w14:textId="77777777" w:rsidR="007D0CF5" w:rsidRPr="00873941" w:rsidRDefault="007D0CF5" w:rsidP="006139B4">
            <w:pPr>
              <w:pStyle w:val="TableText0"/>
              <w:rPr>
                <w:sz w:val="19"/>
                <w:szCs w:val="19"/>
              </w:rPr>
            </w:pPr>
            <w:r w:rsidRPr="00873941">
              <w:rPr>
                <w:sz w:val="19"/>
                <w:szCs w:val="19"/>
              </w:rPr>
              <w:t xml:space="preserve">Cost to PBS/RPBS less copayments: </w:t>
            </w:r>
            <w:r w:rsidRPr="00873941">
              <w:t xml:space="preserve">adjuvant treatment </w:t>
            </w:r>
          </w:p>
        </w:tc>
        <w:tc>
          <w:tcPr>
            <w:tcW w:w="1102" w:type="dxa"/>
            <w:shd w:val="clear" w:color="auto" w:fill="auto"/>
            <w:vAlign w:val="center"/>
          </w:tcPr>
          <w:p w14:paraId="015D9B0A" w14:textId="002FE741" w:rsidR="007D0CF5" w:rsidRPr="006A1047" w:rsidRDefault="00471EB9" w:rsidP="006139B4">
            <w:pPr>
              <w:pStyle w:val="TableText0"/>
              <w:jc w:val="center"/>
              <w:rPr>
                <w:highlight w:val="darkGray"/>
              </w:rPr>
            </w:pPr>
            <w:r w:rsidRPr="00471EB9">
              <w:rPr>
                <w:color w:val="000000"/>
                <w:spacing w:val="53"/>
                <w:shd w:val="solid" w:color="000000" w:fill="000000"/>
                <w:fitText w:val="330" w:id="-694407925"/>
                <w14:textFill>
                  <w14:solidFill>
                    <w14:srgbClr w14:val="000000">
                      <w14:alpha w14:val="100000"/>
                    </w14:srgbClr>
                  </w14:solidFill>
                </w14:textFill>
              </w:rPr>
              <w:t>|||</w:t>
            </w:r>
            <w:r w:rsidRPr="00471EB9">
              <w:rPr>
                <w:color w:val="000000"/>
                <w:spacing w:val="1"/>
                <w:shd w:val="solid" w:color="000000" w:fill="000000"/>
                <w:fitText w:val="330" w:id="-694407925"/>
                <w14:textFill>
                  <w14:solidFill>
                    <w14:srgbClr w14:val="000000">
                      <w14:alpha w14:val="100000"/>
                    </w14:srgbClr>
                  </w14:solidFill>
                </w14:textFill>
              </w:rPr>
              <w:t>|</w:t>
            </w:r>
            <w:r w:rsidR="0060102E" w:rsidRPr="0060102E">
              <w:rPr>
                <w:vertAlign w:val="superscript"/>
              </w:rPr>
              <w:t>5</w:t>
            </w:r>
          </w:p>
        </w:tc>
        <w:tc>
          <w:tcPr>
            <w:tcW w:w="1102" w:type="dxa"/>
            <w:shd w:val="clear" w:color="auto" w:fill="auto"/>
            <w:vAlign w:val="center"/>
          </w:tcPr>
          <w:p w14:paraId="7F117524" w14:textId="3190C77C" w:rsidR="007D0CF5" w:rsidRPr="006A1047" w:rsidRDefault="00471EB9" w:rsidP="006139B4">
            <w:pPr>
              <w:pStyle w:val="TableText0"/>
              <w:jc w:val="center"/>
              <w:rPr>
                <w:highlight w:val="darkGray"/>
              </w:rPr>
            </w:pPr>
            <w:r w:rsidRPr="00471EB9">
              <w:rPr>
                <w:color w:val="000000"/>
                <w:spacing w:val="53"/>
                <w:shd w:val="solid" w:color="000000" w:fill="000000"/>
                <w:fitText w:val="330" w:id="-694407924"/>
                <w14:textFill>
                  <w14:solidFill>
                    <w14:srgbClr w14:val="000000">
                      <w14:alpha w14:val="100000"/>
                    </w14:srgbClr>
                  </w14:solidFill>
                </w14:textFill>
              </w:rPr>
              <w:t>|||</w:t>
            </w:r>
            <w:r w:rsidRPr="00471EB9">
              <w:rPr>
                <w:color w:val="000000"/>
                <w:spacing w:val="1"/>
                <w:shd w:val="solid" w:color="000000" w:fill="000000"/>
                <w:fitText w:val="330" w:id="-694407924"/>
                <w14:textFill>
                  <w14:solidFill>
                    <w14:srgbClr w14:val="000000">
                      <w14:alpha w14:val="100000"/>
                    </w14:srgbClr>
                  </w14:solidFill>
                </w14:textFill>
              </w:rPr>
              <w:t>|</w:t>
            </w:r>
            <w:r w:rsidR="0060102E" w:rsidRPr="0060102E">
              <w:rPr>
                <w:vertAlign w:val="superscript"/>
              </w:rPr>
              <w:t>5</w:t>
            </w:r>
          </w:p>
        </w:tc>
        <w:tc>
          <w:tcPr>
            <w:tcW w:w="1102" w:type="dxa"/>
            <w:shd w:val="clear" w:color="auto" w:fill="auto"/>
            <w:vAlign w:val="center"/>
          </w:tcPr>
          <w:p w14:paraId="5BC7F438" w14:textId="2A375400" w:rsidR="007D0CF5" w:rsidRPr="006A1047" w:rsidRDefault="00471EB9" w:rsidP="006139B4">
            <w:pPr>
              <w:pStyle w:val="TableText0"/>
              <w:jc w:val="center"/>
              <w:rPr>
                <w:highlight w:val="darkGray"/>
              </w:rPr>
            </w:pPr>
            <w:r w:rsidRPr="00471EB9">
              <w:rPr>
                <w:color w:val="000000"/>
                <w:spacing w:val="53"/>
                <w:shd w:val="solid" w:color="000000" w:fill="000000"/>
                <w:fitText w:val="330" w:id="-694407923"/>
                <w14:textFill>
                  <w14:solidFill>
                    <w14:srgbClr w14:val="000000">
                      <w14:alpha w14:val="100000"/>
                    </w14:srgbClr>
                  </w14:solidFill>
                </w14:textFill>
              </w:rPr>
              <w:t>|||</w:t>
            </w:r>
            <w:r w:rsidRPr="00471EB9">
              <w:rPr>
                <w:color w:val="000000"/>
                <w:spacing w:val="1"/>
                <w:shd w:val="solid" w:color="000000" w:fill="000000"/>
                <w:fitText w:val="330" w:id="-694407923"/>
                <w14:textFill>
                  <w14:solidFill>
                    <w14:srgbClr w14:val="000000">
                      <w14:alpha w14:val="100000"/>
                    </w14:srgbClr>
                  </w14:solidFill>
                </w14:textFill>
              </w:rPr>
              <w:t>|</w:t>
            </w:r>
            <w:r w:rsidR="0060102E" w:rsidRPr="0060102E">
              <w:rPr>
                <w:vertAlign w:val="superscript"/>
              </w:rPr>
              <w:t>5</w:t>
            </w:r>
          </w:p>
        </w:tc>
        <w:tc>
          <w:tcPr>
            <w:tcW w:w="1102" w:type="dxa"/>
            <w:shd w:val="clear" w:color="auto" w:fill="auto"/>
            <w:vAlign w:val="center"/>
          </w:tcPr>
          <w:p w14:paraId="20F0DD64" w14:textId="6BC58069" w:rsidR="007D0CF5" w:rsidRPr="006A1047" w:rsidRDefault="00471EB9" w:rsidP="006139B4">
            <w:pPr>
              <w:pStyle w:val="TableText0"/>
              <w:jc w:val="center"/>
              <w:rPr>
                <w:highlight w:val="darkGray"/>
              </w:rPr>
            </w:pPr>
            <w:r w:rsidRPr="00471EB9">
              <w:rPr>
                <w:color w:val="000000"/>
                <w:spacing w:val="53"/>
                <w:shd w:val="solid" w:color="000000" w:fill="000000"/>
                <w:fitText w:val="330" w:id="-694407922"/>
                <w14:textFill>
                  <w14:solidFill>
                    <w14:srgbClr w14:val="000000">
                      <w14:alpha w14:val="100000"/>
                    </w14:srgbClr>
                  </w14:solidFill>
                </w14:textFill>
              </w:rPr>
              <w:t>|||</w:t>
            </w:r>
            <w:r w:rsidRPr="00471EB9">
              <w:rPr>
                <w:color w:val="000000"/>
                <w:spacing w:val="1"/>
                <w:shd w:val="solid" w:color="000000" w:fill="000000"/>
                <w:fitText w:val="330" w:id="-694407922"/>
                <w14:textFill>
                  <w14:solidFill>
                    <w14:srgbClr w14:val="000000">
                      <w14:alpha w14:val="100000"/>
                    </w14:srgbClr>
                  </w14:solidFill>
                </w14:textFill>
              </w:rPr>
              <w:t>|</w:t>
            </w:r>
            <w:r w:rsidR="0060102E" w:rsidRPr="0060102E">
              <w:rPr>
                <w:vertAlign w:val="superscript"/>
              </w:rPr>
              <w:t>5</w:t>
            </w:r>
          </w:p>
        </w:tc>
        <w:tc>
          <w:tcPr>
            <w:tcW w:w="1102" w:type="dxa"/>
            <w:shd w:val="clear" w:color="auto" w:fill="auto"/>
            <w:vAlign w:val="center"/>
          </w:tcPr>
          <w:p w14:paraId="5369FF06" w14:textId="66F2BF46" w:rsidR="007D0CF5" w:rsidRPr="006A1047" w:rsidRDefault="00471EB9" w:rsidP="006139B4">
            <w:pPr>
              <w:pStyle w:val="TableText0"/>
              <w:jc w:val="center"/>
              <w:rPr>
                <w:highlight w:val="darkGray"/>
              </w:rPr>
            </w:pPr>
            <w:r w:rsidRPr="00471EB9">
              <w:rPr>
                <w:color w:val="000000"/>
                <w:spacing w:val="53"/>
                <w:shd w:val="solid" w:color="000000" w:fill="000000"/>
                <w:fitText w:val="330" w:id="-694407921"/>
                <w14:textFill>
                  <w14:solidFill>
                    <w14:srgbClr w14:val="000000">
                      <w14:alpha w14:val="100000"/>
                    </w14:srgbClr>
                  </w14:solidFill>
                </w14:textFill>
              </w:rPr>
              <w:t>|||</w:t>
            </w:r>
            <w:r w:rsidRPr="00471EB9">
              <w:rPr>
                <w:color w:val="000000"/>
                <w:spacing w:val="1"/>
                <w:shd w:val="solid" w:color="000000" w:fill="000000"/>
                <w:fitText w:val="330" w:id="-694407921"/>
                <w14:textFill>
                  <w14:solidFill>
                    <w14:srgbClr w14:val="000000">
                      <w14:alpha w14:val="100000"/>
                    </w14:srgbClr>
                  </w14:solidFill>
                </w14:textFill>
              </w:rPr>
              <w:t>|</w:t>
            </w:r>
            <w:r w:rsidR="0060102E" w:rsidRPr="0060102E">
              <w:rPr>
                <w:vertAlign w:val="superscript"/>
              </w:rPr>
              <w:t>5</w:t>
            </w:r>
          </w:p>
        </w:tc>
        <w:tc>
          <w:tcPr>
            <w:tcW w:w="1105" w:type="dxa"/>
            <w:vAlign w:val="center"/>
          </w:tcPr>
          <w:p w14:paraId="24695DC7" w14:textId="29E96A4A" w:rsidR="007D0CF5" w:rsidRPr="006A1047" w:rsidRDefault="00471EB9" w:rsidP="006139B4">
            <w:pPr>
              <w:pStyle w:val="TableText0"/>
              <w:jc w:val="center"/>
              <w:rPr>
                <w:highlight w:val="darkGray"/>
              </w:rPr>
            </w:pPr>
            <w:r w:rsidRPr="00471EB9">
              <w:rPr>
                <w:color w:val="000000"/>
                <w:spacing w:val="49"/>
                <w:shd w:val="solid" w:color="000000" w:fill="000000"/>
                <w:fitText w:val="320" w:id="-694407920"/>
                <w14:textFill>
                  <w14:solidFill>
                    <w14:srgbClr w14:val="000000">
                      <w14:alpha w14:val="100000"/>
                    </w14:srgbClr>
                  </w14:solidFill>
                </w14:textFill>
              </w:rPr>
              <w:t>|||</w:t>
            </w:r>
            <w:r w:rsidRPr="00471EB9">
              <w:rPr>
                <w:color w:val="000000"/>
                <w:spacing w:val="3"/>
                <w:shd w:val="solid" w:color="000000" w:fill="000000"/>
                <w:fitText w:val="320" w:id="-694407920"/>
                <w14:textFill>
                  <w14:solidFill>
                    <w14:srgbClr w14:val="000000">
                      <w14:alpha w14:val="100000"/>
                    </w14:srgbClr>
                  </w14:solidFill>
                </w14:textFill>
              </w:rPr>
              <w:t>|</w:t>
            </w:r>
            <w:r w:rsidR="0060102E" w:rsidRPr="0060102E">
              <w:rPr>
                <w:vertAlign w:val="superscript"/>
              </w:rPr>
              <w:t>5</w:t>
            </w:r>
          </w:p>
        </w:tc>
      </w:tr>
      <w:tr w:rsidR="00CB1125" w:rsidRPr="00A0454D" w14:paraId="0A2DB095" w14:textId="77777777" w:rsidTr="006139B4">
        <w:tc>
          <w:tcPr>
            <w:tcW w:w="2402" w:type="dxa"/>
            <w:shd w:val="clear" w:color="auto" w:fill="auto"/>
            <w:vAlign w:val="center"/>
          </w:tcPr>
          <w:p w14:paraId="19D04981" w14:textId="2312E259" w:rsidR="00CB1125" w:rsidRPr="00A0454D" w:rsidRDefault="00CA36C4" w:rsidP="00CB1125">
            <w:pPr>
              <w:pStyle w:val="TableText0"/>
              <w:rPr>
                <w:sz w:val="19"/>
                <w:szCs w:val="19"/>
              </w:rPr>
            </w:pPr>
            <w:r w:rsidRPr="00A0454D">
              <w:rPr>
                <w:sz w:val="19"/>
                <w:szCs w:val="19"/>
              </w:rPr>
              <w:t xml:space="preserve">Cost to PBS/RPBS less copayments: </w:t>
            </w:r>
            <w:r w:rsidRPr="00A0454D">
              <w:t>adjuvant treatment PSCR revised</w:t>
            </w:r>
          </w:p>
        </w:tc>
        <w:tc>
          <w:tcPr>
            <w:tcW w:w="1102" w:type="dxa"/>
            <w:shd w:val="clear" w:color="auto" w:fill="auto"/>
            <w:vAlign w:val="center"/>
          </w:tcPr>
          <w:p w14:paraId="66A0A23E" w14:textId="5D132622" w:rsidR="00CB1125" w:rsidRPr="006A1047" w:rsidRDefault="00471EB9" w:rsidP="00CB1125">
            <w:pPr>
              <w:pStyle w:val="TableText0"/>
              <w:jc w:val="center"/>
              <w:rPr>
                <w:highlight w:val="darkGray"/>
              </w:rPr>
            </w:pPr>
            <w:r w:rsidRPr="00471EB9">
              <w:rPr>
                <w:color w:val="000000"/>
                <w:spacing w:val="53"/>
                <w:shd w:val="solid" w:color="000000" w:fill="000000"/>
                <w:fitText w:val="330" w:id="-694407936"/>
                <w14:textFill>
                  <w14:solidFill>
                    <w14:srgbClr w14:val="000000">
                      <w14:alpha w14:val="100000"/>
                    </w14:srgbClr>
                  </w14:solidFill>
                </w14:textFill>
              </w:rPr>
              <w:t>|||</w:t>
            </w:r>
            <w:r w:rsidRPr="00471EB9">
              <w:rPr>
                <w:color w:val="000000"/>
                <w:spacing w:val="1"/>
                <w:shd w:val="solid" w:color="000000" w:fill="000000"/>
                <w:fitText w:val="330" w:id="-694407936"/>
                <w14:textFill>
                  <w14:solidFill>
                    <w14:srgbClr w14:val="000000">
                      <w14:alpha w14:val="100000"/>
                    </w14:srgbClr>
                  </w14:solidFill>
                </w14:textFill>
              </w:rPr>
              <w:t>|</w:t>
            </w:r>
            <w:r w:rsidR="0060102E" w:rsidRPr="0060102E">
              <w:rPr>
                <w:vertAlign w:val="superscript"/>
              </w:rPr>
              <w:t>5</w:t>
            </w:r>
          </w:p>
        </w:tc>
        <w:tc>
          <w:tcPr>
            <w:tcW w:w="1102" w:type="dxa"/>
            <w:shd w:val="clear" w:color="auto" w:fill="auto"/>
            <w:vAlign w:val="center"/>
          </w:tcPr>
          <w:p w14:paraId="3B7D1032" w14:textId="5A082CAA" w:rsidR="00CB1125" w:rsidRPr="006A1047" w:rsidRDefault="00471EB9" w:rsidP="00CB1125">
            <w:pPr>
              <w:pStyle w:val="TableText0"/>
              <w:jc w:val="center"/>
              <w:rPr>
                <w:highlight w:val="darkGray"/>
              </w:rPr>
            </w:pPr>
            <w:r w:rsidRPr="00471EB9">
              <w:rPr>
                <w:color w:val="000000"/>
                <w:spacing w:val="53"/>
                <w:shd w:val="solid" w:color="000000" w:fill="000000"/>
                <w:fitText w:val="330" w:id="-694407935"/>
                <w14:textFill>
                  <w14:solidFill>
                    <w14:srgbClr w14:val="000000">
                      <w14:alpha w14:val="100000"/>
                    </w14:srgbClr>
                  </w14:solidFill>
                </w14:textFill>
              </w:rPr>
              <w:t>|||</w:t>
            </w:r>
            <w:r w:rsidRPr="00471EB9">
              <w:rPr>
                <w:color w:val="000000"/>
                <w:spacing w:val="1"/>
                <w:shd w:val="solid" w:color="000000" w:fill="000000"/>
                <w:fitText w:val="330" w:id="-694407935"/>
                <w14:textFill>
                  <w14:solidFill>
                    <w14:srgbClr w14:val="000000">
                      <w14:alpha w14:val="100000"/>
                    </w14:srgbClr>
                  </w14:solidFill>
                </w14:textFill>
              </w:rPr>
              <w:t>|</w:t>
            </w:r>
            <w:r w:rsidR="0060102E" w:rsidRPr="0060102E">
              <w:rPr>
                <w:vertAlign w:val="superscript"/>
              </w:rPr>
              <w:t>5</w:t>
            </w:r>
          </w:p>
        </w:tc>
        <w:tc>
          <w:tcPr>
            <w:tcW w:w="1102" w:type="dxa"/>
            <w:shd w:val="clear" w:color="auto" w:fill="auto"/>
            <w:vAlign w:val="center"/>
          </w:tcPr>
          <w:p w14:paraId="47E328AD" w14:textId="06F8F818" w:rsidR="00CB1125" w:rsidRPr="006A1047" w:rsidRDefault="00471EB9" w:rsidP="00CB1125">
            <w:pPr>
              <w:pStyle w:val="TableText0"/>
              <w:jc w:val="center"/>
              <w:rPr>
                <w:highlight w:val="darkGray"/>
              </w:rPr>
            </w:pPr>
            <w:r w:rsidRPr="00471EB9">
              <w:rPr>
                <w:color w:val="000000"/>
                <w:spacing w:val="53"/>
                <w:shd w:val="solid" w:color="000000" w:fill="000000"/>
                <w:fitText w:val="330" w:id="-694407934"/>
                <w14:textFill>
                  <w14:solidFill>
                    <w14:srgbClr w14:val="000000">
                      <w14:alpha w14:val="100000"/>
                    </w14:srgbClr>
                  </w14:solidFill>
                </w14:textFill>
              </w:rPr>
              <w:t>|||</w:t>
            </w:r>
            <w:r w:rsidRPr="00471EB9">
              <w:rPr>
                <w:color w:val="000000"/>
                <w:spacing w:val="1"/>
                <w:shd w:val="solid" w:color="000000" w:fill="000000"/>
                <w:fitText w:val="330" w:id="-694407934"/>
                <w14:textFill>
                  <w14:solidFill>
                    <w14:srgbClr w14:val="000000">
                      <w14:alpha w14:val="100000"/>
                    </w14:srgbClr>
                  </w14:solidFill>
                </w14:textFill>
              </w:rPr>
              <w:t>|</w:t>
            </w:r>
            <w:r w:rsidR="0060102E" w:rsidRPr="0060102E">
              <w:rPr>
                <w:vertAlign w:val="superscript"/>
              </w:rPr>
              <w:t>5</w:t>
            </w:r>
          </w:p>
        </w:tc>
        <w:tc>
          <w:tcPr>
            <w:tcW w:w="1102" w:type="dxa"/>
            <w:shd w:val="clear" w:color="auto" w:fill="auto"/>
            <w:vAlign w:val="center"/>
          </w:tcPr>
          <w:p w14:paraId="709C5EDE" w14:textId="421B185A" w:rsidR="00CB1125" w:rsidRPr="006A1047" w:rsidRDefault="00471EB9" w:rsidP="00CB1125">
            <w:pPr>
              <w:pStyle w:val="TableText0"/>
              <w:jc w:val="center"/>
              <w:rPr>
                <w:highlight w:val="darkGray"/>
              </w:rPr>
            </w:pPr>
            <w:r w:rsidRPr="00471EB9">
              <w:rPr>
                <w:color w:val="000000"/>
                <w:spacing w:val="53"/>
                <w:shd w:val="solid" w:color="000000" w:fill="000000"/>
                <w:fitText w:val="330" w:id="-694407933"/>
                <w14:textFill>
                  <w14:solidFill>
                    <w14:srgbClr w14:val="000000">
                      <w14:alpha w14:val="100000"/>
                    </w14:srgbClr>
                  </w14:solidFill>
                </w14:textFill>
              </w:rPr>
              <w:t>|||</w:t>
            </w:r>
            <w:r w:rsidRPr="00471EB9">
              <w:rPr>
                <w:color w:val="000000"/>
                <w:spacing w:val="1"/>
                <w:shd w:val="solid" w:color="000000" w:fill="000000"/>
                <w:fitText w:val="330" w:id="-694407933"/>
                <w14:textFill>
                  <w14:solidFill>
                    <w14:srgbClr w14:val="000000">
                      <w14:alpha w14:val="100000"/>
                    </w14:srgbClr>
                  </w14:solidFill>
                </w14:textFill>
              </w:rPr>
              <w:t>|</w:t>
            </w:r>
            <w:r w:rsidR="0060102E" w:rsidRPr="0060102E">
              <w:rPr>
                <w:vertAlign w:val="superscript"/>
              </w:rPr>
              <w:t>5</w:t>
            </w:r>
          </w:p>
        </w:tc>
        <w:tc>
          <w:tcPr>
            <w:tcW w:w="1102" w:type="dxa"/>
            <w:shd w:val="clear" w:color="auto" w:fill="auto"/>
            <w:vAlign w:val="center"/>
          </w:tcPr>
          <w:p w14:paraId="39F06BAD" w14:textId="2B74E36D" w:rsidR="00CB1125" w:rsidRPr="006A1047" w:rsidRDefault="00471EB9" w:rsidP="00CB1125">
            <w:pPr>
              <w:pStyle w:val="TableText0"/>
              <w:jc w:val="center"/>
              <w:rPr>
                <w:highlight w:val="darkGray"/>
              </w:rPr>
            </w:pPr>
            <w:r w:rsidRPr="00471EB9">
              <w:rPr>
                <w:color w:val="000000"/>
                <w:spacing w:val="53"/>
                <w:shd w:val="solid" w:color="000000" w:fill="000000"/>
                <w:fitText w:val="330" w:id="-694407932"/>
                <w14:textFill>
                  <w14:solidFill>
                    <w14:srgbClr w14:val="000000">
                      <w14:alpha w14:val="100000"/>
                    </w14:srgbClr>
                  </w14:solidFill>
                </w14:textFill>
              </w:rPr>
              <w:t>|||</w:t>
            </w:r>
            <w:r w:rsidRPr="00471EB9">
              <w:rPr>
                <w:color w:val="000000"/>
                <w:spacing w:val="1"/>
                <w:shd w:val="solid" w:color="000000" w:fill="000000"/>
                <w:fitText w:val="330" w:id="-694407932"/>
                <w14:textFill>
                  <w14:solidFill>
                    <w14:srgbClr w14:val="000000">
                      <w14:alpha w14:val="100000"/>
                    </w14:srgbClr>
                  </w14:solidFill>
                </w14:textFill>
              </w:rPr>
              <w:t>|</w:t>
            </w:r>
            <w:r w:rsidR="00652198" w:rsidRPr="0060102E">
              <w:rPr>
                <w:vertAlign w:val="superscript"/>
              </w:rPr>
              <w:t>5</w:t>
            </w:r>
          </w:p>
        </w:tc>
        <w:tc>
          <w:tcPr>
            <w:tcW w:w="1105" w:type="dxa"/>
            <w:vAlign w:val="center"/>
          </w:tcPr>
          <w:p w14:paraId="575F9D98" w14:textId="4AFDD094" w:rsidR="00CB1125" w:rsidRPr="006A1047" w:rsidRDefault="00471EB9" w:rsidP="00CB1125">
            <w:pPr>
              <w:pStyle w:val="TableText0"/>
              <w:jc w:val="center"/>
              <w:rPr>
                <w:highlight w:val="darkGray"/>
              </w:rPr>
            </w:pPr>
            <w:r w:rsidRPr="00471EB9">
              <w:rPr>
                <w:color w:val="000000"/>
                <w:spacing w:val="49"/>
                <w:shd w:val="solid" w:color="000000" w:fill="000000"/>
                <w:fitText w:val="320" w:id="-694407931"/>
                <w14:textFill>
                  <w14:solidFill>
                    <w14:srgbClr w14:val="000000">
                      <w14:alpha w14:val="100000"/>
                    </w14:srgbClr>
                  </w14:solidFill>
                </w14:textFill>
              </w:rPr>
              <w:t>|||</w:t>
            </w:r>
            <w:r w:rsidRPr="00471EB9">
              <w:rPr>
                <w:color w:val="000000"/>
                <w:spacing w:val="3"/>
                <w:shd w:val="solid" w:color="000000" w:fill="000000"/>
                <w:fitText w:val="320" w:id="-694407931"/>
                <w14:textFill>
                  <w14:solidFill>
                    <w14:srgbClr w14:val="000000">
                      <w14:alpha w14:val="100000"/>
                    </w14:srgbClr>
                  </w14:solidFill>
                </w14:textFill>
              </w:rPr>
              <w:t>|</w:t>
            </w:r>
            <w:r w:rsidR="00652198" w:rsidRPr="0060102E">
              <w:rPr>
                <w:vertAlign w:val="superscript"/>
              </w:rPr>
              <w:t>5</w:t>
            </w:r>
          </w:p>
        </w:tc>
      </w:tr>
      <w:tr w:rsidR="007D0CF5" w:rsidRPr="00873941" w14:paraId="57507CFE" w14:textId="77777777" w:rsidTr="006139B4">
        <w:tc>
          <w:tcPr>
            <w:tcW w:w="2402" w:type="dxa"/>
            <w:shd w:val="clear" w:color="auto" w:fill="auto"/>
            <w:vAlign w:val="center"/>
          </w:tcPr>
          <w:p w14:paraId="0D280875" w14:textId="77777777" w:rsidR="007D0CF5" w:rsidRPr="00873941" w:rsidRDefault="007D0CF5" w:rsidP="006139B4">
            <w:pPr>
              <w:pStyle w:val="TableText0"/>
              <w:rPr>
                <w:sz w:val="19"/>
                <w:szCs w:val="19"/>
              </w:rPr>
            </w:pPr>
            <w:r w:rsidRPr="00873941">
              <w:rPr>
                <w:sz w:val="19"/>
                <w:szCs w:val="19"/>
              </w:rPr>
              <w:t xml:space="preserve">Cost to PBS/RPBS less copayments: </w:t>
            </w:r>
            <w:r w:rsidRPr="00873941">
              <w:t>metastatic treatment</w:t>
            </w:r>
          </w:p>
        </w:tc>
        <w:tc>
          <w:tcPr>
            <w:tcW w:w="1102" w:type="dxa"/>
            <w:shd w:val="clear" w:color="auto" w:fill="auto"/>
            <w:vAlign w:val="center"/>
          </w:tcPr>
          <w:p w14:paraId="53D92494" w14:textId="5F31F432" w:rsidR="007D0CF5" w:rsidRPr="006A1047" w:rsidRDefault="00471EB9" w:rsidP="006139B4">
            <w:pPr>
              <w:pStyle w:val="TableText0"/>
              <w:jc w:val="center"/>
              <w:rPr>
                <w:highlight w:val="darkGray"/>
              </w:rPr>
            </w:pPr>
            <w:r w:rsidRPr="00471EB9">
              <w:rPr>
                <w:color w:val="000000"/>
                <w:spacing w:val="53"/>
                <w:shd w:val="solid" w:color="000000" w:fill="000000"/>
                <w:fitText w:val="330" w:id="-694407930"/>
                <w14:textFill>
                  <w14:solidFill>
                    <w14:srgbClr w14:val="000000">
                      <w14:alpha w14:val="100000"/>
                    </w14:srgbClr>
                  </w14:solidFill>
                </w14:textFill>
              </w:rPr>
              <w:t>|||</w:t>
            </w:r>
            <w:r w:rsidRPr="00471EB9">
              <w:rPr>
                <w:color w:val="000000"/>
                <w:spacing w:val="1"/>
                <w:shd w:val="solid" w:color="000000" w:fill="000000"/>
                <w:fitText w:val="330" w:id="-694407930"/>
                <w14:textFill>
                  <w14:solidFill>
                    <w14:srgbClr w14:val="000000">
                      <w14:alpha w14:val="100000"/>
                    </w14:srgbClr>
                  </w14:solidFill>
                </w14:textFill>
              </w:rPr>
              <w:t>|</w:t>
            </w:r>
            <w:r w:rsidR="00652198" w:rsidRPr="0060102E">
              <w:rPr>
                <w:vertAlign w:val="superscript"/>
              </w:rPr>
              <w:t>5</w:t>
            </w:r>
          </w:p>
        </w:tc>
        <w:tc>
          <w:tcPr>
            <w:tcW w:w="1102" w:type="dxa"/>
            <w:shd w:val="clear" w:color="auto" w:fill="auto"/>
            <w:vAlign w:val="center"/>
          </w:tcPr>
          <w:p w14:paraId="4C5D24D2" w14:textId="7C3FC2F1" w:rsidR="007D0CF5" w:rsidRPr="006A1047" w:rsidRDefault="00471EB9" w:rsidP="006139B4">
            <w:pPr>
              <w:pStyle w:val="TableText0"/>
              <w:jc w:val="center"/>
              <w:rPr>
                <w:highlight w:val="darkGray"/>
              </w:rPr>
            </w:pPr>
            <w:r w:rsidRPr="00471EB9">
              <w:rPr>
                <w:color w:val="000000"/>
                <w:spacing w:val="53"/>
                <w:shd w:val="solid" w:color="000000" w:fill="000000"/>
                <w:fitText w:val="330" w:id="-694407929"/>
                <w14:textFill>
                  <w14:solidFill>
                    <w14:srgbClr w14:val="000000">
                      <w14:alpha w14:val="100000"/>
                    </w14:srgbClr>
                  </w14:solidFill>
                </w14:textFill>
              </w:rPr>
              <w:t>|||</w:t>
            </w:r>
            <w:r w:rsidRPr="00471EB9">
              <w:rPr>
                <w:color w:val="000000"/>
                <w:spacing w:val="1"/>
                <w:shd w:val="solid" w:color="000000" w:fill="000000"/>
                <w:fitText w:val="330" w:id="-694407929"/>
                <w14:textFill>
                  <w14:solidFill>
                    <w14:srgbClr w14:val="000000">
                      <w14:alpha w14:val="100000"/>
                    </w14:srgbClr>
                  </w14:solidFill>
                </w14:textFill>
              </w:rPr>
              <w:t>|</w:t>
            </w:r>
            <w:r w:rsidR="00652198" w:rsidRPr="0060102E">
              <w:rPr>
                <w:vertAlign w:val="superscript"/>
              </w:rPr>
              <w:t>5</w:t>
            </w:r>
          </w:p>
        </w:tc>
        <w:tc>
          <w:tcPr>
            <w:tcW w:w="1102" w:type="dxa"/>
            <w:shd w:val="clear" w:color="auto" w:fill="auto"/>
            <w:vAlign w:val="center"/>
          </w:tcPr>
          <w:p w14:paraId="2C5A6B13" w14:textId="3E4926B9" w:rsidR="007D0CF5" w:rsidRPr="006A1047" w:rsidRDefault="00471EB9" w:rsidP="006139B4">
            <w:pPr>
              <w:pStyle w:val="TableText0"/>
              <w:jc w:val="center"/>
              <w:rPr>
                <w:highlight w:val="darkGray"/>
              </w:rPr>
            </w:pPr>
            <w:r w:rsidRPr="00471EB9">
              <w:rPr>
                <w:color w:val="000000"/>
                <w:spacing w:val="53"/>
                <w:shd w:val="solid" w:color="000000" w:fill="000000"/>
                <w:fitText w:val="330" w:id="-694407928"/>
                <w14:textFill>
                  <w14:solidFill>
                    <w14:srgbClr w14:val="000000">
                      <w14:alpha w14:val="100000"/>
                    </w14:srgbClr>
                  </w14:solidFill>
                </w14:textFill>
              </w:rPr>
              <w:t>|||</w:t>
            </w:r>
            <w:r w:rsidRPr="00471EB9">
              <w:rPr>
                <w:color w:val="000000"/>
                <w:spacing w:val="1"/>
                <w:shd w:val="solid" w:color="000000" w:fill="000000"/>
                <w:fitText w:val="330" w:id="-694407928"/>
                <w14:textFill>
                  <w14:solidFill>
                    <w14:srgbClr w14:val="000000">
                      <w14:alpha w14:val="100000"/>
                    </w14:srgbClr>
                  </w14:solidFill>
                </w14:textFill>
              </w:rPr>
              <w:t>|</w:t>
            </w:r>
            <w:r w:rsidR="00652198" w:rsidRPr="0060102E">
              <w:rPr>
                <w:vertAlign w:val="superscript"/>
              </w:rPr>
              <w:t>5</w:t>
            </w:r>
          </w:p>
        </w:tc>
        <w:tc>
          <w:tcPr>
            <w:tcW w:w="1102" w:type="dxa"/>
            <w:shd w:val="clear" w:color="auto" w:fill="auto"/>
            <w:vAlign w:val="center"/>
          </w:tcPr>
          <w:p w14:paraId="23CA8920" w14:textId="22A16948" w:rsidR="007D0CF5" w:rsidRPr="006A1047" w:rsidRDefault="00471EB9" w:rsidP="006139B4">
            <w:pPr>
              <w:pStyle w:val="TableText0"/>
              <w:jc w:val="center"/>
              <w:rPr>
                <w:highlight w:val="darkGray"/>
              </w:rPr>
            </w:pPr>
            <w:r w:rsidRPr="00471EB9">
              <w:rPr>
                <w:color w:val="000000"/>
                <w:spacing w:val="53"/>
                <w:shd w:val="solid" w:color="000000" w:fill="000000"/>
                <w:fitText w:val="330" w:id="-694407927"/>
                <w14:textFill>
                  <w14:solidFill>
                    <w14:srgbClr w14:val="000000">
                      <w14:alpha w14:val="100000"/>
                    </w14:srgbClr>
                  </w14:solidFill>
                </w14:textFill>
              </w:rPr>
              <w:t>|||</w:t>
            </w:r>
            <w:r w:rsidRPr="00471EB9">
              <w:rPr>
                <w:color w:val="000000"/>
                <w:spacing w:val="1"/>
                <w:shd w:val="solid" w:color="000000" w:fill="000000"/>
                <w:fitText w:val="330" w:id="-694407927"/>
                <w14:textFill>
                  <w14:solidFill>
                    <w14:srgbClr w14:val="000000">
                      <w14:alpha w14:val="100000"/>
                    </w14:srgbClr>
                  </w14:solidFill>
                </w14:textFill>
              </w:rPr>
              <w:t>|</w:t>
            </w:r>
            <w:r w:rsidR="00652198" w:rsidRPr="0060102E">
              <w:rPr>
                <w:vertAlign w:val="superscript"/>
              </w:rPr>
              <w:t>5</w:t>
            </w:r>
          </w:p>
        </w:tc>
        <w:tc>
          <w:tcPr>
            <w:tcW w:w="1102" w:type="dxa"/>
            <w:shd w:val="clear" w:color="auto" w:fill="auto"/>
            <w:vAlign w:val="center"/>
          </w:tcPr>
          <w:p w14:paraId="2BFB6692" w14:textId="384C5302" w:rsidR="007D0CF5" w:rsidRPr="006A1047" w:rsidRDefault="00471EB9" w:rsidP="006139B4">
            <w:pPr>
              <w:pStyle w:val="TableText0"/>
              <w:jc w:val="center"/>
              <w:rPr>
                <w:highlight w:val="darkGray"/>
              </w:rPr>
            </w:pPr>
            <w:r w:rsidRPr="00471EB9">
              <w:rPr>
                <w:color w:val="000000"/>
                <w:spacing w:val="53"/>
                <w:shd w:val="solid" w:color="000000" w:fill="000000"/>
                <w:fitText w:val="330" w:id="-694407926"/>
                <w14:textFill>
                  <w14:solidFill>
                    <w14:srgbClr w14:val="000000">
                      <w14:alpha w14:val="100000"/>
                    </w14:srgbClr>
                  </w14:solidFill>
                </w14:textFill>
              </w:rPr>
              <w:t>|||</w:t>
            </w:r>
            <w:r w:rsidRPr="00471EB9">
              <w:rPr>
                <w:color w:val="000000"/>
                <w:spacing w:val="1"/>
                <w:shd w:val="solid" w:color="000000" w:fill="000000"/>
                <w:fitText w:val="330" w:id="-694407926"/>
                <w14:textFill>
                  <w14:solidFill>
                    <w14:srgbClr w14:val="000000">
                      <w14:alpha w14:val="100000"/>
                    </w14:srgbClr>
                  </w14:solidFill>
                </w14:textFill>
              </w:rPr>
              <w:t>|</w:t>
            </w:r>
            <w:r w:rsidR="00652198" w:rsidRPr="0060102E">
              <w:rPr>
                <w:vertAlign w:val="superscript"/>
              </w:rPr>
              <w:t>5</w:t>
            </w:r>
          </w:p>
        </w:tc>
        <w:tc>
          <w:tcPr>
            <w:tcW w:w="1105" w:type="dxa"/>
            <w:vAlign w:val="center"/>
          </w:tcPr>
          <w:p w14:paraId="669AAFA0" w14:textId="757705E1" w:rsidR="007D0CF5" w:rsidRPr="006A1047" w:rsidRDefault="00471EB9" w:rsidP="006139B4">
            <w:pPr>
              <w:pStyle w:val="TableText0"/>
              <w:jc w:val="center"/>
              <w:rPr>
                <w:highlight w:val="darkGray"/>
              </w:rPr>
            </w:pPr>
            <w:r w:rsidRPr="00471EB9">
              <w:rPr>
                <w:color w:val="000000"/>
                <w:spacing w:val="49"/>
                <w:shd w:val="solid" w:color="000000" w:fill="000000"/>
                <w:fitText w:val="320" w:id="-694407925"/>
                <w14:textFill>
                  <w14:solidFill>
                    <w14:srgbClr w14:val="000000">
                      <w14:alpha w14:val="100000"/>
                    </w14:srgbClr>
                  </w14:solidFill>
                </w14:textFill>
              </w:rPr>
              <w:t>|||</w:t>
            </w:r>
            <w:r w:rsidRPr="00471EB9">
              <w:rPr>
                <w:color w:val="000000"/>
                <w:spacing w:val="3"/>
                <w:shd w:val="solid" w:color="000000" w:fill="000000"/>
                <w:fitText w:val="320" w:id="-694407925"/>
                <w14:textFill>
                  <w14:solidFill>
                    <w14:srgbClr w14:val="000000">
                      <w14:alpha w14:val="100000"/>
                    </w14:srgbClr>
                  </w14:solidFill>
                </w14:textFill>
              </w:rPr>
              <w:t>|</w:t>
            </w:r>
            <w:r w:rsidR="00652198" w:rsidRPr="0060102E">
              <w:rPr>
                <w:vertAlign w:val="superscript"/>
              </w:rPr>
              <w:t>5</w:t>
            </w:r>
          </w:p>
        </w:tc>
      </w:tr>
      <w:tr w:rsidR="007D0CF5" w:rsidRPr="00873941" w14:paraId="0A205BAA" w14:textId="77777777" w:rsidTr="006139B4">
        <w:tc>
          <w:tcPr>
            <w:tcW w:w="9017" w:type="dxa"/>
            <w:gridSpan w:val="7"/>
            <w:tcBorders>
              <w:bottom w:val="single" w:sz="4" w:space="0" w:color="auto"/>
            </w:tcBorders>
            <w:shd w:val="clear" w:color="auto" w:fill="auto"/>
            <w:vAlign w:val="center"/>
          </w:tcPr>
          <w:p w14:paraId="45D7FD61" w14:textId="77777777" w:rsidR="007D0CF5" w:rsidRPr="00873941" w:rsidRDefault="007D0CF5" w:rsidP="006139B4">
            <w:pPr>
              <w:pStyle w:val="In-tableHeading"/>
              <w:rPr>
                <w:lang w:val="en-AU"/>
              </w:rPr>
            </w:pPr>
            <w:r w:rsidRPr="00873941">
              <w:rPr>
                <w:lang w:val="en-AU"/>
              </w:rPr>
              <w:t>Net financial implications</w:t>
            </w:r>
          </w:p>
        </w:tc>
      </w:tr>
      <w:tr w:rsidR="00213FD0" w:rsidRPr="00873941" w14:paraId="3AF79742" w14:textId="77777777" w:rsidTr="00213FD0">
        <w:tc>
          <w:tcPr>
            <w:tcW w:w="2402" w:type="dxa"/>
            <w:tcBorders>
              <w:top w:val="single" w:sz="4" w:space="0" w:color="auto"/>
              <w:bottom w:val="single" w:sz="4" w:space="0" w:color="auto"/>
            </w:tcBorders>
            <w:shd w:val="clear" w:color="auto" w:fill="auto"/>
            <w:vAlign w:val="center"/>
          </w:tcPr>
          <w:p w14:paraId="37817D54" w14:textId="7C9BCD4F" w:rsidR="00213FD0" w:rsidRPr="00873941" w:rsidRDefault="00213FD0" w:rsidP="00213FD0">
            <w:pPr>
              <w:pStyle w:val="TableText0"/>
              <w:rPr>
                <w:sz w:val="19"/>
                <w:szCs w:val="19"/>
              </w:rPr>
            </w:pPr>
            <w:r w:rsidRPr="00873941">
              <w:rPr>
                <w:sz w:val="19"/>
                <w:szCs w:val="19"/>
              </w:rPr>
              <w:t>Net cost to PBS/</w:t>
            </w:r>
            <w:proofErr w:type="spellStart"/>
            <w:r w:rsidRPr="00873941">
              <w:rPr>
                <w:sz w:val="19"/>
                <w:szCs w:val="19"/>
              </w:rPr>
              <w:t>RPBS</w:t>
            </w:r>
            <w:r w:rsidRPr="00873941">
              <w:rPr>
                <w:sz w:val="19"/>
                <w:szCs w:val="19"/>
                <w:vertAlign w:val="superscript"/>
              </w:rPr>
              <w:t>a,c,d</w:t>
            </w:r>
            <w:proofErr w:type="spellEnd"/>
          </w:p>
        </w:tc>
        <w:tc>
          <w:tcPr>
            <w:tcW w:w="1102" w:type="dxa"/>
            <w:tcBorders>
              <w:top w:val="single" w:sz="4" w:space="0" w:color="auto"/>
              <w:left w:val="single" w:sz="4" w:space="0" w:color="auto"/>
              <w:bottom w:val="single" w:sz="4" w:space="0" w:color="auto"/>
              <w:right w:val="single" w:sz="4" w:space="0" w:color="auto"/>
            </w:tcBorders>
          </w:tcPr>
          <w:p w14:paraId="7DB1CC50" w14:textId="07A57D75" w:rsidR="00213FD0" w:rsidRPr="006A1047" w:rsidRDefault="00471EB9" w:rsidP="00213FD0">
            <w:pPr>
              <w:pStyle w:val="TableText0"/>
              <w:jc w:val="center"/>
              <w:rPr>
                <w:highlight w:val="darkGray"/>
              </w:rPr>
            </w:pPr>
            <w:r w:rsidRPr="00471EB9">
              <w:rPr>
                <w:color w:val="000000"/>
                <w:spacing w:val="53"/>
                <w:shd w:val="solid" w:color="000000" w:fill="000000"/>
                <w:fitText w:val="330" w:id="-694407924"/>
                <w14:textFill>
                  <w14:solidFill>
                    <w14:srgbClr w14:val="000000">
                      <w14:alpha w14:val="100000"/>
                    </w14:srgbClr>
                  </w14:solidFill>
                </w14:textFill>
              </w:rPr>
              <w:t>|||</w:t>
            </w:r>
            <w:r w:rsidRPr="00471EB9">
              <w:rPr>
                <w:color w:val="000000"/>
                <w:spacing w:val="1"/>
                <w:shd w:val="solid" w:color="000000" w:fill="000000"/>
                <w:fitText w:val="330" w:id="-694407924"/>
                <w14:textFill>
                  <w14:solidFill>
                    <w14:srgbClr w14:val="000000">
                      <w14:alpha w14:val="100000"/>
                    </w14:srgbClr>
                  </w14:solidFill>
                </w14:textFill>
              </w:rPr>
              <w:t>|</w:t>
            </w:r>
            <w:r w:rsidR="00F11EA2" w:rsidRPr="00F11EA2">
              <w:rPr>
                <w:vertAlign w:val="superscript"/>
              </w:rPr>
              <w:t>6</w:t>
            </w:r>
          </w:p>
        </w:tc>
        <w:tc>
          <w:tcPr>
            <w:tcW w:w="1102" w:type="dxa"/>
            <w:tcBorders>
              <w:top w:val="single" w:sz="4" w:space="0" w:color="auto"/>
              <w:left w:val="single" w:sz="4" w:space="0" w:color="auto"/>
              <w:bottom w:val="single" w:sz="4" w:space="0" w:color="auto"/>
              <w:right w:val="single" w:sz="4" w:space="0" w:color="auto"/>
            </w:tcBorders>
          </w:tcPr>
          <w:p w14:paraId="28F8203C" w14:textId="60E16814" w:rsidR="00213FD0" w:rsidRPr="006A1047" w:rsidRDefault="00471EB9" w:rsidP="00213FD0">
            <w:pPr>
              <w:pStyle w:val="TableText0"/>
              <w:jc w:val="center"/>
              <w:rPr>
                <w:highlight w:val="darkGray"/>
              </w:rPr>
            </w:pPr>
            <w:r w:rsidRPr="00471EB9">
              <w:rPr>
                <w:color w:val="000000"/>
                <w:spacing w:val="53"/>
                <w:shd w:val="solid" w:color="000000" w:fill="000000"/>
                <w:fitText w:val="330" w:id="-694407923"/>
                <w14:textFill>
                  <w14:solidFill>
                    <w14:srgbClr w14:val="000000">
                      <w14:alpha w14:val="100000"/>
                    </w14:srgbClr>
                  </w14:solidFill>
                </w14:textFill>
              </w:rPr>
              <w:t>|||</w:t>
            </w:r>
            <w:r w:rsidRPr="00471EB9">
              <w:rPr>
                <w:color w:val="000000"/>
                <w:spacing w:val="1"/>
                <w:shd w:val="solid" w:color="000000" w:fill="000000"/>
                <w:fitText w:val="330" w:id="-694407923"/>
                <w14:textFill>
                  <w14:solidFill>
                    <w14:srgbClr w14:val="000000">
                      <w14:alpha w14:val="100000"/>
                    </w14:srgbClr>
                  </w14:solidFill>
                </w14:textFill>
              </w:rPr>
              <w:t>|</w:t>
            </w:r>
            <w:r w:rsidR="00F11EA2" w:rsidRPr="00F11EA2">
              <w:rPr>
                <w:vertAlign w:val="superscript"/>
              </w:rPr>
              <w:t>6</w:t>
            </w:r>
          </w:p>
        </w:tc>
        <w:tc>
          <w:tcPr>
            <w:tcW w:w="1102" w:type="dxa"/>
            <w:tcBorders>
              <w:top w:val="single" w:sz="4" w:space="0" w:color="auto"/>
              <w:left w:val="single" w:sz="4" w:space="0" w:color="auto"/>
              <w:bottom w:val="single" w:sz="4" w:space="0" w:color="auto"/>
              <w:right w:val="single" w:sz="4" w:space="0" w:color="auto"/>
            </w:tcBorders>
          </w:tcPr>
          <w:p w14:paraId="51F96B59" w14:textId="7ABBE35F" w:rsidR="00213FD0" w:rsidRPr="006A1047" w:rsidRDefault="00471EB9" w:rsidP="00213FD0">
            <w:pPr>
              <w:pStyle w:val="TableText0"/>
              <w:jc w:val="center"/>
              <w:rPr>
                <w:highlight w:val="darkGray"/>
              </w:rPr>
            </w:pPr>
            <w:r w:rsidRPr="00471EB9">
              <w:rPr>
                <w:color w:val="000000"/>
                <w:spacing w:val="53"/>
                <w:shd w:val="solid" w:color="000000" w:fill="000000"/>
                <w:fitText w:val="330" w:id="-694407922"/>
                <w14:textFill>
                  <w14:solidFill>
                    <w14:srgbClr w14:val="000000">
                      <w14:alpha w14:val="100000"/>
                    </w14:srgbClr>
                  </w14:solidFill>
                </w14:textFill>
              </w:rPr>
              <w:t>|||</w:t>
            </w:r>
            <w:r w:rsidRPr="00471EB9">
              <w:rPr>
                <w:color w:val="000000"/>
                <w:spacing w:val="1"/>
                <w:shd w:val="solid" w:color="000000" w:fill="000000"/>
                <w:fitText w:val="330" w:id="-694407922"/>
                <w14:textFill>
                  <w14:solidFill>
                    <w14:srgbClr w14:val="000000">
                      <w14:alpha w14:val="100000"/>
                    </w14:srgbClr>
                  </w14:solidFill>
                </w14:textFill>
              </w:rPr>
              <w:t>|</w:t>
            </w:r>
            <w:r w:rsidR="00F11EA2" w:rsidRPr="00F11EA2">
              <w:rPr>
                <w:vertAlign w:val="superscript"/>
              </w:rPr>
              <w:t>6</w:t>
            </w:r>
          </w:p>
        </w:tc>
        <w:tc>
          <w:tcPr>
            <w:tcW w:w="1102" w:type="dxa"/>
            <w:tcBorders>
              <w:top w:val="single" w:sz="4" w:space="0" w:color="auto"/>
              <w:left w:val="single" w:sz="4" w:space="0" w:color="auto"/>
              <w:bottom w:val="single" w:sz="4" w:space="0" w:color="auto"/>
              <w:right w:val="single" w:sz="4" w:space="0" w:color="auto"/>
            </w:tcBorders>
          </w:tcPr>
          <w:p w14:paraId="68980F18" w14:textId="198FFF5B" w:rsidR="00213FD0" w:rsidRPr="006A1047" w:rsidRDefault="00471EB9" w:rsidP="00213FD0">
            <w:pPr>
              <w:pStyle w:val="TableText0"/>
              <w:jc w:val="center"/>
              <w:rPr>
                <w:highlight w:val="darkGray"/>
              </w:rPr>
            </w:pPr>
            <w:r w:rsidRPr="00471EB9">
              <w:rPr>
                <w:color w:val="000000"/>
                <w:spacing w:val="53"/>
                <w:shd w:val="solid" w:color="000000" w:fill="000000"/>
                <w:fitText w:val="330" w:id="-694407921"/>
                <w14:textFill>
                  <w14:solidFill>
                    <w14:srgbClr w14:val="000000">
                      <w14:alpha w14:val="100000"/>
                    </w14:srgbClr>
                  </w14:solidFill>
                </w14:textFill>
              </w:rPr>
              <w:t>|||</w:t>
            </w:r>
            <w:r w:rsidRPr="00471EB9">
              <w:rPr>
                <w:color w:val="000000"/>
                <w:spacing w:val="1"/>
                <w:shd w:val="solid" w:color="000000" w:fill="000000"/>
                <w:fitText w:val="330" w:id="-694407921"/>
                <w14:textFill>
                  <w14:solidFill>
                    <w14:srgbClr w14:val="000000">
                      <w14:alpha w14:val="100000"/>
                    </w14:srgbClr>
                  </w14:solidFill>
                </w14:textFill>
              </w:rPr>
              <w:t>|</w:t>
            </w:r>
            <w:r w:rsidR="00F11EA2" w:rsidRPr="00F11EA2">
              <w:rPr>
                <w:vertAlign w:val="superscript"/>
              </w:rPr>
              <w:t>6</w:t>
            </w:r>
          </w:p>
        </w:tc>
        <w:tc>
          <w:tcPr>
            <w:tcW w:w="1102" w:type="dxa"/>
            <w:tcBorders>
              <w:top w:val="single" w:sz="4" w:space="0" w:color="auto"/>
              <w:left w:val="single" w:sz="4" w:space="0" w:color="auto"/>
              <w:bottom w:val="single" w:sz="4" w:space="0" w:color="auto"/>
              <w:right w:val="single" w:sz="4" w:space="0" w:color="auto"/>
            </w:tcBorders>
          </w:tcPr>
          <w:p w14:paraId="2C87FCC9" w14:textId="11B36EDC" w:rsidR="00213FD0" w:rsidRPr="006A1047" w:rsidRDefault="00471EB9" w:rsidP="00213FD0">
            <w:pPr>
              <w:pStyle w:val="TableText0"/>
              <w:jc w:val="center"/>
              <w:rPr>
                <w:highlight w:val="darkGray"/>
              </w:rPr>
            </w:pPr>
            <w:r w:rsidRPr="00471EB9">
              <w:rPr>
                <w:color w:val="000000"/>
                <w:spacing w:val="53"/>
                <w:shd w:val="solid" w:color="000000" w:fill="000000"/>
                <w:fitText w:val="330" w:id="-694407920"/>
                <w14:textFill>
                  <w14:solidFill>
                    <w14:srgbClr w14:val="000000">
                      <w14:alpha w14:val="100000"/>
                    </w14:srgbClr>
                  </w14:solidFill>
                </w14:textFill>
              </w:rPr>
              <w:t>|||</w:t>
            </w:r>
            <w:r w:rsidRPr="00471EB9">
              <w:rPr>
                <w:color w:val="000000"/>
                <w:spacing w:val="1"/>
                <w:shd w:val="solid" w:color="000000" w:fill="000000"/>
                <w:fitText w:val="330" w:id="-694407920"/>
                <w14:textFill>
                  <w14:solidFill>
                    <w14:srgbClr w14:val="000000">
                      <w14:alpha w14:val="100000"/>
                    </w14:srgbClr>
                  </w14:solidFill>
                </w14:textFill>
              </w:rPr>
              <w:t>|</w:t>
            </w:r>
            <w:r w:rsidR="00F11EA2" w:rsidRPr="00F11EA2">
              <w:rPr>
                <w:vertAlign w:val="superscript"/>
              </w:rPr>
              <w:t>6</w:t>
            </w:r>
          </w:p>
        </w:tc>
        <w:tc>
          <w:tcPr>
            <w:tcW w:w="1105" w:type="dxa"/>
            <w:tcBorders>
              <w:top w:val="single" w:sz="4" w:space="0" w:color="auto"/>
              <w:left w:val="single" w:sz="4" w:space="0" w:color="auto"/>
              <w:bottom w:val="single" w:sz="4" w:space="0" w:color="auto"/>
              <w:right w:val="single" w:sz="4" w:space="0" w:color="auto"/>
            </w:tcBorders>
          </w:tcPr>
          <w:p w14:paraId="77F98887" w14:textId="5BA1F0BB" w:rsidR="00213FD0" w:rsidRPr="006A1047" w:rsidRDefault="00471EB9" w:rsidP="00213FD0">
            <w:pPr>
              <w:pStyle w:val="TableText0"/>
              <w:jc w:val="center"/>
              <w:rPr>
                <w:highlight w:val="darkGray"/>
              </w:rPr>
            </w:pPr>
            <w:r w:rsidRPr="00471EB9">
              <w:rPr>
                <w:color w:val="000000"/>
                <w:spacing w:val="49"/>
                <w:shd w:val="solid" w:color="000000" w:fill="000000"/>
                <w:fitText w:val="320" w:id="-694407936"/>
                <w14:textFill>
                  <w14:solidFill>
                    <w14:srgbClr w14:val="000000">
                      <w14:alpha w14:val="100000"/>
                    </w14:srgbClr>
                  </w14:solidFill>
                </w14:textFill>
              </w:rPr>
              <w:t>|||</w:t>
            </w:r>
            <w:r w:rsidRPr="00471EB9">
              <w:rPr>
                <w:color w:val="000000"/>
                <w:spacing w:val="3"/>
                <w:shd w:val="solid" w:color="000000" w:fill="000000"/>
                <w:fitText w:val="320" w:id="-694407936"/>
                <w14:textFill>
                  <w14:solidFill>
                    <w14:srgbClr w14:val="000000">
                      <w14:alpha w14:val="100000"/>
                    </w14:srgbClr>
                  </w14:solidFill>
                </w14:textFill>
              </w:rPr>
              <w:t>|</w:t>
            </w:r>
            <w:r w:rsidR="00F11EA2" w:rsidRPr="00F11EA2">
              <w:rPr>
                <w:vertAlign w:val="superscript"/>
              </w:rPr>
              <w:t>6</w:t>
            </w:r>
          </w:p>
        </w:tc>
      </w:tr>
      <w:tr w:rsidR="00C0568D" w:rsidRPr="00A0454D" w14:paraId="7D95CF0C" w14:textId="77777777" w:rsidTr="008C0FFC">
        <w:tc>
          <w:tcPr>
            <w:tcW w:w="2402" w:type="dxa"/>
            <w:tcBorders>
              <w:top w:val="single" w:sz="4" w:space="0" w:color="auto"/>
              <w:bottom w:val="single" w:sz="4" w:space="0" w:color="auto"/>
            </w:tcBorders>
            <w:shd w:val="clear" w:color="auto" w:fill="auto"/>
            <w:vAlign w:val="center"/>
          </w:tcPr>
          <w:p w14:paraId="61B9F277" w14:textId="01E33A6C" w:rsidR="00C0568D" w:rsidRPr="00A0454D" w:rsidRDefault="00C0568D" w:rsidP="00C0568D">
            <w:pPr>
              <w:pStyle w:val="TableText0"/>
              <w:rPr>
                <w:sz w:val="19"/>
                <w:szCs w:val="19"/>
              </w:rPr>
            </w:pPr>
            <w:r w:rsidRPr="00A0454D">
              <w:rPr>
                <w:sz w:val="19"/>
                <w:szCs w:val="19"/>
              </w:rPr>
              <w:t>Net cost to PBS/RPBS PSCR revised</w:t>
            </w:r>
          </w:p>
        </w:tc>
        <w:tc>
          <w:tcPr>
            <w:tcW w:w="1102" w:type="dxa"/>
            <w:tcBorders>
              <w:top w:val="single" w:sz="4" w:space="0" w:color="auto"/>
              <w:left w:val="single" w:sz="4" w:space="0" w:color="auto"/>
              <w:bottom w:val="single" w:sz="4" w:space="0" w:color="auto"/>
              <w:right w:val="single" w:sz="4" w:space="0" w:color="auto"/>
            </w:tcBorders>
            <w:vAlign w:val="center"/>
          </w:tcPr>
          <w:p w14:paraId="3597B23F" w14:textId="29AB0379" w:rsidR="00C0568D" w:rsidRPr="006A1047" w:rsidRDefault="00471EB9" w:rsidP="00C0568D">
            <w:pPr>
              <w:pStyle w:val="TableText0"/>
              <w:jc w:val="center"/>
              <w:rPr>
                <w:highlight w:val="darkGray"/>
              </w:rPr>
            </w:pPr>
            <w:r w:rsidRPr="00471EB9">
              <w:rPr>
                <w:color w:val="000000"/>
                <w:spacing w:val="53"/>
                <w:shd w:val="solid" w:color="000000" w:fill="000000"/>
                <w:fitText w:val="330" w:id="-694407935"/>
                <w14:textFill>
                  <w14:solidFill>
                    <w14:srgbClr w14:val="000000">
                      <w14:alpha w14:val="100000"/>
                    </w14:srgbClr>
                  </w14:solidFill>
                </w14:textFill>
              </w:rPr>
              <w:t>|||</w:t>
            </w:r>
            <w:r w:rsidRPr="00471EB9">
              <w:rPr>
                <w:color w:val="000000"/>
                <w:spacing w:val="1"/>
                <w:shd w:val="solid" w:color="000000" w:fill="000000"/>
                <w:fitText w:val="330" w:id="-694407935"/>
                <w14:textFill>
                  <w14:solidFill>
                    <w14:srgbClr w14:val="000000">
                      <w14:alpha w14:val="100000"/>
                    </w14:srgbClr>
                  </w14:solidFill>
                </w14:textFill>
              </w:rPr>
              <w:t>|</w:t>
            </w:r>
            <w:r w:rsidR="009D45D5"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vAlign w:val="center"/>
          </w:tcPr>
          <w:p w14:paraId="179DEDC3" w14:textId="5290DA7C" w:rsidR="00C0568D" w:rsidRPr="006A1047" w:rsidRDefault="00471EB9" w:rsidP="00C0568D">
            <w:pPr>
              <w:pStyle w:val="TableText0"/>
              <w:jc w:val="center"/>
              <w:rPr>
                <w:highlight w:val="darkGray"/>
              </w:rPr>
            </w:pPr>
            <w:r w:rsidRPr="00471EB9">
              <w:rPr>
                <w:color w:val="000000"/>
                <w:spacing w:val="53"/>
                <w:shd w:val="solid" w:color="000000" w:fill="000000"/>
                <w:fitText w:val="330" w:id="-694407934"/>
                <w14:textFill>
                  <w14:solidFill>
                    <w14:srgbClr w14:val="000000">
                      <w14:alpha w14:val="100000"/>
                    </w14:srgbClr>
                  </w14:solidFill>
                </w14:textFill>
              </w:rPr>
              <w:t>|||</w:t>
            </w:r>
            <w:r w:rsidRPr="00471EB9">
              <w:rPr>
                <w:color w:val="000000"/>
                <w:spacing w:val="1"/>
                <w:shd w:val="solid" w:color="000000" w:fill="000000"/>
                <w:fitText w:val="330" w:id="-694407934"/>
                <w14:textFill>
                  <w14:solidFill>
                    <w14:srgbClr w14:val="000000">
                      <w14:alpha w14:val="100000"/>
                    </w14:srgbClr>
                  </w14:solidFill>
                </w14:textFill>
              </w:rPr>
              <w:t>|</w:t>
            </w:r>
            <w:r w:rsidR="009D45D5"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vAlign w:val="center"/>
          </w:tcPr>
          <w:p w14:paraId="20B70146" w14:textId="5089463A" w:rsidR="00C0568D" w:rsidRPr="006A1047" w:rsidRDefault="00471EB9" w:rsidP="00C0568D">
            <w:pPr>
              <w:pStyle w:val="TableText0"/>
              <w:jc w:val="center"/>
              <w:rPr>
                <w:highlight w:val="darkGray"/>
              </w:rPr>
            </w:pPr>
            <w:r w:rsidRPr="00471EB9">
              <w:rPr>
                <w:color w:val="000000"/>
                <w:spacing w:val="53"/>
                <w:shd w:val="solid" w:color="000000" w:fill="000000"/>
                <w:fitText w:val="330" w:id="-694407933"/>
                <w14:textFill>
                  <w14:solidFill>
                    <w14:srgbClr w14:val="000000">
                      <w14:alpha w14:val="100000"/>
                    </w14:srgbClr>
                  </w14:solidFill>
                </w14:textFill>
              </w:rPr>
              <w:t>|||</w:t>
            </w:r>
            <w:r w:rsidRPr="00471EB9">
              <w:rPr>
                <w:color w:val="000000"/>
                <w:spacing w:val="1"/>
                <w:shd w:val="solid" w:color="000000" w:fill="000000"/>
                <w:fitText w:val="330" w:id="-694407933"/>
                <w14:textFill>
                  <w14:solidFill>
                    <w14:srgbClr w14:val="000000">
                      <w14:alpha w14:val="100000"/>
                    </w14:srgbClr>
                  </w14:solidFill>
                </w14:textFill>
              </w:rPr>
              <w:t>|</w:t>
            </w:r>
            <w:r w:rsidR="009D45D5"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vAlign w:val="center"/>
          </w:tcPr>
          <w:p w14:paraId="27B88D15" w14:textId="0DCDC716" w:rsidR="00C0568D" w:rsidRPr="006A1047" w:rsidRDefault="00471EB9" w:rsidP="00C0568D">
            <w:pPr>
              <w:pStyle w:val="TableText0"/>
              <w:jc w:val="center"/>
              <w:rPr>
                <w:highlight w:val="darkGray"/>
              </w:rPr>
            </w:pPr>
            <w:r w:rsidRPr="00471EB9">
              <w:rPr>
                <w:color w:val="000000"/>
                <w:spacing w:val="53"/>
                <w:shd w:val="solid" w:color="000000" w:fill="000000"/>
                <w:fitText w:val="330" w:id="-694407932"/>
                <w14:textFill>
                  <w14:solidFill>
                    <w14:srgbClr w14:val="000000">
                      <w14:alpha w14:val="100000"/>
                    </w14:srgbClr>
                  </w14:solidFill>
                </w14:textFill>
              </w:rPr>
              <w:t>|||</w:t>
            </w:r>
            <w:r w:rsidRPr="00471EB9">
              <w:rPr>
                <w:color w:val="000000"/>
                <w:spacing w:val="1"/>
                <w:shd w:val="solid" w:color="000000" w:fill="000000"/>
                <w:fitText w:val="330" w:id="-694407932"/>
                <w14:textFill>
                  <w14:solidFill>
                    <w14:srgbClr w14:val="000000">
                      <w14:alpha w14:val="100000"/>
                    </w14:srgbClr>
                  </w14:solidFill>
                </w14:textFill>
              </w:rPr>
              <w:t>|</w:t>
            </w:r>
            <w:r w:rsidR="009D45D5"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vAlign w:val="center"/>
          </w:tcPr>
          <w:p w14:paraId="6E093060" w14:textId="49F459A0" w:rsidR="00C0568D" w:rsidRPr="006A1047" w:rsidRDefault="00471EB9" w:rsidP="00C0568D">
            <w:pPr>
              <w:pStyle w:val="TableText0"/>
              <w:jc w:val="center"/>
              <w:rPr>
                <w:highlight w:val="darkGray"/>
              </w:rPr>
            </w:pPr>
            <w:r w:rsidRPr="00471EB9">
              <w:rPr>
                <w:color w:val="000000"/>
                <w:spacing w:val="53"/>
                <w:shd w:val="solid" w:color="000000" w:fill="000000"/>
                <w:fitText w:val="330" w:id="-694407931"/>
                <w14:textFill>
                  <w14:solidFill>
                    <w14:srgbClr w14:val="000000">
                      <w14:alpha w14:val="100000"/>
                    </w14:srgbClr>
                  </w14:solidFill>
                </w14:textFill>
              </w:rPr>
              <w:t>|||</w:t>
            </w:r>
            <w:r w:rsidRPr="00471EB9">
              <w:rPr>
                <w:color w:val="000000"/>
                <w:spacing w:val="1"/>
                <w:shd w:val="solid" w:color="000000" w:fill="000000"/>
                <w:fitText w:val="330" w:id="-694407931"/>
                <w14:textFill>
                  <w14:solidFill>
                    <w14:srgbClr w14:val="000000">
                      <w14:alpha w14:val="100000"/>
                    </w14:srgbClr>
                  </w14:solidFill>
                </w14:textFill>
              </w:rPr>
              <w:t>|</w:t>
            </w:r>
            <w:r w:rsidR="009D45D5" w:rsidRPr="009D45D5">
              <w:rPr>
                <w:vertAlign w:val="superscript"/>
              </w:rPr>
              <w:t>7</w:t>
            </w:r>
          </w:p>
        </w:tc>
        <w:tc>
          <w:tcPr>
            <w:tcW w:w="1105" w:type="dxa"/>
            <w:tcBorders>
              <w:top w:val="single" w:sz="4" w:space="0" w:color="auto"/>
              <w:left w:val="single" w:sz="4" w:space="0" w:color="auto"/>
              <w:bottom w:val="single" w:sz="4" w:space="0" w:color="auto"/>
              <w:right w:val="single" w:sz="4" w:space="0" w:color="auto"/>
            </w:tcBorders>
            <w:vAlign w:val="center"/>
          </w:tcPr>
          <w:p w14:paraId="7191B33B" w14:textId="0CA0AD95" w:rsidR="00C0568D" w:rsidRPr="006A1047" w:rsidRDefault="00471EB9" w:rsidP="00C0568D">
            <w:pPr>
              <w:pStyle w:val="TableText0"/>
              <w:jc w:val="center"/>
              <w:rPr>
                <w:highlight w:val="darkGray"/>
              </w:rPr>
            </w:pPr>
            <w:r w:rsidRPr="00471EB9">
              <w:rPr>
                <w:color w:val="000000"/>
                <w:spacing w:val="49"/>
                <w:shd w:val="solid" w:color="000000" w:fill="000000"/>
                <w:fitText w:val="320" w:id="-694407930"/>
                <w14:textFill>
                  <w14:solidFill>
                    <w14:srgbClr w14:val="000000">
                      <w14:alpha w14:val="100000"/>
                    </w14:srgbClr>
                  </w14:solidFill>
                </w14:textFill>
              </w:rPr>
              <w:t>|||</w:t>
            </w:r>
            <w:r w:rsidRPr="00471EB9">
              <w:rPr>
                <w:color w:val="000000"/>
                <w:spacing w:val="3"/>
                <w:shd w:val="solid" w:color="000000" w:fill="000000"/>
                <w:fitText w:val="320" w:id="-694407930"/>
                <w14:textFill>
                  <w14:solidFill>
                    <w14:srgbClr w14:val="000000">
                      <w14:alpha w14:val="100000"/>
                    </w14:srgbClr>
                  </w14:solidFill>
                </w14:textFill>
              </w:rPr>
              <w:t>|</w:t>
            </w:r>
            <w:r w:rsidR="009D45D5" w:rsidRPr="009D45D5">
              <w:rPr>
                <w:vertAlign w:val="superscript"/>
              </w:rPr>
              <w:t>7</w:t>
            </w:r>
          </w:p>
        </w:tc>
      </w:tr>
      <w:tr w:rsidR="009C725F" w:rsidRPr="00A0454D" w14:paraId="0CA29253" w14:textId="77777777" w:rsidTr="00EF13AB">
        <w:tc>
          <w:tcPr>
            <w:tcW w:w="2402" w:type="dxa"/>
            <w:tcBorders>
              <w:top w:val="single" w:sz="4" w:space="0" w:color="auto"/>
              <w:bottom w:val="single" w:sz="4" w:space="0" w:color="auto"/>
            </w:tcBorders>
            <w:shd w:val="clear" w:color="auto" w:fill="auto"/>
            <w:vAlign w:val="center"/>
          </w:tcPr>
          <w:p w14:paraId="4D9BB05D" w14:textId="230F5854" w:rsidR="009C725F" w:rsidRPr="00A0454D" w:rsidRDefault="009C725F" w:rsidP="009C725F">
            <w:pPr>
              <w:pStyle w:val="TableText0"/>
              <w:rPr>
                <w:sz w:val="19"/>
                <w:szCs w:val="19"/>
              </w:rPr>
            </w:pPr>
            <w:r w:rsidRPr="00A0454D">
              <w:rPr>
                <w:sz w:val="19"/>
                <w:szCs w:val="19"/>
              </w:rPr>
              <w:t>Net cost to PBS/RPBS PSCR revised assuming 6 cycles pertuzumab</w:t>
            </w:r>
          </w:p>
        </w:tc>
        <w:tc>
          <w:tcPr>
            <w:tcW w:w="1102" w:type="dxa"/>
            <w:tcBorders>
              <w:top w:val="single" w:sz="4" w:space="0" w:color="auto"/>
              <w:left w:val="single" w:sz="4" w:space="0" w:color="auto"/>
              <w:bottom w:val="single" w:sz="4" w:space="0" w:color="auto"/>
              <w:right w:val="single" w:sz="4" w:space="0" w:color="auto"/>
            </w:tcBorders>
            <w:vAlign w:val="center"/>
          </w:tcPr>
          <w:p w14:paraId="68C9AEAF" w14:textId="597CFDB0" w:rsidR="009C725F" w:rsidRPr="006A1047" w:rsidRDefault="00471EB9" w:rsidP="009C725F">
            <w:pPr>
              <w:pStyle w:val="TableText0"/>
              <w:jc w:val="center"/>
              <w:rPr>
                <w:highlight w:val="darkGray"/>
              </w:rPr>
            </w:pPr>
            <w:r w:rsidRPr="00471EB9">
              <w:rPr>
                <w:color w:val="000000"/>
                <w:spacing w:val="53"/>
                <w:shd w:val="solid" w:color="000000" w:fill="000000"/>
                <w:fitText w:val="330" w:id="-694407929"/>
                <w14:textFill>
                  <w14:solidFill>
                    <w14:srgbClr w14:val="000000">
                      <w14:alpha w14:val="100000"/>
                    </w14:srgbClr>
                  </w14:solidFill>
                </w14:textFill>
              </w:rPr>
              <w:t>|||</w:t>
            </w:r>
            <w:r w:rsidRPr="00471EB9">
              <w:rPr>
                <w:color w:val="000000"/>
                <w:spacing w:val="1"/>
                <w:shd w:val="solid" w:color="000000" w:fill="000000"/>
                <w:fitText w:val="330" w:id="-694407929"/>
                <w14:textFill>
                  <w14:solidFill>
                    <w14:srgbClr w14:val="000000">
                      <w14:alpha w14:val="100000"/>
                    </w14:srgbClr>
                  </w14:solidFill>
                </w14:textFill>
              </w:rPr>
              <w:t>|</w:t>
            </w:r>
            <w:r w:rsidR="009C4640"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vAlign w:val="center"/>
          </w:tcPr>
          <w:p w14:paraId="1C3F53AE" w14:textId="757210B6" w:rsidR="009C725F" w:rsidRPr="006A1047" w:rsidRDefault="00471EB9" w:rsidP="009C725F">
            <w:pPr>
              <w:pStyle w:val="TableText0"/>
              <w:jc w:val="center"/>
              <w:rPr>
                <w:highlight w:val="darkGray"/>
              </w:rPr>
            </w:pPr>
            <w:r w:rsidRPr="00471EB9">
              <w:rPr>
                <w:color w:val="000000"/>
                <w:spacing w:val="53"/>
                <w:shd w:val="solid" w:color="000000" w:fill="000000"/>
                <w:fitText w:val="330" w:id="-694407928"/>
                <w14:textFill>
                  <w14:solidFill>
                    <w14:srgbClr w14:val="000000">
                      <w14:alpha w14:val="100000"/>
                    </w14:srgbClr>
                  </w14:solidFill>
                </w14:textFill>
              </w:rPr>
              <w:t>|||</w:t>
            </w:r>
            <w:r w:rsidRPr="00471EB9">
              <w:rPr>
                <w:color w:val="000000"/>
                <w:spacing w:val="1"/>
                <w:shd w:val="solid" w:color="000000" w:fill="000000"/>
                <w:fitText w:val="330" w:id="-694407928"/>
                <w14:textFill>
                  <w14:solidFill>
                    <w14:srgbClr w14:val="000000">
                      <w14:alpha w14:val="100000"/>
                    </w14:srgbClr>
                  </w14:solidFill>
                </w14:textFill>
              </w:rPr>
              <w:t>|</w:t>
            </w:r>
            <w:r w:rsidR="009C4640"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vAlign w:val="center"/>
          </w:tcPr>
          <w:p w14:paraId="447A0776" w14:textId="6B979709" w:rsidR="009C725F" w:rsidRPr="006A1047" w:rsidRDefault="00471EB9" w:rsidP="009C725F">
            <w:pPr>
              <w:pStyle w:val="TableText0"/>
              <w:jc w:val="center"/>
              <w:rPr>
                <w:highlight w:val="darkGray"/>
              </w:rPr>
            </w:pPr>
            <w:r w:rsidRPr="00471EB9">
              <w:rPr>
                <w:color w:val="000000"/>
                <w:spacing w:val="53"/>
                <w:shd w:val="solid" w:color="000000" w:fill="000000"/>
                <w:fitText w:val="330" w:id="-694407927"/>
                <w14:textFill>
                  <w14:solidFill>
                    <w14:srgbClr w14:val="000000">
                      <w14:alpha w14:val="100000"/>
                    </w14:srgbClr>
                  </w14:solidFill>
                </w14:textFill>
              </w:rPr>
              <w:t>|||</w:t>
            </w:r>
            <w:r w:rsidRPr="00471EB9">
              <w:rPr>
                <w:color w:val="000000"/>
                <w:spacing w:val="1"/>
                <w:shd w:val="solid" w:color="000000" w:fill="000000"/>
                <w:fitText w:val="330" w:id="-694407927"/>
                <w14:textFill>
                  <w14:solidFill>
                    <w14:srgbClr w14:val="000000">
                      <w14:alpha w14:val="100000"/>
                    </w14:srgbClr>
                  </w14:solidFill>
                </w14:textFill>
              </w:rPr>
              <w:t>|</w:t>
            </w:r>
            <w:r w:rsidR="009C4640"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vAlign w:val="center"/>
          </w:tcPr>
          <w:p w14:paraId="187D1E20" w14:textId="69258068" w:rsidR="009C725F" w:rsidRPr="006A1047" w:rsidRDefault="00471EB9" w:rsidP="009C725F">
            <w:pPr>
              <w:pStyle w:val="TableText0"/>
              <w:jc w:val="center"/>
              <w:rPr>
                <w:highlight w:val="darkGray"/>
              </w:rPr>
            </w:pPr>
            <w:r w:rsidRPr="00471EB9">
              <w:rPr>
                <w:color w:val="000000"/>
                <w:spacing w:val="53"/>
                <w:shd w:val="solid" w:color="000000" w:fill="000000"/>
                <w:fitText w:val="330" w:id="-694407926"/>
                <w14:textFill>
                  <w14:solidFill>
                    <w14:srgbClr w14:val="000000">
                      <w14:alpha w14:val="100000"/>
                    </w14:srgbClr>
                  </w14:solidFill>
                </w14:textFill>
              </w:rPr>
              <w:t>|||</w:t>
            </w:r>
            <w:r w:rsidRPr="00471EB9">
              <w:rPr>
                <w:color w:val="000000"/>
                <w:spacing w:val="1"/>
                <w:shd w:val="solid" w:color="000000" w:fill="000000"/>
                <w:fitText w:val="330" w:id="-694407926"/>
                <w14:textFill>
                  <w14:solidFill>
                    <w14:srgbClr w14:val="000000">
                      <w14:alpha w14:val="100000"/>
                    </w14:srgbClr>
                  </w14:solidFill>
                </w14:textFill>
              </w:rPr>
              <w:t>|</w:t>
            </w:r>
            <w:r w:rsidR="009C4640"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vAlign w:val="center"/>
          </w:tcPr>
          <w:p w14:paraId="12F96674" w14:textId="4885ECC5" w:rsidR="009C725F" w:rsidRPr="006A1047" w:rsidRDefault="00471EB9" w:rsidP="009C725F">
            <w:pPr>
              <w:pStyle w:val="TableText0"/>
              <w:jc w:val="center"/>
              <w:rPr>
                <w:highlight w:val="darkGray"/>
              </w:rPr>
            </w:pPr>
            <w:r w:rsidRPr="00471EB9">
              <w:rPr>
                <w:color w:val="000000"/>
                <w:spacing w:val="53"/>
                <w:shd w:val="solid" w:color="000000" w:fill="000000"/>
                <w:fitText w:val="330" w:id="-694407925"/>
                <w14:textFill>
                  <w14:solidFill>
                    <w14:srgbClr w14:val="000000">
                      <w14:alpha w14:val="100000"/>
                    </w14:srgbClr>
                  </w14:solidFill>
                </w14:textFill>
              </w:rPr>
              <w:t>|||</w:t>
            </w:r>
            <w:r w:rsidRPr="00471EB9">
              <w:rPr>
                <w:color w:val="000000"/>
                <w:spacing w:val="1"/>
                <w:shd w:val="solid" w:color="000000" w:fill="000000"/>
                <w:fitText w:val="330" w:id="-694407925"/>
                <w14:textFill>
                  <w14:solidFill>
                    <w14:srgbClr w14:val="000000">
                      <w14:alpha w14:val="100000"/>
                    </w14:srgbClr>
                  </w14:solidFill>
                </w14:textFill>
              </w:rPr>
              <w:t>|</w:t>
            </w:r>
            <w:r w:rsidR="009C4640" w:rsidRPr="009D45D5">
              <w:rPr>
                <w:vertAlign w:val="superscript"/>
              </w:rPr>
              <w:t>7</w:t>
            </w:r>
          </w:p>
        </w:tc>
        <w:tc>
          <w:tcPr>
            <w:tcW w:w="1105" w:type="dxa"/>
            <w:tcBorders>
              <w:top w:val="single" w:sz="4" w:space="0" w:color="auto"/>
              <w:left w:val="single" w:sz="4" w:space="0" w:color="auto"/>
              <w:bottom w:val="single" w:sz="4" w:space="0" w:color="auto"/>
              <w:right w:val="single" w:sz="4" w:space="0" w:color="auto"/>
            </w:tcBorders>
            <w:vAlign w:val="center"/>
          </w:tcPr>
          <w:p w14:paraId="04DC25CB" w14:textId="0CCC1187" w:rsidR="009C725F" w:rsidRPr="006A1047" w:rsidRDefault="00471EB9" w:rsidP="009C725F">
            <w:pPr>
              <w:pStyle w:val="TableText0"/>
              <w:jc w:val="center"/>
              <w:rPr>
                <w:highlight w:val="darkGray"/>
              </w:rPr>
            </w:pPr>
            <w:r w:rsidRPr="00471EB9">
              <w:rPr>
                <w:color w:val="000000"/>
                <w:spacing w:val="49"/>
                <w:shd w:val="solid" w:color="000000" w:fill="000000"/>
                <w:fitText w:val="320" w:id="-694407924"/>
                <w14:textFill>
                  <w14:solidFill>
                    <w14:srgbClr w14:val="000000">
                      <w14:alpha w14:val="100000"/>
                    </w14:srgbClr>
                  </w14:solidFill>
                </w14:textFill>
              </w:rPr>
              <w:t>|||</w:t>
            </w:r>
            <w:r w:rsidRPr="00471EB9">
              <w:rPr>
                <w:color w:val="000000"/>
                <w:spacing w:val="3"/>
                <w:shd w:val="solid" w:color="000000" w:fill="000000"/>
                <w:fitText w:val="320" w:id="-694407924"/>
                <w14:textFill>
                  <w14:solidFill>
                    <w14:srgbClr w14:val="000000">
                      <w14:alpha w14:val="100000"/>
                    </w14:srgbClr>
                  </w14:solidFill>
                </w14:textFill>
              </w:rPr>
              <w:t>|</w:t>
            </w:r>
            <w:r w:rsidR="009C4640" w:rsidRPr="009D45D5">
              <w:rPr>
                <w:vertAlign w:val="superscript"/>
              </w:rPr>
              <w:t>7</w:t>
            </w:r>
          </w:p>
        </w:tc>
      </w:tr>
      <w:tr w:rsidR="00213FD0" w:rsidRPr="00873941" w14:paraId="39C8B077" w14:textId="77777777" w:rsidTr="00D43B59">
        <w:tc>
          <w:tcPr>
            <w:tcW w:w="9017" w:type="dxa"/>
            <w:gridSpan w:val="7"/>
            <w:tcBorders>
              <w:top w:val="single" w:sz="4" w:space="0" w:color="auto"/>
              <w:bottom w:val="single" w:sz="4" w:space="0" w:color="auto"/>
            </w:tcBorders>
            <w:shd w:val="clear" w:color="auto" w:fill="auto"/>
            <w:vAlign w:val="center"/>
          </w:tcPr>
          <w:p w14:paraId="2AE8A32D" w14:textId="65C15FFA" w:rsidR="00213FD0" w:rsidRPr="00873941" w:rsidRDefault="00834190" w:rsidP="00213FD0">
            <w:pPr>
              <w:pStyle w:val="In-tableHeading"/>
              <w:rPr>
                <w:lang w:val="en-AU"/>
              </w:rPr>
            </w:pPr>
            <w:r>
              <w:rPr>
                <w:lang w:val="en-AU"/>
              </w:rPr>
              <w:t>Revisions as proposed by PBAC</w:t>
            </w:r>
          </w:p>
        </w:tc>
      </w:tr>
      <w:tr w:rsidR="001B1494" w:rsidRPr="00873941" w14:paraId="070D8881" w14:textId="77777777" w:rsidTr="00FC4117">
        <w:tc>
          <w:tcPr>
            <w:tcW w:w="2402" w:type="dxa"/>
            <w:tcBorders>
              <w:top w:val="single" w:sz="4" w:space="0" w:color="auto"/>
              <w:bottom w:val="single" w:sz="4" w:space="0" w:color="auto"/>
            </w:tcBorders>
            <w:shd w:val="clear" w:color="auto" w:fill="auto"/>
            <w:vAlign w:val="center"/>
          </w:tcPr>
          <w:p w14:paraId="6326AB22" w14:textId="7C06379D" w:rsidR="001B1494" w:rsidRPr="00766745" w:rsidRDefault="001B1494" w:rsidP="001B1494">
            <w:pPr>
              <w:pStyle w:val="TableText0"/>
              <w:rPr>
                <w:sz w:val="19"/>
                <w:szCs w:val="19"/>
              </w:rPr>
            </w:pPr>
            <w:r w:rsidRPr="00766745">
              <w:rPr>
                <w:sz w:val="19"/>
                <w:szCs w:val="19"/>
              </w:rPr>
              <w:t xml:space="preserve">Net cost to PBS/RPBS assuming </w:t>
            </w:r>
            <w:r w:rsidR="00471EB9" w:rsidRPr="00471EB9">
              <w:rPr>
                <w:color w:val="000000"/>
                <w:spacing w:val="52"/>
                <w:sz w:val="19"/>
                <w:szCs w:val="19"/>
                <w:shd w:val="solid" w:color="000000" w:fill="000000"/>
                <w:fitText w:val="320" w:id="-694407923"/>
                <w14:textFill>
                  <w14:solidFill>
                    <w14:srgbClr w14:val="000000">
                      <w14:alpha w14:val="100000"/>
                    </w14:srgbClr>
                  </w14:solidFill>
                </w14:textFill>
              </w:rPr>
              <w:t>|||</w:t>
            </w:r>
            <w:r w:rsidR="00471EB9" w:rsidRPr="00471EB9">
              <w:rPr>
                <w:color w:val="000000"/>
                <w:spacing w:val="3"/>
                <w:sz w:val="19"/>
                <w:szCs w:val="19"/>
                <w:shd w:val="solid" w:color="000000" w:fill="000000"/>
                <w:fitText w:val="320" w:id="-694407923"/>
                <w14:textFill>
                  <w14:solidFill>
                    <w14:srgbClr w14:val="000000">
                      <w14:alpha w14:val="100000"/>
                    </w14:srgbClr>
                  </w14:solidFill>
                </w14:textFill>
              </w:rPr>
              <w:t>|</w:t>
            </w:r>
            <w:r w:rsidRPr="00766745">
              <w:rPr>
                <w:sz w:val="19"/>
                <w:szCs w:val="19"/>
              </w:rPr>
              <w:t xml:space="preserve"> cycles neoadjuvant pertuzumab</w:t>
            </w:r>
          </w:p>
        </w:tc>
        <w:tc>
          <w:tcPr>
            <w:tcW w:w="1102" w:type="dxa"/>
            <w:tcBorders>
              <w:top w:val="single" w:sz="4" w:space="0" w:color="auto"/>
              <w:bottom w:val="single" w:sz="4" w:space="0" w:color="auto"/>
            </w:tcBorders>
            <w:shd w:val="clear" w:color="auto" w:fill="auto"/>
            <w:vAlign w:val="center"/>
          </w:tcPr>
          <w:p w14:paraId="5D801263" w14:textId="2509C2EB" w:rsidR="001B1494" w:rsidRPr="006A1047" w:rsidRDefault="00471EB9" w:rsidP="001B1494">
            <w:pPr>
              <w:pStyle w:val="TableText0"/>
              <w:jc w:val="center"/>
              <w:rPr>
                <w:highlight w:val="darkGray"/>
              </w:rPr>
            </w:pPr>
            <w:r w:rsidRPr="00471EB9">
              <w:rPr>
                <w:rFonts w:cs="Arial"/>
                <w:color w:val="000000"/>
                <w:spacing w:val="53"/>
                <w:szCs w:val="20"/>
                <w:shd w:val="solid" w:color="000000" w:fill="000000"/>
                <w:fitText w:val="330" w:id="-694407922"/>
                <w14:textFill>
                  <w14:solidFill>
                    <w14:srgbClr w14:val="000000">
                      <w14:alpha w14:val="100000"/>
                    </w14:srgbClr>
                  </w14:solidFill>
                </w14:textFill>
              </w:rPr>
              <w:t>|||</w:t>
            </w:r>
            <w:r w:rsidRPr="00471EB9">
              <w:rPr>
                <w:rFonts w:cs="Arial"/>
                <w:color w:val="000000"/>
                <w:spacing w:val="1"/>
                <w:szCs w:val="20"/>
                <w:shd w:val="solid" w:color="000000" w:fill="000000"/>
                <w:fitText w:val="330" w:id="-694407922"/>
                <w14:textFill>
                  <w14:solidFill>
                    <w14:srgbClr w14:val="000000">
                      <w14:alpha w14:val="100000"/>
                    </w14:srgbClr>
                  </w14:solidFill>
                </w14:textFill>
              </w:rPr>
              <w:t>|</w:t>
            </w:r>
            <w:r w:rsidR="005A2A84" w:rsidRPr="009D45D5">
              <w:rPr>
                <w:vertAlign w:val="superscript"/>
              </w:rPr>
              <w:t>7</w:t>
            </w:r>
          </w:p>
        </w:tc>
        <w:tc>
          <w:tcPr>
            <w:tcW w:w="1102" w:type="dxa"/>
            <w:tcBorders>
              <w:top w:val="single" w:sz="4" w:space="0" w:color="auto"/>
              <w:bottom w:val="single" w:sz="4" w:space="0" w:color="auto"/>
            </w:tcBorders>
            <w:shd w:val="clear" w:color="auto" w:fill="auto"/>
            <w:vAlign w:val="center"/>
          </w:tcPr>
          <w:p w14:paraId="154E5468" w14:textId="3D4C6780" w:rsidR="001B1494" w:rsidRPr="006A1047" w:rsidRDefault="00471EB9" w:rsidP="001B1494">
            <w:pPr>
              <w:pStyle w:val="TableText0"/>
              <w:jc w:val="center"/>
              <w:rPr>
                <w:highlight w:val="darkGray"/>
              </w:rPr>
            </w:pPr>
            <w:r w:rsidRPr="00471EB9">
              <w:rPr>
                <w:rFonts w:cs="Arial"/>
                <w:color w:val="000000"/>
                <w:spacing w:val="53"/>
                <w:szCs w:val="20"/>
                <w:shd w:val="solid" w:color="000000" w:fill="000000"/>
                <w:fitText w:val="330" w:id="-694407921"/>
                <w14:textFill>
                  <w14:solidFill>
                    <w14:srgbClr w14:val="000000">
                      <w14:alpha w14:val="100000"/>
                    </w14:srgbClr>
                  </w14:solidFill>
                </w14:textFill>
              </w:rPr>
              <w:t>|||</w:t>
            </w:r>
            <w:r w:rsidRPr="00471EB9">
              <w:rPr>
                <w:rFonts w:cs="Arial"/>
                <w:color w:val="000000"/>
                <w:spacing w:val="1"/>
                <w:szCs w:val="20"/>
                <w:shd w:val="solid" w:color="000000" w:fill="000000"/>
                <w:fitText w:val="330" w:id="-694407921"/>
                <w14:textFill>
                  <w14:solidFill>
                    <w14:srgbClr w14:val="000000">
                      <w14:alpha w14:val="100000"/>
                    </w14:srgbClr>
                  </w14:solidFill>
                </w14:textFill>
              </w:rPr>
              <w:t>|</w:t>
            </w:r>
            <w:r w:rsidR="005A2A84" w:rsidRPr="009D45D5">
              <w:rPr>
                <w:vertAlign w:val="superscript"/>
              </w:rPr>
              <w:t>7</w:t>
            </w:r>
          </w:p>
        </w:tc>
        <w:tc>
          <w:tcPr>
            <w:tcW w:w="1102" w:type="dxa"/>
            <w:tcBorders>
              <w:top w:val="single" w:sz="4" w:space="0" w:color="auto"/>
              <w:bottom w:val="single" w:sz="4" w:space="0" w:color="auto"/>
            </w:tcBorders>
            <w:shd w:val="clear" w:color="auto" w:fill="auto"/>
            <w:vAlign w:val="center"/>
          </w:tcPr>
          <w:p w14:paraId="7908D798" w14:textId="5DBBB47C" w:rsidR="001B1494" w:rsidRPr="006A1047" w:rsidRDefault="00471EB9" w:rsidP="001B1494">
            <w:pPr>
              <w:pStyle w:val="TableText0"/>
              <w:jc w:val="center"/>
              <w:rPr>
                <w:highlight w:val="darkGray"/>
              </w:rPr>
            </w:pPr>
            <w:r w:rsidRPr="00471EB9">
              <w:rPr>
                <w:rFonts w:cs="Arial"/>
                <w:color w:val="000000"/>
                <w:spacing w:val="53"/>
                <w:szCs w:val="20"/>
                <w:shd w:val="solid" w:color="000000" w:fill="000000"/>
                <w:fitText w:val="330" w:id="-694407920"/>
                <w14:textFill>
                  <w14:solidFill>
                    <w14:srgbClr w14:val="000000">
                      <w14:alpha w14:val="100000"/>
                    </w14:srgbClr>
                  </w14:solidFill>
                </w14:textFill>
              </w:rPr>
              <w:t>|||</w:t>
            </w:r>
            <w:r w:rsidRPr="00471EB9">
              <w:rPr>
                <w:rFonts w:cs="Arial"/>
                <w:color w:val="000000"/>
                <w:spacing w:val="1"/>
                <w:szCs w:val="20"/>
                <w:shd w:val="solid" w:color="000000" w:fill="000000"/>
                <w:fitText w:val="330" w:id="-694407920"/>
                <w14:textFill>
                  <w14:solidFill>
                    <w14:srgbClr w14:val="000000">
                      <w14:alpha w14:val="100000"/>
                    </w14:srgbClr>
                  </w14:solidFill>
                </w14:textFill>
              </w:rPr>
              <w:t>|</w:t>
            </w:r>
            <w:r w:rsidR="005A2A84" w:rsidRPr="009D45D5">
              <w:rPr>
                <w:vertAlign w:val="superscript"/>
              </w:rPr>
              <w:t>7</w:t>
            </w:r>
          </w:p>
        </w:tc>
        <w:tc>
          <w:tcPr>
            <w:tcW w:w="1102" w:type="dxa"/>
            <w:tcBorders>
              <w:top w:val="single" w:sz="4" w:space="0" w:color="auto"/>
              <w:bottom w:val="single" w:sz="4" w:space="0" w:color="auto"/>
            </w:tcBorders>
            <w:shd w:val="clear" w:color="auto" w:fill="auto"/>
            <w:vAlign w:val="center"/>
          </w:tcPr>
          <w:p w14:paraId="6343DCCD" w14:textId="3EF2E801" w:rsidR="001B1494" w:rsidRPr="006A1047" w:rsidRDefault="00471EB9" w:rsidP="001B1494">
            <w:pPr>
              <w:pStyle w:val="TableText0"/>
              <w:jc w:val="center"/>
              <w:rPr>
                <w:highlight w:val="darkGray"/>
              </w:rPr>
            </w:pPr>
            <w:r w:rsidRPr="00471EB9">
              <w:rPr>
                <w:rFonts w:cs="Arial"/>
                <w:color w:val="000000"/>
                <w:spacing w:val="53"/>
                <w:szCs w:val="20"/>
                <w:shd w:val="solid" w:color="000000" w:fill="000000"/>
                <w:fitText w:val="330" w:id="-694407936"/>
                <w14:textFill>
                  <w14:solidFill>
                    <w14:srgbClr w14:val="000000">
                      <w14:alpha w14:val="100000"/>
                    </w14:srgbClr>
                  </w14:solidFill>
                </w14:textFill>
              </w:rPr>
              <w:t>|||</w:t>
            </w:r>
            <w:r w:rsidRPr="00471EB9">
              <w:rPr>
                <w:rFonts w:cs="Arial"/>
                <w:color w:val="000000"/>
                <w:spacing w:val="1"/>
                <w:szCs w:val="20"/>
                <w:shd w:val="solid" w:color="000000" w:fill="000000"/>
                <w:fitText w:val="330" w:id="-694407936"/>
                <w14:textFill>
                  <w14:solidFill>
                    <w14:srgbClr w14:val="000000">
                      <w14:alpha w14:val="100000"/>
                    </w14:srgbClr>
                  </w14:solidFill>
                </w14:textFill>
              </w:rPr>
              <w:t>|</w:t>
            </w:r>
            <w:r w:rsidR="005A2A84" w:rsidRPr="009D45D5">
              <w:rPr>
                <w:vertAlign w:val="superscript"/>
              </w:rPr>
              <w:t>7</w:t>
            </w:r>
          </w:p>
        </w:tc>
        <w:tc>
          <w:tcPr>
            <w:tcW w:w="1102" w:type="dxa"/>
            <w:tcBorders>
              <w:top w:val="single" w:sz="4" w:space="0" w:color="auto"/>
              <w:bottom w:val="single" w:sz="4" w:space="0" w:color="auto"/>
            </w:tcBorders>
            <w:shd w:val="clear" w:color="auto" w:fill="auto"/>
            <w:vAlign w:val="center"/>
          </w:tcPr>
          <w:p w14:paraId="3D7A849B" w14:textId="3CD30575" w:rsidR="001B1494" w:rsidRPr="006A1047" w:rsidRDefault="00471EB9" w:rsidP="001B1494">
            <w:pPr>
              <w:pStyle w:val="TableText0"/>
              <w:jc w:val="center"/>
              <w:rPr>
                <w:highlight w:val="darkGray"/>
              </w:rPr>
            </w:pPr>
            <w:r w:rsidRPr="00471EB9">
              <w:rPr>
                <w:rFonts w:cs="Arial"/>
                <w:color w:val="000000"/>
                <w:spacing w:val="53"/>
                <w:szCs w:val="20"/>
                <w:shd w:val="solid" w:color="000000" w:fill="000000"/>
                <w:fitText w:val="330" w:id="-694407935"/>
                <w14:textFill>
                  <w14:solidFill>
                    <w14:srgbClr w14:val="000000">
                      <w14:alpha w14:val="100000"/>
                    </w14:srgbClr>
                  </w14:solidFill>
                </w14:textFill>
              </w:rPr>
              <w:t>|||</w:t>
            </w:r>
            <w:r w:rsidRPr="00471EB9">
              <w:rPr>
                <w:rFonts w:cs="Arial"/>
                <w:color w:val="000000"/>
                <w:spacing w:val="1"/>
                <w:szCs w:val="20"/>
                <w:shd w:val="solid" w:color="000000" w:fill="000000"/>
                <w:fitText w:val="330" w:id="-694407935"/>
                <w14:textFill>
                  <w14:solidFill>
                    <w14:srgbClr w14:val="000000">
                      <w14:alpha w14:val="100000"/>
                    </w14:srgbClr>
                  </w14:solidFill>
                </w14:textFill>
              </w:rPr>
              <w:t>|</w:t>
            </w:r>
            <w:r w:rsidR="005A2A84" w:rsidRPr="009D45D5">
              <w:rPr>
                <w:vertAlign w:val="superscript"/>
              </w:rPr>
              <w:t>7</w:t>
            </w:r>
          </w:p>
        </w:tc>
        <w:tc>
          <w:tcPr>
            <w:tcW w:w="1105" w:type="dxa"/>
            <w:tcBorders>
              <w:top w:val="single" w:sz="4" w:space="0" w:color="auto"/>
              <w:bottom w:val="single" w:sz="4" w:space="0" w:color="auto"/>
            </w:tcBorders>
            <w:shd w:val="clear" w:color="auto" w:fill="auto"/>
            <w:vAlign w:val="center"/>
          </w:tcPr>
          <w:p w14:paraId="203E09E0" w14:textId="2F6EFDD4" w:rsidR="001B1494" w:rsidRPr="006A1047" w:rsidRDefault="00471EB9" w:rsidP="001B1494">
            <w:pPr>
              <w:pStyle w:val="TableText0"/>
              <w:jc w:val="center"/>
              <w:rPr>
                <w:highlight w:val="darkGray"/>
              </w:rPr>
            </w:pPr>
            <w:r w:rsidRPr="00471EB9">
              <w:rPr>
                <w:rFonts w:cs="Arial"/>
                <w:color w:val="000000"/>
                <w:spacing w:val="49"/>
                <w:szCs w:val="20"/>
                <w:shd w:val="solid" w:color="000000" w:fill="000000"/>
                <w:fitText w:val="320" w:id="-694407934"/>
                <w14:textFill>
                  <w14:solidFill>
                    <w14:srgbClr w14:val="000000">
                      <w14:alpha w14:val="100000"/>
                    </w14:srgbClr>
                  </w14:solidFill>
                </w14:textFill>
              </w:rPr>
              <w:t>|||</w:t>
            </w:r>
            <w:r w:rsidRPr="00471EB9">
              <w:rPr>
                <w:rFonts w:cs="Arial"/>
                <w:color w:val="000000"/>
                <w:spacing w:val="3"/>
                <w:szCs w:val="20"/>
                <w:shd w:val="solid" w:color="000000" w:fill="000000"/>
                <w:fitText w:val="320" w:id="-694407934"/>
                <w14:textFill>
                  <w14:solidFill>
                    <w14:srgbClr w14:val="000000">
                      <w14:alpha w14:val="100000"/>
                    </w14:srgbClr>
                  </w14:solidFill>
                </w14:textFill>
              </w:rPr>
              <w:t>|</w:t>
            </w:r>
            <w:r w:rsidR="005A2A84" w:rsidRPr="009D45D5">
              <w:rPr>
                <w:vertAlign w:val="superscript"/>
              </w:rPr>
              <w:t>7</w:t>
            </w:r>
          </w:p>
        </w:tc>
      </w:tr>
      <w:tr w:rsidR="0062515B" w:rsidRPr="00873941" w14:paraId="4AC2359C" w14:textId="77777777" w:rsidTr="00D43B59">
        <w:tc>
          <w:tcPr>
            <w:tcW w:w="2402" w:type="dxa"/>
            <w:tcBorders>
              <w:top w:val="single" w:sz="4" w:space="0" w:color="auto"/>
              <w:bottom w:val="single" w:sz="4" w:space="0" w:color="auto"/>
            </w:tcBorders>
            <w:shd w:val="clear" w:color="auto" w:fill="auto"/>
            <w:vAlign w:val="center"/>
          </w:tcPr>
          <w:p w14:paraId="1A18ED86" w14:textId="4B0A11F3" w:rsidR="0062515B" w:rsidRPr="00766745" w:rsidRDefault="0062515B" w:rsidP="0062515B">
            <w:pPr>
              <w:pStyle w:val="TableText0"/>
              <w:rPr>
                <w:sz w:val="19"/>
                <w:szCs w:val="19"/>
              </w:rPr>
            </w:pPr>
            <w:r w:rsidRPr="00766745">
              <w:rPr>
                <w:sz w:val="19"/>
                <w:szCs w:val="19"/>
              </w:rPr>
              <w:t xml:space="preserve">Net cost to PBS/RPBS assuming </w:t>
            </w:r>
            <w:r w:rsidR="00471EB9" w:rsidRPr="00471EB9">
              <w:rPr>
                <w:color w:val="000000"/>
                <w:spacing w:val="52"/>
                <w:sz w:val="19"/>
                <w:szCs w:val="19"/>
                <w:shd w:val="solid" w:color="000000" w:fill="000000"/>
                <w:fitText w:val="320" w:id="-694407933"/>
                <w14:textFill>
                  <w14:solidFill>
                    <w14:srgbClr w14:val="000000">
                      <w14:alpha w14:val="100000"/>
                    </w14:srgbClr>
                  </w14:solidFill>
                </w14:textFill>
              </w:rPr>
              <w:t>|||</w:t>
            </w:r>
            <w:r w:rsidR="00471EB9" w:rsidRPr="00471EB9">
              <w:rPr>
                <w:color w:val="000000"/>
                <w:spacing w:val="3"/>
                <w:sz w:val="19"/>
                <w:szCs w:val="19"/>
                <w:shd w:val="solid" w:color="000000" w:fill="000000"/>
                <w:fitText w:val="320" w:id="-694407933"/>
                <w14:textFill>
                  <w14:solidFill>
                    <w14:srgbClr w14:val="000000">
                      <w14:alpha w14:val="100000"/>
                    </w14:srgbClr>
                  </w14:solidFill>
                </w14:textFill>
              </w:rPr>
              <w:t>|</w:t>
            </w:r>
            <w:r w:rsidRPr="00766745">
              <w:rPr>
                <w:sz w:val="19"/>
                <w:szCs w:val="19"/>
              </w:rPr>
              <w:t>cycles neoadjuvant pertuzumab</w:t>
            </w:r>
          </w:p>
          <w:p w14:paraId="4D519B8A" w14:textId="457055D7" w:rsidR="0062515B" w:rsidRPr="00766745" w:rsidRDefault="0062515B" w:rsidP="0062515B">
            <w:pPr>
              <w:pStyle w:val="TableText0"/>
              <w:rPr>
                <w:sz w:val="19"/>
                <w:szCs w:val="19"/>
              </w:rPr>
            </w:pPr>
            <w:r w:rsidRPr="00766745">
              <w:rPr>
                <w:sz w:val="19"/>
                <w:szCs w:val="19"/>
              </w:rPr>
              <w:t xml:space="preserve">+ </w:t>
            </w:r>
            <w:r w:rsidRPr="00D06AEB">
              <w:rPr>
                <w:sz w:val="19"/>
                <w:szCs w:val="19"/>
              </w:rPr>
              <w:t>3</w:t>
            </w:r>
            <w:r w:rsidRPr="00766745">
              <w:rPr>
                <w:sz w:val="19"/>
                <w:szCs w:val="19"/>
              </w:rPr>
              <w:t>% patients adjuvant pertuzumab, mean 13.0 cycles</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4EC8E608" w14:textId="64D1276B" w:rsidR="0062515B" w:rsidRPr="006A1047" w:rsidRDefault="00471EB9" w:rsidP="0062515B">
            <w:pPr>
              <w:pStyle w:val="TableText0"/>
              <w:jc w:val="center"/>
              <w:rPr>
                <w:rFonts w:cs="Arial"/>
                <w:color w:val="000000"/>
                <w:szCs w:val="20"/>
                <w:highlight w:val="darkGray"/>
              </w:rPr>
            </w:pPr>
            <w:r w:rsidRPr="00471EB9">
              <w:rPr>
                <w:rFonts w:cs="Arial"/>
                <w:color w:val="000000"/>
                <w:spacing w:val="53"/>
                <w:szCs w:val="20"/>
                <w:shd w:val="solid" w:color="000000" w:fill="000000"/>
                <w:fitText w:val="330" w:id="-694407932"/>
                <w14:textFill>
                  <w14:solidFill>
                    <w14:srgbClr w14:val="000000">
                      <w14:alpha w14:val="100000"/>
                    </w14:srgbClr>
                  </w14:solidFill>
                </w14:textFill>
              </w:rPr>
              <w:t>|||</w:t>
            </w:r>
            <w:r w:rsidRPr="00471EB9">
              <w:rPr>
                <w:rFonts w:cs="Arial"/>
                <w:color w:val="000000"/>
                <w:spacing w:val="1"/>
                <w:szCs w:val="20"/>
                <w:shd w:val="solid" w:color="000000" w:fill="000000"/>
                <w:fitText w:val="330" w:id="-694407932"/>
                <w14:textFill>
                  <w14:solidFill>
                    <w14:srgbClr w14:val="000000">
                      <w14:alpha w14:val="100000"/>
                    </w14:srgbClr>
                  </w14:solidFill>
                </w14:textFill>
              </w:rPr>
              <w:t>|</w:t>
            </w:r>
            <w:r w:rsidR="005A2A84"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0C2DA623" w14:textId="51023929" w:rsidR="0062515B" w:rsidRPr="006A1047" w:rsidRDefault="00471EB9" w:rsidP="0062515B">
            <w:pPr>
              <w:pStyle w:val="TableText0"/>
              <w:jc w:val="center"/>
              <w:rPr>
                <w:rFonts w:cs="Arial"/>
                <w:color w:val="000000"/>
                <w:szCs w:val="20"/>
                <w:highlight w:val="darkGray"/>
              </w:rPr>
            </w:pPr>
            <w:r w:rsidRPr="00471EB9">
              <w:rPr>
                <w:rFonts w:cs="Arial"/>
                <w:color w:val="000000"/>
                <w:spacing w:val="53"/>
                <w:szCs w:val="20"/>
                <w:shd w:val="solid" w:color="000000" w:fill="000000"/>
                <w:fitText w:val="330" w:id="-694407931"/>
                <w14:textFill>
                  <w14:solidFill>
                    <w14:srgbClr w14:val="000000">
                      <w14:alpha w14:val="100000"/>
                    </w14:srgbClr>
                  </w14:solidFill>
                </w14:textFill>
              </w:rPr>
              <w:t>|||</w:t>
            </w:r>
            <w:r w:rsidRPr="00471EB9">
              <w:rPr>
                <w:rFonts w:cs="Arial"/>
                <w:color w:val="000000"/>
                <w:spacing w:val="1"/>
                <w:szCs w:val="20"/>
                <w:shd w:val="solid" w:color="000000" w:fill="000000"/>
                <w:fitText w:val="330" w:id="-694407931"/>
                <w14:textFill>
                  <w14:solidFill>
                    <w14:srgbClr w14:val="000000">
                      <w14:alpha w14:val="100000"/>
                    </w14:srgbClr>
                  </w14:solidFill>
                </w14:textFill>
              </w:rPr>
              <w:t>|</w:t>
            </w:r>
            <w:r w:rsidR="005A2A84"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4E4B4F67" w14:textId="128223F7" w:rsidR="0062515B" w:rsidRPr="006A1047" w:rsidRDefault="00471EB9" w:rsidP="0062515B">
            <w:pPr>
              <w:pStyle w:val="TableText0"/>
              <w:jc w:val="center"/>
              <w:rPr>
                <w:rFonts w:cs="Arial"/>
                <w:color w:val="000000"/>
                <w:szCs w:val="20"/>
                <w:highlight w:val="darkGray"/>
              </w:rPr>
            </w:pPr>
            <w:r w:rsidRPr="00471EB9">
              <w:rPr>
                <w:rFonts w:cs="Arial"/>
                <w:color w:val="000000"/>
                <w:spacing w:val="53"/>
                <w:szCs w:val="20"/>
                <w:shd w:val="solid" w:color="000000" w:fill="000000"/>
                <w:fitText w:val="330" w:id="-694407930"/>
                <w14:textFill>
                  <w14:solidFill>
                    <w14:srgbClr w14:val="000000">
                      <w14:alpha w14:val="100000"/>
                    </w14:srgbClr>
                  </w14:solidFill>
                </w14:textFill>
              </w:rPr>
              <w:t>|||</w:t>
            </w:r>
            <w:r w:rsidRPr="00471EB9">
              <w:rPr>
                <w:rFonts w:cs="Arial"/>
                <w:color w:val="000000"/>
                <w:spacing w:val="1"/>
                <w:szCs w:val="20"/>
                <w:shd w:val="solid" w:color="000000" w:fill="000000"/>
                <w:fitText w:val="330" w:id="-694407930"/>
                <w14:textFill>
                  <w14:solidFill>
                    <w14:srgbClr w14:val="000000">
                      <w14:alpha w14:val="100000"/>
                    </w14:srgbClr>
                  </w14:solidFill>
                </w14:textFill>
              </w:rPr>
              <w:t>|</w:t>
            </w:r>
            <w:r w:rsidR="005A2A84"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3A31EF38" w14:textId="69E9C455" w:rsidR="0062515B" w:rsidRPr="006A1047" w:rsidRDefault="00471EB9" w:rsidP="0062515B">
            <w:pPr>
              <w:pStyle w:val="TableText0"/>
              <w:jc w:val="center"/>
              <w:rPr>
                <w:rFonts w:cs="Arial"/>
                <w:color w:val="000000"/>
                <w:szCs w:val="20"/>
                <w:highlight w:val="darkGray"/>
              </w:rPr>
            </w:pPr>
            <w:r w:rsidRPr="00471EB9">
              <w:rPr>
                <w:rFonts w:cs="Arial"/>
                <w:color w:val="000000"/>
                <w:spacing w:val="53"/>
                <w:szCs w:val="20"/>
                <w:shd w:val="solid" w:color="000000" w:fill="000000"/>
                <w:fitText w:val="330" w:id="-694407929"/>
                <w14:textFill>
                  <w14:solidFill>
                    <w14:srgbClr w14:val="000000">
                      <w14:alpha w14:val="100000"/>
                    </w14:srgbClr>
                  </w14:solidFill>
                </w14:textFill>
              </w:rPr>
              <w:t>|||</w:t>
            </w:r>
            <w:r w:rsidRPr="00471EB9">
              <w:rPr>
                <w:rFonts w:cs="Arial"/>
                <w:color w:val="000000"/>
                <w:spacing w:val="1"/>
                <w:szCs w:val="20"/>
                <w:shd w:val="solid" w:color="000000" w:fill="000000"/>
                <w:fitText w:val="330" w:id="-694407929"/>
                <w14:textFill>
                  <w14:solidFill>
                    <w14:srgbClr w14:val="000000">
                      <w14:alpha w14:val="100000"/>
                    </w14:srgbClr>
                  </w14:solidFill>
                </w14:textFill>
              </w:rPr>
              <w:t>|</w:t>
            </w:r>
            <w:r w:rsidR="005A2A84"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28B31827" w14:textId="009B200A" w:rsidR="0062515B" w:rsidRPr="006A1047" w:rsidRDefault="00471EB9" w:rsidP="0062515B">
            <w:pPr>
              <w:pStyle w:val="TableText0"/>
              <w:jc w:val="center"/>
              <w:rPr>
                <w:rFonts w:cs="Arial"/>
                <w:color w:val="000000"/>
                <w:szCs w:val="20"/>
                <w:highlight w:val="darkGray"/>
              </w:rPr>
            </w:pPr>
            <w:r w:rsidRPr="00471EB9">
              <w:rPr>
                <w:rFonts w:cs="Arial"/>
                <w:color w:val="000000"/>
                <w:spacing w:val="53"/>
                <w:szCs w:val="20"/>
                <w:shd w:val="solid" w:color="000000" w:fill="000000"/>
                <w:fitText w:val="330" w:id="-694407928"/>
                <w14:textFill>
                  <w14:solidFill>
                    <w14:srgbClr w14:val="000000">
                      <w14:alpha w14:val="100000"/>
                    </w14:srgbClr>
                  </w14:solidFill>
                </w14:textFill>
              </w:rPr>
              <w:t>|||</w:t>
            </w:r>
            <w:r w:rsidRPr="00471EB9">
              <w:rPr>
                <w:rFonts w:cs="Arial"/>
                <w:color w:val="000000"/>
                <w:spacing w:val="1"/>
                <w:szCs w:val="20"/>
                <w:shd w:val="solid" w:color="000000" w:fill="000000"/>
                <w:fitText w:val="330" w:id="-694407928"/>
                <w14:textFill>
                  <w14:solidFill>
                    <w14:srgbClr w14:val="000000">
                      <w14:alpha w14:val="100000"/>
                    </w14:srgbClr>
                  </w14:solidFill>
                </w14:textFill>
              </w:rPr>
              <w:t>|</w:t>
            </w:r>
            <w:r w:rsidR="005A2A84" w:rsidRPr="009D45D5">
              <w:rPr>
                <w:vertAlign w:val="superscript"/>
              </w:rPr>
              <w:t>7</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9B25DB7" w14:textId="00679CE9" w:rsidR="0062515B" w:rsidRPr="006A1047" w:rsidRDefault="00471EB9" w:rsidP="0062515B">
            <w:pPr>
              <w:pStyle w:val="TableText0"/>
              <w:jc w:val="center"/>
              <w:rPr>
                <w:rFonts w:cs="Arial"/>
                <w:color w:val="000000"/>
                <w:szCs w:val="20"/>
                <w:highlight w:val="darkGray"/>
              </w:rPr>
            </w:pPr>
            <w:r w:rsidRPr="00471EB9">
              <w:rPr>
                <w:rFonts w:cs="Arial"/>
                <w:color w:val="000000"/>
                <w:spacing w:val="49"/>
                <w:szCs w:val="20"/>
                <w:shd w:val="solid" w:color="000000" w:fill="000000"/>
                <w:fitText w:val="320" w:id="-694407927"/>
                <w14:textFill>
                  <w14:solidFill>
                    <w14:srgbClr w14:val="000000">
                      <w14:alpha w14:val="100000"/>
                    </w14:srgbClr>
                  </w14:solidFill>
                </w14:textFill>
              </w:rPr>
              <w:t>|||</w:t>
            </w:r>
            <w:r w:rsidRPr="00471EB9">
              <w:rPr>
                <w:rFonts w:cs="Arial"/>
                <w:color w:val="000000"/>
                <w:spacing w:val="3"/>
                <w:szCs w:val="20"/>
                <w:shd w:val="solid" w:color="000000" w:fill="000000"/>
                <w:fitText w:val="320" w:id="-694407927"/>
                <w14:textFill>
                  <w14:solidFill>
                    <w14:srgbClr w14:val="000000">
                      <w14:alpha w14:val="100000"/>
                    </w14:srgbClr>
                  </w14:solidFill>
                </w14:textFill>
              </w:rPr>
              <w:t>|</w:t>
            </w:r>
            <w:r w:rsidR="005A2A84" w:rsidRPr="009D45D5">
              <w:rPr>
                <w:vertAlign w:val="superscript"/>
              </w:rPr>
              <w:t>7</w:t>
            </w:r>
          </w:p>
        </w:tc>
      </w:tr>
      <w:tr w:rsidR="008060AF" w:rsidRPr="00873941" w14:paraId="630E1924" w14:textId="77777777" w:rsidTr="00D43B59">
        <w:tc>
          <w:tcPr>
            <w:tcW w:w="2402" w:type="dxa"/>
            <w:tcBorders>
              <w:top w:val="single" w:sz="4" w:space="0" w:color="auto"/>
            </w:tcBorders>
            <w:shd w:val="clear" w:color="auto" w:fill="auto"/>
            <w:vAlign w:val="center"/>
          </w:tcPr>
          <w:p w14:paraId="0B8ED825" w14:textId="76A849A4" w:rsidR="008060AF" w:rsidRPr="00766745" w:rsidRDefault="008060AF" w:rsidP="008060AF">
            <w:pPr>
              <w:pStyle w:val="TableText0"/>
              <w:rPr>
                <w:sz w:val="19"/>
                <w:szCs w:val="19"/>
              </w:rPr>
            </w:pPr>
            <w:r w:rsidRPr="00766745">
              <w:rPr>
                <w:sz w:val="19"/>
                <w:szCs w:val="19"/>
              </w:rPr>
              <w:t xml:space="preserve">As above, </w:t>
            </w:r>
            <w:r w:rsidR="0022338F" w:rsidRPr="0022338F">
              <w:rPr>
                <w:color w:val="000000"/>
                <w:spacing w:val="52"/>
                <w:sz w:val="19"/>
                <w:szCs w:val="19"/>
                <w:shd w:val="solid" w:color="000000" w:fill="000000"/>
                <w:fitText w:val="320" w:id="-694407933"/>
                <w14:textFill>
                  <w14:solidFill>
                    <w14:srgbClr w14:val="000000">
                      <w14:alpha w14:val="100000"/>
                    </w14:srgbClr>
                  </w14:solidFill>
                </w14:textFill>
              </w:rPr>
              <w:t>|||</w:t>
            </w:r>
            <w:r w:rsidR="0022338F" w:rsidRPr="0022338F">
              <w:rPr>
                <w:color w:val="000000"/>
                <w:spacing w:val="3"/>
                <w:sz w:val="19"/>
                <w:szCs w:val="19"/>
                <w:shd w:val="solid" w:color="000000" w:fill="000000"/>
                <w:fitText w:val="320" w:id="-694407933"/>
                <w14:textFill>
                  <w14:solidFill>
                    <w14:srgbClr w14:val="000000">
                      <w14:alpha w14:val="100000"/>
                    </w14:srgbClr>
                  </w14:solidFill>
                </w14:textFill>
              </w:rPr>
              <w:t>|</w:t>
            </w:r>
            <w:r w:rsidR="0022338F">
              <w:rPr>
                <w:sz w:val="19"/>
                <w:szCs w:val="19"/>
              </w:rPr>
              <w:t>%</w:t>
            </w:r>
            <w:r w:rsidR="0022338F" w:rsidRPr="00766745">
              <w:rPr>
                <w:sz w:val="19"/>
                <w:szCs w:val="19"/>
              </w:rPr>
              <w:t xml:space="preserve"> </w:t>
            </w:r>
            <w:r w:rsidRPr="00766745">
              <w:rPr>
                <w:sz w:val="19"/>
                <w:szCs w:val="19"/>
              </w:rPr>
              <w:t xml:space="preserve">price reduction for neoadjuvant scripts, </w:t>
            </w:r>
            <w:r w:rsidR="00471EB9" w:rsidRPr="00471EB9">
              <w:rPr>
                <w:color w:val="000000"/>
                <w:spacing w:val="49"/>
                <w:sz w:val="19"/>
                <w:szCs w:val="19"/>
                <w:shd w:val="solid" w:color="000000" w:fill="000000"/>
                <w:fitText w:val="310" w:id="-694407926"/>
                <w14:textFill>
                  <w14:solidFill>
                    <w14:srgbClr w14:val="000000">
                      <w14:alpha w14:val="100000"/>
                    </w14:srgbClr>
                  </w14:solidFill>
                </w14:textFill>
              </w:rPr>
              <w:t>|||</w:t>
            </w:r>
            <w:r w:rsidR="00471EB9" w:rsidRPr="00471EB9">
              <w:rPr>
                <w:color w:val="000000"/>
                <w:spacing w:val="2"/>
                <w:sz w:val="19"/>
                <w:szCs w:val="19"/>
                <w:shd w:val="solid" w:color="000000" w:fill="000000"/>
                <w:fitText w:val="310" w:id="-694407926"/>
                <w14:textFill>
                  <w14:solidFill>
                    <w14:srgbClr w14:val="000000">
                      <w14:alpha w14:val="100000"/>
                    </w14:srgbClr>
                  </w14:solidFill>
                </w14:textFill>
              </w:rPr>
              <w:t>|</w:t>
            </w:r>
            <w:r w:rsidRPr="00766745">
              <w:rPr>
                <w:sz w:val="19"/>
                <w:szCs w:val="19"/>
              </w:rPr>
              <w:t>% price reduction for adjuvant scripts</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0206C169" w14:textId="52595FB4" w:rsidR="008060AF" w:rsidRPr="006A1047" w:rsidRDefault="00471EB9" w:rsidP="008060AF">
            <w:pPr>
              <w:pStyle w:val="TableText0"/>
              <w:jc w:val="center"/>
              <w:rPr>
                <w:rFonts w:cs="Arial"/>
                <w:color w:val="000000"/>
                <w:szCs w:val="20"/>
                <w:highlight w:val="darkGray"/>
              </w:rPr>
            </w:pPr>
            <w:r w:rsidRPr="00471EB9">
              <w:rPr>
                <w:rFonts w:cs="Arial"/>
                <w:color w:val="000000"/>
                <w:spacing w:val="53"/>
                <w:szCs w:val="20"/>
                <w:shd w:val="solid" w:color="000000" w:fill="000000"/>
                <w:fitText w:val="330" w:id="-694407925"/>
                <w14:textFill>
                  <w14:solidFill>
                    <w14:srgbClr w14:val="000000">
                      <w14:alpha w14:val="100000"/>
                    </w14:srgbClr>
                  </w14:solidFill>
                </w14:textFill>
              </w:rPr>
              <w:t>|||</w:t>
            </w:r>
            <w:r w:rsidRPr="00471EB9">
              <w:rPr>
                <w:rFonts w:cs="Arial"/>
                <w:color w:val="000000"/>
                <w:spacing w:val="1"/>
                <w:szCs w:val="20"/>
                <w:shd w:val="solid" w:color="000000" w:fill="000000"/>
                <w:fitText w:val="330" w:id="-694407925"/>
                <w14:textFill>
                  <w14:solidFill>
                    <w14:srgbClr w14:val="000000">
                      <w14:alpha w14:val="100000"/>
                    </w14:srgbClr>
                  </w14:solidFill>
                </w14:textFill>
              </w:rPr>
              <w:t>|</w:t>
            </w:r>
            <w:r w:rsidR="005A2A84"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583694F0" w14:textId="5996723C" w:rsidR="008060AF" w:rsidRPr="006A1047" w:rsidRDefault="00471EB9" w:rsidP="008060AF">
            <w:pPr>
              <w:pStyle w:val="TableText0"/>
              <w:jc w:val="center"/>
              <w:rPr>
                <w:rFonts w:cs="Arial"/>
                <w:color w:val="000000"/>
                <w:szCs w:val="20"/>
                <w:highlight w:val="darkGray"/>
              </w:rPr>
            </w:pPr>
            <w:r w:rsidRPr="00471EB9">
              <w:rPr>
                <w:rFonts w:cs="Arial"/>
                <w:color w:val="000000"/>
                <w:spacing w:val="53"/>
                <w:szCs w:val="20"/>
                <w:shd w:val="solid" w:color="000000" w:fill="000000"/>
                <w:fitText w:val="330" w:id="-694407924"/>
                <w14:textFill>
                  <w14:solidFill>
                    <w14:srgbClr w14:val="000000">
                      <w14:alpha w14:val="100000"/>
                    </w14:srgbClr>
                  </w14:solidFill>
                </w14:textFill>
              </w:rPr>
              <w:t>|||</w:t>
            </w:r>
            <w:r w:rsidRPr="00471EB9">
              <w:rPr>
                <w:rFonts w:cs="Arial"/>
                <w:color w:val="000000"/>
                <w:spacing w:val="1"/>
                <w:szCs w:val="20"/>
                <w:shd w:val="solid" w:color="000000" w:fill="000000"/>
                <w:fitText w:val="330" w:id="-694407924"/>
                <w14:textFill>
                  <w14:solidFill>
                    <w14:srgbClr w14:val="000000">
                      <w14:alpha w14:val="100000"/>
                    </w14:srgbClr>
                  </w14:solidFill>
                </w14:textFill>
              </w:rPr>
              <w:t>|</w:t>
            </w:r>
            <w:r w:rsidR="005A2A84"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40FC9315" w14:textId="57BCCAA6" w:rsidR="008060AF" w:rsidRPr="006A1047" w:rsidRDefault="00471EB9" w:rsidP="008060AF">
            <w:pPr>
              <w:pStyle w:val="TableText0"/>
              <w:jc w:val="center"/>
              <w:rPr>
                <w:rFonts w:cs="Arial"/>
                <w:color w:val="000000"/>
                <w:szCs w:val="20"/>
                <w:highlight w:val="darkGray"/>
              </w:rPr>
            </w:pPr>
            <w:r w:rsidRPr="00471EB9">
              <w:rPr>
                <w:rFonts w:cs="Arial"/>
                <w:color w:val="000000"/>
                <w:spacing w:val="53"/>
                <w:szCs w:val="20"/>
                <w:shd w:val="solid" w:color="000000" w:fill="000000"/>
                <w:fitText w:val="330" w:id="-694407923"/>
                <w14:textFill>
                  <w14:solidFill>
                    <w14:srgbClr w14:val="000000">
                      <w14:alpha w14:val="100000"/>
                    </w14:srgbClr>
                  </w14:solidFill>
                </w14:textFill>
              </w:rPr>
              <w:t>|||</w:t>
            </w:r>
            <w:r w:rsidRPr="00471EB9">
              <w:rPr>
                <w:rFonts w:cs="Arial"/>
                <w:color w:val="000000"/>
                <w:spacing w:val="1"/>
                <w:szCs w:val="20"/>
                <w:shd w:val="solid" w:color="000000" w:fill="000000"/>
                <w:fitText w:val="330" w:id="-694407923"/>
                <w14:textFill>
                  <w14:solidFill>
                    <w14:srgbClr w14:val="000000">
                      <w14:alpha w14:val="100000"/>
                    </w14:srgbClr>
                  </w14:solidFill>
                </w14:textFill>
              </w:rPr>
              <w:t>|</w:t>
            </w:r>
            <w:r w:rsidR="005A2A84"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34A35995" w14:textId="2F26A6E3" w:rsidR="008060AF" w:rsidRPr="006A1047" w:rsidRDefault="00471EB9" w:rsidP="008060AF">
            <w:pPr>
              <w:pStyle w:val="TableText0"/>
              <w:jc w:val="center"/>
              <w:rPr>
                <w:rFonts w:cs="Arial"/>
                <w:color w:val="000000"/>
                <w:szCs w:val="20"/>
                <w:highlight w:val="darkGray"/>
              </w:rPr>
            </w:pPr>
            <w:r w:rsidRPr="00471EB9">
              <w:rPr>
                <w:rFonts w:cs="Arial"/>
                <w:color w:val="000000"/>
                <w:spacing w:val="53"/>
                <w:szCs w:val="20"/>
                <w:shd w:val="solid" w:color="000000" w:fill="000000"/>
                <w:fitText w:val="330" w:id="-694407922"/>
                <w14:textFill>
                  <w14:solidFill>
                    <w14:srgbClr w14:val="000000">
                      <w14:alpha w14:val="100000"/>
                    </w14:srgbClr>
                  </w14:solidFill>
                </w14:textFill>
              </w:rPr>
              <w:t>|||</w:t>
            </w:r>
            <w:r w:rsidRPr="00471EB9">
              <w:rPr>
                <w:rFonts w:cs="Arial"/>
                <w:color w:val="000000"/>
                <w:spacing w:val="1"/>
                <w:szCs w:val="20"/>
                <w:shd w:val="solid" w:color="000000" w:fill="000000"/>
                <w:fitText w:val="330" w:id="-694407922"/>
                <w14:textFill>
                  <w14:solidFill>
                    <w14:srgbClr w14:val="000000">
                      <w14:alpha w14:val="100000"/>
                    </w14:srgbClr>
                  </w14:solidFill>
                </w14:textFill>
              </w:rPr>
              <w:t>|</w:t>
            </w:r>
            <w:r w:rsidR="005A2A84" w:rsidRPr="009D45D5">
              <w:rPr>
                <w:vertAlign w:val="superscript"/>
              </w:rPr>
              <w:t>7</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79B07182" w14:textId="691BF0A4" w:rsidR="008060AF" w:rsidRPr="006A1047" w:rsidRDefault="00471EB9" w:rsidP="008060AF">
            <w:pPr>
              <w:pStyle w:val="TableText0"/>
              <w:jc w:val="center"/>
              <w:rPr>
                <w:rFonts w:cs="Arial"/>
                <w:color w:val="000000"/>
                <w:szCs w:val="20"/>
                <w:highlight w:val="darkGray"/>
              </w:rPr>
            </w:pPr>
            <w:r w:rsidRPr="00471EB9">
              <w:rPr>
                <w:rFonts w:cs="Arial"/>
                <w:color w:val="000000"/>
                <w:spacing w:val="53"/>
                <w:szCs w:val="20"/>
                <w:shd w:val="solid" w:color="000000" w:fill="000000"/>
                <w:fitText w:val="330" w:id="-694407921"/>
                <w14:textFill>
                  <w14:solidFill>
                    <w14:srgbClr w14:val="000000">
                      <w14:alpha w14:val="100000"/>
                    </w14:srgbClr>
                  </w14:solidFill>
                </w14:textFill>
              </w:rPr>
              <w:t>|||</w:t>
            </w:r>
            <w:r w:rsidRPr="00471EB9">
              <w:rPr>
                <w:rFonts w:cs="Arial"/>
                <w:color w:val="000000"/>
                <w:spacing w:val="1"/>
                <w:szCs w:val="20"/>
                <w:shd w:val="solid" w:color="000000" w:fill="000000"/>
                <w:fitText w:val="330" w:id="-694407921"/>
                <w14:textFill>
                  <w14:solidFill>
                    <w14:srgbClr w14:val="000000">
                      <w14:alpha w14:val="100000"/>
                    </w14:srgbClr>
                  </w14:solidFill>
                </w14:textFill>
              </w:rPr>
              <w:t>|</w:t>
            </w:r>
            <w:r w:rsidR="005A2A84" w:rsidRPr="009D45D5">
              <w:rPr>
                <w:vertAlign w:val="superscript"/>
              </w:rPr>
              <w:t>7</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0FF73E7" w14:textId="31C55D49" w:rsidR="008060AF" w:rsidRPr="006A1047" w:rsidRDefault="00471EB9" w:rsidP="008060AF">
            <w:pPr>
              <w:pStyle w:val="TableText0"/>
              <w:jc w:val="center"/>
              <w:rPr>
                <w:rFonts w:cs="Arial"/>
                <w:color w:val="000000"/>
                <w:szCs w:val="20"/>
                <w:highlight w:val="darkGray"/>
              </w:rPr>
            </w:pPr>
            <w:r w:rsidRPr="00471EB9">
              <w:rPr>
                <w:rFonts w:cs="Arial"/>
                <w:color w:val="000000"/>
                <w:spacing w:val="49"/>
                <w:szCs w:val="20"/>
                <w:shd w:val="solid" w:color="000000" w:fill="000000"/>
                <w:fitText w:val="320" w:id="-694407920"/>
                <w14:textFill>
                  <w14:solidFill>
                    <w14:srgbClr w14:val="000000">
                      <w14:alpha w14:val="100000"/>
                    </w14:srgbClr>
                  </w14:solidFill>
                </w14:textFill>
              </w:rPr>
              <w:t>|||</w:t>
            </w:r>
            <w:r w:rsidRPr="00471EB9">
              <w:rPr>
                <w:rFonts w:cs="Arial"/>
                <w:color w:val="000000"/>
                <w:spacing w:val="3"/>
                <w:szCs w:val="20"/>
                <w:shd w:val="solid" w:color="000000" w:fill="000000"/>
                <w:fitText w:val="320" w:id="-694407920"/>
                <w14:textFill>
                  <w14:solidFill>
                    <w14:srgbClr w14:val="000000">
                      <w14:alpha w14:val="100000"/>
                    </w14:srgbClr>
                  </w14:solidFill>
                </w14:textFill>
              </w:rPr>
              <w:t>|</w:t>
            </w:r>
            <w:r w:rsidR="005A2A84" w:rsidRPr="009D45D5">
              <w:rPr>
                <w:vertAlign w:val="superscript"/>
              </w:rPr>
              <w:t>7</w:t>
            </w:r>
          </w:p>
        </w:tc>
      </w:tr>
    </w:tbl>
    <w:p w14:paraId="2D3A8432" w14:textId="4C448142" w:rsidR="007D0CF5" w:rsidRPr="00873941" w:rsidRDefault="007D0CF5" w:rsidP="007D0CF5">
      <w:pPr>
        <w:pStyle w:val="TableFigureFooter"/>
      </w:pPr>
      <w:r w:rsidRPr="00873941">
        <w:t>Source: Table 4</w:t>
      </w:r>
      <w:r w:rsidR="00235132" w:rsidRPr="00873941">
        <w:t>-</w:t>
      </w:r>
      <w:r w:rsidRPr="00873941">
        <w:t>7, p204, Table 4</w:t>
      </w:r>
      <w:r w:rsidR="00235132" w:rsidRPr="00873941">
        <w:t>-</w:t>
      </w:r>
      <w:r w:rsidRPr="00873941">
        <w:t>10, p206, Table 4</w:t>
      </w:r>
      <w:r w:rsidR="00235132" w:rsidRPr="00873941">
        <w:t>-</w:t>
      </w:r>
      <w:r w:rsidRPr="00873941">
        <w:t xml:space="preserve">15, p210 </w:t>
      </w:r>
      <w:r w:rsidR="00235132" w:rsidRPr="00873941">
        <w:t xml:space="preserve">and Table 4-18, p213 </w:t>
      </w:r>
      <w:r w:rsidRPr="00873941">
        <w:t>of the resubmission; Table 4.9, p139 of the March 2020 submission</w:t>
      </w:r>
      <w:r w:rsidR="000A76C8" w:rsidRPr="00873941">
        <w:t>; Table 1, pertuzumab, DUSC Advice, March 2020 PBAC meeting</w:t>
      </w:r>
      <w:r w:rsidRPr="00873941">
        <w:t xml:space="preserve">. </w:t>
      </w:r>
    </w:p>
    <w:p w14:paraId="38EE4902" w14:textId="77777777" w:rsidR="007D0CF5" w:rsidRPr="00873941" w:rsidRDefault="007D0CF5" w:rsidP="007D0CF5">
      <w:pPr>
        <w:pStyle w:val="TableFigureFooter"/>
      </w:pPr>
      <w:r w:rsidRPr="00873941">
        <w:t>PBS = Pharmaceutical Benefits Scheme, RPBS = Repatriation Pharmaceutical Benefits Scheme, MBS = Medicare Benefits Schedule.</w:t>
      </w:r>
    </w:p>
    <w:bookmarkEnd w:id="109"/>
    <w:p w14:paraId="28739936" w14:textId="799E4838" w:rsidR="007D0CF5" w:rsidRPr="00873941" w:rsidRDefault="007D0CF5" w:rsidP="007D0CF5">
      <w:pPr>
        <w:pStyle w:val="TableFigureFooter"/>
      </w:pPr>
      <w:proofErr w:type="spellStart"/>
      <w:r w:rsidRPr="00873941">
        <w:rPr>
          <w:vertAlign w:val="superscript"/>
        </w:rPr>
        <w:t>a</w:t>
      </w:r>
      <w:proofErr w:type="spellEnd"/>
      <w:r w:rsidRPr="00873941">
        <w:t xml:space="preserve"> </w:t>
      </w:r>
      <w:r w:rsidR="00115F23" w:rsidRPr="00873941">
        <w:t>I</w:t>
      </w:r>
      <w:r w:rsidRPr="00873941">
        <w:t>nitial pack size adjusted from 1 to 2 to reflect 2 vials provided with initial script (change made to cell K117 of sheet 3a. Scripts – proposed of the Section 4 workbook).</w:t>
      </w:r>
    </w:p>
    <w:p w14:paraId="75C96B08" w14:textId="77777777" w:rsidR="007D0CF5" w:rsidRPr="00873941" w:rsidRDefault="007D0CF5" w:rsidP="007D0CF5">
      <w:pPr>
        <w:pStyle w:val="TableFigureFooter"/>
      </w:pPr>
      <w:r w:rsidRPr="00873941">
        <w:rPr>
          <w:vertAlign w:val="superscript"/>
        </w:rPr>
        <w:t>b</w:t>
      </w:r>
      <w:r w:rsidRPr="00873941">
        <w:t xml:space="preserve"> Each patient is estimated to use 1 initial script and 3.45 continuing scripts (4.45 cycles of neoadjuvant treatment).</w:t>
      </w:r>
    </w:p>
    <w:p w14:paraId="4B1BF782" w14:textId="3559AA97" w:rsidR="007D0CF5" w:rsidRPr="00873941" w:rsidRDefault="007D0CF5" w:rsidP="007D0CF5">
      <w:pPr>
        <w:pStyle w:val="TableFigureFooter"/>
      </w:pPr>
      <w:r w:rsidRPr="00873941">
        <w:rPr>
          <w:vertAlign w:val="superscript"/>
        </w:rPr>
        <w:t>c</w:t>
      </w:r>
      <w:r w:rsidRPr="00873941">
        <w:t xml:space="preserve"> initial </w:t>
      </w:r>
      <w:r w:rsidR="00253517" w:rsidRPr="00873941">
        <w:t>D</w:t>
      </w:r>
      <w:r w:rsidR="00253517">
        <w:t>PM</w:t>
      </w:r>
      <w:r w:rsidR="00253517" w:rsidRPr="00873941">
        <w:t xml:space="preserve">As </w:t>
      </w:r>
      <w:r w:rsidRPr="00873941">
        <w:t>revised to $</w:t>
      </w:r>
      <w:r w:rsidR="00471EB9" w:rsidRPr="00471EB9">
        <w:rPr>
          <w:color w:val="000000"/>
          <w:spacing w:val="223"/>
          <w:shd w:val="solid" w:color="000000" w:fill="000000"/>
          <w:fitText w:val="300" w:id="-694407936"/>
          <w14:textFill>
            <w14:solidFill>
              <w14:srgbClr w14:val="000000">
                <w14:alpha w14:val="100000"/>
              </w14:srgbClr>
            </w14:solidFill>
          </w14:textFill>
        </w:rPr>
        <w:t>|</w:t>
      </w:r>
      <w:r w:rsidR="00471EB9" w:rsidRPr="00471EB9">
        <w:rPr>
          <w:color w:val="000000"/>
          <w:spacing w:val="1"/>
          <w:shd w:val="solid" w:color="000000" w:fill="000000"/>
          <w:fitText w:val="300" w:id="-694407936"/>
          <w14:textFill>
            <w14:solidFill>
              <w14:srgbClr w14:val="000000">
                <w14:alpha w14:val="100000"/>
              </w14:srgbClr>
            </w14:solidFill>
          </w14:textFill>
        </w:rPr>
        <w:t>|</w:t>
      </w:r>
      <w:r w:rsidRPr="00873941">
        <w:t xml:space="preserve"> (public) and $</w:t>
      </w:r>
      <w:r w:rsidR="00471EB9" w:rsidRPr="005F7B87">
        <w:rPr>
          <w:color w:val="000000"/>
          <w:spacing w:val="213"/>
          <w:shd w:val="solid" w:color="000000" w:fill="000000"/>
          <w:fitText w:val="290" w:id="-694407935"/>
          <w14:textFill>
            <w14:solidFill>
              <w14:srgbClr w14:val="000000">
                <w14:alpha w14:val="100000"/>
              </w14:srgbClr>
            </w14:solidFill>
          </w14:textFill>
        </w:rPr>
        <w:t>|</w:t>
      </w:r>
      <w:r w:rsidR="00471EB9" w:rsidRPr="005F7B87">
        <w:rPr>
          <w:color w:val="000000"/>
          <w:spacing w:val="1"/>
          <w:shd w:val="solid" w:color="000000" w:fill="000000"/>
          <w:fitText w:val="290" w:id="-694407935"/>
          <w14:textFill>
            <w14:solidFill>
              <w14:srgbClr w14:val="000000">
                <w14:alpha w14:val="100000"/>
              </w14:srgbClr>
            </w14:solidFill>
          </w14:textFill>
        </w:rPr>
        <w:t>|</w:t>
      </w:r>
      <w:r w:rsidRPr="00873941">
        <w:t xml:space="preserve"> (private) (change made to cells H274 and I274 of sheet 3c. Impact – proposed (eff).</w:t>
      </w:r>
    </w:p>
    <w:p w14:paraId="20FC4172" w14:textId="77777777" w:rsidR="000D035B" w:rsidRDefault="007D0CF5" w:rsidP="000D035B">
      <w:pPr>
        <w:pStyle w:val="TableFigureFooter"/>
      </w:pPr>
      <w:r w:rsidRPr="00873941">
        <w:rPr>
          <w:vertAlign w:val="superscript"/>
        </w:rPr>
        <w:t xml:space="preserve">d </w:t>
      </w:r>
      <w:r w:rsidR="00115F23" w:rsidRPr="00873941">
        <w:t>C</w:t>
      </w:r>
      <w:r w:rsidRPr="00873941">
        <w:t>o-payments adjusted to reflect 2024 values (changes made to cells I78:N78 of sheet 2e. Scripts – market).</w:t>
      </w:r>
      <w:r w:rsidR="000D035B" w:rsidRPr="000D035B">
        <w:t xml:space="preserve"> </w:t>
      </w:r>
    </w:p>
    <w:p w14:paraId="53F228D3" w14:textId="46E6D814" w:rsidR="000D035B" w:rsidRPr="0022338F" w:rsidRDefault="000D035B" w:rsidP="000D035B">
      <w:pPr>
        <w:pStyle w:val="TableFigureFooter"/>
        <w:rPr>
          <w:i/>
          <w:iCs/>
        </w:rPr>
      </w:pPr>
      <w:r w:rsidRPr="0022338F">
        <w:rPr>
          <w:i/>
          <w:iCs/>
        </w:rPr>
        <w:t xml:space="preserve">The redacted values correspond to the following ranges: </w:t>
      </w:r>
    </w:p>
    <w:p w14:paraId="710D35B1" w14:textId="77777777" w:rsidR="00675740" w:rsidRPr="0022338F" w:rsidRDefault="000D035B" w:rsidP="00675740">
      <w:pPr>
        <w:pStyle w:val="TableFigureFooter"/>
        <w:rPr>
          <w:i/>
          <w:iCs/>
        </w:rPr>
      </w:pPr>
      <w:r w:rsidRPr="0022338F">
        <w:rPr>
          <w:i/>
          <w:iCs/>
          <w:vertAlign w:val="superscript"/>
        </w:rPr>
        <w:t>1</w:t>
      </w:r>
      <w:r w:rsidRPr="0022338F">
        <w:rPr>
          <w:i/>
          <w:iCs/>
        </w:rPr>
        <w:t xml:space="preserve"> 500 to &lt; 5,000</w:t>
      </w:r>
    </w:p>
    <w:p w14:paraId="4231FEA5" w14:textId="44743DB8" w:rsidR="00675740" w:rsidRPr="0022338F" w:rsidRDefault="00675740" w:rsidP="00675740">
      <w:pPr>
        <w:pStyle w:val="TableFigureFooter"/>
        <w:rPr>
          <w:i/>
          <w:iCs/>
        </w:rPr>
      </w:pPr>
      <w:r w:rsidRPr="0022338F">
        <w:rPr>
          <w:i/>
          <w:iCs/>
          <w:vertAlign w:val="superscript"/>
        </w:rPr>
        <w:t>2</w:t>
      </w:r>
      <w:r w:rsidRPr="0022338F">
        <w:rPr>
          <w:i/>
          <w:iCs/>
        </w:rPr>
        <w:t xml:space="preserve"> 5,000 to &lt; 10,000</w:t>
      </w:r>
    </w:p>
    <w:p w14:paraId="02F18E75" w14:textId="77777777" w:rsidR="002B1B66" w:rsidRPr="0022338F" w:rsidRDefault="00675740" w:rsidP="002B1B66">
      <w:pPr>
        <w:pStyle w:val="TableFigureFooter"/>
        <w:rPr>
          <w:i/>
          <w:iCs/>
        </w:rPr>
      </w:pPr>
      <w:r w:rsidRPr="0022338F">
        <w:rPr>
          <w:i/>
          <w:iCs/>
          <w:vertAlign w:val="superscript"/>
        </w:rPr>
        <w:t xml:space="preserve">3 </w:t>
      </w:r>
      <w:r w:rsidRPr="0022338F">
        <w:rPr>
          <w:i/>
          <w:iCs/>
        </w:rPr>
        <w:t>10,000 to &lt; 20,000</w:t>
      </w:r>
      <w:r w:rsidR="002B1B66" w:rsidRPr="0022338F">
        <w:rPr>
          <w:i/>
          <w:iCs/>
        </w:rPr>
        <w:t xml:space="preserve"> </w:t>
      </w:r>
    </w:p>
    <w:p w14:paraId="46FDB969" w14:textId="77777777" w:rsidR="005F1173" w:rsidRPr="0022338F" w:rsidRDefault="0060102E" w:rsidP="005F1173">
      <w:pPr>
        <w:pStyle w:val="TableFigureFooter"/>
        <w:rPr>
          <w:i/>
          <w:iCs/>
        </w:rPr>
      </w:pPr>
      <w:r w:rsidRPr="0022338F">
        <w:rPr>
          <w:i/>
          <w:iCs/>
          <w:vertAlign w:val="superscript"/>
        </w:rPr>
        <w:t>4</w:t>
      </w:r>
      <w:r w:rsidRPr="0022338F">
        <w:rPr>
          <w:i/>
          <w:iCs/>
        </w:rPr>
        <w:t xml:space="preserve"> </w:t>
      </w:r>
      <w:r w:rsidR="002B1B66" w:rsidRPr="0022338F">
        <w:rPr>
          <w:i/>
          <w:iCs/>
        </w:rPr>
        <w:t>$20 million to &lt; $30 million</w:t>
      </w:r>
      <w:r w:rsidR="005F1173" w:rsidRPr="0022338F">
        <w:rPr>
          <w:i/>
          <w:iCs/>
        </w:rPr>
        <w:t xml:space="preserve"> </w:t>
      </w:r>
    </w:p>
    <w:p w14:paraId="0D22702D" w14:textId="4B5996DF" w:rsidR="005F1173" w:rsidRPr="0022338F" w:rsidRDefault="005F1173" w:rsidP="005F1173">
      <w:pPr>
        <w:pStyle w:val="TableFigureFooter"/>
        <w:rPr>
          <w:i/>
          <w:iCs/>
        </w:rPr>
      </w:pPr>
      <w:r w:rsidRPr="0022338F">
        <w:rPr>
          <w:i/>
          <w:iCs/>
          <w:vertAlign w:val="superscript"/>
        </w:rPr>
        <w:t>5</w:t>
      </w:r>
      <w:r w:rsidRPr="0022338F">
        <w:rPr>
          <w:i/>
          <w:iCs/>
        </w:rPr>
        <w:t xml:space="preserve"> net cost saving</w:t>
      </w:r>
    </w:p>
    <w:p w14:paraId="7D7759A9" w14:textId="77777777" w:rsidR="005A2A84" w:rsidRPr="0022338F" w:rsidRDefault="005F1173" w:rsidP="005F1173">
      <w:pPr>
        <w:pStyle w:val="TableFigureFooter"/>
        <w:rPr>
          <w:i/>
          <w:iCs/>
        </w:rPr>
      </w:pPr>
      <w:r w:rsidRPr="0022338F">
        <w:rPr>
          <w:i/>
          <w:iCs/>
          <w:vertAlign w:val="superscript"/>
        </w:rPr>
        <w:t>6</w:t>
      </w:r>
      <w:r w:rsidRPr="0022338F">
        <w:rPr>
          <w:i/>
          <w:iCs/>
        </w:rPr>
        <w:t xml:space="preserve"> $0 to &lt; $10 million</w:t>
      </w:r>
      <w:r w:rsidR="005A2A84" w:rsidRPr="0022338F">
        <w:rPr>
          <w:i/>
          <w:iCs/>
        </w:rPr>
        <w:t xml:space="preserve"> </w:t>
      </w:r>
    </w:p>
    <w:p w14:paraId="3079B68E" w14:textId="0E8E203C" w:rsidR="002B1B66" w:rsidRDefault="005A2A84" w:rsidP="005F1173">
      <w:pPr>
        <w:pStyle w:val="TableFigureFooter"/>
      </w:pPr>
      <w:r w:rsidRPr="005A2A84">
        <w:rPr>
          <w:vertAlign w:val="superscript"/>
        </w:rPr>
        <w:lastRenderedPageBreak/>
        <w:t>7</w:t>
      </w:r>
      <w:r>
        <w:t xml:space="preserve"> </w:t>
      </w:r>
      <w:r w:rsidRPr="005A2A84">
        <w:t>$10 million to &lt; $20 million</w:t>
      </w:r>
    </w:p>
    <w:p w14:paraId="3D84C64B" w14:textId="6DE2B733" w:rsidR="008A439E" w:rsidRPr="00873941" w:rsidRDefault="007D0CF5" w:rsidP="007D0CF5">
      <w:pPr>
        <w:pStyle w:val="3-BodyText"/>
      </w:pPr>
      <w:r w:rsidRPr="00873941">
        <w:t xml:space="preserve">The total cost to the PBS/RPBS of listing pertuzumab was estimated in the resubmission to be </w:t>
      </w:r>
      <w:r w:rsidR="0069180B" w:rsidRPr="0069180B">
        <w:t xml:space="preserve">$0 to &lt; $10 million </w:t>
      </w:r>
      <w:r w:rsidRPr="00873941">
        <w:t xml:space="preserve">in Year 1 and </w:t>
      </w:r>
      <w:r w:rsidR="00BA1A36" w:rsidRPr="00BA1A36">
        <w:t xml:space="preserve">$0 to &lt; $10 million </w:t>
      </w:r>
      <w:r w:rsidRPr="00873941">
        <w:t xml:space="preserve">in Year 6, and a total of </w:t>
      </w:r>
      <w:r w:rsidR="007C549D" w:rsidRPr="007C549D">
        <w:t>$50 million to &lt; $60 million</w:t>
      </w:r>
      <w:r w:rsidR="000F6169">
        <w:t xml:space="preserve"> </w:t>
      </w:r>
      <w:r w:rsidRPr="00873941">
        <w:t xml:space="preserve">in the first 6 years of listing. </w:t>
      </w:r>
      <w:r w:rsidR="00F9496B" w:rsidRPr="00873941">
        <w:t xml:space="preserve">The </w:t>
      </w:r>
      <w:r w:rsidR="003A47FC">
        <w:t>corrections</w:t>
      </w:r>
      <w:r w:rsidR="003A47FC" w:rsidRPr="00873941">
        <w:t xml:space="preserve"> </w:t>
      </w:r>
      <w:r w:rsidR="00F9496B" w:rsidRPr="00873941">
        <w:t>in the PSCR financial esti</w:t>
      </w:r>
      <w:r w:rsidR="00FA1730" w:rsidRPr="00873941">
        <w:t xml:space="preserve">mates resulted in an increase in the total cost to the PBS/RPBS of listing pertuzumab to </w:t>
      </w:r>
      <w:r w:rsidR="007C549D" w:rsidRPr="007C549D">
        <w:t>$10 million to &lt; $20 million</w:t>
      </w:r>
      <w:r w:rsidR="007C549D" w:rsidRPr="007C549D" w:rsidDel="007C549D">
        <w:t xml:space="preserve"> </w:t>
      </w:r>
      <w:r w:rsidR="00FA1730" w:rsidRPr="00873941">
        <w:t xml:space="preserve">in Year 1 and </w:t>
      </w:r>
      <w:r w:rsidR="00BA1A36" w:rsidRPr="00BA1A36">
        <w:t xml:space="preserve">$0 to &lt; $10 million </w:t>
      </w:r>
      <w:r w:rsidR="00FA1730" w:rsidRPr="00873941">
        <w:t xml:space="preserve">in Year 6, and a total of </w:t>
      </w:r>
      <w:r w:rsidR="00BB5618" w:rsidRPr="00BB5618">
        <w:t>$60 million to &lt; $70 million</w:t>
      </w:r>
      <w:r w:rsidR="000F6169">
        <w:t xml:space="preserve"> </w:t>
      </w:r>
      <w:r w:rsidR="00FA1730" w:rsidRPr="00873941">
        <w:t>in the first 6 years of listing</w:t>
      </w:r>
      <w:r w:rsidR="00752FFB" w:rsidRPr="00873941">
        <w:t xml:space="preserve">. </w:t>
      </w:r>
    </w:p>
    <w:p w14:paraId="29E27628" w14:textId="02DFA221" w:rsidR="007E6EAD" w:rsidRPr="00873941" w:rsidRDefault="007E6EAD" w:rsidP="007D0CF5">
      <w:pPr>
        <w:pStyle w:val="3-BodyText"/>
      </w:pPr>
      <w:bookmarkStart w:id="110" w:name="_Hlk185243353"/>
      <w:r w:rsidRPr="00873941">
        <w:t xml:space="preserve">Compared to the previous submission, the cost </w:t>
      </w:r>
      <w:r w:rsidR="004B3923" w:rsidRPr="00873941">
        <w:t xml:space="preserve">for </w:t>
      </w:r>
      <w:r w:rsidRPr="00873941">
        <w:t xml:space="preserve">pertuzumab was higher </w:t>
      </w:r>
      <w:r w:rsidR="00BA6D09" w:rsidRPr="00BA6D09">
        <w:t>$100 million to &lt; $200 million</w:t>
      </w:r>
      <w:r w:rsidR="000F6169">
        <w:t xml:space="preserve"> </w:t>
      </w:r>
      <w:r w:rsidRPr="00873941">
        <w:t xml:space="preserve">over 6 years in this resubmission vs </w:t>
      </w:r>
      <w:r w:rsidR="00803072" w:rsidRPr="00803072">
        <w:t>$100 million to &lt; $200 million</w:t>
      </w:r>
      <w:r w:rsidR="000F6169">
        <w:t xml:space="preserve"> </w:t>
      </w:r>
      <w:r w:rsidRPr="00873941">
        <w:t>over 6 years in the previous resubmission</w:t>
      </w:r>
      <w:r w:rsidR="002E760E" w:rsidRPr="00873941">
        <w:t xml:space="preserve"> (Table 1, DUSC report for March 2020 PBAC meeting</w:t>
      </w:r>
      <w:r w:rsidRPr="00873941">
        <w:t xml:space="preserve">) but the overall </w:t>
      </w:r>
      <w:r w:rsidR="00B85273" w:rsidRPr="00873941">
        <w:t xml:space="preserve">net </w:t>
      </w:r>
      <w:r w:rsidRPr="00873941">
        <w:t>cost was lower (</w:t>
      </w:r>
      <w:r w:rsidR="003F5A08" w:rsidRPr="00873941">
        <w:t>$</w:t>
      </w:r>
      <w:r w:rsidR="00803072" w:rsidRPr="00803072">
        <w:t>$50 million to &lt; $60 million</w:t>
      </w:r>
      <w:r w:rsidRPr="00873941">
        <w:t xml:space="preserve"> vs. </w:t>
      </w:r>
      <w:r w:rsidR="00CA7648" w:rsidRPr="00CA7648">
        <w:t>$70 million to &lt; $80 million</w:t>
      </w:r>
      <w:r w:rsidRPr="00873941">
        <w:t xml:space="preserve">) due to the inclusion of cost offsets for adjuvant and metastatic treatment </w:t>
      </w:r>
      <w:r w:rsidR="00B64E7B" w:rsidRPr="00B64E7B">
        <w:t>$80 million to &lt; $90 million</w:t>
      </w:r>
      <w:r w:rsidR="000F6169">
        <w:t xml:space="preserve"> </w:t>
      </w:r>
      <w:r w:rsidRPr="00873941">
        <w:t xml:space="preserve">over 6 years in this resubmission vs </w:t>
      </w:r>
      <w:r w:rsidR="00CA7648" w:rsidRPr="00CA7648">
        <w:t xml:space="preserve">$20 million to &lt; $30 million </w:t>
      </w:r>
      <w:r w:rsidRPr="00873941">
        <w:t>over 6 years in the previous resubmission).</w:t>
      </w:r>
      <w:r w:rsidR="00805293" w:rsidRPr="00873941">
        <w:t xml:space="preserve"> </w:t>
      </w:r>
    </w:p>
    <w:p w14:paraId="1AD66FC7" w14:textId="77777777" w:rsidR="00010932" w:rsidRDefault="007D0CF5" w:rsidP="007D0CF5">
      <w:pPr>
        <w:pStyle w:val="3-BodyText"/>
      </w:pPr>
      <w:bookmarkStart w:id="111" w:name="_Hlk183764762"/>
      <w:bookmarkEnd w:id="110"/>
      <w:r w:rsidRPr="00873941">
        <w:t xml:space="preserve">The net cost to the PBS/RPBS was moderately sensitive to the proportion of patients receiving neoadjuvant treatment, the uptake of pertuzumab and the number of vials of pertuzumab per patient per year. It was </w:t>
      </w:r>
      <w:r w:rsidR="00C32977" w:rsidRPr="00873941">
        <w:t xml:space="preserve">also </w:t>
      </w:r>
      <w:r w:rsidRPr="00873941">
        <w:t>sensitive to the response rates.</w:t>
      </w:r>
      <w:r w:rsidR="00EF1DA9" w:rsidRPr="00873941">
        <w:t xml:space="preserve"> Use of the I-SPY2 response rates </w:t>
      </w:r>
      <w:r w:rsidR="00805293" w:rsidRPr="00873941">
        <w:t xml:space="preserve">(55.6% for </w:t>
      </w:r>
      <w:proofErr w:type="spellStart"/>
      <w:r w:rsidR="00805293" w:rsidRPr="00873941">
        <w:t>P+T+Chemo</w:t>
      </w:r>
      <w:proofErr w:type="spellEnd"/>
      <w:r w:rsidR="00805293" w:rsidRPr="00873941">
        <w:t xml:space="preserve"> and 25.8% for </w:t>
      </w:r>
      <w:proofErr w:type="spellStart"/>
      <w:r w:rsidR="00805293" w:rsidRPr="00873941">
        <w:t>T+Chemo</w:t>
      </w:r>
      <w:proofErr w:type="spellEnd"/>
      <w:r w:rsidR="00805293" w:rsidRPr="00873941">
        <w:t xml:space="preserve">, Clark (2021)) resulted in a higher incremental difference in response rate and additional cost offsets from adjuvant T-DM1. </w:t>
      </w:r>
    </w:p>
    <w:p w14:paraId="66203E2A" w14:textId="1DAD89BD" w:rsidR="007D0CF5" w:rsidRPr="00A0454D" w:rsidRDefault="00E4671A" w:rsidP="007D0CF5">
      <w:pPr>
        <w:pStyle w:val="3-BodyText"/>
      </w:pPr>
      <w:bookmarkStart w:id="112" w:name="_Ref193798466"/>
      <w:r w:rsidRPr="00A0454D">
        <w:t xml:space="preserve">The ESC noted that the number of treatment cycles of pertuzumab </w:t>
      </w:r>
      <w:r w:rsidR="00E212C0" w:rsidRPr="00A0454D">
        <w:t>likely to be used</w:t>
      </w:r>
      <w:r w:rsidRPr="00A0454D">
        <w:t xml:space="preserve"> in </w:t>
      </w:r>
      <w:r w:rsidR="00691BAE" w:rsidRPr="00A0454D">
        <w:t>clinical practice was uncertain (see also paragraph</w:t>
      </w:r>
      <w:r w:rsidR="009413F0" w:rsidRPr="00A0454D">
        <w:t>s</w:t>
      </w:r>
      <w:r w:rsidR="00691BAE" w:rsidRPr="00A0454D">
        <w:t xml:space="preserve"> </w:t>
      </w:r>
      <w:r w:rsidR="00EF61F7" w:rsidRPr="00A0454D">
        <w:fldChar w:fldCharType="begin"/>
      </w:r>
      <w:r w:rsidR="00EF61F7" w:rsidRPr="00A0454D">
        <w:instrText xml:space="preserve"> REF _Ref190269466 \r \h </w:instrText>
      </w:r>
      <w:r w:rsidR="009413F0" w:rsidRPr="00A0454D">
        <w:instrText xml:space="preserve"> \* MERGEFORMAT </w:instrText>
      </w:r>
      <w:r w:rsidR="00EF61F7" w:rsidRPr="00A0454D">
        <w:fldChar w:fldCharType="separate"/>
      </w:r>
      <w:r w:rsidR="000B094B">
        <w:t>6.64</w:t>
      </w:r>
      <w:r w:rsidR="00EF61F7" w:rsidRPr="00A0454D">
        <w:fldChar w:fldCharType="end"/>
      </w:r>
      <w:r w:rsidR="009413F0" w:rsidRPr="00A0454D">
        <w:t xml:space="preserve"> and </w:t>
      </w:r>
      <w:r w:rsidR="009413F0" w:rsidRPr="00A0454D">
        <w:fldChar w:fldCharType="begin"/>
      </w:r>
      <w:r w:rsidR="009413F0" w:rsidRPr="00A0454D">
        <w:instrText xml:space="preserve"> REF _Ref190263767 \r \h  \* MERGEFORMAT </w:instrText>
      </w:r>
      <w:r w:rsidR="009413F0" w:rsidRPr="00A0454D">
        <w:fldChar w:fldCharType="separate"/>
      </w:r>
      <w:r w:rsidR="000B094B">
        <w:t>6.82</w:t>
      </w:r>
      <w:r w:rsidR="009413F0" w:rsidRPr="00A0454D">
        <w:fldChar w:fldCharType="end"/>
      </w:r>
      <w:r w:rsidR="009413F0" w:rsidRPr="00A0454D">
        <w:t xml:space="preserve">). </w:t>
      </w:r>
      <w:r w:rsidR="00134706">
        <w:t xml:space="preserve">The PBAC noted that additional data from </w:t>
      </w:r>
      <w:r w:rsidR="00134706" w:rsidRPr="00DE2B1E">
        <w:t xml:space="preserve">the patient access program </w:t>
      </w:r>
      <w:r w:rsidR="00E75C84" w:rsidRPr="00DE2B1E">
        <w:t xml:space="preserve">provided with the pre-PBAC response, </w:t>
      </w:r>
      <w:r w:rsidR="00134706" w:rsidRPr="00DE2B1E">
        <w:t xml:space="preserve">indicated that </w:t>
      </w:r>
      <w:r w:rsidR="00E75C84" w:rsidRPr="00DE2B1E">
        <w:t xml:space="preserve">on average, patients received </w:t>
      </w:r>
      <w:r w:rsidR="00471EB9" w:rsidRPr="00471EB9">
        <w:rPr>
          <w:color w:val="000000"/>
          <w:w w:val="60"/>
          <w:shd w:val="solid" w:color="000000" w:fill="000000"/>
          <w:fitText w:val="470" w:id="-694407934"/>
          <w14:textFill>
            <w14:solidFill>
              <w14:srgbClr w14:val="000000">
                <w14:alpha w14:val="100000"/>
              </w14:srgbClr>
            </w14:solidFill>
          </w14:textFill>
        </w:rPr>
        <w:t>|||  ||</w:t>
      </w:r>
      <w:r w:rsidR="00471EB9" w:rsidRPr="00471EB9">
        <w:rPr>
          <w:color w:val="000000"/>
          <w:spacing w:val="6"/>
          <w:w w:val="60"/>
          <w:shd w:val="solid" w:color="000000" w:fill="000000"/>
          <w:fitText w:val="470" w:id="-694407934"/>
          <w14:textFill>
            <w14:solidFill>
              <w14:srgbClr w14:val="000000">
                <w14:alpha w14:val="100000"/>
              </w14:srgbClr>
            </w14:solidFill>
          </w14:textFill>
        </w:rPr>
        <w:t>|</w:t>
      </w:r>
      <w:r w:rsidR="00E75C84" w:rsidRPr="00DE2B1E">
        <w:t xml:space="preserve"> cycles of pertuzumab in the neoadjuvant setting. The pre-PBAC </w:t>
      </w:r>
      <w:r w:rsidR="006A3A8C" w:rsidRPr="00DE2B1E">
        <w:t>noted that t</w:t>
      </w:r>
      <w:r w:rsidR="006A3A8C" w:rsidRPr="00DE2B1E" w:rsidDel="00950728">
        <w:t xml:space="preserve">hese data </w:t>
      </w:r>
      <w:r w:rsidR="006A3A8C" w:rsidRPr="00DE2B1E">
        <w:t xml:space="preserve">will </w:t>
      </w:r>
      <w:r w:rsidR="006A3A8C" w:rsidRPr="00DE2B1E" w:rsidDel="00F94232">
        <w:t xml:space="preserve">overestimate the average </w:t>
      </w:r>
      <w:r w:rsidR="006A3A8C" w:rsidRPr="00DE2B1E">
        <w:t xml:space="preserve">number of cycles </w:t>
      </w:r>
      <w:r w:rsidR="006A3A8C" w:rsidRPr="00DE2B1E" w:rsidDel="00F94232">
        <w:t xml:space="preserve">in clinical practice because they exclude any patients who discontinued treatment after </w:t>
      </w:r>
      <w:r w:rsidR="004267D9" w:rsidRPr="00DE2B1E">
        <w:t>only one</w:t>
      </w:r>
      <w:r w:rsidR="006A3A8C" w:rsidRPr="00DE2B1E" w:rsidDel="00F94232">
        <w:t xml:space="preserve"> cycle. </w:t>
      </w:r>
      <w:r w:rsidR="006A3A8C" w:rsidRPr="00DE2B1E">
        <w:t xml:space="preserve">In addition, </w:t>
      </w:r>
      <w:r w:rsidR="006A3A8C" w:rsidRPr="00DE2B1E" w:rsidDel="00F94232">
        <w:t>patient</w:t>
      </w:r>
      <w:r w:rsidR="006A3A8C" w:rsidRPr="00DE2B1E">
        <w:t>s</w:t>
      </w:r>
      <w:r w:rsidR="006A3A8C" w:rsidRPr="00DE2B1E" w:rsidDel="00F94232">
        <w:t xml:space="preserve"> were required to pay out of pocket for the first cycle and therefore may have been more motivated to complete their course than what might be expected in the general PBS population</w:t>
      </w:r>
      <w:r w:rsidR="006A3A8C" w:rsidRPr="00DE2B1E">
        <w:t>. The PBAC considered that the impact of these factors on the mean duration is</w:t>
      </w:r>
      <w:r w:rsidR="0091339F" w:rsidRPr="00DE2B1E">
        <w:t xml:space="preserve"> unknown but</w:t>
      </w:r>
      <w:r w:rsidR="006A3A8C" w:rsidRPr="00DE2B1E">
        <w:t xml:space="preserve"> likely to be minimal, and considered that </w:t>
      </w:r>
      <w:r w:rsidR="00471EB9" w:rsidRPr="00471EB9">
        <w:rPr>
          <w:color w:val="000000"/>
          <w:w w:val="60"/>
          <w:shd w:val="solid" w:color="000000" w:fill="000000"/>
          <w:fitText w:val="470" w:id="-694407933"/>
          <w14:textFill>
            <w14:solidFill>
              <w14:srgbClr w14:val="000000">
                <w14:alpha w14:val="100000"/>
              </w14:srgbClr>
            </w14:solidFill>
          </w14:textFill>
        </w:rPr>
        <w:t>|||  ||</w:t>
      </w:r>
      <w:r w:rsidR="00471EB9" w:rsidRPr="00471EB9">
        <w:rPr>
          <w:color w:val="000000"/>
          <w:spacing w:val="6"/>
          <w:w w:val="60"/>
          <w:shd w:val="solid" w:color="000000" w:fill="000000"/>
          <w:fitText w:val="470" w:id="-694407933"/>
          <w14:textFill>
            <w14:solidFill>
              <w14:srgbClr w14:val="000000">
                <w14:alpha w14:val="100000"/>
              </w14:srgbClr>
            </w14:solidFill>
          </w14:textFill>
        </w:rPr>
        <w:t>|</w:t>
      </w:r>
      <w:r w:rsidR="00CD0A1A" w:rsidRPr="00DE2B1E">
        <w:t xml:space="preserve"> cycles is </w:t>
      </w:r>
      <w:r w:rsidR="00442C7B" w:rsidRPr="00DE2B1E">
        <w:t>a reasonable estimate</w:t>
      </w:r>
      <w:r w:rsidR="00CD0A1A" w:rsidRPr="00DE2B1E">
        <w:t xml:space="preserve"> of </w:t>
      </w:r>
      <w:r w:rsidR="00AB6552" w:rsidRPr="00DE2B1E">
        <w:t xml:space="preserve">the number of </w:t>
      </w:r>
      <w:r w:rsidR="00CD0A1A" w:rsidRPr="00DE2B1E">
        <w:t>neoadjuvant</w:t>
      </w:r>
      <w:r w:rsidR="008219A6" w:rsidRPr="00DE2B1E">
        <w:t xml:space="preserve"> treatment </w:t>
      </w:r>
      <w:r w:rsidR="00AB6552" w:rsidRPr="00DE2B1E">
        <w:t>cycles</w:t>
      </w:r>
      <w:r w:rsidR="008219A6" w:rsidRPr="00DE2B1E">
        <w:t xml:space="preserve"> in</w:t>
      </w:r>
      <w:r w:rsidR="00CD0A1A" w:rsidRPr="00DE2B1E">
        <w:t xml:space="preserve"> clinical practice.</w:t>
      </w:r>
      <w:r w:rsidR="00E75C84" w:rsidRPr="00DE2B1E">
        <w:t xml:space="preserve"> </w:t>
      </w:r>
      <w:r w:rsidR="00AD09C1" w:rsidRPr="00DE2B1E">
        <w:t>Increasing th</w:t>
      </w:r>
      <w:r w:rsidR="00D95961" w:rsidRPr="00DE2B1E">
        <w:t xml:space="preserve">e </w:t>
      </w:r>
      <w:r w:rsidR="00F67EAB" w:rsidRPr="00DE2B1E">
        <w:t xml:space="preserve">duration of treatment to </w:t>
      </w:r>
      <w:r w:rsidR="00471EB9" w:rsidRPr="005F7B87">
        <w:rPr>
          <w:color w:val="000000"/>
          <w:w w:val="60"/>
          <w:shd w:val="solid" w:color="000000" w:fill="000000"/>
          <w:fitText w:val="470" w:id="-694407932"/>
          <w14:textFill>
            <w14:solidFill>
              <w14:srgbClr w14:val="000000">
                <w14:alpha w14:val="100000"/>
              </w14:srgbClr>
            </w14:solidFill>
          </w14:textFill>
        </w:rPr>
        <w:t>|||  ||</w:t>
      </w:r>
      <w:r w:rsidR="00471EB9" w:rsidRPr="005F7B87">
        <w:rPr>
          <w:color w:val="000000"/>
          <w:spacing w:val="6"/>
          <w:w w:val="60"/>
          <w:shd w:val="solid" w:color="000000" w:fill="000000"/>
          <w:fitText w:val="470" w:id="-694407932"/>
          <w14:textFill>
            <w14:solidFill>
              <w14:srgbClr w14:val="000000">
                <w14:alpha w14:val="100000"/>
              </w14:srgbClr>
            </w14:solidFill>
          </w14:textFill>
        </w:rPr>
        <w:t>|</w:t>
      </w:r>
      <w:r w:rsidR="00F67EAB" w:rsidRPr="00DE2B1E">
        <w:t xml:space="preserve"> cycles </w:t>
      </w:r>
      <w:r w:rsidR="003B27D7" w:rsidRPr="00DE2B1E">
        <w:t>increased the net cost</w:t>
      </w:r>
      <w:r w:rsidR="00426997" w:rsidRPr="00DE2B1E">
        <w:t xml:space="preserve"> to</w:t>
      </w:r>
      <w:r w:rsidR="00B30EC3" w:rsidRPr="00DE2B1E">
        <w:t xml:space="preserve"> the</w:t>
      </w:r>
      <w:r w:rsidR="00B30EC3">
        <w:t xml:space="preserve"> PBS/RPBS</w:t>
      </w:r>
      <w:r w:rsidR="00426997">
        <w:t xml:space="preserve"> </w:t>
      </w:r>
      <w:r w:rsidR="00537A02" w:rsidRPr="00537A02">
        <w:t>$80 million to &lt; $90 million</w:t>
      </w:r>
      <w:r w:rsidR="00CC30FF">
        <w:t xml:space="preserve"> </w:t>
      </w:r>
      <w:r w:rsidR="004D1AA2">
        <w:t>over</w:t>
      </w:r>
      <w:r w:rsidR="003127FD">
        <w:t xml:space="preserve"> the first 6 years of listing</w:t>
      </w:r>
      <w:r w:rsidR="005D3116">
        <w:t>.</w:t>
      </w:r>
      <w:bookmarkEnd w:id="112"/>
      <w:r w:rsidR="00FA3CE6">
        <w:t xml:space="preserve"> </w:t>
      </w:r>
    </w:p>
    <w:bookmarkEnd w:id="111"/>
    <w:p w14:paraId="16FB305D" w14:textId="7A309539" w:rsidR="000662FD" w:rsidRPr="00DE2B1E" w:rsidRDefault="007D0CF5" w:rsidP="007D0CF5">
      <w:pPr>
        <w:pStyle w:val="3-BodyText"/>
      </w:pPr>
      <w:r w:rsidRPr="00A0454D">
        <w:t>Th</w:t>
      </w:r>
      <w:r w:rsidR="00AC6D0E" w:rsidRPr="00A0454D">
        <w:t>e evaluation noted</w:t>
      </w:r>
      <w:r w:rsidR="00AC6D0E" w:rsidRPr="00873941">
        <w:rPr>
          <w:i/>
          <w:iCs/>
        </w:rPr>
        <w:t xml:space="preserve"> </w:t>
      </w:r>
      <w:r w:rsidR="00AC6D0E" w:rsidRPr="00873941">
        <w:t>th</w:t>
      </w:r>
      <w:r w:rsidRPr="00873941">
        <w:t xml:space="preserve">ere is the potential for usage outside the proposed PBS restriction for pertuzumab </w:t>
      </w:r>
      <w:r w:rsidR="00E62FFC" w:rsidRPr="00873941">
        <w:t xml:space="preserve">in patients with low risk </w:t>
      </w:r>
      <w:proofErr w:type="spellStart"/>
      <w:r w:rsidR="00E62FFC" w:rsidRPr="00873941">
        <w:t>eBC</w:t>
      </w:r>
      <w:proofErr w:type="spellEnd"/>
      <w:r w:rsidR="00000A5B" w:rsidRPr="00873941">
        <w:t xml:space="preserve"> and as adjuvant treatment for </w:t>
      </w:r>
      <w:proofErr w:type="spellStart"/>
      <w:r w:rsidR="00000A5B" w:rsidRPr="00873941">
        <w:t>eBC</w:t>
      </w:r>
      <w:proofErr w:type="spellEnd"/>
      <w:r w:rsidR="00000A5B" w:rsidRPr="00873941">
        <w:t>.</w:t>
      </w:r>
      <w:r w:rsidR="00E62FFC" w:rsidRPr="00873941">
        <w:t xml:space="preserve"> </w:t>
      </w:r>
      <w:r w:rsidR="00AA684F" w:rsidRPr="00A0454D">
        <w:t>H</w:t>
      </w:r>
      <w:r w:rsidR="00AC6D0E" w:rsidRPr="00A0454D">
        <w:t>owever</w:t>
      </w:r>
      <w:r w:rsidR="00AA684F" w:rsidRPr="00A0454D">
        <w:t>,</w:t>
      </w:r>
      <w:r w:rsidR="00AC6D0E" w:rsidRPr="00A0454D">
        <w:t xml:space="preserve"> the ESC noted that</w:t>
      </w:r>
      <w:r w:rsidR="007433A8" w:rsidRPr="00A0454D">
        <w:t xml:space="preserve"> treatment</w:t>
      </w:r>
      <w:r w:rsidR="00AC6D0E" w:rsidRPr="00A0454D">
        <w:t xml:space="preserve"> </w:t>
      </w:r>
      <w:r w:rsidR="007433A8" w:rsidRPr="00A0454D">
        <w:t xml:space="preserve">guidelines specify use in patients with high risk </w:t>
      </w:r>
      <w:proofErr w:type="spellStart"/>
      <w:r w:rsidR="007433A8" w:rsidRPr="00A0454D">
        <w:t>eBC</w:t>
      </w:r>
      <w:proofErr w:type="spellEnd"/>
      <w:r w:rsidR="007433A8" w:rsidRPr="00A0454D">
        <w:t xml:space="preserve"> and considered that use in the low risk population</w:t>
      </w:r>
      <w:r w:rsidR="00742F26" w:rsidRPr="00A0454D">
        <w:t xml:space="preserve"> would be contrary to both guidelines and the PBS listing (as proposed)</w:t>
      </w:r>
      <w:r w:rsidR="00AF2A27" w:rsidRPr="00A0454D">
        <w:t xml:space="preserve">. </w:t>
      </w:r>
      <w:r w:rsidR="002324E6" w:rsidRPr="00A0454D">
        <w:t>The PSCR also noted that clinician feedback suggest</w:t>
      </w:r>
      <w:r w:rsidR="004B2C89" w:rsidRPr="00A0454D">
        <w:t>s</w:t>
      </w:r>
      <w:r w:rsidR="002324E6" w:rsidRPr="00A0454D">
        <w:t xml:space="preserve"> </w:t>
      </w:r>
      <w:r w:rsidR="004B2C89" w:rsidRPr="00A0454D">
        <w:t>a</w:t>
      </w:r>
      <w:r w:rsidR="002324E6" w:rsidRPr="00A0454D">
        <w:t xml:space="preserve"> preference for low</w:t>
      </w:r>
      <w:r w:rsidR="0004129A" w:rsidRPr="00A0454D">
        <w:t xml:space="preserve"> </w:t>
      </w:r>
      <w:r w:rsidR="002324E6" w:rsidRPr="00A0454D">
        <w:t xml:space="preserve">risk </w:t>
      </w:r>
      <w:proofErr w:type="spellStart"/>
      <w:r w:rsidR="002324E6" w:rsidRPr="00A0454D">
        <w:t>eBC</w:t>
      </w:r>
      <w:proofErr w:type="spellEnd"/>
      <w:r w:rsidR="002324E6" w:rsidRPr="00A0454D">
        <w:t xml:space="preserve"> patients (i.e. node-negative and cancer of less than 2cm) </w:t>
      </w:r>
      <w:r w:rsidR="004B2C89" w:rsidRPr="00A0454D">
        <w:t>to receive</w:t>
      </w:r>
      <w:r w:rsidR="002324E6" w:rsidRPr="00A0454D">
        <w:t xml:space="preserve"> surgical treatment, and </w:t>
      </w:r>
      <w:r w:rsidR="00267B08" w:rsidRPr="00A0454D">
        <w:t>noted</w:t>
      </w:r>
      <w:r w:rsidR="002324E6" w:rsidRPr="00A0454D">
        <w:t xml:space="preserve"> the primary goals of neoadjuvant treatment, such as tumour or nodal downstaging, are not as relevant in </w:t>
      </w:r>
      <w:r w:rsidR="002324E6" w:rsidRPr="00A0454D">
        <w:lastRenderedPageBreak/>
        <w:t>low</w:t>
      </w:r>
      <w:r w:rsidR="002324E6" w:rsidRPr="00A0454D">
        <w:noBreakHyphen/>
        <w:t xml:space="preserve">risk </w:t>
      </w:r>
      <w:proofErr w:type="spellStart"/>
      <w:r w:rsidR="002324E6" w:rsidRPr="00A0454D">
        <w:t>eBC</w:t>
      </w:r>
      <w:proofErr w:type="spellEnd"/>
      <w:r w:rsidR="002324E6" w:rsidRPr="00A0454D">
        <w:t xml:space="preserve"> patients.</w:t>
      </w:r>
      <w:r w:rsidR="002324E6" w:rsidRPr="00873941">
        <w:t xml:space="preserve"> </w:t>
      </w:r>
      <w:r w:rsidR="00000A5B" w:rsidRPr="00873941">
        <w:t>Additionally,</w:t>
      </w:r>
      <w:r w:rsidR="00742F26" w:rsidRPr="00873941">
        <w:t xml:space="preserve"> </w:t>
      </w:r>
      <w:r w:rsidR="00742F26" w:rsidRPr="00A0454D">
        <w:t>the commentary noted that</w:t>
      </w:r>
      <w:r w:rsidR="00000A5B" w:rsidRPr="00873941">
        <w:t xml:space="preserve"> the TGA PI recommends “Patients who start Perjeta and trastuzumab in the neoadjuvant setting, should continue to receive adjuvant Perjeta and trastuzumab to complete one year of treatment (maximum 18 cycles)”. </w:t>
      </w:r>
      <w:r w:rsidR="00B3507C" w:rsidRPr="00A0454D">
        <w:t>The PSCR stated that the continued use of pertuzumab in the adjuvant setting was unlikely, as reflected in the sponsor’s pertuzumab Adjuvant Patient Access Program, which has 20 patients, compared to the widespread utilisation of pertuzumab in the Neoadjuvant Patient Access Program</w:t>
      </w:r>
      <w:r w:rsidR="00097C95" w:rsidRPr="00A0454D">
        <w:t xml:space="preserve">. </w:t>
      </w:r>
      <w:r w:rsidR="009539BD">
        <w:t xml:space="preserve">The </w:t>
      </w:r>
      <w:r w:rsidR="00116917">
        <w:t xml:space="preserve">access program data for </w:t>
      </w:r>
      <w:r w:rsidR="00116917" w:rsidRPr="001C5C5A" w:rsidDel="00F94232">
        <w:t xml:space="preserve">patients </w:t>
      </w:r>
      <w:r w:rsidR="00116917" w:rsidRPr="001C5C5A" w:rsidDel="006B082C">
        <w:t>treated with pertuzumab</w:t>
      </w:r>
      <w:r w:rsidR="00116917" w:rsidRPr="001C5C5A" w:rsidDel="00F94232">
        <w:t xml:space="preserve"> over the period </w:t>
      </w:r>
      <w:r w:rsidR="00116917" w:rsidRPr="00DE2B1E" w:rsidDel="00F94232">
        <w:t>June 2019 to June 2024</w:t>
      </w:r>
      <w:r w:rsidR="00116917" w:rsidRPr="00DE2B1E">
        <w:t xml:space="preserve">, </w:t>
      </w:r>
      <w:r w:rsidR="009539BD" w:rsidRPr="00DE2B1E">
        <w:t>provided in the pre-PBAC response</w:t>
      </w:r>
      <w:r w:rsidR="00E26C9F" w:rsidRPr="00DE2B1E">
        <w:t>,</w:t>
      </w:r>
      <w:r w:rsidR="009539BD" w:rsidRPr="00DE2B1E">
        <w:t xml:space="preserve"> indicated that around 1% of patients </w:t>
      </w:r>
      <w:r w:rsidR="00397611" w:rsidRPr="00DE2B1E">
        <w:t>(27/2</w:t>
      </w:r>
      <w:r w:rsidR="00185A81" w:rsidRPr="00DE2B1E">
        <w:t>,</w:t>
      </w:r>
      <w:r w:rsidR="00397611" w:rsidRPr="00DE2B1E">
        <w:t xml:space="preserve">670) </w:t>
      </w:r>
      <w:r w:rsidR="009539BD" w:rsidRPr="00DE2B1E">
        <w:t xml:space="preserve">continued to receive </w:t>
      </w:r>
      <w:r w:rsidR="00E65CE7" w:rsidRPr="00DE2B1E">
        <w:t>adjuvant pertuzumab following neoadjuvant pertuzumab</w:t>
      </w:r>
      <w:r w:rsidR="007C3375" w:rsidRPr="00DE2B1E">
        <w:t xml:space="preserve">. </w:t>
      </w:r>
    </w:p>
    <w:p w14:paraId="7DFDB38F" w14:textId="7C592935" w:rsidR="007D0CF5" w:rsidRDefault="007C3375" w:rsidP="007D0CF5">
      <w:pPr>
        <w:pStyle w:val="3-BodyText"/>
      </w:pPr>
      <w:r w:rsidRPr="00DE2B1E">
        <w:t>The PBAC noted that</w:t>
      </w:r>
      <w:r w:rsidR="00834D11" w:rsidRPr="00DE2B1E">
        <w:t xml:space="preserve"> </w:t>
      </w:r>
      <w:r w:rsidR="00834D11" w:rsidRPr="00DE2B1E" w:rsidDel="00F94232">
        <w:t>over the period June 2019 to June 2024</w:t>
      </w:r>
      <w:r w:rsidR="00834D11" w:rsidRPr="00DE2B1E">
        <w:t>,</w:t>
      </w:r>
      <w:r w:rsidRPr="00DE2B1E">
        <w:t xml:space="preserve"> </w:t>
      </w:r>
      <w:r w:rsidR="00834D11" w:rsidRPr="00DE2B1E">
        <w:t>77</w:t>
      </w:r>
      <w:r w:rsidR="00397611" w:rsidRPr="00DE2B1E">
        <w:t xml:space="preserve"> patients received</w:t>
      </w:r>
      <w:r w:rsidR="00397611">
        <w:t xml:space="preserve"> adjuvant pertuzumab </w:t>
      </w:r>
      <w:r w:rsidR="000662FD">
        <w:t>through the access program in the adjuvant setting only (</w:t>
      </w:r>
      <w:r w:rsidR="00397611">
        <w:t xml:space="preserve">without </w:t>
      </w:r>
      <w:r w:rsidR="000662FD">
        <w:t xml:space="preserve">prior neoadjuvant pertuzumab). </w:t>
      </w:r>
      <w:r w:rsidR="00E21A23">
        <w:t xml:space="preserve">The </w:t>
      </w:r>
      <w:r w:rsidR="00004D2D">
        <w:t xml:space="preserve">mean </w:t>
      </w:r>
      <w:r w:rsidR="00E21A23">
        <w:t xml:space="preserve">duration of treatment for these patients </w:t>
      </w:r>
      <w:r w:rsidR="005F2501">
        <w:t xml:space="preserve">was 13.0 cycles </w:t>
      </w:r>
      <w:r w:rsidR="00004D2D">
        <w:t>when capped at a maximum duration of 1</w:t>
      </w:r>
      <w:r w:rsidR="009D67AD">
        <w:t>8</w:t>
      </w:r>
      <w:r w:rsidR="00004D2D">
        <w:t xml:space="preserve"> cycles</w:t>
      </w:r>
      <w:r w:rsidR="00B45042">
        <w:t xml:space="preserve"> (12 months treatment)</w:t>
      </w:r>
      <w:r w:rsidR="00004D2D">
        <w:t xml:space="preserve">. </w:t>
      </w:r>
      <w:r w:rsidR="00FC4117">
        <w:t xml:space="preserve">The PBAC considered that </w:t>
      </w:r>
      <w:r w:rsidR="00500411">
        <w:t>few patients would receive primary surgery (</w:t>
      </w:r>
      <w:r w:rsidR="00185A81">
        <w:t>approximately 10%</w:t>
      </w:r>
      <w:r w:rsidR="00500411">
        <w:t>)</w:t>
      </w:r>
      <w:r w:rsidR="00185A81">
        <w:t>,</w:t>
      </w:r>
      <w:r w:rsidR="00500411">
        <w:t xml:space="preserve"> and fewer still </w:t>
      </w:r>
      <w:r w:rsidR="00185A81">
        <w:t>(</w:t>
      </w:r>
      <w:r w:rsidR="00FC4117">
        <w:t>approximately 2-3%</w:t>
      </w:r>
      <w:r w:rsidR="00185A81">
        <w:t xml:space="preserve"> in total)</w:t>
      </w:r>
      <w:r w:rsidR="00FC4117">
        <w:t xml:space="preserve"> </w:t>
      </w:r>
      <w:r w:rsidR="00500411">
        <w:t xml:space="preserve">would be considered high risk following </w:t>
      </w:r>
      <w:r w:rsidR="00185A81">
        <w:t xml:space="preserve">primary </w:t>
      </w:r>
      <w:r w:rsidR="00500411">
        <w:t>surgery</w:t>
      </w:r>
      <w:r w:rsidR="00185A81">
        <w:t xml:space="preserve"> and therefore eligible for pertuzumab. This was consistent with the small number of patients treated via the access program </w:t>
      </w:r>
      <w:r w:rsidR="00185A81" w:rsidRPr="00DE2B1E">
        <w:t>(77/2,747, &lt;3%)</w:t>
      </w:r>
      <w:r w:rsidR="00500411" w:rsidRPr="00DE2B1E">
        <w:t xml:space="preserve">. </w:t>
      </w:r>
      <w:r w:rsidR="001E1EDA" w:rsidRPr="00DE2B1E">
        <w:t>When the financial</w:t>
      </w:r>
      <w:r w:rsidR="001E1EDA">
        <w:t xml:space="preserve"> estimates were adjusted to include an </w:t>
      </w:r>
      <w:r w:rsidR="00F96B9E">
        <w:t xml:space="preserve">additional 3% of </w:t>
      </w:r>
      <w:proofErr w:type="spellStart"/>
      <w:r w:rsidR="004B26D8">
        <w:t>eBC</w:t>
      </w:r>
      <w:proofErr w:type="spellEnd"/>
      <w:r w:rsidR="00A870BB">
        <w:t xml:space="preserve"> patients </w:t>
      </w:r>
      <w:r w:rsidR="00FB0977">
        <w:t>receiving adjuvant only treatme</w:t>
      </w:r>
      <w:r w:rsidR="004B26D8">
        <w:t>nt (</w:t>
      </w:r>
      <w:r w:rsidR="00185A81">
        <w:t xml:space="preserve">with </w:t>
      </w:r>
      <w:r w:rsidR="004B26D8">
        <w:t>uptake assumed to be the same as in the</w:t>
      </w:r>
      <w:r w:rsidR="00C35F23">
        <w:t xml:space="preserve"> neoadjuvant setting, and with a treatment </w:t>
      </w:r>
      <w:r w:rsidR="00C35F23" w:rsidRPr="00DE2B1E">
        <w:t>duration</w:t>
      </w:r>
      <w:r w:rsidR="00331166">
        <w:t xml:space="preserve"> of 13.0 cycles</w:t>
      </w:r>
      <w:r w:rsidR="00C35F23" w:rsidRPr="00DE2B1E">
        <w:t xml:space="preserve">) the financial estimates increased to </w:t>
      </w:r>
      <w:r w:rsidR="00095C9C" w:rsidRPr="00DE2B1E">
        <w:t>90,000 to &lt; 100,000</w:t>
      </w:r>
      <w:r w:rsidR="00331166">
        <w:t xml:space="preserve"> </w:t>
      </w:r>
      <w:r w:rsidR="00D134A3" w:rsidRPr="00DE2B1E">
        <w:t>over the first 6 years</w:t>
      </w:r>
      <w:r w:rsidR="00D134A3">
        <w:t xml:space="preserve"> </w:t>
      </w:r>
      <w:r w:rsidR="004D1AA2">
        <w:t>of listing.</w:t>
      </w:r>
      <w:r>
        <w:t xml:space="preserve"> </w:t>
      </w:r>
    </w:p>
    <w:p w14:paraId="6DD46FF2" w14:textId="695BCE70" w:rsidR="004A0835" w:rsidRDefault="0002579B" w:rsidP="00EF13AB">
      <w:pPr>
        <w:pStyle w:val="3-BodyText"/>
      </w:pPr>
      <w:r>
        <w:t xml:space="preserve">When the </w:t>
      </w:r>
      <w:r w:rsidR="00493932">
        <w:t xml:space="preserve">AEMP </w:t>
      </w:r>
      <w:r>
        <w:t xml:space="preserve">for </w:t>
      </w:r>
      <w:r w:rsidR="00493932">
        <w:t xml:space="preserve">pertuzumab was reduced by </w:t>
      </w:r>
      <w:r w:rsidR="00471EB9" w:rsidRPr="00471EB9">
        <w:rPr>
          <w:color w:val="000000"/>
          <w:w w:val="60"/>
          <w:shd w:val="solid" w:color="000000" w:fill="000000"/>
          <w:fitText w:val="470" w:id="-694407928"/>
          <w14:textFill>
            <w14:solidFill>
              <w14:srgbClr w14:val="000000">
                <w14:alpha w14:val="100000"/>
              </w14:srgbClr>
            </w14:solidFill>
          </w14:textFill>
        </w:rPr>
        <w:t>|||  ||</w:t>
      </w:r>
      <w:r w:rsidR="00471EB9" w:rsidRPr="00471EB9">
        <w:rPr>
          <w:color w:val="000000"/>
          <w:spacing w:val="6"/>
          <w:w w:val="60"/>
          <w:shd w:val="solid" w:color="000000" w:fill="000000"/>
          <w:fitText w:val="470" w:id="-694407928"/>
          <w14:textFill>
            <w14:solidFill>
              <w14:srgbClr w14:val="000000">
                <w14:alpha w14:val="100000"/>
              </w14:srgbClr>
            </w14:solidFill>
          </w14:textFill>
        </w:rPr>
        <w:t>|</w:t>
      </w:r>
      <w:r w:rsidR="00E872BB">
        <w:t>%</w:t>
      </w:r>
      <w:r w:rsidR="002E5088">
        <w:t xml:space="preserve"> </w:t>
      </w:r>
      <w:r w:rsidR="0042038E">
        <w:t xml:space="preserve">(neoadjuvant setting) </w:t>
      </w:r>
      <w:r w:rsidR="002E5088">
        <w:t xml:space="preserve">and </w:t>
      </w:r>
      <w:r w:rsidR="00471EB9" w:rsidRPr="005F7B87">
        <w:rPr>
          <w:color w:val="000000"/>
          <w:w w:val="60"/>
          <w:shd w:val="solid" w:color="000000" w:fill="000000"/>
          <w:fitText w:val="470" w:id="-694407927"/>
          <w14:textFill>
            <w14:solidFill>
              <w14:srgbClr w14:val="000000">
                <w14:alpha w14:val="100000"/>
              </w14:srgbClr>
            </w14:solidFill>
          </w14:textFill>
        </w:rPr>
        <w:t>|||  ||</w:t>
      </w:r>
      <w:r w:rsidR="00471EB9" w:rsidRPr="005F7B87">
        <w:rPr>
          <w:color w:val="000000"/>
          <w:spacing w:val="6"/>
          <w:w w:val="60"/>
          <w:shd w:val="solid" w:color="000000" w:fill="000000"/>
          <w:fitText w:val="470" w:id="-694407927"/>
          <w14:textFill>
            <w14:solidFill>
              <w14:srgbClr w14:val="000000">
                <w14:alpha w14:val="100000"/>
              </w14:srgbClr>
            </w14:solidFill>
          </w14:textFill>
        </w:rPr>
        <w:t>|</w:t>
      </w:r>
      <w:r w:rsidR="00E872BB">
        <w:t xml:space="preserve">% </w:t>
      </w:r>
      <w:r w:rsidR="0042038E">
        <w:t>(</w:t>
      </w:r>
      <w:r w:rsidR="00E872BB">
        <w:t>adjuvant</w:t>
      </w:r>
      <w:r w:rsidR="0042038E">
        <w:t xml:space="preserve"> setting)</w:t>
      </w:r>
      <w:r w:rsidR="00E872BB">
        <w:t>,</w:t>
      </w:r>
      <w:r w:rsidR="00493932">
        <w:t xml:space="preserve"> the estimated </w:t>
      </w:r>
      <w:r w:rsidR="00AA5319">
        <w:t xml:space="preserve">net cost to the PBS/RPBS decreased to </w:t>
      </w:r>
      <w:r w:rsidR="002B11CC" w:rsidRPr="002B11CC">
        <w:t>70,000 to &lt; 80,000</w:t>
      </w:r>
      <w:r w:rsidR="002B3631">
        <w:t xml:space="preserve"> </w:t>
      </w:r>
      <w:r w:rsidR="00613364">
        <w:t>over the first 6 years of listing</w:t>
      </w:r>
      <w:bookmarkStart w:id="113" w:name="_Toc22897648"/>
      <w:bookmarkStart w:id="114" w:name="_Toc188444281"/>
      <w:r w:rsidR="004A0835">
        <w:t>.</w:t>
      </w:r>
    </w:p>
    <w:p w14:paraId="08DE8125" w14:textId="37EF2E6A" w:rsidR="007D0CF5" w:rsidRPr="00873941" w:rsidRDefault="007D0CF5" w:rsidP="004A0835">
      <w:pPr>
        <w:pStyle w:val="4-SubsectionHeading"/>
      </w:pPr>
      <w:r w:rsidRPr="00873941">
        <w:t>Quality Use of Medicines</w:t>
      </w:r>
      <w:bookmarkEnd w:id="113"/>
      <w:bookmarkEnd w:id="114"/>
    </w:p>
    <w:p w14:paraId="5B0D1639" w14:textId="7FE9210A" w:rsidR="007D0CF5" w:rsidRPr="00873941" w:rsidRDefault="007D0CF5" w:rsidP="007D0CF5">
      <w:pPr>
        <w:pStyle w:val="3-BodyText"/>
      </w:pPr>
      <w:r w:rsidRPr="00873941">
        <w:t xml:space="preserve">The </w:t>
      </w:r>
      <w:r w:rsidR="00BD14F2" w:rsidRPr="00873941">
        <w:t>re</w:t>
      </w:r>
      <w:r w:rsidRPr="00873941">
        <w:t xml:space="preserve">submission did not comment on any quality use of medicines issues. With the complexity in the management of </w:t>
      </w:r>
      <w:proofErr w:type="spellStart"/>
      <w:r w:rsidRPr="00873941">
        <w:t>eBC</w:t>
      </w:r>
      <w:proofErr w:type="spellEnd"/>
      <w:r w:rsidRPr="00873941">
        <w:t>, education for prescribers and patients is required, including discussion of the role of treatment with pertuzumab, in terms of outcomes and adverse effects to inform decision-making.</w:t>
      </w:r>
    </w:p>
    <w:p w14:paraId="2F2987B2" w14:textId="77777777" w:rsidR="007D0CF5" w:rsidRPr="00873941" w:rsidRDefault="007D0CF5" w:rsidP="007D0CF5">
      <w:pPr>
        <w:pStyle w:val="4-SubsectionHeading"/>
      </w:pPr>
      <w:bookmarkStart w:id="115" w:name="_Toc22897649"/>
      <w:bookmarkStart w:id="116" w:name="_Toc188444282"/>
      <w:r w:rsidRPr="00873941">
        <w:t>Financial Management – Risk Sharing Arrangements</w:t>
      </w:r>
      <w:bookmarkEnd w:id="115"/>
      <w:bookmarkEnd w:id="116"/>
    </w:p>
    <w:p w14:paraId="67478FC7" w14:textId="77777777" w:rsidR="007D0CF5" w:rsidRPr="00873941" w:rsidRDefault="007D0CF5" w:rsidP="007D0CF5">
      <w:pPr>
        <w:pStyle w:val="3-BodyText"/>
      </w:pPr>
      <w:r w:rsidRPr="00873941">
        <w:t>The resubmission did not propose any risk sharing arrangements for pertuzumab.</w:t>
      </w:r>
    </w:p>
    <w:p w14:paraId="6F5D84AC" w14:textId="25AA535E" w:rsidR="007D0CF5" w:rsidRDefault="007D0CF5" w:rsidP="007D0CF5">
      <w:pPr>
        <w:pStyle w:val="3-BodyText"/>
      </w:pPr>
      <w:r w:rsidRPr="00873941">
        <w:t xml:space="preserve">In the </w:t>
      </w:r>
      <w:r w:rsidR="00C75E33" w:rsidRPr="00873941">
        <w:t xml:space="preserve">March 2020 </w:t>
      </w:r>
      <w:r w:rsidRPr="00873941">
        <w:t xml:space="preserve">submission, the ESC noted that there were caps in place for T-DM1 and pertuzumab in the metastatic setting (para. 6.68, pertuzumab PSD, March 2020 PBAC meeting). The cost-effectiveness analysis assumed cost offsets for reduced use of T-DM1 and pertuzumab in the </w:t>
      </w:r>
      <w:proofErr w:type="spellStart"/>
      <w:r w:rsidR="000812BD" w:rsidRPr="00873941">
        <w:t>mBC</w:t>
      </w:r>
      <w:proofErr w:type="spellEnd"/>
      <w:r w:rsidRPr="00873941">
        <w:t xml:space="preserve"> setting due to fewer patients progressing to metastatic disease (para. 6.68, pertuzumab PSD, March 2020 PBAC meeting). To ensure the modelled cost-offsets were realised, the ESC considered that it may be appropriate to reduce the T-DM1 and pertuzumab expenditure caps in the </w:t>
      </w:r>
      <w:proofErr w:type="spellStart"/>
      <w:r w:rsidR="000812BD" w:rsidRPr="00873941">
        <w:t>mBC</w:t>
      </w:r>
      <w:proofErr w:type="spellEnd"/>
      <w:r w:rsidRPr="00873941">
        <w:t xml:space="preserve"> setting in line with the assumptions and outputs from the economic model for </w:t>
      </w:r>
      <w:r w:rsidRPr="00873941">
        <w:lastRenderedPageBreak/>
        <w:t xml:space="preserve">subsequent treatments (para. 6.68, pertuzumab PSD, March 2020 PBAC meeting). The ESC </w:t>
      </w:r>
      <w:r w:rsidR="00162F55" w:rsidRPr="00873941">
        <w:t xml:space="preserve">previously </w:t>
      </w:r>
      <w:r w:rsidRPr="00873941">
        <w:t xml:space="preserve">considered that the cost-offsets from reduced use of T-DM1 may also need to be incorporated into any expenditure caps that may apply to T-DM1 in the adjuvant setting (para. 6.69, pertuzumab PSD, March 2020 PBAC meeting). </w:t>
      </w:r>
    </w:p>
    <w:p w14:paraId="48B0B031" w14:textId="0AEA154D" w:rsidR="00D57DC1" w:rsidRPr="00873941" w:rsidRDefault="00D57DC1" w:rsidP="007D0CF5">
      <w:pPr>
        <w:pStyle w:val="3-BodyText"/>
      </w:pPr>
      <w:r>
        <w:t>The PBAC noted that the expected changes to</w:t>
      </w:r>
      <w:r w:rsidR="00CC24BD">
        <w:t xml:space="preserve"> pertuzumab and T-DM1 </w:t>
      </w:r>
      <w:r w:rsidR="00FB7B53">
        <w:t xml:space="preserve">utilisation in the metastatic setting </w:t>
      </w:r>
      <w:r w:rsidR="00CC24BD">
        <w:t>are expected to be small relative to the total</w:t>
      </w:r>
      <w:r w:rsidR="00FB7B53">
        <w:t xml:space="preserve"> </w:t>
      </w:r>
      <w:r w:rsidR="007C740D">
        <w:t>costs</w:t>
      </w:r>
      <w:r w:rsidR="00B53338">
        <w:t xml:space="preserve">. </w:t>
      </w:r>
      <w:r w:rsidR="00FE000B">
        <w:t xml:space="preserve">The PBAC considered that the expected change to the </w:t>
      </w:r>
      <w:r w:rsidR="00F1042C">
        <w:t>utilisation of T-DM1 in the adjuvant setting was substantial</w:t>
      </w:r>
      <w:r w:rsidR="00A13539">
        <w:t xml:space="preserve"> and the cost-effectiveness of pertuzumab was reliant on </w:t>
      </w:r>
      <w:r w:rsidR="00ED74A6">
        <w:t>cost</w:t>
      </w:r>
      <w:r w:rsidR="00A13539">
        <w:t xml:space="preserve"> offsets</w:t>
      </w:r>
      <w:r w:rsidR="00ED74A6">
        <w:t xml:space="preserve"> for adjuvant T-DM1</w:t>
      </w:r>
      <w:r w:rsidR="00145C7B">
        <w:t xml:space="preserve">. The PBAC considered that </w:t>
      </w:r>
      <w:r w:rsidR="006105A8">
        <w:t xml:space="preserve">the </w:t>
      </w:r>
      <w:r w:rsidR="002C219F">
        <w:t xml:space="preserve">RSA </w:t>
      </w:r>
      <w:r w:rsidR="00531126">
        <w:t xml:space="preserve">caps for T-DM1 </w:t>
      </w:r>
      <w:r w:rsidR="00533DE4">
        <w:t>should</w:t>
      </w:r>
      <w:r w:rsidR="00531126">
        <w:t xml:space="preserve"> be revised to account for the </w:t>
      </w:r>
      <w:r w:rsidR="00752647">
        <w:t>expected reduction</w:t>
      </w:r>
      <w:r w:rsidR="00CC24BD">
        <w:t xml:space="preserve"> </w:t>
      </w:r>
      <w:r w:rsidR="00002521">
        <w:t xml:space="preserve">in utilisation associated with </w:t>
      </w:r>
      <w:r w:rsidR="00192BD9">
        <w:t>an increased number of patients with pCR following neoadjuvant pertuzumab</w:t>
      </w:r>
      <w:r w:rsidR="006F63ED">
        <w:t xml:space="preserve">, although acknowledged that the </w:t>
      </w:r>
      <w:r w:rsidR="00DE2956">
        <w:t xml:space="preserve">actual reduction in PBS expenditure for T-DM1 </w:t>
      </w:r>
      <w:r w:rsidR="00545020">
        <w:t>will be lower than estimate</w:t>
      </w:r>
      <w:r w:rsidR="007F5676">
        <w:t xml:space="preserve">d </w:t>
      </w:r>
      <w:r w:rsidR="004E2070">
        <w:t xml:space="preserve">given that </w:t>
      </w:r>
      <w:r w:rsidR="00926A7F">
        <w:t>a substantial number of patients are already accessing pertuzumab via the patient access program.</w:t>
      </w:r>
    </w:p>
    <w:bookmarkEnd w:id="106"/>
    <w:p w14:paraId="2D243140" w14:textId="77777777" w:rsidR="009119B1" w:rsidRPr="00873941" w:rsidRDefault="009119B1" w:rsidP="00370F77"/>
    <w:p w14:paraId="7745D227" w14:textId="77777777" w:rsidR="007E0B20" w:rsidRPr="007E0B20" w:rsidRDefault="007E0B20" w:rsidP="007E0B20">
      <w:pPr>
        <w:contextualSpacing/>
        <w:rPr>
          <w:rFonts w:eastAsia="Calibri" w:cs="Times New Roman"/>
          <w:i/>
          <w:szCs w:val="22"/>
          <w:lang w:eastAsia="en-US"/>
        </w:rPr>
      </w:pPr>
      <w:bookmarkStart w:id="117" w:name="_Hlk103934877"/>
      <w:r w:rsidRPr="007E0B20">
        <w:rPr>
          <w:rFonts w:eastAsia="Calibri" w:cs="Times New Roman"/>
          <w:i/>
          <w:szCs w:val="22"/>
          <w:lang w:eastAsia="en-US"/>
        </w:rPr>
        <w:t>For more detail on PBAC’s view, see section 7 PBAC outcome.</w:t>
      </w:r>
    </w:p>
    <w:p w14:paraId="04A12031" w14:textId="5648B19E" w:rsidR="00D53295" w:rsidRPr="00873941" w:rsidRDefault="00D53295" w:rsidP="00564121">
      <w:pPr>
        <w:contextualSpacing/>
        <w:rPr>
          <w:rFonts w:eastAsia="Calibri" w:cs="Times New Roman"/>
          <w:i/>
          <w:szCs w:val="22"/>
          <w:lang w:eastAsia="en-US"/>
        </w:rPr>
      </w:pPr>
    </w:p>
    <w:p w14:paraId="42E14E3F" w14:textId="77777777" w:rsidR="00121883" w:rsidRPr="0090150D" w:rsidRDefault="00121883" w:rsidP="00121883">
      <w:pPr>
        <w:pStyle w:val="2-SectionHeading"/>
      </w:pPr>
      <w:bookmarkStart w:id="118" w:name="_Hlk76381249"/>
      <w:bookmarkEnd w:id="117"/>
      <w:r w:rsidRPr="0090150D">
        <w:t>PBAC Outcome</w:t>
      </w:r>
    </w:p>
    <w:p w14:paraId="485F8BE7" w14:textId="730C8CC1" w:rsidR="00865042" w:rsidRPr="00CD6C76" w:rsidRDefault="00865042" w:rsidP="004C4955">
      <w:pPr>
        <w:widowControl w:val="0"/>
        <w:numPr>
          <w:ilvl w:val="1"/>
          <w:numId w:val="5"/>
        </w:numPr>
        <w:spacing w:after="120"/>
        <w:rPr>
          <w:rFonts w:asciiTheme="minorHAnsi" w:hAnsiTheme="minorHAnsi"/>
          <w:snapToGrid w:val="0"/>
        </w:rPr>
      </w:pPr>
      <w:r w:rsidRPr="004C4955">
        <w:rPr>
          <w:rFonts w:asciiTheme="minorHAnsi" w:hAnsiTheme="minorHAnsi"/>
          <w:snapToGrid w:val="0"/>
          <w:lang w:val="en-GB"/>
        </w:rPr>
        <w:t xml:space="preserve">The PBAC recommended the listing of pertuzumab for the neoadjuvant treatment of </w:t>
      </w:r>
      <w:r w:rsidRPr="00CD6C76">
        <w:rPr>
          <w:rFonts w:asciiTheme="minorHAnsi" w:hAnsiTheme="minorHAnsi"/>
          <w:snapToGrid w:val="0"/>
        </w:rPr>
        <w:t>human epidermal growth factor receptor 2 positive (HER2+) high risk early breast cancer</w:t>
      </w:r>
      <w:r w:rsidR="004071E6" w:rsidRPr="00CD6C76">
        <w:rPr>
          <w:rFonts w:asciiTheme="minorHAnsi" w:hAnsiTheme="minorHAnsi"/>
          <w:snapToGrid w:val="0"/>
        </w:rPr>
        <w:t>, on the basis that it should be available only under special arrangements under Section 100</w:t>
      </w:r>
      <w:r w:rsidRPr="00CD6C76">
        <w:rPr>
          <w:rFonts w:asciiTheme="minorHAnsi" w:hAnsiTheme="minorHAnsi"/>
          <w:snapToGrid w:val="0"/>
        </w:rPr>
        <w:t>. The PBAC considered that the resubmission appropriately addressed its previous concerns regarding the clinical place for pertuzumab</w:t>
      </w:r>
      <w:r w:rsidR="004071E6" w:rsidRPr="00CD6C76">
        <w:rPr>
          <w:rFonts w:asciiTheme="minorHAnsi" w:hAnsiTheme="minorHAnsi"/>
          <w:snapToGrid w:val="0"/>
        </w:rPr>
        <w:t>,</w:t>
      </w:r>
      <w:r w:rsidRPr="00CD6C76">
        <w:rPr>
          <w:rFonts w:asciiTheme="minorHAnsi" w:hAnsiTheme="minorHAnsi"/>
          <w:snapToGrid w:val="0"/>
        </w:rPr>
        <w:t xml:space="preserve"> and the incremental benefit from adding pertuzumab in the neoadjuvant setting was adequately supported by the evidence</w:t>
      </w:r>
      <w:r w:rsidR="00661F17" w:rsidRPr="00CD6C76">
        <w:rPr>
          <w:rFonts w:asciiTheme="minorHAnsi" w:hAnsiTheme="minorHAnsi"/>
          <w:snapToGrid w:val="0"/>
        </w:rPr>
        <w:t xml:space="preserve">, which demonstrated that </w:t>
      </w:r>
      <w:r w:rsidRPr="00CD6C76">
        <w:rPr>
          <w:rFonts w:asciiTheme="minorHAnsi" w:hAnsiTheme="minorHAnsi"/>
          <w:snapToGrid w:val="0"/>
        </w:rPr>
        <w:t>increasing the proportion of patients with pathological complete response</w:t>
      </w:r>
      <w:r w:rsidR="00661F17" w:rsidRPr="00CD6C76">
        <w:rPr>
          <w:rFonts w:asciiTheme="minorHAnsi" w:hAnsiTheme="minorHAnsi"/>
          <w:snapToGrid w:val="0"/>
        </w:rPr>
        <w:t xml:space="preserve"> </w:t>
      </w:r>
      <w:r w:rsidR="00085614" w:rsidRPr="00CD6C76">
        <w:rPr>
          <w:rFonts w:asciiTheme="minorHAnsi" w:hAnsiTheme="minorHAnsi"/>
          <w:snapToGrid w:val="0"/>
        </w:rPr>
        <w:t xml:space="preserve">is associated with </w:t>
      </w:r>
      <w:r w:rsidR="002E73B4" w:rsidRPr="00CD6C76">
        <w:rPr>
          <w:rFonts w:asciiTheme="minorHAnsi" w:hAnsiTheme="minorHAnsi"/>
          <w:snapToGrid w:val="0"/>
        </w:rPr>
        <w:t xml:space="preserve">improved </w:t>
      </w:r>
      <w:r w:rsidR="00EA3BCA" w:rsidRPr="00CD6C76">
        <w:rPr>
          <w:rFonts w:asciiTheme="minorHAnsi" w:hAnsiTheme="minorHAnsi"/>
          <w:snapToGrid w:val="0"/>
        </w:rPr>
        <w:t>PFS and OS</w:t>
      </w:r>
      <w:r w:rsidRPr="00CD6C76">
        <w:rPr>
          <w:rFonts w:asciiTheme="minorHAnsi" w:hAnsiTheme="minorHAnsi"/>
          <w:snapToGrid w:val="0"/>
        </w:rPr>
        <w:t>. The PBAC considered that adjuvant treatment with pertuzumab would also be appropriate for a proportion of patients, consistent with international guidelines and the Australian Product Information (PI) for pertuzumab. The PBAC considered that the cost-effectiveness for pertuzumab would be acceptable with a price reduction and risk sharing arrangements that ensured that the cost of treatment in the adjuvant setting was contained to the patient population where there is evidence of treatment benefit.</w:t>
      </w:r>
    </w:p>
    <w:p w14:paraId="1E0C16FA" w14:textId="2162DAB7" w:rsidR="00121883" w:rsidRPr="00CD6C76" w:rsidRDefault="00121883" w:rsidP="00121883">
      <w:pPr>
        <w:widowControl w:val="0"/>
        <w:numPr>
          <w:ilvl w:val="1"/>
          <w:numId w:val="5"/>
        </w:numPr>
        <w:spacing w:after="120"/>
        <w:rPr>
          <w:rFonts w:asciiTheme="minorHAnsi" w:hAnsiTheme="minorHAnsi"/>
          <w:snapToGrid w:val="0"/>
        </w:rPr>
      </w:pPr>
      <w:r w:rsidRPr="00CD6C76">
        <w:rPr>
          <w:rFonts w:asciiTheme="minorHAnsi" w:hAnsiTheme="minorHAnsi"/>
          <w:snapToGrid w:val="0"/>
        </w:rPr>
        <w:t xml:space="preserve">The PBAC is satisfied that </w:t>
      </w:r>
      <w:r w:rsidR="00E335B1" w:rsidRPr="00CD6C76">
        <w:rPr>
          <w:rFonts w:asciiTheme="minorHAnsi" w:hAnsiTheme="minorHAnsi"/>
          <w:snapToGrid w:val="0"/>
        </w:rPr>
        <w:t>the addition of pertuzumab to trastuzumab and chemotherapy</w:t>
      </w:r>
      <w:r w:rsidR="008842FB" w:rsidRPr="00CD6C76">
        <w:rPr>
          <w:rFonts w:asciiTheme="minorHAnsi" w:hAnsiTheme="minorHAnsi"/>
          <w:snapToGrid w:val="0"/>
        </w:rPr>
        <w:t xml:space="preserve"> (</w:t>
      </w:r>
      <w:proofErr w:type="spellStart"/>
      <w:r w:rsidR="008842FB" w:rsidRPr="00CD6C76">
        <w:rPr>
          <w:rFonts w:asciiTheme="minorHAnsi" w:hAnsiTheme="minorHAnsi"/>
          <w:snapToGrid w:val="0"/>
        </w:rPr>
        <w:t>P+T+Chemo</w:t>
      </w:r>
      <w:proofErr w:type="spellEnd"/>
      <w:r w:rsidR="008842FB" w:rsidRPr="00CD6C76">
        <w:rPr>
          <w:rFonts w:asciiTheme="minorHAnsi" w:hAnsiTheme="minorHAnsi"/>
          <w:snapToGrid w:val="0"/>
        </w:rPr>
        <w:t>)</w:t>
      </w:r>
      <w:r w:rsidRPr="00CD6C76">
        <w:rPr>
          <w:rFonts w:asciiTheme="minorHAnsi" w:hAnsiTheme="minorHAnsi"/>
          <w:snapToGrid w:val="0"/>
        </w:rPr>
        <w:t xml:space="preserve"> provides, for some patients, a significant improvement in efficacy over </w:t>
      </w:r>
      <w:r w:rsidR="00E335B1" w:rsidRPr="00CD6C76">
        <w:rPr>
          <w:rFonts w:asciiTheme="minorHAnsi" w:hAnsiTheme="minorHAnsi"/>
          <w:snapToGrid w:val="0"/>
        </w:rPr>
        <w:t>trastuzumab and chemotherapy alone</w:t>
      </w:r>
      <w:r w:rsidRPr="00CD6C76">
        <w:rPr>
          <w:rFonts w:asciiTheme="minorHAnsi" w:hAnsiTheme="minorHAnsi"/>
          <w:snapToGrid w:val="0"/>
        </w:rPr>
        <w:t xml:space="preserve">. </w:t>
      </w:r>
    </w:p>
    <w:p w14:paraId="5A562797" w14:textId="103CE1B3" w:rsidR="00121883" w:rsidRPr="00CD6C76" w:rsidRDefault="007E78EF" w:rsidP="00121883">
      <w:pPr>
        <w:widowControl w:val="0"/>
        <w:numPr>
          <w:ilvl w:val="1"/>
          <w:numId w:val="5"/>
        </w:numPr>
        <w:spacing w:after="120"/>
        <w:rPr>
          <w:rFonts w:asciiTheme="minorHAnsi" w:hAnsiTheme="minorHAnsi"/>
          <w:snapToGrid w:val="0"/>
        </w:rPr>
      </w:pPr>
      <w:r>
        <w:rPr>
          <w:rFonts w:asciiTheme="minorHAnsi" w:hAnsiTheme="minorHAnsi"/>
          <w:snapToGrid w:val="0"/>
        </w:rPr>
        <w:t xml:space="preserve">The PBAC considered that the appropriate clinical place for pertuzumab has become clearer since the Committee’s previous considerations of its use in the neoadjuvant and adjuvant settings. </w:t>
      </w:r>
      <w:r w:rsidR="00401D90" w:rsidRPr="00CD6C76">
        <w:rPr>
          <w:rFonts w:asciiTheme="minorHAnsi" w:hAnsiTheme="minorHAnsi"/>
          <w:snapToGrid w:val="0"/>
        </w:rPr>
        <w:t xml:space="preserve">The PBAC noted the need for </w:t>
      </w:r>
      <w:r w:rsidR="00067DC7" w:rsidRPr="00CD6C76">
        <w:rPr>
          <w:rFonts w:asciiTheme="minorHAnsi" w:hAnsiTheme="minorHAnsi"/>
          <w:snapToGrid w:val="0"/>
        </w:rPr>
        <w:t xml:space="preserve">equitable </w:t>
      </w:r>
      <w:r w:rsidR="00401D90" w:rsidRPr="00CD6C76">
        <w:rPr>
          <w:rFonts w:asciiTheme="minorHAnsi" w:hAnsiTheme="minorHAnsi"/>
          <w:snapToGrid w:val="0"/>
        </w:rPr>
        <w:t xml:space="preserve">access to neoadjuvant pertuzumab, which has become </w:t>
      </w:r>
      <w:r w:rsidR="002328B9" w:rsidRPr="00CD6C76">
        <w:rPr>
          <w:rFonts w:asciiTheme="minorHAnsi" w:hAnsiTheme="minorHAnsi"/>
          <w:snapToGrid w:val="0"/>
        </w:rPr>
        <w:t>the standard of care in international guidelines, and is currently privately funded for many patients</w:t>
      </w:r>
      <w:r w:rsidR="00BA61C0" w:rsidRPr="00CD6C76">
        <w:rPr>
          <w:rFonts w:asciiTheme="minorHAnsi" w:hAnsiTheme="minorHAnsi"/>
          <w:snapToGrid w:val="0"/>
        </w:rPr>
        <w:t>.</w:t>
      </w:r>
      <w:r w:rsidR="007447CC" w:rsidRPr="00CD6C76">
        <w:rPr>
          <w:rFonts w:asciiTheme="minorHAnsi" w:hAnsiTheme="minorHAnsi"/>
          <w:snapToGrid w:val="0"/>
        </w:rPr>
        <w:t xml:space="preserve"> The PBAC also considered that there </w:t>
      </w:r>
      <w:r w:rsidR="007447CC" w:rsidRPr="00CD6C76">
        <w:rPr>
          <w:rFonts w:asciiTheme="minorHAnsi" w:hAnsiTheme="minorHAnsi"/>
          <w:snapToGrid w:val="0"/>
        </w:rPr>
        <w:lastRenderedPageBreak/>
        <w:t xml:space="preserve">is a need for </w:t>
      </w:r>
      <w:r w:rsidR="005B127A" w:rsidRPr="00CD6C76">
        <w:rPr>
          <w:rFonts w:asciiTheme="minorHAnsi" w:hAnsiTheme="minorHAnsi"/>
          <w:snapToGrid w:val="0"/>
        </w:rPr>
        <w:t xml:space="preserve">subsidised </w:t>
      </w:r>
      <w:r w:rsidR="007447CC" w:rsidRPr="00CD6C76">
        <w:rPr>
          <w:rFonts w:asciiTheme="minorHAnsi" w:hAnsiTheme="minorHAnsi"/>
          <w:snapToGrid w:val="0"/>
        </w:rPr>
        <w:t xml:space="preserve">access to adjuvant pertuzumab for </w:t>
      </w:r>
      <w:r w:rsidR="005B127A" w:rsidRPr="00CD6C76">
        <w:rPr>
          <w:rFonts w:asciiTheme="minorHAnsi" w:hAnsiTheme="minorHAnsi"/>
          <w:snapToGrid w:val="0"/>
        </w:rPr>
        <w:t>the</w:t>
      </w:r>
      <w:r w:rsidR="007447CC" w:rsidRPr="00CD6C76">
        <w:rPr>
          <w:rFonts w:asciiTheme="minorHAnsi" w:hAnsiTheme="minorHAnsi"/>
          <w:snapToGrid w:val="0"/>
        </w:rPr>
        <w:t xml:space="preserve"> subset of patients</w:t>
      </w:r>
      <w:r w:rsidR="005B127A" w:rsidRPr="00CD6C76">
        <w:rPr>
          <w:rFonts w:asciiTheme="minorHAnsi" w:hAnsiTheme="minorHAnsi"/>
          <w:snapToGrid w:val="0"/>
        </w:rPr>
        <w:t xml:space="preserve"> most likely to benefit from it</w:t>
      </w:r>
      <w:r w:rsidR="00311DD3" w:rsidRPr="00CD6C76">
        <w:rPr>
          <w:rFonts w:asciiTheme="minorHAnsi" w:hAnsiTheme="minorHAnsi"/>
          <w:snapToGrid w:val="0"/>
        </w:rPr>
        <w:t>,</w:t>
      </w:r>
      <w:r w:rsidR="004A0835">
        <w:rPr>
          <w:rFonts w:asciiTheme="minorHAnsi" w:hAnsiTheme="minorHAnsi"/>
          <w:snapToGrid w:val="0"/>
        </w:rPr>
        <w:t xml:space="preserve"> particularly the small number of patients who receive primary surgery (without neoadjuvant treatment), noting </w:t>
      </w:r>
      <w:r w:rsidR="00311DD3" w:rsidRPr="00CD6C76">
        <w:rPr>
          <w:rFonts w:asciiTheme="minorHAnsi" w:hAnsiTheme="minorHAnsi"/>
          <w:snapToGrid w:val="0"/>
        </w:rPr>
        <w:t xml:space="preserve">that </w:t>
      </w:r>
      <w:r w:rsidR="00CD357F" w:rsidRPr="00CD6C76">
        <w:rPr>
          <w:rFonts w:asciiTheme="minorHAnsi" w:hAnsiTheme="minorHAnsi"/>
          <w:snapToGrid w:val="0"/>
        </w:rPr>
        <w:t>the Australian PI</w:t>
      </w:r>
      <w:r w:rsidR="002D330B" w:rsidRPr="00CD6C76">
        <w:rPr>
          <w:rFonts w:asciiTheme="minorHAnsi" w:hAnsiTheme="minorHAnsi"/>
          <w:snapToGrid w:val="0"/>
        </w:rPr>
        <w:t xml:space="preserve"> </w:t>
      </w:r>
      <w:r w:rsidR="004F1D24" w:rsidRPr="00CD6C76">
        <w:rPr>
          <w:rFonts w:asciiTheme="minorHAnsi" w:hAnsiTheme="minorHAnsi"/>
          <w:snapToGrid w:val="0"/>
        </w:rPr>
        <w:t>and international guidelines include</w:t>
      </w:r>
      <w:r w:rsidR="002D330B" w:rsidRPr="00CD6C76">
        <w:rPr>
          <w:rFonts w:asciiTheme="minorHAnsi" w:hAnsiTheme="minorHAnsi"/>
          <w:snapToGrid w:val="0"/>
        </w:rPr>
        <w:t xml:space="preserve"> </w:t>
      </w:r>
      <w:r w:rsidR="00311DD3" w:rsidRPr="00CD6C76">
        <w:rPr>
          <w:rFonts w:asciiTheme="minorHAnsi" w:hAnsiTheme="minorHAnsi"/>
          <w:snapToGrid w:val="0"/>
        </w:rPr>
        <w:t xml:space="preserve">adjuvant pertuzumab </w:t>
      </w:r>
      <w:r w:rsidR="004F1D24" w:rsidRPr="00CD6C76">
        <w:rPr>
          <w:rFonts w:asciiTheme="minorHAnsi" w:hAnsiTheme="minorHAnsi"/>
          <w:snapToGrid w:val="0"/>
        </w:rPr>
        <w:t xml:space="preserve">as an option </w:t>
      </w:r>
      <w:r w:rsidR="002D330B" w:rsidRPr="00CD6C76">
        <w:rPr>
          <w:rFonts w:asciiTheme="minorHAnsi" w:hAnsiTheme="minorHAnsi"/>
          <w:snapToGrid w:val="0"/>
        </w:rPr>
        <w:t>for patients at high risk of recurrence</w:t>
      </w:r>
      <w:r w:rsidR="005B127A" w:rsidRPr="00CD6C76">
        <w:rPr>
          <w:rFonts w:asciiTheme="minorHAnsi" w:hAnsiTheme="minorHAnsi"/>
          <w:snapToGrid w:val="0"/>
        </w:rPr>
        <w:t xml:space="preserve">. </w:t>
      </w:r>
    </w:p>
    <w:p w14:paraId="17B3965F" w14:textId="5EC3AED6" w:rsidR="00827A29" w:rsidRPr="00CD6C76" w:rsidRDefault="00827A29" w:rsidP="00CD6C76">
      <w:pPr>
        <w:widowControl w:val="0"/>
        <w:numPr>
          <w:ilvl w:val="1"/>
          <w:numId w:val="5"/>
        </w:numPr>
        <w:spacing w:after="120"/>
        <w:rPr>
          <w:rFonts w:asciiTheme="minorHAnsi" w:hAnsiTheme="minorHAnsi"/>
          <w:snapToGrid w:val="0"/>
        </w:rPr>
      </w:pPr>
      <w:r w:rsidRPr="00CD6C76">
        <w:rPr>
          <w:rFonts w:asciiTheme="minorHAnsi" w:hAnsiTheme="minorHAnsi"/>
          <w:snapToGrid w:val="0"/>
        </w:rPr>
        <w:t xml:space="preserve">The PBAC noted the nominated comparator for </w:t>
      </w:r>
      <w:proofErr w:type="spellStart"/>
      <w:r w:rsidRPr="00CD6C76">
        <w:rPr>
          <w:rFonts w:asciiTheme="minorHAnsi" w:hAnsiTheme="minorHAnsi"/>
          <w:snapToGrid w:val="0"/>
        </w:rPr>
        <w:t>P+T+Chemo</w:t>
      </w:r>
      <w:proofErr w:type="spellEnd"/>
      <w:r w:rsidRPr="00CD6C76">
        <w:rPr>
          <w:rFonts w:asciiTheme="minorHAnsi" w:hAnsiTheme="minorHAnsi"/>
          <w:snapToGrid w:val="0"/>
        </w:rPr>
        <w:t xml:space="preserve"> was trastuzumab + chemotherapy (</w:t>
      </w:r>
      <w:proofErr w:type="spellStart"/>
      <w:r w:rsidRPr="00CD6C76">
        <w:rPr>
          <w:rFonts w:asciiTheme="minorHAnsi" w:hAnsiTheme="minorHAnsi"/>
          <w:snapToGrid w:val="0"/>
        </w:rPr>
        <w:t>T+Chemo</w:t>
      </w:r>
      <w:proofErr w:type="spellEnd"/>
      <w:r w:rsidRPr="00CD6C76">
        <w:rPr>
          <w:rFonts w:asciiTheme="minorHAnsi" w:hAnsiTheme="minorHAnsi"/>
          <w:snapToGrid w:val="0"/>
        </w:rPr>
        <w:t xml:space="preserve">). The PBAC </w:t>
      </w:r>
      <w:r w:rsidR="00653F10" w:rsidRPr="00CD6C76">
        <w:rPr>
          <w:rFonts w:asciiTheme="minorHAnsi" w:hAnsiTheme="minorHAnsi"/>
          <w:snapToGrid w:val="0"/>
        </w:rPr>
        <w:t>noted that the resubmission appropriately</w:t>
      </w:r>
      <w:r w:rsidRPr="00CD6C76">
        <w:rPr>
          <w:rFonts w:asciiTheme="minorHAnsi" w:hAnsiTheme="minorHAnsi"/>
          <w:snapToGrid w:val="0"/>
        </w:rPr>
        <w:t xml:space="preserve"> </w:t>
      </w:r>
      <w:r w:rsidR="002B3D04" w:rsidRPr="00CD6C76">
        <w:rPr>
          <w:rFonts w:asciiTheme="minorHAnsi" w:hAnsiTheme="minorHAnsi"/>
          <w:snapToGrid w:val="0"/>
        </w:rPr>
        <w:t>addressed it</w:t>
      </w:r>
      <w:r w:rsidR="00F40AB1" w:rsidRPr="00CD6C76">
        <w:rPr>
          <w:rFonts w:asciiTheme="minorHAnsi" w:hAnsiTheme="minorHAnsi"/>
          <w:snapToGrid w:val="0"/>
        </w:rPr>
        <w:t>s previous concern</w:t>
      </w:r>
      <w:r w:rsidR="0002532A">
        <w:rPr>
          <w:rFonts w:asciiTheme="minorHAnsi" w:hAnsiTheme="minorHAnsi"/>
          <w:snapToGrid w:val="0"/>
        </w:rPr>
        <w:t xml:space="preserve"> regarding the comparator</w:t>
      </w:r>
      <w:r w:rsidR="00F40AB1" w:rsidRPr="00CD6C76">
        <w:rPr>
          <w:rFonts w:asciiTheme="minorHAnsi" w:hAnsiTheme="minorHAnsi"/>
          <w:snapToGrid w:val="0"/>
        </w:rPr>
        <w:t xml:space="preserve"> by </w:t>
      </w:r>
      <w:r w:rsidRPr="00CD6C76">
        <w:rPr>
          <w:rFonts w:asciiTheme="minorHAnsi" w:hAnsiTheme="minorHAnsi"/>
          <w:snapToGrid w:val="0"/>
        </w:rPr>
        <w:t>account</w:t>
      </w:r>
      <w:r w:rsidR="00F40AB1" w:rsidRPr="00CD6C76">
        <w:rPr>
          <w:rFonts w:asciiTheme="minorHAnsi" w:hAnsiTheme="minorHAnsi"/>
          <w:snapToGrid w:val="0"/>
        </w:rPr>
        <w:t>ing</w:t>
      </w:r>
      <w:r w:rsidRPr="00CD6C76">
        <w:rPr>
          <w:rFonts w:asciiTheme="minorHAnsi" w:hAnsiTheme="minorHAnsi"/>
          <w:snapToGrid w:val="0"/>
        </w:rPr>
        <w:t xml:space="preserve"> for the availability and efficacy of T-DM1</w:t>
      </w:r>
      <w:r w:rsidR="00123AF5" w:rsidRPr="00CD6C76">
        <w:rPr>
          <w:rFonts w:asciiTheme="minorHAnsi" w:hAnsiTheme="minorHAnsi"/>
          <w:snapToGrid w:val="0"/>
        </w:rPr>
        <w:t xml:space="preserve"> as adjuvant treatment for patients with residual disease following surgery</w:t>
      </w:r>
      <w:r w:rsidRPr="00CD6C76">
        <w:rPr>
          <w:rFonts w:asciiTheme="minorHAnsi" w:hAnsiTheme="minorHAnsi"/>
          <w:snapToGrid w:val="0"/>
        </w:rPr>
        <w:t xml:space="preserve"> (para 7.</w:t>
      </w:r>
      <w:r w:rsidR="00F40AB1" w:rsidRPr="00CD6C76">
        <w:rPr>
          <w:rFonts w:asciiTheme="minorHAnsi" w:hAnsiTheme="minorHAnsi"/>
          <w:snapToGrid w:val="0"/>
        </w:rPr>
        <w:t>2</w:t>
      </w:r>
      <w:r w:rsidRPr="00CD6C76">
        <w:rPr>
          <w:rFonts w:asciiTheme="minorHAnsi" w:hAnsiTheme="minorHAnsi"/>
          <w:snapToGrid w:val="0"/>
        </w:rPr>
        <w:t xml:space="preserve">, </w:t>
      </w:r>
      <w:r w:rsidR="00EB54FD" w:rsidRPr="00CD6C76">
        <w:rPr>
          <w:rFonts w:asciiTheme="minorHAnsi" w:hAnsiTheme="minorHAnsi"/>
          <w:snapToGrid w:val="0"/>
        </w:rPr>
        <w:t>pertuzumab</w:t>
      </w:r>
      <w:r w:rsidRPr="00CD6C76">
        <w:rPr>
          <w:rFonts w:asciiTheme="minorHAnsi" w:hAnsiTheme="minorHAnsi"/>
          <w:snapToGrid w:val="0"/>
        </w:rPr>
        <w:t xml:space="preserve"> </w:t>
      </w:r>
      <w:r w:rsidR="00123AF5" w:rsidRPr="00CD6C76">
        <w:rPr>
          <w:rFonts w:asciiTheme="minorHAnsi" w:hAnsiTheme="minorHAnsi"/>
          <w:snapToGrid w:val="0"/>
        </w:rPr>
        <w:t>PSD</w:t>
      </w:r>
      <w:r w:rsidRPr="00CD6C76">
        <w:rPr>
          <w:rFonts w:asciiTheme="minorHAnsi" w:hAnsiTheme="minorHAnsi"/>
          <w:snapToGrid w:val="0"/>
        </w:rPr>
        <w:t xml:space="preserve">, </w:t>
      </w:r>
      <w:r w:rsidR="00EB54FD" w:rsidRPr="00CD6C76">
        <w:rPr>
          <w:rFonts w:asciiTheme="minorHAnsi" w:hAnsiTheme="minorHAnsi"/>
          <w:snapToGrid w:val="0"/>
        </w:rPr>
        <w:t>March 2020</w:t>
      </w:r>
      <w:r w:rsidR="00123AF5" w:rsidRPr="00CD6C76">
        <w:rPr>
          <w:rFonts w:asciiTheme="minorHAnsi" w:hAnsiTheme="minorHAnsi"/>
          <w:snapToGrid w:val="0"/>
        </w:rPr>
        <w:t xml:space="preserve"> PBAC meeting</w:t>
      </w:r>
      <w:r w:rsidRPr="00CD6C76">
        <w:rPr>
          <w:rFonts w:asciiTheme="minorHAnsi" w:hAnsiTheme="minorHAnsi"/>
          <w:snapToGrid w:val="0"/>
        </w:rPr>
        <w:t xml:space="preserve">). </w:t>
      </w:r>
      <w:r w:rsidR="0002532A">
        <w:rPr>
          <w:rFonts w:asciiTheme="minorHAnsi" w:hAnsiTheme="minorHAnsi"/>
          <w:snapToGrid w:val="0"/>
        </w:rPr>
        <w:t>The PBAC noted that the</w:t>
      </w:r>
      <w:r w:rsidR="00F133DC">
        <w:rPr>
          <w:rFonts w:asciiTheme="minorHAnsi" w:hAnsiTheme="minorHAnsi"/>
          <w:snapToGrid w:val="0"/>
        </w:rPr>
        <w:t xml:space="preserve"> resubmission presented additional evidence to support the surrogacy of pCR </w:t>
      </w:r>
      <w:r w:rsidR="00E339E6">
        <w:rPr>
          <w:rFonts w:asciiTheme="minorHAnsi" w:hAnsiTheme="minorHAnsi"/>
          <w:snapToGrid w:val="0"/>
        </w:rPr>
        <w:t>for survival endpoints (P</w:t>
      </w:r>
      <w:r w:rsidR="002E3A84">
        <w:rPr>
          <w:rFonts w:asciiTheme="minorHAnsi" w:hAnsiTheme="minorHAnsi"/>
          <w:snapToGrid w:val="0"/>
        </w:rPr>
        <w:t>FS or DFS)</w:t>
      </w:r>
      <w:r w:rsidR="0002532A">
        <w:rPr>
          <w:rFonts w:asciiTheme="minorHAnsi" w:hAnsiTheme="minorHAnsi"/>
          <w:snapToGrid w:val="0"/>
        </w:rPr>
        <w:t xml:space="preserve"> </w:t>
      </w:r>
      <w:r w:rsidR="006B423D">
        <w:rPr>
          <w:rFonts w:asciiTheme="minorHAnsi" w:hAnsiTheme="minorHAnsi"/>
          <w:snapToGrid w:val="0"/>
        </w:rPr>
        <w:t xml:space="preserve">and to address </w:t>
      </w:r>
      <w:r w:rsidR="00F133DC" w:rsidRPr="00CD6C76">
        <w:rPr>
          <w:rFonts w:asciiTheme="minorHAnsi" w:hAnsiTheme="minorHAnsi"/>
          <w:snapToGrid w:val="0"/>
        </w:rPr>
        <w:t>its previous concern regarding inclusion of anthracycline-based regimens as the neoadjuvant chemotherapy</w:t>
      </w:r>
      <w:r w:rsidR="006B423D">
        <w:rPr>
          <w:rFonts w:asciiTheme="minorHAnsi" w:hAnsiTheme="minorHAnsi"/>
          <w:snapToGrid w:val="0"/>
        </w:rPr>
        <w:t xml:space="preserve"> (para7.12 pertuzumab PSD, March 2020 PBAC meeting)</w:t>
      </w:r>
      <w:r w:rsidR="00F133DC" w:rsidRPr="00CD6C76">
        <w:rPr>
          <w:rFonts w:asciiTheme="minorHAnsi" w:hAnsiTheme="minorHAnsi"/>
          <w:snapToGrid w:val="0"/>
        </w:rPr>
        <w:t>.</w:t>
      </w:r>
      <w:r w:rsidR="00D71FB2">
        <w:rPr>
          <w:rFonts w:asciiTheme="minorHAnsi" w:hAnsiTheme="minorHAnsi"/>
          <w:snapToGrid w:val="0"/>
        </w:rPr>
        <w:t xml:space="preserve"> </w:t>
      </w:r>
    </w:p>
    <w:p w14:paraId="52461473" w14:textId="09A8A1AF" w:rsidR="00021168" w:rsidRPr="00CD6C76" w:rsidRDefault="00BD5B72" w:rsidP="00CD6C76">
      <w:pPr>
        <w:widowControl w:val="0"/>
        <w:numPr>
          <w:ilvl w:val="1"/>
          <w:numId w:val="5"/>
        </w:numPr>
        <w:spacing w:after="120"/>
        <w:rPr>
          <w:rFonts w:asciiTheme="minorHAnsi" w:hAnsiTheme="minorHAnsi"/>
          <w:snapToGrid w:val="0"/>
        </w:rPr>
      </w:pPr>
      <w:r w:rsidRPr="00CD6C76">
        <w:rPr>
          <w:rFonts w:asciiTheme="minorHAnsi" w:hAnsiTheme="minorHAnsi"/>
          <w:snapToGrid w:val="0"/>
        </w:rPr>
        <w:t xml:space="preserve">The PBAC considered that the proposed </w:t>
      </w:r>
      <w:r w:rsidR="00965FB6" w:rsidRPr="00CD6C76">
        <w:rPr>
          <w:rFonts w:asciiTheme="minorHAnsi" w:hAnsiTheme="minorHAnsi"/>
          <w:snapToGrid w:val="0"/>
        </w:rPr>
        <w:t xml:space="preserve">clinical criteria for the </w:t>
      </w:r>
      <w:r w:rsidRPr="00CD6C76">
        <w:rPr>
          <w:rFonts w:asciiTheme="minorHAnsi" w:hAnsiTheme="minorHAnsi"/>
          <w:snapToGrid w:val="0"/>
        </w:rPr>
        <w:t xml:space="preserve">restrictions </w:t>
      </w:r>
      <w:r w:rsidR="00E37AFF" w:rsidRPr="00CD6C76">
        <w:rPr>
          <w:rFonts w:asciiTheme="minorHAnsi" w:hAnsiTheme="minorHAnsi"/>
          <w:snapToGrid w:val="0"/>
        </w:rPr>
        <w:t xml:space="preserve">appropriately limited treatment to patients with </w:t>
      </w:r>
      <w:r w:rsidR="005A5EA1" w:rsidRPr="00CD6C76">
        <w:rPr>
          <w:rFonts w:asciiTheme="minorHAnsi" w:hAnsiTheme="minorHAnsi"/>
          <w:snapToGrid w:val="0"/>
        </w:rPr>
        <w:t xml:space="preserve">HER2+ </w:t>
      </w:r>
      <w:r w:rsidR="002C5379" w:rsidRPr="00CD6C76">
        <w:rPr>
          <w:rFonts w:asciiTheme="minorHAnsi" w:hAnsiTheme="minorHAnsi"/>
          <w:snapToGrid w:val="0"/>
        </w:rPr>
        <w:t xml:space="preserve">high risk </w:t>
      </w:r>
      <w:r w:rsidR="005A5EA1" w:rsidRPr="00CD6C76">
        <w:rPr>
          <w:rFonts w:asciiTheme="minorHAnsi" w:hAnsiTheme="minorHAnsi"/>
          <w:snapToGrid w:val="0"/>
        </w:rPr>
        <w:t>breast cancer</w:t>
      </w:r>
      <w:r w:rsidR="00E37AFF" w:rsidRPr="00CD6C76">
        <w:rPr>
          <w:rFonts w:asciiTheme="minorHAnsi" w:hAnsiTheme="minorHAnsi"/>
          <w:snapToGrid w:val="0"/>
        </w:rPr>
        <w:t xml:space="preserve">, </w:t>
      </w:r>
      <w:r w:rsidR="005A5EA1" w:rsidRPr="00CD6C76">
        <w:rPr>
          <w:rFonts w:asciiTheme="minorHAnsi" w:hAnsiTheme="minorHAnsi"/>
          <w:snapToGrid w:val="0"/>
        </w:rPr>
        <w:t xml:space="preserve">and agreed with the ESC that it would be preferable to </w:t>
      </w:r>
      <w:r w:rsidR="009D381A" w:rsidRPr="00CD6C76">
        <w:rPr>
          <w:rFonts w:asciiTheme="minorHAnsi" w:hAnsiTheme="minorHAnsi"/>
          <w:snapToGrid w:val="0"/>
        </w:rPr>
        <w:t xml:space="preserve">include “high risk” for clarity (see paragraph </w:t>
      </w:r>
      <w:r w:rsidR="009D381A" w:rsidRPr="00CD6C76">
        <w:rPr>
          <w:rFonts w:asciiTheme="minorHAnsi" w:hAnsiTheme="minorHAnsi"/>
          <w:snapToGrid w:val="0"/>
        </w:rPr>
        <w:fldChar w:fldCharType="begin"/>
      </w:r>
      <w:r w:rsidR="009D381A" w:rsidRPr="00CD6C76">
        <w:rPr>
          <w:rFonts w:asciiTheme="minorHAnsi" w:hAnsiTheme="minorHAnsi"/>
          <w:snapToGrid w:val="0"/>
        </w:rPr>
        <w:instrText xml:space="preserve"> REF _Ref193210871 \r \h </w:instrText>
      </w:r>
      <w:r w:rsidR="00CD6C76">
        <w:rPr>
          <w:rFonts w:asciiTheme="minorHAnsi" w:hAnsiTheme="minorHAnsi"/>
          <w:snapToGrid w:val="0"/>
        </w:rPr>
        <w:instrText xml:space="preserve"> \* MERGEFORMAT </w:instrText>
      </w:r>
      <w:r w:rsidR="009D381A" w:rsidRPr="00CD6C76">
        <w:rPr>
          <w:rFonts w:asciiTheme="minorHAnsi" w:hAnsiTheme="minorHAnsi"/>
          <w:snapToGrid w:val="0"/>
        </w:rPr>
      </w:r>
      <w:r w:rsidR="009D381A" w:rsidRPr="00CD6C76">
        <w:rPr>
          <w:rFonts w:asciiTheme="minorHAnsi" w:hAnsiTheme="minorHAnsi"/>
          <w:snapToGrid w:val="0"/>
        </w:rPr>
        <w:fldChar w:fldCharType="separate"/>
      </w:r>
      <w:r w:rsidR="000B094B">
        <w:rPr>
          <w:rFonts w:asciiTheme="minorHAnsi" w:hAnsiTheme="minorHAnsi"/>
          <w:snapToGrid w:val="0"/>
        </w:rPr>
        <w:t>3.5</w:t>
      </w:r>
      <w:r w:rsidR="009D381A" w:rsidRPr="00CD6C76">
        <w:rPr>
          <w:rFonts w:asciiTheme="minorHAnsi" w:hAnsiTheme="minorHAnsi"/>
          <w:snapToGrid w:val="0"/>
        </w:rPr>
        <w:fldChar w:fldCharType="end"/>
      </w:r>
      <w:r w:rsidR="009D381A" w:rsidRPr="00CD6C76">
        <w:rPr>
          <w:rFonts w:asciiTheme="minorHAnsi" w:hAnsiTheme="minorHAnsi"/>
          <w:snapToGrid w:val="0"/>
        </w:rPr>
        <w:t>)</w:t>
      </w:r>
      <w:r w:rsidR="00932A6B" w:rsidRPr="00CD6C76">
        <w:rPr>
          <w:rFonts w:asciiTheme="minorHAnsi" w:hAnsiTheme="minorHAnsi"/>
          <w:snapToGrid w:val="0"/>
        </w:rPr>
        <w:t xml:space="preserve">. The PBAC also considered it was reasonable to </w:t>
      </w:r>
      <w:r w:rsidR="005F609D" w:rsidRPr="00CD6C76">
        <w:rPr>
          <w:rFonts w:asciiTheme="minorHAnsi" w:hAnsiTheme="minorHAnsi"/>
          <w:snapToGrid w:val="0"/>
        </w:rPr>
        <w:t xml:space="preserve">not </w:t>
      </w:r>
      <w:r w:rsidR="00932A6B" w:rsidRPr="00CD6C76">
        <w:rPr>
          <w:rFonts w:asciiTheme="minorHAnsi" w:hAnsiTheme="minorHAnsi"/>
          <w:snapToGrid w:val="0"/>
        </w:rPr>
        <w:t xml:space="preserve">specify the </w:t>
      </w:r>
      <w:r w:rsidR="00097791" w:rsidRPr="00CD6C76">
        <w:rPr>
          <w:rFonts w:asciiTheme="minorHAnsi" w:hAnsiTheme="minorHAnsi"/>
          <w:snapToGrid w:val="0"/>
        </w:rPr>
        <w:t xml:space="preserve">type of </w:t>
      </w:r>
      <w:r w:rsidR="00932A6B" w:rsidRPr="00CD6C76">
        <w:rPr>
          <w:rFonts w:asciiTheme="minorHAnsi" w:hAnsiTheme="minorHAnsi"/>
          <w:snapToGrid w:val="0"/>
        </w:rPr>
        <w:t>chemotherapy in the restriction.</w:t>
      </w:r>
      <w:r w:rsidR="00FF778F" w:rsidRPr="00CD6C76">
        <w:rPr>
          <w:rFonts w:asciiTheme="minorHAnsi" w:hAnsiTheme="minorHAnsi"/>
          <w:snapToGrid w:val="0"/>
        </w:rPr>
        <w:t xml:space="preserve"> </w:t>
      </w:r>
      <w:r w:rsidR="00B07BC8">
        <w:t xml:space="preserve">The PBAC considered that it would be preferable for the restrictions to allow treatment in the adjuvant setting, to address equity issues, and </w:t>
      </w:r>
      <w:r w:rsidR="00787C94">
        <w:t xml:space="preserve">for </w:t>
      </w:r>
      <w:r w:rsidR="00B07BC8">
        <w:t>consisten</w:t>
      </w:r>
      <w:r w:rsidR="00787C94">
        <w:t>cy</w:t>
      </w:r>
      <w:r w:rsidR="00B07BC8">
        <w:t xml:space="preserve"> with the Australian PI and international guidelines. </w:t>
      </w:r>
      <w:r w:rsidR="007D3C8C" w:rsidRPr="00CD6C76">
        <w:rPr>
          <w:rFonts w:asciiTheme="minorHAnsi" w:hAnsiTheme="minorHAnsi"/>
          <w:snapToGrid w:val="0"/>
        </w:rPr>
        <w:t xml:space="preserve">The PBAC considered that to allow adjuvant </w:t>
      </w:r>
      <w:r w:rsidR="006C2177" w:rsidRPr="00CD6C76">
        <w:rPr>
          <w:rFonts w:asciiTheme="minorHAnsi" w:hAnsiTheme="minorHAnsi"/>
          <w:snapToGrid w:val="0"/>
        </w:rPr>
        <w:t xml:space="preserve">pertuzumab </w:t>
      </w:r>
      <w:r w:rsidR="007D3C8C" w:rsidRPr="00CD6C76">
        <w:rPr>
          <w:rFonts w:asciiTheme="minorHAnsi" w:hAnsiTheme="minorHAnsi"/>
          <w:snapToGrid w:val="0"/>
        </w:rPr>
        <w:t>treatment</w:t>
      </w:r>
      <w:r w:rsidR="006C2177" w:rsidRPr="00CD6C76">
        <w:rPr>
          <w:rFonts w:asciiTheme="minorHAnsi" w:hAnsiTheme="minorHAnsi"/>
          <w:snapToGrid w:val="0"/>
        </w:rPr>
        <w:t>, the proposed restriction</w:t>
      </w:r>
      <w:r w:rsidR="00956722">
        <w:rPr>
          <w:rFonts w:asciiTheme="minorHAnsi" w:hAnsiTheme="minorHAnsi"/>
          <w:snapToGrid w:val="0"/>
        </w:rPr>
        <w:t xml:space="preserve"> cr</w:t>
      </w:r>
      <w:r w:rsidR="009C33DA">
        <w:rPr>
          <w:rFonts w:asciiTheme="minorHAnsi" w:hAnsiTheme="minorHAnsi"/>
          <w:snapToGrid w:val="0"/>
        </w:rPr>
        <w:t>iteria</w:t>
      </w:r>
      <w:r w:rsidR="006C2177" w:rsidRPr="00CD6C76">
        <w:rPr>
          <w:rFonts w:asciiTheme="minorHAnsi" w:hAnsiTheme="minorHAnsi"/>
          <w:snapToGrid w:val="0"/>
        </w:rPr>
        <w:t xml:space="preserve"> regarding surgery should be removed </w:t>
      </w:r>
      <w:r w:rsidR="00021168" w:rsidRPr="00CD6C76">
        <w:rPr>
          <w:rFonts w:asciiTheme="minorHAnsi" w:hAnsiTheme="minorHAnsi"/>
          <w:snapToGrid w:val="0"/>
        </w:rPr>
        <w:t>and</w:t>
      </w:r>
      <w:r w:rsidR="00097791" w:rsidRPr="00CD6C76">
        <w:rPr>
          <w:rFonts w:asciiTheme="minorHAnsi" w:hAnsiTheme="minorHAnsi"/>
          <w:snapToGrid w:val="0"/>
        </w:rPr>
        <w:t xml:space="preserve"> </w:t>
      </w:r>
      <w:r w:rsidR="00FF778F" w:rsidRPr="00CD6C76">
        <w:rPr>
          <w:rFonts w:asciiTheme="minorHAnsi" w:hAnsiTheme="minorHAnsi"/>
          <w:snapToGrid w:val="0"/>
        </w:rPr>
        <w:t xml:space="preserve">the proposed restrictions regarding the maximum duration of treatment should be amended to specify </w:t>
      </w:r>
      <w:r w:rsidR="0031513B" w:rsidRPr="00CD6C76">
        <w:rPr>
          <w:rFonts w:asciiTheme="minorHAnsi" w:hAnsiTheme="minorHAnsi"/>
          <w:snapToGrid w:val="0"/>
        </w:rPr>
        <w:t xml:space="preserve">a total of 12 months </w:t>
      </w:r>
      <w:r w:rsidR="00F04738" w:rsidRPr="00CD6C76">
        <w:rPr>
          <w:rFonts w:asciiTheme="minorHAnsi" w:hAnsiTheme="minorHAnsi"/>
          <w:snapToGrid w:val="0"/>
        </w:rPr>
        <w:t xml:space="preserve">of </w:t>
      </w:r>
      <w:r w:rsidR="0031513B" w:rsidRPr="00CD6C76">
        <w:rPr>
          <w:rFonts w:asciiTheme="minorHAnsi" w:hAnsiTheme="minorHAnsi"/>
          <w:snapToGrid w:val="0"/>
        </w:rPr>
        <w:t xml:space="preserve">treatment including </w:t>
      </w:r>
      <w:r w:rsidR="00F04738" w:rsidRPr="00CD6C76">
        <w:rPr>
          <w:rFonts w:asciiTheme="minorHAnsi" w:hAnsiTheme="minorHAnsi"/>
          <w:snapToGrid w:val="0"/>
        </w:rPr>
        <w:t>both initial and continuing restrictions</w:t>
      </w:r>
      <w:r w:rsidR="006C2123">
        <w:rPr>
          <w:rFonts w:asciiTheme="minorHAnsi" w:hAnsiTheme="minorHAnsi"/>
          <w:snapToGrid w:val="0"/>
        </w:rPr>
        <w:t xml:space="preserve"> (18 </w:t>
      </w:r>
      <w:r w:rsidR="00190DA7">
        <w:rPr>
          <w:rFonts w:asciiTheme="minorHAnsi" w:hAnsiTheme="minorHAnsi"/>
          <w:snapToGrid w:val="0"/>
        </w:rPr>
        <w:t>3</w:t>
      </w:r>
      <w:r w:rsidR="009E6C44">
        <w:rPr>
          <w:rFonts w:asciiTheme="minorHAnsi" w:hAnsiTheme="minorHAnsi"/>
          <w:snapToGrid w:val="0"/>
        </w:rPr>
        <w:t xml:space="preserve">-weekly </w:t>
      </w:r>
      <w:r w:rsidR="006C2123">
        <w:rPr>
          <w:rFonts w:asciiTheme="minorHAnsi" w:hAnsiTheme="minorHAnsi"/>
          <w:snapToGrid w:val="0"/>
        </w:rPr>
        <w:t>cycles)</w:t>
      </w:r>
      <w:r w:rsidR="00F04738" w:rsidRPr="00CD6C76">
        <w:rPr>
          <w:rFonts w:asciiTheme="minorHAnsi" w:hAnsiTheme="minorHAnsi"/>
          <w:snapToGrid w:val="0"/>
        </w:rPr>
        <w:t xml:space="preserve">. </w:t>
      </w:r>
    </w:p>
    <w:p w14:paraId="2D6A5555" w14:textId="310CECEE" w:rsidR="008F7FE3" w:rsidRPr="009645C4" w:rsidRDefault="00891907" w:rsidP="009645C4">
      <w:pPr>
        <w:widowControl w:val="0"/>
        <w:numPr>
          <w:ilvl w:val="1"/>
          <w:numId w:val="5"/>
        </w:numPr>
        <w:spacing w:after="120"/>
        <w:rPr>
          <w:rFonts w:asciiTheme="minorHAnsi" w:hAnsiTheme="minorHAnsi"/>
          <w:snapToGrid w:val="0"/>
        </w:rPr>
      </w:pPr>
      <w:r w:rsidRPr="00CD6C76">
        <w:rPr>
          <w:rFonts w:asciiTheme="minorHAnsi" w:hAnsiTheme="minorHAnsi"/>
          <w:snapToGrid w:val="0"/>
        </w:rPr>
        <w:t xml:space="preserve">The PBAC noted that the </w:t>
      </w:r>
      <w:r w:rsidR="008F7FE3" w:rsidRPr="00CD6C76">
        <w:rPr>
          <w:rFonts w:asciiTheme="minorHAnsi" w:hAnsiTheme="minorHAnsi"/>
          <w:snapToGrid w:val="0"/>
        </w:rPr>
        <w:t xml:space="preserve">primary evidence included in the submission </w:t>
      </w:r>
      <w:r w:rsidR="006161BE" w:rsidRPr="00CD6C76">
        <w:rPr>
          <w:rFonts w:asciiTheme="minorHAnsi" w:hAnsiTheme="minorHAnsi"/>
          <w:snapToGrid w:val="0"/>
        </w:rPr>
        <w:t>was</w:t>
      </w:r>
      <w:r w:rsidR="0054287B" w:rsidRPr="00CD6C76">
        <w:rPr>
          <w:rFonts w:asciiTheme="minorHAnsi" w:hAnsiTheme="minorHAnsi"/>
          <w:snapToGrid w:val="0"/>
        </w:rPr>
        <w:t xml:space="preserve"> </w:t>
      </w:r>
      <w:r w:rsidR="006161BE" w:rsidRPr="006161BE">
        <w:rPr>
          <w:rFonts w:asciiTheme="minorHAnsi" w:hAnsiTheme="minorHAnsi"/>
          <w:snapToGrid w:val="0"/>
        </w:rPr>
        <w:t xml:space="preserve">based on </w:t>
      </w:r>
      <w:r w:rsidR="006161BE">
        <w:rPr>
          <w:rFonts w:asciiTheme="minorHAnsi" w:hAnsiTheme="minorHAnsi"/>
          <w:snapToGrid w:val="0"/>
        </w:rPr>
        <w:t>three</w:t>
      </w:r>
      <w:r w:rsidR="006161BE" w:rsidRPr="006161BE">
        <w:rPr>
          <w:rFonts w:asciiTheme="minorHAnsi" w:hAnsiTheme="minorHAnsi"/>
          <w:snapToGrid w:val="0"/>
        </w:rPr>
        <w:t xml:space="preserve"> head-to-head RCTs comparing </w:t>
      </w:r>
      <w:r w:rsidR="000A5649">
        <w:rPr>
          <w:rFonts w:asciiTheme="minorHAnsi" w:hAnsiTheme="minorHAnsi"/>
          <w:snapToGrid w:val="0"/>
        </w:rPr>
        <w:t>four</w:t>
      </w:r>
      <w:r w:rsidR="006161BE">
        <w:rPr>
          <w:rFonts w:asciiTheme="minorHAnsi" w:hAnsiTheme="minorHAnsi"/>
          <w:snapToGrid w:val="0"/>
        </w:rPr>
        <w:t xml:space="preserve"> cycles of </w:t>
      </w:r>
      <w:proofErr w:type="spellStart"/>
      <w:r w:rsidR="006161BE" w:rsidRPr="006161BE">
        <w:rPr>
          <w:rFonts w:asciiTheme="minorHAnsi" w:hAnsiTheme="minorHAnsi"/>
          <w:snapToGrid w:val="0"/>
        </w:rPr>
        <w:t>P+T+Chemo</w:t>
      </w:r>
      <w:proofErr w:type="spellEnd"/>
      <w:r w:rsidR="006161BE" w:rsidRPr="006161BE">
        <w:rPr>
          <w:rFonts w:asciiTheme="minorHAnsi" w:hAnsiTheme="minorHAnsi"/>
          <w:snapToGrid w:val="0"/>
        </w:rPr>
        <w:t xml:space="preserve"> to </w:t>
      </w:r>
      <w:proofErr w:type="spellStart"/>
      <w:r w:rsidR="006161BE" w:rsidRPr="006161BE">
        <w:rPr>
          <w:rFonts w:asciiTheme="minorHAnsi" w:hAnsiTheme="minorHAnsi"/>
          <w:snapToGrid w:val="0"/>
        </w:rPr>
        <w:t>T+Chemo</w:t>
      </w:r>
      <w:proofErr w:type="spellEnd"/>
      <w:r w:rsidR="006161BE" w:rsidRPr="006161BE">
        <w:rPr>
          <w:rFonts w:asciiTheme="minorHAnsi" w:hAnsiTheme="minorHAnsi"/>
          <w:snapToGrid w:val="0"/>
        </w:rPr>
        <w:t xml:space="preserve"> as neoadjuvant treatment for </w:t>
      </w:r>
      <w:proofErr w:type="spellStart"/>
      <w:r w:rsidR="006161BE" w:rsidRPr="006161BE">
        <w:rPr>
          <w:rFonts w:asciiTheme="minorHAnsi" w:hAnsiTheme="minorHAnsi"/>
          <w:snapToGrid w:val="0"/>
        </w:rPr>
        <w:t>eBC</w:t>
      </w:r>
      <w:proofErr w:type="spellEnd"/>
      <w:r w:rsidR="002361B5">
        <w:rPr>
          <w:rFonts w:asciiTheme="minorHAnsi" w:hAnsiTheme="minorHAnsi"/>
          <w:snapToGrid w:val="0"/>
        </w:rPr>
        <w:t xml:space="preserve"> (NEOSPHERE, PEONY and I-SPY2)</w:t>
      </w:r>
      <w:r w:rsidR="006161BE">
        <w:rPr>
          <w:rFonts w:asciiTheme="minorHAnsi" w:hAnsiTheme="minorHAnsi"/>
          <w:snapToGrid w:val="0"/>
        </w:rPr>
        <w:t>. In addition</w:t>
      </w:r>
      <w:r w:rsidR="003805F9">
        <w:rPr>
          <w:rFonts w:asciiTheme="minorHAnsi" w:hAnsiTheme="minorHAnsi"/>
          <w:snapToGrid w:val="0"/>
        </w:rPr>
        <w:t>,</w:t>
      </w:r>
      <w:r w:rsidR="006161BE">
        <w:rPr>
          <w:rFonts w:asciiTheme="minorHAnsi" w:hAnsiTheme="minorHAnsi"/>
          <w:snapToGrid w:val="0"/>
        </w:rPr>
        <w:t xml:space="preserve"> </w:t>
      </w:r>
      <w:r w:rsidR="002361B5">
        <w:rPr>
          <w:rFonts w:asciiTheme="minorHAnsi" w:hAnsiTheme="minorHAnsi"/>
          <w:snapToGrid w:val="0"/>
        </w:rPr>
        <w:t xml:space="preserve">the submission presented evidence from </w:t>
      </w:r>
      <w:r w:rsidR="00EA13A2">
        <w:rPr>
          <w:rFonts w:asciiTheme="minorHAnsi" w:hAnsiTheme="minorHAnsi"/>
          <w:snapToGrid w:val="0"/>
        </w:rPr>
        <w:t>TRYPHAENA</w:t>
      </w:r>
      <w:r w:rsidR="00F553FB">
        <w:rPr>
          <w:rFonts w:asciiTheme="minorHAnsi" w:hAnsiTheme="minorHAnsi"/>
          <w:snapToGrid w:val="0"/>
        </w:rPr>
        <w:t xml:space="preserve">, </w:t>
      </w:r>
      <w:r w:rsidR="00634FD5">
        <w:rPr>
          <w:rFonts w:asciiTheme="minorHAnsi" w:hAnsiTheme="minorHAnsi"/>
          <w:snapToGrid w:val="0"/>
        </w:rPr>
        <w:t xml:space="preserve">which </w:t>
      </w:r>
      <w:r w:rsidR="00F553FB" w:rsidRPr="00CD6C76">
        <w:rPr>
          <w:rFonts w:asciiTheme="minorHAnsi" w:hAnsiTheme="minorHAnsi"/>
          <w:snapToGrid w:val="0"/>
        </w:rPr>
        <w:t xml:space="preserve">provided </w:t>
      </w:r>
      <w:r w:rsidR="00F11913" w:rsidRPr="00CD6C76">
        <w:rPr>
          <w:rFonts w:asciiTheme="minorHAnsi" w:hAnsiTheme="minorHAnsi"/>
          <w:snapToGrid w:val="0"/>
        </w:rPr>
        <w:t>outcomes using</w:t>
      </w:r>
      <w:r w:rsidR="00F553FB" w:rsidRPr="00CD6C76">
        <w:rPr>
          <w:rFonts w:asciiTheme="minorHAnsi" w:hAnsiTheme="minorHAnsi"/>
          <w:snapToGrid w:val="0"/>
        </w:rPr>
        <w:t xml:space="preserve"> </w:t>
      </w:r>
      <w:r w:rsidR="000A5649">
        <w:rPr>
          <w:rFonts w:asciiTheme="minorHAnsi" w:hAnsiTheme="minorHAnsi"/>
          <w:snapToGrid w:val="0"/>
        </w:rPr>
        <w:t>six</w:t>
      </w:r>
      <w:r w:rsidR="00F553FB" w:rsidRPr="00CD6C76">
        <w:rPr>
          <w:rFonts w:asciiTheme="minorHAnsi" w:hAnsiTheme="minorHAnsi"/>
          <w:snapToGrid w:val="0"/>
        </w:rPr>
        <w:t xml:space="preserve"> neoadjuvant cycles</w:t>
      </w:r>
      <w:r w:rsidR="00B7111E" w:rsidRPr="00CD6C76">
        <w:rPr>
          <w:rFonts w:asciiTheme="minorHAnsi" w:hAnsiTheme="minorHAnsi"/>
          <w:snapToGrid w:val="0"/>
        </w:rPr>
        <w:t xml:space="preserve"> of </w:t>
      </w:r>
      <w:proofErr w:type="spellStart"/>
      <w:r w:rsidR="00B7111E" w:rsidRPr="00CD6C76">
        <w:rPr>
          <w:rFonts w:asciiTheme="minorHAnsi" w:hAnsiTheme="minorHAnsi"/>
          <w:snapToGrid w:val="0"/>
        </w:rPr>
        <w:t>P+T+Chemo</w:t>
      </w:r>
      <w:proofErr w:type="spellEnd"/>
      <w:r w:rsidR="00F553FB" w:rsidRPr="00CD6C76">
        <w:rPr>
          <w:rFonts w:asciiTheme="minorHAnsi" w:hAnsiTheme="minorHAnsi"/>
          <w:snapToGrid w:val="0"/>
        </w:rPr>
        <w:t xml:space="preserve">, </w:t>
      </w:r>
      <w:r w:rsidR="00B7111E" w:rsidRPr="00CD6C76">
        <w:rPr>
          <w:rFonts w:asciiTheme="minorHAnsi" w:hAnsiTheme="minorHAnsi"/>
          <w:snapToGrid w:val="0"/>
        </w:rPr>
        <w:t>including</w:t>
      </w:r>
      <w:r w:rsidR="00F553FB" w:rsidRPr="00CD6C76">
        <w:rPr>
          <w:rFonts w:asciiTheme="minorHAnsi" w:hAnsiTheme="minorHAnsi"/>
          <w:snapToGrid w:val="0"/>
        </w:rPr>
        <w:t xml:space="preserve"> anthracycline-based or carboplatin-based neoadjuvant chemotherapy regimens</w:t>
      </w:r>
      <w:r w:rsidR="00F11913" w:rsidRPr="00CD6C76">
        <w:rPr>
          <w:rFonts w:asciiTheme="minorHAnsi" w:hAnsiTheme="minorHAnsi"/>
          <w:snapToGrid w:val="0"/>
        </w:rPr>
        <w:t xml:space="preserve">. </w:t>
      </w:r>
      <w:r w:rsidR="00386003">
        <w:rPr>
          <w:rFonts w:asciiTheme="minorHAnsi" w:hAnsiTheme="minorHAnsi"/>
          <w:snapToGrid w:val="0"/>
        </w:rPr>
        <w:t>The PBAC noted that none of the studies were powered for survival outcomes</w:t>
      </w:r>
      <w:r w:rsidR="009F0F64">
        <w:rPr>
          <w:rFonts w:asciiTheme="minorHAnsi" w:hAnsiTheme="minorHAnsi"/>
          <w:snapToGrid w:val="0"/>
        </w:rPr>
        <w:t xml:space="preserve"> and key outcomes of the trial were pCR</w:t>
      </w:r>
      <w:r w:rsidR="00A76F72">
        <w:rPr>
          <w:rFonts w:asciiTheme="minorHAnsi" w:hAnsiTheme="minorHAnsi"/>
          <w:snapToGrid w:val="0"/>
        </w:rPr>
        <w:t xml:space="preserve">. </w:t>
      </w:r>
      <w:r w:rsidR="00BF61E5">
        <w:rPr>
          <w:rFonts w:asciiTheme="minorHAnsi" w:hAnsiTheme="minorHAnsi"/>
          <w:snapToGrid w:val="0"/>
        </w:rPr>
        <w:t xml:space="preserve">The </w:t>
      </w:r>
      <w:r w:rsidR="009A4159">
        <w:rPr>
          <w:rFonts w:asciiTheme="minorHAnsi" w:hAnsiTheme="minorHAnsi"/>
          <w:snapToGrid w:val="0"/>
        </w:rPr>
        <w:t xml:space="preserve">PBAC noted that </w:t>
      </w:r>
      <w:r w:rsidR="00503D23">
        <w:rPr>
          <w:rFonts w:asciiTheme="minorHAnsi" w:hAnsiTheme="minorHAnsi"/>
          <w:snapToGrid w:val="0"/>
        </w:rPr>
        <w:t xml:space="preserve">in the 3 RCTs </w:t>
      </w:r>
      <w:r w:rsidR="00572E71">
        <w:rPr>
          <w:rFonts w:asciiTheme="minorHAnsi" w:hAnsiTheme="minorHAnsi"/>
          <w:snapToGrid w:val="0"/>
        </w:rPr>
        <w:t xml:space="preserve">more than 17% additional patients </w:t>
      </w:r>
      <w:r w:rsidR="00D2543B">
        <w:rPr>
          <w:rFonts w:asciiTheme="minorHAnsi" w:hAnsiTheme="minorHAnsi"/>
          <w:snapToGrid w:val="0"/>
        </w:rPr>
        <w:t>had pCR</w:t>
      </w:r>
      <w:r w:rsidR="00EA13A2">
        <w:rPr>
          <w:rFonts w:asciiTheme="minorHAnsi" w:hAnsiTheme="minorHAnsi"/>
          <w:snapToGrid w:val="0"/>
        </w:rPr>
        <w:t xml:space="preserve"> </w:t>
      </w:r>
      <w:r w:rsidR="00FC0029">
        <w:rPr>
          <w:rFonts w:asciiTheme="minorHAnsi" w:hAnsiTheme="minorHAnsi"/>
          <w:snapToGrid w:val="0"/>
        </w:rPr>
        <w:t xml:space="preserve">in </w:t>
      </w:r>
      <w:r w:rsidR="00787353">
        <w:rPr>
          <w:rFonts w:asciiTheme="minorHAnsi" w:hAnsiTheme="minorHAnsi"/>
          <w:snapToGrid w:val="0"/>
        </w:rPr>
        <w:t xml:space="preserve">the trial </w:t>
      </w:r>
      <w:r w:rsidR="00FC0029">
        <w:rPr>
          <w:rFonts w:asciiTheme="minorHAnsi" w:hAnsiTheme="minorHAnsi"/>
          <w:snapToGrid w:val="0"/>
        </w:rPr>
        <w:t>arms treated with neoadjuvant pertuzumab</w:t>
      </w:r>
      <w:r w:rsidR="00787353">
        <w:rPr>
          <w:rFonts w:asciiTheme="minorHAnsi" w:hAnsiTheme="minorHAnsi"/>
          <w:snapToGrid w:val="0"/>
        </w:rPr>
        <w:t xml:space="preserve"> </w:t>
      </w:r>
      <w:r w:rsidR="00CF2A1C">
        <w:rPr>
          <w:rFonts w:asciiTheme="minorHAnsi" w:hAnsiTheme="minorHAnsi"/>
          <w:snapToGrid w:val="0"/>
        </w:rPr>
        <w:t xml:space="preserve">(added to </w:t>
      </w:r>
      <w:proofErr w:type="spellStart"/>
      <w:r w:rsidR="00CF2A1C">
        <w:rPr>
          <w:rFonts w:asciiTheme="minorHAnsi" w:hAnsiTheme="minorHAnsi"/>
          <w:snapToGrid w:val="0"/>
        </w:rPr>
        <w:t>T+chemo</w:t>
      </w:r>
      <w:proofErr w:type="spellEnd"/>
      <w:r w:rsidR="00CF2A1C">
        <w:rPr>
          <w:rFonts w:asciiTheme="minorHAnsi" w:hAnsiTheme="minorHAnsi"/>
          <w:snapToGrid w:val="0"/>
        </w:rPr>
        <w:t xml:space="preserve">) </w:t>
      </w:r>
      <w:r w:rsidR="00787353">
        <w:rPr>
          <w:rFonts w:asciiTheme="minorHAnsi" w:hAnsiTheme="minorHAnsi"/>
          <w:snapToGrid w:val="0"/>
        </w:rPr>
        <w:t>compared with</w:t>
      </w:r>
      <w:r w:rsidR="00D10DA0">
        <w:rPr>
          <w:rFonts w:asciiTheme="minorHAnsi" w:hAnsiTheme="minorHAnsi"/>
          <w:snapToGrid w:val="0"/>
        </w:rPr>
        <w:t xml:space="preserve"> the</w:t>
      </w:r>
      <w:r w:rsidR="00787353">
        <w:rPr>
          <w:rFonts w:asciiTheme="minorHAnsi" w:hAnsiTheme="minorHAnsi"/>
          <w:snapToGrid w:val="0"/>
        </w:rPr>
        <w:t xml:space="preserve"> </w:t>
      </w:r>
      <w:proofErr w:type="spellStart"/>
      <w:r w:rsidR="00787353">
        <w:rPr>
          <w:rFonts w:asciiTheme="minorHAnsi" w:hAnsiTheme="minorHAnsi"/>
          <w:snapToGrid w:val="0"/>
        </w:rPr>
        <w:t>T+Chemo</w:t>
      </w:r>
      <w:proofErr w:type="spellEnd"/>
      <w:r w:rsidR="00787353">
        <w:rPr>
          <w:rFonts w:asciiTheme="minorHAnsi" w:hAnsiTheme="minorHAnsi"/>
          <w:snapToGrid w:val="0"/>
        </w:rPr>
        <w:t xml:space="preserve"> </w:t>
      </w:r>
      <w:r w:rsidR="00C648C7">
        <w:rPr>
          <w:rFonts w:asciiTheme="minorHAnsi" w:hAnsiTheme="minorHAnsi"/>
          <w:snapToGrid w:val="0"/>
        </w:rPr>
        <w:t>arms</w:t>
      </w:r>
      <w:r w:rsidR="00FC0029">
        <w:rPr>
          <w:rFonts w:asciiTheme="minorHAnsi" w:hAnsiTheme="minorHAnsi"/>
          <w:snapToGrid w:val="0"/>
        </w:rPr>
        <w:t xml:space="preserve">. </w:t>
      </w:r>
      <w:r w:rsidR="00242023">
        <w:rPr>
          <w:rFonts w:asciiTheme="minorHAnsi" w:hAnsiTheme="minorHAnsi"/>
          <w:snapToGrid w:val="0"/>
        </w:rPr>
        <w:t>In PEONY</w:t>
      </w:r>
      <w:r w:rsidR="00FC0029">
        <w:rPr>
          <w:rFonts w:asciiTheme="minorHAnsi" w:hAnsiTheme="minorHAnsi"/>
          <w:snapToGrid w:val="0"/>
        </w:rPr>
        <w:t xml:space="preserve"> </w:t>
      </w:r>
      <w:r w:rsidR="00242023">
        <w:rPr>
          <w:rFonts w:asciiTheme="minorHAnsi" w:hAnsiTheme="minorHAnsi"/>
          <w:snapToGrid w:val="0"/>
        </w:rPr>
        <w:t xml:space="preserve">and NEOSPHERE </w:t>
      </w:r>
      <w:r w:rsidR="00595E56">
        <w:rPr>
          <w:rFonts w:asciiTheme="minorHAnsi" w:hAnsiTheme="minorHAnsi"/>
          <w:snapToGrid w:val="0"/>
        </w:rPr>
        <w:t xml:space="preserve">more than 39% of patients </w:t>
      </w:r>
      <w:r w:rsidR="00006D7D">
        <w:rPr>
          <w:rFonts w:asciiTheme="minorHAnsi" w:hAnsiTheme="minorHAnsi"/>
          <w:snapToGrid w:val="0"/>
        </w:rPr>
        <w:t xml:space="preserve">treated with </w:t>
      </w:r>
      <w:proofErr w:type="spellStart"/>
      <w:r w:rsidR="00006D7D">
        <w:rPr>
          <w:rFonts w:asciiTheme="minorHAnsi" w:hAnsiTheme="minorHAnsi"/>
          <w:snapToGrid w:val="0"/>
        </w:rPr>
        <w:t>P+T+Chemo</w:t>
      </w:r>
      <w:proofErr w:type="spellEnd"/>
      <w:r w:rsidR="00006D7D">
        <w:rPr>
          <w:rFonts w:asciiTheme="minorHAnsi" w:hAnsiTheme="minorHAnsi"/>
          <w:snapToGrid w:val="0"/>
        </w:rPr>
        <w:t xml:space="preserve"> </w:t>
      </w:r>
      <w:r w:rsidR="00595E56">
        <w:rPr>
          <w:rFonts w:asciiTheme="minorHAnsi" w:hAnsiTheme="minorHAnsi"/>
          <w:snapToGrid w:val="0"/>
        </w:rPr>
        <w:t xml:space="preserve">had a pCR, and </w:t>
      </w:r>
      <w:r w:rsidR="00242023">
        <w:rPr>
          <w:rFonts w:asciiTheme="minorHAnsi" w:hAnsiTheme="minorHAnsi"/>
          <w:snapToGrid w:val="0"/>
        </w:rPr>
        <w:t xml:space="preserve">in TRYPHAENA </w:t>
      </w:r>
      <w:r w:rsidR="00595E56">
        <w:rPr>
          <w:rFonts w:asciiTheme="minorHAnsi" w:hAnsiTheme="minorHAnsi"/>
          <w:snapToGrid w:val="0"/>
        </w:rPr>
        <w:t xml:space="preserve">more than </w:t>
      </w:r>
      <w:r w:rsidR="00006D7D">
        <w:rPr>
          <w:rFonts w:asciiTheme="minorHAnsi" w:hAnsiTheme="minorHAnsi"/>
          <w:snapToGrid w:val="0"/>
        </w:rPr>
        <w:t xml:space="preserve">56% of patients in both arms had pCR. The PBAC considered that the evidence supported the claim that </w:t>
      </w:r>
      <w:r w:rsidR="007C25EA">
        <w:rPr>
          <w:rFonts w:asciiTheme="minorHAnsi" w:hAnsiTheme="minorHAnsi"/>
          <w:snapToGrid w:val="0"/>
        </w:rPr>
        <w:t xml:space="preserve">the addition of neoadjuvant </w:t>
      </w:r>
      <w:r w:rsidR="001C14E3">
        <w:rPr>
          <w:rFonts w:asciiTheme="minorHAnsi" w:hAnsiTheme="minorHAnsi"/>
          <w:snapToGrid w:val="0"/>
        </w:rPr>
        <w:t xml:space="preserve">pertuzumab </w:t>
      </w:r>
      <w:r w:rsidR="00D5215D">
        <w:rPr>
          <w:rFonts w:asciiTheme="minorHAnsi" w:hAnsiTheme="minorHAnsi"/>
          <w:snapToGrid w:val="0"/>
        </w:rPr>
        <w:t xml:space="preserve">to </w:t>
      </w:r>
      <w:proofErr w:type="spellStart"/>
      <w:r w:rsidR="00D5215D">
        <w:rPr>
          <w:rFonts w:asciiTheme="minorHAnsi" w:hAnsiTheme="minorHAnsi"/>
          <w:snapToGrid w:val="0"/>
        </w:rPr>
        <w:t>T+Chemo</w:t>
      </w:r>
      <w:proofErr w:type="spellEnd"/>
      <w:r w:rsidR="00D5215D">
        <w:rPr>
          <w:rFonts w:asciiTheme="minorHAnsi" w:hAnsiTheme="minorHAnsi"/>
          <w:snapToGrid w:val="0"/>
        </w:rPr>
        <w:t xml:space="preserve"> </w:t>
      </w:r>
      <w:r w:rsidR="00E922B7">
        <w:rPr>
          <w:rFonts w:asciiTheme="minorHAnsi" w:hAnsiTheme="minorHAnsi"/>
          <w:snapToGrid w:val="0"/>
        </w:rPr>
        <w:t xml:space="preserve">increases </w:t>
      </w:r>
      <w:r w:rsidR="001C14E3">
        <w:rPr>
          <w:rFonts w:asciiTheme="minorHAnsi" w:hAnsiTheme="minorHAnsi"/>
          <w:snapToGrid w:val="0"/>
        </w:rPr>
        <w:t xml:space="preserve">the rate of </w:t>
      </w:r>
      <w:r w:rsidR="007C25EA">
        <w:rPr>
          <w:rFonts w:asciiTheme="minorHAnsi" w:hAnsiTheme="minorHAnsi"/>
          <w:snapToGrid w:val="0"/>
        </w:rPr>
        <w:t>pCR.</w:t>
      </w:r>
    </w:p>
    <w:p w14:paraId="41564732" w14:textId="588A7A32" w:rsidR="00B5604E" w:rsidRPr="008D75C6" w:rsidRDefault="008F7FE3" w:rsidP="008D75C6">
      <w:pPr>
        <w:pStyle w:val="3-BodyText"/>
        <w:rPr>
          <w:rFonts w:eastAsia="Calibri"/>
        </w:rPr>
      </w:pPr>
      <w:r w:rsidRPr="00CD6C76">
        <w:rPr>
          <w:snapToGrid w:val="0"/>
        </w:rPr>
        <w:t xml:space="preserve">The PBAC noted that the submission </w:t>
      </w:r>
      <w:r w:rsidR="009F0755">
        <w:rPr>
          <w:snapToGrid w:val="0"/>
        </w:rPr>
        <w:t>presented evidence from Swain</w:t>
      </w:r>
      <w:r w:rsidR="00B00953">
        <w:rPr>
          <w:snapToGrid w:val="0"/>
        </w:rPr>
        <w:t xml:space="preserve"> (2022)</w:t>
      </w:r>
      <w:r w:rsidR="009F0755">
        <w:rPr>
          <w:snapToGrid w:val="0"/>
        </w:rPr>
        <w:t xml:space="preserve"> to</w:t>
      </w:r>
      <w:r w:rsidRPr="00CD6C76">
        <w:rPr>
          <w:snapToGrid w:val="0"/>
        </w:rPr>
        <w:t xml:space="preserve"> support the </w:t>
      </w:r>
      <w:r w:rsidR="005C776C" w:rsidRPr="00CD6C76">
        <w:rPr>
          <w:snapToGrid w:val="0"/>
        </w:rPr>
        <w:t>surrogacy of pCR to</w:t>
      </w:r>
      <w:r w:rsidR="00E90795">
        <w:rPr>
          <w:snapToGrid w:val="0"/>
        </w:rPr>
        <w:t xml:space="preserve"> the</w:t>
      </w:r>
      <w:r w:rsidR="005C776C" w:rsidRPr="00CD6C76">
        <w:rPr>
          <w:snapToGrid w:val="0"/>
        </w:rPr>
        <w:t xml:space="preserve"> </w:t>
      </w:r>
      <w:r w:rsidR="00091732" w:rsidRPr="00CD6C76">
        <w:rPr>
          <w:snapToGrid w:val="0"/>
        </w:rPr>
        <w:t>patient relevant outcome</w:t>
      </w:r>
      <w:r w:rsidR="00E90795">
        <w:rPr>
          <w:snapToGrid w:val="0"/>
        </w:rPr>
        <w:t xml:space="preserve"> of EFS</w:t>
      </w:r>
      <w:r w:rsidR="00891F8B">
        <w:rPr>
          <w:snapToGrid w:val="0"/>
        </w:rPr>
        <w:t>. Swain et al</w:t>
      </w:r>
      <w:r w:rsidR="00FA3CE6">
        <w:rPr>
          <w:snapToGrid w:val="0"/>
        </w:rPr>
        <w:t xml:space="preserve"> </w:t>
      </w:r>
      <w:r w:rsidR="00891F8B">
        <w:rPr>
          <w:snapToGrid w:val="0"/>
        </w:rPr>
        <w:t>analysed the relationship between neoadjuvant pCR and EFS in 5 RCTs of pertuzumab</w:t>
      </w:r>
      <w:r w:rsidR="002F15DD">
        <w:rPr>
          <w:snapToGrid w:val="0"/>
        </w:rPr>
        <w:t xml:space="preserve">, trastuzumab </w:t>
      </w:r>
      <w:r w:rsidR="002F15DD">
        <w:rPr>
          <w:snapToGrid w:val="0"/>
        </w:rPr>
        <w:lastRenderedPageBreak/>
        <w:t>(or both) in the neoadjuvant and adjuvant settings (NEOSPHERE, TRYPHAE</w:t>
      </w:r>
      <w:r w:rsidR="00144DAE">
        <w:rPr>
          <w:snapToGrid w:val="0"/>
        </w:rPr>
        <w:t xml:space="preserve">NA, BERENICE, </w:t>
      </w:r>
      <w:proofErr w:type="spellStart"/>
      <w:r w:rsidR="00144DAE">
        <w:rPr>
          <w:snapToGrid w:val="0"/>
        </w:rPr>
        <w:t>HannaH</w:t>
      </w:r>
      <w:proofErr w:type="spellEnd"/>
      <w:r w:rsidR="00144DAE">
        <w:rPr>
          <w:snapToGrid w:val="0"/>
        </w:rPr>
        <w:t>, and KRISTINE trials)</w:t>
      </w:r>
      <w:r w:rsidR="00B642A0">
        <w:rPr>
          <w:snapToGrid w:val="0"/>
        </w:rPr>
        <w:t xml:space="preserve">. The PBAC noted </w:t>
      </w:r>
      <w:r w:rsidR="00DA2079" w:rsidRPr="00873941">
        <w:t xml:space="preserve">Swain </w:t>
      </w:r>
      <w:r w:rsidR="00242023">
        <w:t>(2022)</w:t>
      </w:r>
      <w:r w:rsidR="00DA2079">
        <w:t xml:space="preserve"> </w:t>
      </w:r>
      <w:r w:rsidR="00DA2079" w:rsidRPr="00873941">
        <w:t>found that participants with pCR had decreased risk of an EFS event versus those with residual disease (HR: 0.35, 95% CI: 0.27-0.46).</w:t>
      </w:r>
      <w:r w:rsidR="00ED115B">
        <w:t xml:space="preserve"> The PBAC noted that </w:t>
      </w:r>
      <w:r w:rsidR="00B74FF3">
        <w:t xml:space="preserve">based on the results from NEOSPHERE alone </w:t>
      </w:r>
      <w:r w:rsidR="00ED115B">
        <w:t>the relationship</w:t>
      </w:r>
      <w:r w:rsidR="004A6BC1" w:rsidRPr="004A6BC1">
        <w:t xml:space="preserve"> </w:t>
      </w:r>
      <w:r w:rsidR="004A6BC1">
        <w:t xml:space="preserve">for the risk of a </w:t>
      </w:r>
      <w:r w:rsidR="006B29B4">
        <w:t>EFS</w:t>
      </w:r>
      <w:r w:rsidR="009D7969">
        <w:t>/DFS</w:t>
      </w:r>
      <w:r w:rsidR="004A6BC1">
        <w:t xml:space="preserve"> event in patients with pCR vs residual disease</w:t>
      </w:r>
      <w:r w:rsidR="00ED115B">
        <w:t xml:space="preserve"> was not as strong (</w:t>
      </w:r>
      <w:r w:rsidR="00BB64EC">
        <w:t>HR: 0.54, 95% CI: 0.29-1.00)</w:t>
      </w:r>
      <w:r w:rsidR="008B7E0D">
        <w:t>. H</w:t>
      </w:r>
      <w:r w:rsidR="002B7F33">
        <w:t xml:space="preserve">owever, </w:t>
      </w:r>
      <w:r w:rsidR="008B7E0D">
        <w:t xml:space="preserve">the </w:t>
      </w:r>
      <w:r w:rsidR="003978FB">
        <w:t>PBAC</w:t>
      </w:r>
      <w:r w:rsidR="008B7E0D">
        <w:t xml:space="preserve"> acknowledged that </w:t>
      </w:r>
      <w:r w:rsidR="002B7F33">
        <w:t xml:space="preserve">NEOSPHERE was a relatively small study </w:t>
      </w:r>
      <w:r w:rsidR="008B7E0D">
        <w:t xml:space="preserve">and </w:t>
      </w:r>
      <w:r w:rsidR="003978FB">
        <w:t>therefore less reliable than</w:t>
      </w:r>
      <w:r w:rsidR="00096399">
        <w:t xml:space="preserve"> the </w:t>
      </w:r>
      <w:r w:rsidR="00167C8B">
        <w:t xml:space="preserve">meta-analysis from Swain </w:t>
      </w:r>
      <w:r w:rsidR="00242023">
        <w:t>(2022)</w:t>
      </w:r>
      <w:r w:rsidR="00167C8B">
        <w:t>. The PBAC</w:t>
      </w:r>
      <w:r w:rsidR="004756AB">
        <w:t xml:space="preserve"> noted that </w:t>
      </w:r>
      <w:r w:rsidR="00D63674">
        <w:t xml:space="preserve">other trials not specific to pertuzumab also supported </w:t>
      </w:r>
      <w:r w:rsidR="00B2091E">
        <w:t>pCR as a surrogate endpoint for EFS</w:t>
      </w:r>
      <w:r w:rsidR="00167C8B">
        <w:t>, though the HR</w:t>
      </w:r>
      <w:r w:rsidR="003978FB">
        <w:t>s</w:t>
      </w:r>
      <w:r w:rsidR="00167C8B">
        <w:t xml:space="preserve"> reported w</w:t>
      </w:r>
      <w:r w:rsidR="003978FB">
        <w:t>ere</w:t>
      </w:r>
      <w:r w:rsidR="00167C8B">
        <w:t xml:space="preserve"> slightly less favourable than in Swain </w:t>
      </w:r>
      <w:r w:rsidR="00242023">
        <w:t>(2022)</w:t>
      </w:r>
      <w:r w:rsidR="00B2091E">
        <w:t xml:space="preserve">. </w:t>
      </w:r>
      <w:r w:rsidR="00FC5826">
        <w:t xml:space="preserve">Overall the PBAC </w:t>
      </w:r>
      <w:r w:rsidR="00523CC6" w:rsidRPr="00B66841">
        <w:t xml:space="preserve">considered the evidence supported the claim that pCR is likely to be associated with </w:t>
      </w:r>
      <w:r w:rsidR="00892F64">
        <w:t xml:space="preserve">a </w:t>
      </w:r>
      <w:r w:rsidR="00523CC6" w:rsidRPr="00B66841">
        <w:t xml:space="preserve">decreased risk of disease recurrence and improved survival outcomes, however noted that the quantification of the surrogate relationship was </w:t>
      </w:r>
      <w:r w:rsidR="00FC5826">
        <w:t xml:space="preserve">somewhat </w:t>
      </w:r>
      <w:r w:rsidR="00523CC6" w:rsidRPr="00B66841">
        <w:t>uncertain</w:t>
      </w:r>
      <w:r w:rsidR="00E748A2">
        <w:t xml:space="preserve"> and </w:t>
      </w:r>
      <w:r w:rsidR="0032652E">
        <w:t>may be less favourable than the HR from Swain</w:t>
      </w:r>
      <w:r w:rsidR="00242023">
        <w:t xml:space="preserve"> (2022)</w:t>
      </w:r>
      <w:r w:rsidR="0032652E">
        <w:t>, which was used as the basis for the economic evaluation</w:t>
      </w:r>
      <w:r w:rsidR="00523CC6" w:rsidRPr="00B66841">
        <w:t>.</w:t>
      </w:r>
    </w:p>
    <w:p w14:paraId="36C71DE0" w14:textId="5DE084EB" w:rsidR="00150058" w:rsidRPr="00873941" w:rsidRDefault="00B5604E" w:rsidP="00150058">
      <w:pPr>
        <w:pStyle w:val="3-BodyText"/>
        <w:rPr>
          <w:i/>
          <w:iCs/>
        </w:rPr>
      </w:pPr>
      <w:r w:rsidRPr="00CD6C76">
        <w:rPr>
          <w:snapToGrid w:val="0"/>
        </w:rPr>
        <w:t xml:space="preserve">The PBAC noted that </w:t>
      </w:r>
      <w:r w:rsidR="00B24EA5">
        <w:rPr>
          <w:snapToGrid w:val="0"/>
        </w:rPr>
        <w:t xml:space="preserve">additional </w:t>
      </w:r>
      <w:r w:rsidRPr="00CD6C76">
        <w:rPr>
          <w:snapToGrid w:val="0"/>
        </w:rPr>
        <w:t xml:space="preserve">supportive evidence demonstrating the efficacy of pertuzumab in addition to </w:t>
      </w:r>
      <w:r w:rsidR="007209FF" w:rsidRPr="00CD6C76">
        <w:rPr>
          <w:snapToGrid w:val="0"/>
        </w:rPr>
        <w:t xml:space="preserve">chemotherapy regimens containing an anthracycline was presented. </w:t>
      </w:r>
      <w:r w:rsidR="00CD6C76">
        <w:rPr>
          <w:snapToGrid w:val="0"/>
        </w:rPr>
        <w:t>T</w:t>
      </w:r>
      <w:r w:rsidR="00CD6C76" w:rsidRPr="00CD6C76">
        <w:rPr>
          <w:snapToGrid w:val="0"/>
        </w:rPr>
        <w:t xml:space="preserve">he resubmission identified 14 observational studies comparing </w:t>
      </w:r>
      <w:proofErr w:type="spellStart"/>
      <w:r w:rsidR="00CD6C76" w:rsidRPr="00CD6C76">
        <w:rPr>
          <w:snapToGrid w:val="0"/>
        </w:rPr>
        <w:t>P+T+Chemo</w:t>
      </w:r>
      <w:proofErr w:type="spellEnd"/>
      <w:r w:rsidR="00CD6C76" w:rsidRPr="00CD6C76">
        <w:rPr>
          <w:snapToGrid w:val="0"/>
        </w:rPr>
        <w:t xml:space="preserve"> to </w:t>
      </w:r>
      <w:proofErr w:type="spellStart"/>
      <w:r w:rsidR="00CD6C76" w:rsidRPr="00CD6C76">
        <w:rPr>
          <w:snapToGrid w:val="0"/>
        </w:rPr>
        <w:t>T+Chemo</w:t>
      </w:r>
      <w:proofErr w:type="spellEnd"/>
      <w:r w:rsidR="00CD6C76" w:rsidRPr="00CD6C76">
        <w:rPr>
          <w:snapToGrid w:val="0"/>
        </w:rPr>
        <w:t xml:space="preserve"> where the neoadjuvant chemotherapy backbone included anthracyclines</w:t>
      </w:r>
      <w:r w:rsidR="00CD6C76">
        <w:rPr>
          <w:snapToGrid w:val="0"/>
        </w:rPr>
        <w:t xml:space="preserve">. </w:t>
      </w:r>
      <w:r w:rsidR="00150058" w:rsidRPr="00873941">
        <w:t>The difference</w:t>
      </w:r>
      <w:r w:rsidR="00242023">
        <w:t xml:space="preserve"> in pCR rate</w:t>
      </w:r>
      <w:r w:rsidR="00150058" w:rsidRPr="00873941">
        <w:t xml:space="preserve"> between </w:t>
      </w:r>
      <w:proofErr w:type="spellStart"/>
      <w:r w:rsidR="00150058" w:rsidRPr="00873941">
        <w:t>P+T+Chemo</w:t>
      </w:r>
      <w:proofErr w:type="spellEnd"/>
      <w:r w:rsidR="00150058" w:rsidRPr="00873941">
        <w:t xml:space="preserve"> </w:t>
      </w:r>
      <w:r w:rsidR="00295829">
        <w:t>and</w:t>
      </w:r>
      <w:r w:rsidR="00150058" w:rsidRPr="00873941">
        <w:t xml:space="preserve"> </w:t>
      </w:r>
      <w:proofErr w:type="spellStart"/>
      <w:r w:rsidR="00150058" w:rsidRPr="00873941">
        <w:t>T+Chemo</w:t>
      </w:r>
      <w:proofErr w:type="spellEnd"/>
      <w:r w:rsidR="00150058" w:rsidRPr="00873941">
        <w:t xml:space="preserve"> among the observational studies involving a range of chemotherapies was similar to that in the NEOSPHERE and PEONY trials where docetaxel was administered</w:t>
      </w:r>
      <w:r w:rsidR="00150058" w:rsidRPr="00B66841">
        <w:t xml:space="preserve">. The </w:t>
      </w:r>
      <w:r w:rsidR="00295829">
        <w:t>PBAC</w:t>
      </w:r>
      <w:r w:rsidR="00150058" w:rsidRPr="00B66841">
        <w:t xml:space="preserve"> noted the limitations of the observational studies but considered the additional data presented helped to address </w:t>
      </w:r>
      <w:r w:rsidR="00295829">
        <w:t>its</w:t>
      </w:r>
      <w:r w:rsidR="00150058" w:rsidRPr="00B66841">
        <w:t xml:space="preserve"> previous concern regarding the effectiveness of pertuzumab when used with anthracyclines.</w:t>
      </w:r>
    </w:p>
    <w:p w14:paraId="5E775439" w14:textId="49D5B225" w:rsidR="00144BED" w:rsidRPr="004C5C1E" w:rsidRDefault="00144BED" w:rsidP="00144BED">
      <w:pPr>
        <w:pStyle w:val="3-BodyText"/>
        <w:spacing w:before="0" w:after="120"/>
        <w:rPr>
          <w:lang w:val="en-GB"/>
        </w:rPr>
      </w:pPr>
      <w:r>
        <w:rPr>
          <w:bCs/>
          <w:lang w:val="en-GB"/>
        </w:rPr>
        <w:t xml:space="preserve">The PBAC considered the claim of inferior safety of </w:t>
      </w:r>
      <w:proofErr w:type="spellStart"/>
      <w:r>
        <w:rPr>
          <w:bCs/>
          <w:lang w:val="en-GB"/>
        </w:rPr>
        <w:t>Ptz+T+</w:t>
      </w:r>
      <w:r w:rsidR="00482B43">
        <w:rPr>
          <w:bCs/>
          <w:lang w:val="en-GB"/>
        </w:rPr>
        <w:t>Chemo</w:t>
      </w:r>
      <w:proofErr w:type="spellEnd"/>
      <w:r>
        <w:rPr>
          <w:bCs/>
          <w:lang w:val="en-GB"/>
        </w:rPr>
        <w:t xml:space="preserve"> compared with </w:t>
      </w:r>
      <w:proofErr w:type="spellStart"/>
      <w:r>
        <w:rPr>
          <w:bCs/>
          <w:lang w:val="en-GB"/>
        </w:rPr>
        <w:t>T+</w:t>
      </w:r>
      <w:r w:rsidR="00482B43">
        <w:rPr>
          <w:bCs/>
          <w:lang w:val="en-GB"/>
        </w:rPr>
        <w:t>Chemo</w:t>
      </w:r>
      <w:proofErr w:type="spellEnd"/>
      <w:r>
        <w:rPr>
          <w:bCs/>
          <w:lang w:val="en-GB"/>
        </w:rPr>
        <w:t xml:space="preserve"> was </w:t>
      </w:r>
      <w:r w:rsidR="00482B43">
        <w:rPr>
          <w:bCs/>
          <w:lang w:val="en-GB"/>
        </w:rPr>
        <w:t>reasonable</w:t>
      </w:r>
      <w:r w:rsidR="00586CCC">
        <w:rPr>
          <w:bCs/>
          <w:lang w:val="en-GB"/>
        </w:rPr>
        <w:t>, noting</w:t>
      </w:r>
      <w:r>
        <w:rPr>
          <w:bCs/>
          <w:lang w:val="en-GB"/>
        </w:rPr>
        <w:t xml:space="preserve"> the </w:t>
      </w:r>
      <w:r w:rsidR="00242023">
        <w:rPr>
          <w:bCs/>
          <w:lang w:val="en-GB"/>
        </w:rPr>
        <w:t>substantial</w:t>
      </w:r>
      <w:r>
        <w:rPr>
          <w:bCs/>
          <w:lang w:val="en-GB"/>
        </w:rPr>
        <w:t xml:space="preserve"> increase in left ventricular systolic dysfunction in NEOSPHERE (8.4% vs 1.9% of patients)</w:t>
      </w:r>
      <w:r w:rsidR="00E35787">
        <w:rPr>
          <w:bCs/>
          <w:lang w:val="en-GB"/>
        </w:rPr>
        <w:t>,</w:t>
      </w:r>
      <w:r>
        <w:rPr>
          <w:bCs/>
          <w:lang w:val="en-GB"/>
        </w:rPr>
        <w:t xml:space="preserve"> and the </w:t>
      </w:r>
      <w:r w:rsidR="00242023">
        <w:rPr>
          <w:bCs/>
          <w:lang w:val="en-GB"/>
        </w:rPr>
        <w:t>substantial</w:t>
      </w:r>
      <w:r>
        <w:rPr>
          <w:bCs/>
          <w:lang w:val="en-GB"/>
        </w:rPr>
        <w:t xml:space="preserve"> increase in diarrhoea (38.5% vs 16.4% of patients) and infusion-related reactions (22.0% vs 9.1%) in PEONY.</w:t>
      </w:r>
    </w:p>
    <w:p w14:paraId="69001234" w14:textId="5FD8F21D" w:rsidR="004C5C1E" w:rsidRPr="00396B20" w:rsidRDefault="004C5C1E" w:rsidP="00144BED">
      <w:pPr>
        <w:pStyle w:val="3-BodyText"/>
        <w:spacing w:before="0" w:after="120"/>
        <w:rPr>
          <w:lang w:val="en-GB"/>
        </w:rPr>
      </w:pPr>
      <w:r>
        <w:rPr>
          <w:bCs/>
          <w:lang w:val="en-GB"/>
        </w:rPr>
        <w:t xml:space="preserve">The PBAC noted that the submission did not provide evidence for </w:t>
      </w:r>
      <w:r w:rsidR="005F5B27">
        <w:rPr>
          <w:bCs/>
          <w:lang w:val="en-GB"/>
        </w:rPr>
        <w:t>use of pertuzumab as adjuvant treatment</w:t>
      </w:r>
      <w:r w:rsidR="00507F51">
        <w:rPr>
          <w:bCs/>
          <w:lang w:val="en-GB"/>
        </w:rPr>
        <w:t xml:space="preserve"> as the </w:t>
      </w:r>
      <w:r w:rsidR="00BF70D7">
        <w:rPr>
          <w:bCs/>
          <w:lang w:val="en-GB"/>
        </w:rPr>
        <w:t>submission request was for neoadjuvant treatment only. However</w:t>
      </w:r>
      <w:r w:rsidR="00942896">
        <w:rPr>
          <w:bCs/>
          <w:lang w:val="en-GB"/>
        </w:rPr>
        <w:t>,</w:t>
      </w:r>
      <w:r w:rsidR="00BF70D7">
        <w:rPr>
          <w:bCs/>
          <w:lang w:val="en-GB"/>
        </w:rPr>
        <w:t xml:space="preserve"> the PBAC r</w:t>
      </w:r>
      <w:r w:rsidR="005F6102">
        <w:rPr>
          <w:bCs/>
          <w:lang w:val="en-GB"/>
        </w:rPr>
        <w:t xml:space="preserve">ecalled that </w:t>
      </w:r>
      <w:r w:rsidR="00BF70D7">
        <w:rPr>
          <w:bCs/>
          <w:lang w:val="en-GB"/>
        </w:rPr>
        <w:t xml:space="preserve">it had previously considered </w:t>
      </w:r>
      <w:r w:rsidR="006D748C">
        <w:rPr>
          <w:bCs/>
          <w:lang w:val="en-GB"/>
        </w:rPr>
        <w:t>evidence from the APHINITY trial</w:t>
      </w:r>
      <w:r w:rsidR="00C922BE">
        <w:rPr>
          <w:bCs/>
          <w:lang w:val="en-GB"/>
        </w:rPr>
        <w:t xml:space="preserve">, an RCT comparing </w:t>
      </w:r>
      <w:proofErr w:type="spellStart"/>
      <w:r w:rsidR="002448EC">
        <w:rPr>
          <w:bCs/>
          <w:lang w:val="en-GB"/>
        </w:rPr>
        <w:t>P+T+Chemo</w:t>
      </w:r>
      <w:proofErr w:type="spellEnd"/>
      <w:r w:rsidR="002448EC">
        <w:rPr>
          <w:bCs/>
          <w:lang w:val="en-GB"/>
        </w:rPr>
        <w:t xml:space="preserve"> vs </w:t>
      </w:r>
      <w:proofErr w:type="spellStart"/>
      <w:r w:rsidR="002448EC">
        <w:rPr>
          <w:bCs/>
          <w:lang w:val="en-GB"/>
        </w:rPr>
        <w:t>T+Chemo</w:t>
      </w:r>
      <w:proofErr w:type="spellEnd"/>
      <w:r w:rsidR="00EF2711">
        <w:rPr>
          <w:bCs/>
          <w:lang w:val="en-GB"/>
        </w:rPr>
        <w:t xml:space="preserve">, which showed </w:t>
      </w:r>
      <w:r w:rsidR="00316638" w:rsidRPr="00FA3564">
        <w:rPr>
          <w:rFonts w:cs="Calibri"/>
          <w:szCs w:val="24"/>
        </w:rPr>
        <w:t xml:space="preserve">the </w:t>
      </w:r>
      <w:proofErr w:type="spellStart"/>
      <w:r w:rsidR="00316638" w:rsidRPr="00FA3564">
        <w:rPr>
          <w:rFonts w:cs="Calibri"/>
          <w:szCs w:val="24"/>
        </w:rPr>
        <w:t>iDFS</w:t>
      </w:r>
      <w:proofErr w:type="spellEnd"/>
      <w:r w:rsidR="00316638" w:rsidRPr="00FA3564">
        <w:rPr>
          <w:rFonts w:cs="Calibri"/>
          <w:szCs w:val="24"/>
        </w:rPr>
        <w:t xml:space="preserve"> event-free rates for node-positive patients were 89.88% vs. 86.68% at 4 years (difference of 3.2%), respectively.</w:t>
      </w:r>
      <w:r w:rsidR="00942896">
        <w:rPr>
          <w:bCs/>
          <w:lang w:val="en-GB"/>
        </w:rPr>
        <w:t xml:space="preserve"> </w:t>
      </w:r>
      <w:r w:rsidR="00FE058D">
        <w:rPr>
          <w:bCs/>
          <w:lang w:val="en-GB"/>
        </w:rPr>
        <w:t xml:space="preserve">The PBAC noted that </w:t>
      </w:r>
      <w:r w:rsidR="00935068">
        <w:rPr>
          <w:bCs/>
          <w:lang w:val="en-GB"/>
        </w:rPr>
        <w:t>u</w:t>
      </w:r>
      <w:proofErr w:type="spellStart"/>
      <w:r w:rsidR="00935068" w:rsidRPr="00935068">
        <w:rPr>
          <w:bCs/>
        </w:rPr>
        <w:t>pdated</w:t>
      </w:r>
      <w:proofErr w:type="spellEnd"/>
      <w:r w:rsidR="00935068" w:rsidRPr="00935068">
        <w:rPr>
          <w:bCs/>
        </w:rPr>
        <w:t xml:space="preserve"> results of 8-year </w:t>
      </w:r>
      <w:proofErr w:type="spellStart"/>
      <w:r w:rsidR="00935068" w:rsidRPr="00935068">
        <w:rPr>
          <w:bCs/>
        </w:rPr>
        <w:t>iDFS</w:t>
      </w:r>
      <w:proofErr w:type="spellEnd"/>
      <w:r w:rsidR="00935068" w:rsidRPr="00935068">
        <w:rPr>
          <w:bCs/>
        </w:rPr>
        <w:t xml:space="preserve"> in the node-positive cohort showed an absolute improvement of 4.9% favo</w:t>
      </w:r>
      <w:r w:rsidR="00935068">
        <w:rPr>
          <w:bCs/>
        </w:rPr>
        <w:t>u</w:t>
      </w:r>
      <w:r w:rsidR="00935068" w:rsidRPr="00935068">
        <w:rPr>
          <w:bCs/>
        </w:rPr>
        <w:t>ring pertuzumab (86.1% </w:t>
      </w:r>
      <w:r w:rsidR="00935068" w:rsidRPr="004F6C2A">
        <w:rPr>
          <w:bCs/>
        </w:rPr>
        <w:t>v</w:t>
      </w:r>
      <w:r w:rsidR="004447D0" w:rsidRPr="004F6C2A">
        <w:rPr>
          <w:bCs/>
        </w:rPr>
        <w:t>s</w:t>
      </w:r>
      <w:r w:rsidR="004F6C2A">
        <w:rPr>
          <w:bCs/>
        </w:rPr>
        <w:t>.</w:t>
      </w:r>
      <w:r w:rsidR="00935068" w:rsidRPr="00935068">
        <w:rPr>
          <w:bCs/>
        </w:rPr>
        <w:t> 81.2%; HR</w:t>
      </w:r>
      <w:r w:rsidR="006C49BA">
        <w:rPr>
          <w:bCs/>
        </w:rPr>
        <w:t>:</w:t>
      </w:r>
      <w:r w:rsidR="00935068" w:rsidRPr="00935068">
        <w:rPr>
          <w:bCs/>
        </w:rPr>
        <w:t xml:space="preserve"> 0.72</w:t>
      </w:r>
      <w:r w:rsidR="006C49BA">
        <w:rPr>
          <w:bCs/>
        </w:rPr>
        <w:t>,</w:t>
      </w:r>
      <w:r w:rsidR="00935068" w:rsidRPr="00935068">
        <w:rPr>
          <w:bCs/>
        </w:rPr>
        <w:t xml:space="preserve"> 95% CI</w:t>
      </w:r>
      <w:r w:rsidR="006C49BA">
        <w:rPr>
          <w:bCs/>
        </w:rPr>
        <w:t>:</w:t>
      </w:r>
      <w:r w:rsidR="00935068" w:rsidRPr="00935068">
        <w:rPr>
          <w:bCs/>
        </w:rPr>
        <w:t xml:space="preserve"> 0.60</w:t>
      </w:r>
      <w:r w:rsidR="006C49BA">
        <w:rPr>
          <w:bCs/>
        </w:rPr>
        <w:t>-</w:t>
      </w:r>
      <w:r w:rsidR="00935068" w:rsidRPr="00935068">
        <w:rPr>
          <w:bCs/>
        </w:rPr>
        <w:t>0.87])</w:t>
      </w:r>
      <w:r w:rsidR="004F6C2A">
        <w:rPr>
          <w:bCs/>
        </w:rPr>
        <w:t xml:space="preserve">. </w:t>
      </w:r>
      <w:r w:rsidR="007935B0">
        <w:rPr>
          <w:bCs/>
        </w:rPr>
        <w:t xml:space="preserve">The PBAC noted that the APHINITY trial did not include patients treated in the neoadjuvant setting, </w:t>
      </w:r>
      <w:r w:rsidR="00D44EEB">
        <w:rPr>
          <w:bCs/>
        </w:rPr>
        <w:t xml:space="preserve">and therefore the outcomes are only directly relevant to patients </w:t>
      </w:r>
      <w:r w:rsidR="004C60A3">
        <w:rPr>
          <w:bCs/>
        </w:rPr>
        <w:t>initi</w:t>
      </w:r>
      <w:r w:rsidR="001539E5">
        <w:rPr>
          <w:bCs/>
        </w:rPr>
        <w:t>ally considered node negative, or who elect to</w:t>
      </w:r>
      <w:r w:rsidR="005A4052" w:rsidRPr="005A4052">
        <w:rPr>
          <w:bCs/>
        </w:rPr>
        <w:t xml:space="preserve"> </w:t>
      </w:r>
      <w:r w:rsidR="005A4052">
        <w:rPr>
          <w:bCs/>
        </w:rPr>
        <w:t>not</w:t>
      </w:r>
      <w:r w:rsidR="001539E5">
        <w:rPr>
          <w:bCs/>
        </w:rPr>
        <w:t xml:space="preserve"> undergo neoadjuvant treatment prior to </w:t>
      </w:r>
      <w:r w:rsidR="007F2262">
        <w:rPr>
          <w:bCs/>
        </w:rPr>
        <w:t xml:space="preserve">surgery. The PBAC noted that </w:t>
      </w:r>
      <w:r w:rsidR="00A27AB4">
        <w:rPr>
          <w:bCs/>
        </w:rPr>
        <w:t xml:space="preserve">the PEONY trial </w:t>
      </w:r>
      <w:r w:rsidR="00162A8A">
        <w:rPr>
          <w:bCs/>
        </w:rPr>
        <w:t xml:space="preserve">provided </w:t>
      </w:r>
      <w:r w:rsidR="0007607D">
        <w:rPr>
          <w:bCs/>
        </w:rPr>
        <w:t xml:space="preserve">very </w:t>
      </w:r>
      <w:r w:rsidR="00162A8A">
        <w:rPr>
          <w:bCs/>
        </w:rPr>
        <w:t>limited</w:t>
      </w:r>
      <w:r w:rsidR="007F2262">
        <w:rPr>
          <w:bCs/>
        </w:rPr>
        <w:t xml:space="preserve"> evidence for </w:t>
      </w:r>
      <w:r w:rsidR="000C4B2F">
        <w:rPr>
          <w:bCs/>
        </w:rPr>
        <w:t xml:space="preserve">adjuvant </w:t>
      </w:r>
      <w:r w:rsidR="000C4B2F">
        <w:rPr>
          <w:bCs/>
        </w:rPr>
        <w:lastRenderedPageBreak/>
        <w:t xml:space="preserve">treatment </w:t>
      </w:r>
      <w:r w:rsidR="00DB61A1">
        <w:rPr>
          <w:bCs/>
        </w:rPr>
        <w:t xml:space="preserve">with P+T </w:t>
      </w:r>
      <w:r w:rsidR="000C4B2F">
        <w:rPr>
          <w:bCs/>
        </w:rPr>
        <w:t xml:space="preserve">following neoadjuvant </w:t>
      </w:r>
      <w:proofErr w:type="spellStart"/>
      <w:r w:rsidR="00B05516">
        <w:rPr>
          <w:bCs/>
        </w:rPr>
        <w:t>P+T+Chemo</w:t>
      </w:r>
      <w:proofErr w:type="spellEnd"/>
      <w:r w:rsidR="00242023">
        <w:rPr>
          <w:bCs/>
        </w:rPr>
        <w:t xml:space="preserve"> as it was a small trial with limited applicability </w:t>
      </w:r>
      <w:r w:rsidR="0007607D">
        <w:t>and the extent of benefit from pertuzumab treatment in the adjuvant setting was unclear as patients in the control arm did not receive neoadjuvant pertuzumab. However</w:t>
      </w:r>
      <w:r w:rsidR="00530E84">
        <w:rPr>
          <w:bCs/>
        </w:rPr>
        <w:t>,</w:t>
      </w:r>
      <w:r w:rsidR="000C4B2F">
        <w:rPr>
          <w:bCs/>
        </w:rPr>
        <w:t xml:space="preserve"> the </w:t>
      </w:r>
      <w:r w:rsidR="001815C6">
        <w:rPr>
          <w:bCs/>
        </w:rPr>
        <w:t>Australian PI recommends p</w:t>
      </w:r>
      <w:r w:rsidR="001815C6" w:rsidRPr="001815C6">
        <w:rPr>
          <w:bCs/>
        </w:rPr>
        <w:t xml:space="preserve">atients who start </w:t>
      </w:r>
      <w:proofErr w:type="spellStart"/>
      <w:r w:rsidR="001815C6">
        <w:rPr>
          <w:bCs/>
        </w:rPr>
        <w:t>P+T+Chemo</w:t>
      </w:r>
      <w:proofErr w:type="spellEnd"/>
      <w:r w:rsidR="001815C6" w:rsidRPr="001815C6">
        <w:rPr>
          <w:bCs/>
        </w:rPr>
        <w:t xml:space="preserve"> in the neoadjuvant setting should continue to receive adjuvant </w:t>
      </w:r>
      <w:r w:rsidR="001815C6">
        <w:rPr>
          <w:bCs/>
        </w:rPr>
        <w:t>P+T</w:t>
      </w:r>
      <w:r w:rsidR="001815C6" w:rsidRPr="001815C6">
        <w:rPr>
          <w:bCs/>
        </w:rPr>
        <w:t xml:space="preserve"> to complete one year of treatment</w:t>
      </w:r>
      <w:r w:rsidR="00530E84">
        <w:rPr>
          <w:bCs/>
        </w:rPr>
        <w:t>, and international guidelines include adjuvant pertuzumab</w:t>
      </w:r>
      <w:r w:rsidR="003D112F">
        <w:rPr>
          <w:bCs/>
        </w:rPr>
        <w:t xml:space="preserve"> as a treatment option for </w:t>
      </w:r>
      <w:r w:rsidR="002712C8">
        <w:rPr>
          <w:bCs/>
        </w:rPr>
        <w:t xml:space="preserve">lymph node positive </w:t>
      </w:r>
      <w:r w:rsidR="003D112F">
        <w:rPr>
          <w:bCs/>
        </w:rPr>
        <w:t xml:space="preserve">patients </w:t>
      </w:r>
      <w:r w:rsidR="00463AC3">
        <w:rPr>
          <w:bCs/>
        </w:rPr>
        <w:t>who have</w:t>
      </w:r>
      <w:r w:rsidR="003D112F">
        <w:rPr>
          <w:bCs/>
        </w:rPr>
        <w:t xml:space="preserve"> </w:t>
      </w:r>
      <w:r w:rsidR="00E336C9">
        <w:rPr>
          <w:bCs/>
        </w:rPr>
        <w:t>pCR</w:t>
      </w:r>
      <w:r w:rsidR="002712C8">
        <w:rPr>
          <w:bCs/>
        </w:rPr>
        <w:t xml:space="preserve"> following surgery</w:t>
      </w:r>
      <w:r w:rsidR="00E336C9">
        <w:rPr>
          <w:bCs/>
        </w:rPr>
        <w:t>.</w:t>
      </w:r>
    </w:p>
    <w:p w14:paraId="779C4AA4" w14:textId="456C4F70" w:rsidR="00176DF3" w:rsidRDefault="00425BEB" w:rsidP="00D856D2">
      <w:pPr>
        <w:widowControl w:val="0"/>
        <w:numPr>
          <w:ilvl w:val="1"/>
          <w:numId w:val="5"/>
        </w:numPr>
        <w:spacing w:after="120"/>
        <w:rPr>
          <w:rFonts w:asciiTheme="minorHAnsi" w:hAnsiTheme="minorHAnsi"/>
          <w:snapToGrid w:val="0"/>
        </w:rPr>
      </w:pPr>
      <w:r w:rsidRPr="00425BEB">
        <w:rPr>
          <w:rFonts w:asciiTheme="minorHAnsi" w:hAnsiTheme="minorHAnsi"/>
          <w:snapToGrid w:val="0"/>
        </w:rPr>
        <w:t xml:space="preserve">The </w:t>
      </w:r>
      <w:r>
        <w:rPr>
          <w:rFonts w:asciiTheme="minorHAnsi" w:hAnsiTheme="minorHAnsi"/>
          <w:snapToGrid w:val="0"/>
        </w:rPr>
        <w:t xml:space="preserve">PBAC noted the </w:t>
      </w:r>
      <w:r w:rsidRPr="00425BEB">
        <w:rPr>
          <w:rFonts w:asciiTheme="minorHAnsi" w:hAnsiTheme="minorHAnsi"/>
          <w:snapToGrid w:val="0"/>
        </w:rPr>
        <w:t xml:space="preserve">resubmission presented a </w:t>
      </w:r>
      <w:r w:rsidR="0082653A">
        <w:rPr>
          <w:rFonts w:asciiTheme="minorHAnsi" w:hAnsiTheme="minorHAnsi"/>
          <w:snapToGrid w:val="0"/>
        </w:rPr>
        <w:t>cost-effectiveness analysis</w:t>
      </w:r>
      <w:r w:rsidRPr="00425BEB">
        <w:rPr>
          <w:rFonts w:asciiTheme="minorHAnsi" w:hAnsiTheme="minorHAnsi"/>
          <w:snapToGrid w:val="0"/>
        </w:rPr>
        <w:t xml:space="preserve"> comparing </w:t>
      </w:r>
      <w:proofErr w:type="spellStart"/>
      <w:r w:rsidRPr="00425BEB">
        <w:rPr>
          <w:rFonts w:asciiTheme="minorHAnsi" w:hAnsiTheme="minorHAnsi"/>
          <w:snapToGrid w:val="0"/>
        </w:rPr>
        <w:t>P+T+Chemo</w:t>
      </w:r>
      <w:proofErr w:type="spellEnd"/>
      <w:r w:rsidRPr="00425BEB">
        <w:rPr>
          <w:rFonts w:asciiTheme="minorHAnsi" w:hAnsiTheme="minorHAnsi"/>
          <w:snapToGrid w:val="0"/>
        </w:rPr>
        <w:t xml:space="preserve"> versus </w:t>
      </w:r>
      <w:proofErr w:type="spellStart"/>
      <w:r w:rsidRPr="00425BEB">
        <w:rPr>
          <w:rFonts w:asciiTheme="minorHAnsi" w:hAnsiTheme="minorHAnsi"/>
          <w:snapToGrid w:val="0"/>
        </w:rPr>
        <w:t>T+Chemo</w:t>
      </w:r>
      <w:proofErr w:type="spellEnd"/>
      <w:r w:rsidRPr="00425BEB">
        <w:rPr>
          <w:rFonts w:asciiTheme="minorHAnsi" w:hAnsiTheme="minorHAnsi"/>
          <w:snapToGrid w:val="0"/>
        </w:rPr>
        <w:t xml:space="preserve"> in the neoadjuvant setting for patients with HER2-positive high-risk </w:t>
      </w:r>
      <w:proofErr w:type="spellStart"/>
      <w:r w:rsidRPr="00425BEB">
        <w:rPr>
          <w:rFonts w:asciiTheme="minorHAnsi" w:hAnsiTheme="minorHAnsi"/>
          <w:snapToGrid w:val="0"/>
        </w:rPr>
        <w:t>eBC</w:t>
      </w:r>
      <w:proofErr w:type="spellEnd"/>
      <w:r w:rsidRPr="00425BEB">
        <w:rPr>
          <w:rFonts w:asciiTheme="minorHAnsi" w:hAnsiTheme="minorHAnsi"/>
          <w:snapToGrid w:val="0"/>
        </w:rPr>
        <w:t xml:space="preserve">. The economic evaluation was changed from the March 2020 submission and was largely based on the economic model presented for T-DM1 (November 2019 submission) as an adjuvant treatment for patients with </w:t>
      </w:r>
      <w:proofErr w:type="spellStart"/>
      <w:r w:rsidRPr="00425BEB">
        <w:rPr>
          <w:rFonts w:asciiTheme="minorHAnsi" w:hAnsiTheme="minorHAnsi"/>
          <w:snapToGrid w:val="0"/>
        </w:rPr>
        <w:t>eBC</w:t>
      </w:r>
      <w:proofErr w:type="spellEnd"/>
      <w:r w:rsidRPr="00425BEB">
        <w:rPr>
          <w:rFonts w:asciiTheme="minorHAnsi" w:hAnsiTheme="minorHAnsi"/>
          <w:snapToGrid w:val="0"/>
        </w:rPr>
        <w:t xml:space="preserve"> and residual disease.</w:t>
      </w:r>
      <w:r w:rsidR="00D856D2">
        <w:rPr>
          <w:rFonts w:asciiTheme="minorHAnsi" w:hAnsiTheme="minorHAnsi"/>
          <w:snapToGrid w:val="0"/>
        </w:rPr>
        <w:t xml:space="preserve"> </w:t>
      </w:r>
      <w:r w:rsidR="00D856D2" w:rsidRPr="00D856D2">
        <w:rPr>
          <w:rFonts w:asciiTheme="minorHAnsi" w:hAnsiTheme="minorHAnsi"/>
          <w:snapToGrid w:val="0"/>
        </w:rPr>
        <w:t xml:space="preserve">The economic model assumed that patients who did not have pCR following neoadjuvant treatment received T-DM1 or trastuzumab in the adjuvant phase, while patients who responded to neoadjuvant treatment received trastuzumab only in the adjuvant phase. The </w:t>
      </w:r>
      <w:r w:rsidR="003F5A4B">
        <w:rPr>
          <w:rFonts w:asciiTheme="minorHAnsi" w:hAnsiTheme="minorHAnsi"/>
          <w:snapToGrid w:val="0"/>
        </w:rPr>
        <w:t xml:space="preserve">PBAC noted that the model was driven by the </w:t>
      </w:r>
      <w:r w:rsidR="009E1578">
        <w:rPr>
          <w:rFonts w:asciiTheme="minorHAnsi" w:hAnsiTheme="minorHAnsi"/>
          <w:snapToGrid w:val="0"/>
        </w:rPr>
        <w:t>increase in</w:t>
      </w:r>
      <w:r w:rsidR="009E1578" w:rsidRPr="00D856D2">
        <w:rPr>
          <w:rFonts w:asciiTheme="minorHAnsi" w:hAnsiTheme="minorHAnsi"/>
          <w:snapToGrid w:val="0"/>
        </w:rPr>
        <w:t xml:space="preserve"> </w:t>
      </w:r>
      <w:r w:rsidR="00D856D2" w:rsidRPr="00D856D2">
        <w:rPr>
          <w:rFonts w:asciiTheme="minorHAnsi" w:hAnsiTheme="minorHAnsi"/>
          <w:snapToGrid w:val="0"/>
        </w:rPr>
        <w:t xml:space="preserve">pCR </w:t>
      </w:r>
      <w:r w:rsidR="009E1578">
        <w:rPr>
          <w:rFonts w:asciiTheme="minorHAnsi" w:hAnsiTheme="minorHAnsi"/>
          <w:snapToGrid w:val="0"/>
        </w:rPr>
        <w:t>when</w:t>
      </w:r>
      <w:r w:rsidR="009E1578" w:rsidRPr="00D856D2">
        <w:rPr>
          <w:rFonts w:asciiTheme="minorHAnsi" w:hAnsiTheme="minorHAnsi"/>
          <w:snapToGrid w:val="0"/>
        </w:rPr>
        <w:t xml:space="preserve"> </w:t>
      </w:r>
      <w:r w:rsidR="00D856D2" w:rsidRPr="00D856D2">
        <w:rPr>
          <w:rFonts w:asciiTheme="minorHAnsi" w:hAnsiTheme="minorHAnsi"/>
          <w:snapToGrid w:val="0"/>
        </w:rPr>
        <w:t xml:space="preserve">using neoadjuvant </w:t>
      </w:r>
      <w:proofErr w:type="spellStart"/>
      <w:r w:rsidR="00D856D2" w:rsidRPr="00D856D2">
        <w:rPr>
          <w:rFonts w:asciiTheme="minorHAnsi" w:hAnsiTheme="minorHAnsi"/>
          <w:snapToGrid w:val="0"/>
        </w:rPr>
        <w:t>P+T+Chemo</w:t>
      </w:r>
      <w:proofErr w:type="spellEnd"/>
      <w:r w:rsidR="00D856D2" w:rsidRPr="00D856D2">
        <w:rPr>
          <w:rFonts w:asciiTheme="minorHAnsi" w:hAnsiTheme="minorHAnsi"/>
          <w:snapToGrid w:val="0"/>
        </w:rPr>
        <w:t xml:space="preserve"> </w:t>
      </w:r>
      <w:r w:rsidR="00186582">
        <w:rPr>
          <w:rFonts w:asciiTheme="minorHAnsi" w:hAnsiTheme="minorHAnsi"/>
          <w:snapToGrid w:val="0"/>
        </w:rPr>
        <w:t>which resulted in</w:t>
      </w:r>
      <w:r w:rsidR="00D856D2" w:rsidRPr="00D856D2">
        <w:rPr>
          <w:rFonts w:asciiTheme="minorHAnsi" w:hAnsiTheme="minorHAnsi"/>
          <w:snapToGrid w:val="0"/>
        </w:rPr>
        <w:t xml:space="preserve"> reduced utilisation and cost of adjuvant T-DM1, and an improvement in </w:t>
      </w:r>
      <w:proofErr w:type="spellStart"/>
      <w:r w:rsidR="00D856D2" w:rsidRPr="00D856D2">
        <w:rPr>
          <w:rFonts w:asciiTheme="minorHAnsi" w:hAnsiTheme="minorHAnsi"/>
          <w:snapToGrid w:val="0"/>
        </w:rPr>
        <w:t>iDFS</w:t>
      </w:r>
      <w:proofErr w:type="spellEnd"/>
      <w:r w:rsidR="003F5A4B">
        <w:rPr>
          <w:rFonts w:asciiTheme="minorHAnsi" w:hAnsiTheme="minorHAnsi"/>
          <w:snapToGrid w:val="0"/>
        </w:rPr>
        <w:t>,</w:t>
      </w:r>
      <w:r w:rsidR="00D856D2" w:rsidRPr="00D856D2">
        <w:rPr>
          <w:rFonts w:asciiTheme="minorHAnsi" w:hAnsiTheme="minorHAnsi"/>
          <w:snapToGrid w:val="0"/>
        </w:rPr>
        <w:t xml:space="preserve"> life years and QALYs.</w:t>
      </w:r>
      <w:r w:rsidR="00D268D9">
        <w:rPr>
          <w:rFonts w:asciiTheme="minorHAnsi" w:hAnsiTheme="minorHAnsi"/>
          <w:snapToGrid w:val="0"/>
        </w:rPr>
        <w:t xml:space="preserve"> The PB</w:t>
      </w:r>
      <w:r w:rsidR="00FA76A7">
        <w:rPr>
          <w:rFonts w:asciiTheme="minorHAnsi" w:hAnsiTheme="minorHAnsi"/>
          <w:snapToGrid w:val="0"/>
        </w:rPr>
        <w:t xml:space="preserve">AC </w:t>
      </w:r>
      <w:r w:rsidR="00186582">
        <w:rPr>
          <w:rFonts w:asciiTheme="minorHAnsi" w:hAnsiTheme="minorHAnsi"/>
          <w:snapToGrid w:val="0"/>
        </w:rPr>
        <w:t xml:space="preserve">considered that the revised approach to the model </w:t>
      </w:r>
      <w:r w:rsidR="00176DF3">
        <w:rPr>
          <w:rFonts w:asciiTheme="minorHAnsi" w:hAnsiTheme="minorHAnsi"/>
          <w:snapToGrid w:val="0"/>
        </w:rPr>
        <w:t xml:space="preserve">in the resubmission </w:t>
      </w:r>
      <w:r w:rsidR="00186582">
        <w:rPr>
          <w:rFonts w:asciiTheme="minorHAnsi" w:hAnsiTheme="minorHAnsi"/>
          <w:snapToGrid w:val="0"/>
        </w:rPr>
        <w:t>was appropriate</w:t>
      </w:r>
      <w:r w:rsidR="00176DF3">
        <w:rPr>
          <w:rFonts w:asciiTheme="minorHAnsi" w:hAnsiTheme="minorHAnsi"/>
          <w:snapToGrid w:val="0"/>
        </w:rPr>
        <w:t xml:space="preserve">. </w:t>
      </w:r>
    </w:p>
    <w:p w14:paraId="5987F201" w14:textId="6A3D4763" w:rsidR="002A06E6" w:rsidRPr="002A06E6" w:rsidRDefault="008E2ED8" w:rsidP="002A06E6">
      <w:pPr>
        <w:widowControl w:val="0"/>
        <w:numPr>
          <w:ilvl w:val="1"/>
          <w:numId w:val="5"/>
        </w:numPr>
        <w:spacing w:after="120"/>
        <w:rPr>
          <w:rFonts w:asciiTheme="minorHAnsi" w:hAnsiTheme="minorHAnsi"/>
          <w:snapToGrid w:val="0"/>
        </w:rPr>
      </w:pPr>
      <w:r>
        <w:rPr>
          <w:rFonts w:asciiTheme="minorHAnsi" w:hAnsiTheme="minorHAnsi"/>
          <w:snapToGrid w:val="0"/>
        </w:rPr>
        <w:t xml:space="preserve">The PBAC noted that the </w:t>
      </w:r>
      <w:r w:rsidR="00C525CF">
        <w:rPr>
          <w:rFonts w:asciiTheme="minorHAnsi" w:hAnsiTheme="minorHAnsi"/>
          <w:snapToGrid w:val="0"/>
        </w:rPr>
        <w:t>model used a time horizon of 40 years</w:t>
      </w:r>
      <w:r w:rsidR="0089368D">
        <w:rPr>
          <w:rFonts w:asciiTheme="minorHAnsi" w:hAnsiTheme="minorHAnsi"/>
          <w:snapToGrid w:val="0"/>
        </w:rPr>
        <w:t xml:space="preserve">, which it considered was too long, </w:t>
      </w:r>
      <w:r w:rsidR="00A448BD" w:rsidRPr="00A448BD">
        <w:rPr>
          <w:rFonts w:asciiTheme="minorHAnsi" w:hAnsiTheme="minorHAnsi"/>
          <w:snapToGrid w:val="0"/>
        </w:rPr>
        <w:t>given the mean age of patients at the start of the economic evaluation was 58.5 years</w:t>
      </w:r>
      <w:r w:rsidR="00A448BD">
        <w:rPr>
          <w:rFonts w:asciiTheme="minorHAnsi" w:hAnsiTheme="minorHAnsi"/>
          <w:snapToGrid w:val="0"/>
        </w:rPr>
        <w:t>. However, the PBAC noted that the model was not</w:t>
      </w:r>
      <w:r w:rsidR="00BD6433">
        <w:rPr>
          <w:rFonts w:asciiTheme="minorHAnsi" w:hAnsiTheme="minorHAnsi"/>
          <w:snapToGrid w:val="0"/>
        </w:rPr>
        <w:t xml:space="preserve"> sensitive to use of a 30 year time horizon, which it considered was more reasonable.</w:t>
      </w:r>
      <w:r w:rsidR="00A448BD" w:rsidRPr="00A448BD">
        <w:rPr>
          <w:rFonts w:asciiTheme="minorHAnsi" w:hAnsiTheme="minorHAnsi"/>
          <w:snapToGrid w:val="0"/>
        </w:rPr>
        <w:t xml:space="preserve"> </w:t>
      </w:r>
      <w:r w:rsidR="00176DF3">
        <w:rPr>
          <w:rFonts w:asciiTheme="minorHAnsi" w:hAnsiTheme="minorHAnsi"/>
          <w:snapToGrid w:val="0"/>
        </w:rPr>
        <w:t xml:space="preserve">The PBAC noted that the main areas of uncertainty in the economic model were the </w:t>
      </w:r>
      <w:r w:rsidR="00273460">
        <w:rPr>
          <w:rFonts w:asciiTheme="minorHAnsi" w:hAnsiTheme="minorHAnsi"/>
          <w:snapToGrid w:val="0"/>
        </w:rPr>
        <w:t>relative risk of recurrence and the estimated number of neoadjuvant cycles of pertuzumab</w:t>
      </w:r>
      <w:r w:rsidR="00D96FAB">
        <w:rPr>
          <w:rFonts w:asciiTheme="minorHAnsi" w:hAnsiTheme="minorHAnsi"/>
          <w:snapToGrid w:val="0"/>
        </w:rPr>
        <w:t>, both</w:t>
      </w:r>
      <w:r w:rsidR="00460619">
        <w:rPr>
          <w:rFonts w:asciiTheme="minorHAnsi" w:hAnsiTheme="minorHAnsi"/>
          <w:snapToGrid w:val="0"/>
        </w:rPr>
        <w:t xml:space="preserve"> of which</w:t>
      </w:r>
      <w:r w:rsidR="00D96FAB">
        <w:rPr>
          <w:rFonts w:asciiTheme="minorHAnsi" w:hAnsiTheme="minorHAnsi"/>
          <w:snapToGrid w:val="0"/>
        </w:rPr>
        <w:t xml:space="preserve"> had a substantial impact on the ICER</w:t>
      </w:r>
      <w:r w:rsidR="00273460">
        <w:rPr>
          <w:rFonts w:asciiTheme="minorHAnsi" w:hAnsiTheme="minorHAnsi"/>
          <w:snapToGrid w:val="0"/>
        </w:rPr>
        <w:t xml:space="preserve">. </w:t>
      </w:r>
      <w:r w:rsidR="00B15C80">
        <w:rPr>
          <w:rFonts w:asciiTheme="minorHAnsi" w:hAnsiTheme="minorHAnsi"/>
          <w:snapToGrid w:val="0"/>
        </w:rPr>
        <w:t xml:space="preserve">The PBAC considered that </w:t>
      </w:r>
      <w:r w:rsidR="008B6AAC">
        <w:rPr>
          <w:rFonts w:asciiTheme="minorHAnsi" w:hAnsiTheme="minorHAnsi"/>
          <w:snapToGrid w:val="0"/>
        </w:rPr>
        <w:t xml:space="preserve">the HR </w:t>
      </w:r>
      <w:r w:rsidR="002767E9">
        <w:rPr>
          <w:rFonts w:asciiTheme="minorHAnsi" w:hAnsiTheme="minorHAnsi"/>
          <w:snapToGrid w:val="0"/>
        </w:rPr>
        <w:t xml:space="preserve">for disease recurrence from Swain </w:t>
      </w:r>
      <w:r w:rsidR="00EC1390">
        <w:rPr>
          <w:rFonts w:asciiTheme="minorHAnsi" w:hAnsiTheme="minorHAnsi"/>
          <w:snapToGrid w:val="0"/>
        </w:rPr>
        <w:t>(2022)</w:t>
      </w:r>
      <w:r w:rsidR="009A7A18">
        <w:rPr>
          <w:rFonts w:asciiTheme="minorHAnsi" w:hAnsiTheme="minorHAnsi"/>
          <w:snapToGrid w:val="0"/>
        </w:rPr>
        <w:t xml:space="preserve"> was uncertain and may </w:t>
      </w:r>
      <w:r w:rsidR="009A21BB">
        <w:rPr>
          <w:rFonts w:asciiTheme="minorHAnsi" w:hAnsiTheme="minorHAnsi"/>
          <w:snapToGrid w:val="0"/>
        </w:rPr>
        <w:t>be optimistic</w:t>
      </w:r>
      <w:r w:rsidR="00C650DE">
        <w:rPr>
          <w:rFonts w:asciiTheme="minorHAnsi" w:hAnsiTheme="minorHAnsi"/>
          <w:snapToGrid w:val="0"/>
        </w:rPr>
        <w:t xml:space="preserve">, however </w:t>
      </w:r>
      <w:r w:rsidR="00FA0325">
        <w:rPr>
          <w:rFonts w:asciiTheme="minorHAnsi" w:hAnsiTheme="minorHAnsi"/>
          <w:snapToGrid w:val="0"/>
        </w:rPr>
        <w:t xml:space="preserve">acknowledged </w:t>
      </w:r>
      <w:r w:rsidR="007278C7">
        <w:rPr>
          <w:rFonts w:asciiTheme="minorHAnsi" w:hAnsiTheme="minorHAnsi"/>
          <w:snapToGrid w:val="0"/>
        </w:rPr>
        <w:t xml:space="preserve">it </w:t>
      </w:r>
      <w:r w:rsidR="007B7E1E">
        <w:rPr>
          <w:rFonts w:asciiTheme="minorHAnsi" w:hAnsiTheme="minorHAnsi"/>
          <w:snapToGrid w:val="0"/>
        </w:rPr>
        <w:t xml:space="preserve">was the most </w:t>
      </w:r>
      <w:r w:rsidR="00664B79">
        <w:rPr>
          <w:rFonts w:asciiTheme="minorHAnsi" w:hAnsiTheme="minorHAnsi"/>
          <w:snapToGrid w:val="0"/>
        </w:rPr>
        <w:t xml:space="preserve">directly </w:t>
      </w:r>
      <w:r w:rsidR="007B7E1E">
        <w:rPr>
          <w:rFonts w:asciiTheme="minorHAnsi" w:hAnsiTheme="minorHAnsi"/>
          <w:snapToGrid w:val="0"/>
        </w:rPr>
        <w:t>relevant data</w:t>
      </w:r>
      <w:r w:rsidR="00664B79">
        <w:rPr>
          <w:rFonts w:asciiTheme="minorHAnsi" w:hAnsiTheme="minorHAnsi"/>
          <w:snapToGrid w:val="0"/>
        </w:rPr>
        <w:t xml:space="preserve"> source to inform this input</w:t>
      </w:r>
      <w:r w:rsidR="009A21BB">
        <w:rPr>
          <w:rFonts w:asciiTheme="minorHAnsi" w:hAnsiTheme="minorHAnsi"/>
          <w:snapToGrid w:val="0"/>
        </w:rPr>
        <w:t>.</w:t>
      </w:r>
      <w:r w:rsidR="00664B79">
        <w:rPr>
          <w:rFonts w:asciiTheme="minorHAnsi" w:hAnsiTheme="minorHAnsi"/>
          <w:snapToGrid w:val="0"/>
        </w:rPr>
        <w:t xml:space="preserve"> The PBAC noted that the sponsor provided information </w:t>
      </w:r>
      <w:r w:rsidR="00A068A7">
        <w:rPr>
          <w:rFonts w:asciiTheme="minorHAnsi" w:hAnsiTheme="minorHAnsi"/>
          <w:snapToGrid w:val="0"/>
        </w:rPr>
        <w:t xml:space="preserve">regarding the duration of </w:t>
      </w:r>
      <w:r w:rsidR="00A068A7" w:rsidRPr="00DE2B1E">
        <w:rPr>
          <w:rFonts w:asciiTheme="minorHAnsi" w:hAnsiTheme="minorHAnsi"/>
          <w:snapToGrid w:val="0"/>
        </w:rPr>
        <w:t xml:space="preserve">pertuzumab treatment </w:t>
      </w:r>
      <w:r w:rsidR="00664B79" w:rsidRPr="00DE2B1E">
        <w:rPr>
          <w:rFonts w:asciiTheme="minorHAnsi" w:hAnsiTheme="minorHAnsi"/>
          <w:snapToGrid w:val="0"/>
        </w:rPr>
        <w:t xml:space="preserve">from the </w:t>
      </w:r>
      <w:r w:rsidR="00A068A7" w:rsidRPr="00DE2B1E">
        <w:rPr>
          <w:rFonts w:asciiTheme="minorHAnsi" w:hAnsiTheme="minorHAnsi"/>
          <w:snapToGrid w:val="0"/>
        </w:rPr>
        <w:t>patient access program</w:t>
      </w:r>
      <w:r w:rsidR="00614E3E" w:rsidRPr="00DE2B1E">
        <w:rPr>
          <w:rFonts w:asciiTheme="minorHAnsi" w:hAnsiTheme="minorHAnsi"/>
          <w:snapToGrid w:val="0"/>
        </w:rPr>
        <w:t>,</w:t>
      </w:r>
      <w:r w:rsidR="00A068A7" w:rsidRPr="00DE2B1E">
        <w:rPr>
          <w:rFonts w:asciiTheme="minorHAnsi" w:hAnsiTheme="minorHAnsi"/>
          <w:snapToGrid w:val="0"/>
        </w:rPr>
        <w:t xml:space="preserve"> </w:t>
      </w:r>
      <w:r w:rsidR="008001CC" w:rsidRPr="00DE2B1E">
        <w:rPr>
          <w:rFonts w:asciiTheme="minorHAnsi" w:hAnsiTheme="minorHAnsi"/>
          <w:snapToGrid w:val="0"/>
        </w:rPr>
        <w:t xml:space="preserve">as requested by the ESC. </w:t>
      </w:r>
      <w:r w:rsidR="00614E3E" w:rsidRPr="00DE2B1E">
        <w:rPr>
          <w:rFonts w:asciiTheme="minorHAnsi" w:hAnsiTheme="minorHAnsi"/>
          <w:snapToGrid w:val="0"/>
        </w:rPr>
        <w:t>The PBAC noted that this indicated that</w:t>
      </w:r>
      <w:r w:rsidR="00E02DD3" w:rsidRPr="00DE2B1E">
        <w:rPr>
          <w:rFonts w:asciiTheme="minorHAnsi" w:hAnsiTheme="minorHAnsi"/>
          <w:snapToGrid w:val="0"/>
        </w:rPr>
        <w:t>,</w:t>
      </w:r>
      <w:r w:rsidR="00614E3E" w:rsidRPr="00DE2B1E">
        <w:rPr>
          <w:rFonts w:asciiTheme="minorHAnsi" w:hAnsiTheme="minorHAnsi"/>
          <w:snapToGrid w:val="0"/>
        </w:rPr>
        <w:t xml:space="preserve"> </w:t>
      </w:r>
      <w:r w:rsidR="00E02DD3" w:rsidRPr="00DE2B1E">
        <w:rPr>
          <w:rFonts w:asciiTheme="minorHAnsi" w:hAnsiTheme="minorHAnsi"/>
          <w:snapToGrid w:val="0"/>
        </w:rPr>
        <w:t xml:space="preserve">on average, </w:t>
      </w:r>
      <w:r w:rsidR="00614E3E" w:rsidRPr="00DE2B1E">
        <w:rPr>
          <w:rFonts w:asciiTheme="minorHAnsi" w:hAnsiTheme="minorHAnsi"/>
          <w:snapToGrid w:val="0"/>
        </w:rPr>
        <w:t xml:space="preserve">patients received </w:t>
      </w:r>
      <w:r w:rsidR="00471EB9" w:rsidRPr="00471EB9">
        <w:rPr>
          <w:rFonts w:asciiTheme="minorHAnsi" w:hAnsiTheme="minorHAnsi"/>
          <w:snapToGrid w:val="0"/>
          <w:color w:val="000000"/>
          <w:w w:val="60"/>
          <w:shd w:val="solid" w:color="000000" w:fill="000000"/>
          <w:fitText w:val="470" w:id="-694407926"/>
          <w14:textFill>
            <w14:solidFill>
              <w14:srgbClr w14:val="000000">
                <w14:alpha w14:val="100000"/>
              </w14:srgbClr>
            </w14:solidFill>
          </w14:textFill>
        </w:rPr>
        <w:t>|||  ||</w:t>
      </w:r>
      <w:r w:rsidR="00471EB9" w:rsidRPr="00471EB9">
        <w:rPr>
          <w:rFonts w:asciiTheme="minorHAnsi" w:hAnsiTheme="minorHAnsi"/>
          <w:snapToGrid w:val="0"/>
          <w:color w:val="000000"/>
          <w:spacing w:val="6"/>
          <w:w w:val="60"/>
          <w:shd w:val="solid" w:color="000000" w:fill="000000"/>
          <w:fitText w:val="470" w:id="-694407926"/>
          <w14:textFill>
            <w14:solidFill>
              <w14:srgbClr w14:val="000000">
                <w14:alpha w14:val="100000"/>
              </w14:srgbClr>
            </w14:solidFill>
          </w14:textFill>
        </w:rPr>
        <w:t>|</w:t>
      </w:r>
      <w:r w:rsidR="00614E3E" w:rsidRPr="00DE2B1E">
        <w:rPr>
          <w:rFonts w:asciiTheme="minorHAnsi" w:hAnsiTheme="minorHAnsi"/>
          <w:snapToGrid w:val="0"/>
        </w:rPr>
        <w:t xml:space="preserve">cycles of </w:t>
      </w:r>
      <w:r w:rsidR="00E02DD3" w:rsidRPr="00DE2B1E">
        <w:rPr>
          <w:rFonts w:asciiTheme="minorHAnsi" w:hAnsiTheme="minorHAnsi"/>
          <w:snapToGrid w:val="0"/>
        </w:rPr>
        <w:t xml:space="preserve">neoadjuvant </w:t>
      </w:r>
      <w:r w:rsidR="00614E3E" w:rsidRPr="00DE2B1E">
        <w:rPr>
          <w:rFonts w:asciiTheme="minorHAnsi" w:hAnsiTheme="minorHAnsi"/>
          <w:snapToGrid w:val="0"/>
        </w:rPr>
        <w:t>pertuzumab</w:t>
      </w:r>
      <w:r w:rsidR="00BB4805" w:rsidRPr="00DE2B1E">
        <w:rPr>
          <w:rFonts w:asciiTheme="minorHAnsi" w:hAnsiTheme="minorHAnsi"/>
          <w:snapToGrid w:val="0"/>
        </w:rPr>
        <w:t xml:space="preserve">. </w:t>
      </w:r>
      <w:r w:rsidR="00CF3C66" w:rsidRPr="00DE2B1E">
        <w:rPr>
          <w:rFonts w:asciiTheme="minorHAnsi" w:hAnsiTheme="minorHAnsi"/>
          <w:snapToGrid w:val="0"/>
        </w:rPr>
        <w:t xml:space="preserve">Increasing the </w:t>
      </w:r>
      <w:r w:rsidR="00BF30B3" w:rsidRPr="00DE2B1E">
        <w:rPr>
          <w:rFonts w:asciiTheme="minorHAnsi" w:hAnsiTheme="minorHAnsi"/>
          <w:snapToGrid w:val="0"/>
        </w:rPr>
        <w:t xml:space="preserve">number of neoadjuvant pertuzumab cycles to </w:t>
      </w:r>
      <w:r w:rsidR="00471EB9" w:rsidRPr="00471EB9">
        <w:rPr>
          <w:rFonts w:asciiTheme="minorHAnsi" w:hAnsiTheme="minorHAnsi"/>
          <w:snapToGrid w:val="0"/>
          <w:color w:val="000000"/>
          <w:w w:val="60"/>
          <w:shd w:val="solid" w:color="000000" w:fill="000000"/>
          <w:fitText w:val="470" w:id="-694407925"/>
          <w14:textFill>
            <w14:solidFill>
              <w14:srgbClr w14:val="000000">
                <w14:alpha w14:val="100000"/>
              </w14:srgbClr>
            </w14:solidFill>
          </w14:textFill>
        </w:rPr>
        <w:t>|||  ||</w:t>
      </w:r>
      <w:r w:rsidR="00471EB9" w:rsidRPr="00471EB9">
        <w:rPr>
          <w:rFonts w:asciiTheme="minorHAnsi" w:hAnsiTheme="minorHAnsi"/>
          <w:snapToGrid w:val="0"/>
          <w:color w:val="000000"/>
          <w:spacing w:val="6"/>
          <w:w w:val="60"/>
          <w:shd w:val="solid" w:color="000000" w:fill="000000"/>
          <w:fitText w:val="470" w:id="-694407925"/>
          <w14:textFill>
            <w14:solidFill>
              <w14:srgbClr w14:val="000000">
                <w14:alpha w14:val="100000"/>
              </w14:srgbClr>
            </w14:solidFill>
          </w14:textFill>
        </w:rPr>
        <w:t>|</w:t>
      </w:r>
      <w:r w:rsidR="00BF30B3" w:rsidRPr="00DE2B1E">
        <w:rPr>
          <w:rFonts w:asciiTheme="minorHAnsi" w:hAnsiTheme="minorHAnsi"/>
          <w:snapToGrid w:val="0"/>
        </w:rPr>
        <w:t>, w</w:t>
      </w:r>
      <w:r w:rsidR="00BB4805" w:rsidRPr="00DE2B1E">
        <w:rPr>
          <w:rFonts w:asciiTheme="minorHAnsi" w:hAnsiTheme="minorHAnsi"/>
          <w:snapToGrid w:val="0"/>
        </w:rPr>
        <w:t>ithout any change in the underlying response rate, the ICER increased from</w:t>
      </w:r>
      <w:r w:rsidR="00BB4805" w:rsidRPr="002A06E6">
        <w:rPr>
          <w:rFonts w:asciiTheme="minorHAnsi" w:hAnsiTheme="minorHAnsi"/>
          <w:snapToGrid w:val="0"/>
        </w:rPr>
        <w:t xml:space="preserve"> </w:t>
      </w:r>
      <w:r w:rsidR="004D3561" w:rsidRPr="004D3561">
        <w:rPr>
          <w:rFonts w:asciiTheme="minorHAnsi" w:hAnsiTheme="minorHAnsi"/>
          <w:snapToGrid w:val="0"/>
        </w:rPr>
        <w:t>$25,000 to &lt; $35,000</w:t>
      </w:r>
      <w:r w:rsidR="0022338F">
        <w:rPr>
          <w:rFonts w:asciiTheme="minorHAnsi" w:hAnsiTheme="minorHAnsi"/>
          <w:snapToGrid w:val="0"/>
        </w:rPr>
        <w:t xml:space="preserve"> </w:t>
      </w:r>
      <w:r w:rsidR="00BB4805" w:rsidRPr="002A06E6">
        <w:rPr>
          <w:rFonts w:asciiTheme="minorHAnsi" w:hAnsiTheme="minorHAnsi"/>
          <w:snapToGrid w:val="0"/>
        </w:rPr>
        <w:t xml:space="preserve">to </w:t>
      </w:r>
      <w:r w:rsidR="00D67DE4" w:rsidRPr="00D67DE4">
        <w:rPr>
          <w:rFonts w:asciiTheme="minorHAnsi" w:hAnsiTheme="minorHAnsi"/>
          <w:snapToGrid w:val="0"/>
        </w:rPr>
        <w:t>$35,000 to &lt; $45,000</w:t>
      </w:r>
      <w:r w:rsidR="00C82167">
        <w:rPr>
          <w:rFonts w:asciiTheme="minorHAnsi" w:hAnsiTheme="minorHAnsi"/>
          <w:snapToGrid w:val="0"/>
        </w:rPr>
        <w:t xml:space="preserve"> </w:t>
      </w:r>
      <w:r w:rsidR="006E3985">
        <w:rPr>
          <w:rFonts w:asciiTheme="minorHAnsi" w:hAnsiTheme="minorHAnsi"/>
          <w:snapToGrid w:val="0"/>
        </w:rPr>
        <w:t>per QALY</w:t>
      </w:r>
      <w:r w:rsidR="00E02DD3">
        <w:rPr>
          <w:rFonts w:asciiTheme="minorHAnsi" w:hAnsiTheme="minorHAnsi"/>
          <w:snapToGrid w:val="0"/>
        </w:rPr>
        <w:t>.</w:t>
      </w:r>
      <w:r w:rsidR="008F26D4">
        <w:rPr>
          <w:rFonts w:asciiTheme="minorHAnsi" w:hAnsiTheme="minorHAnsi"/>
          <w:snapToGrid w:val="0"/>
        </w:rPr>
        <w:t xml:space="preserve"> The pre-PBAC response argued that </w:t>
      </w:r>
      <w:r w:rsidR="00B34E32">
        <w:rPr>
          <w:rFonts w:asciiTheme="minorHAnsi" w:hAnsiTheme="minorHAnsi"/>
          <w:snapToGrid w:val="0"/>
        </w:rPr>
        <w:t xml:space="preserve">the </w:t>
      </w:r>
      <w:r w:rsidR="00687555">
        <w:rPr>
          <w:rFonts w:asciiTheme="minorHAnsi" w:hAnsiTheme="minorHAnsi"/>
          <w:snapToGrid w:val="0"/>
        </w:rPr>
        <w:t>number of cycles in the base case (4.45) reflected</w:t>
      </w:r>
      <w:r w:rsidR="00824714">
        <w:rPr>
          <w:rFonts w:asciiTheme="minorHAnsi" w:hAnsiTheme="minorHAnsi"/>
          <w:snapToGrid w:val="0"/>
        </w:rPr>
        <w:t xml:space="preserve"> </w:t>
      </w:r>
      <w:r w:rsidR="006C35E0">
        <w:rPr>
          <w:rFonts w:asciiTheme="minorHAnsi" w:hAnsiTheme="minorHAnsi"/>
          <w:snapToGrid w:val="0"/>
        </w:rPr>
        <w:t xml:space="preserve">the </w:t>
      </w:r>
      <w:r w:rsidR="00824714">
        <w:rPr>
          <w:rFonts w:asciiTheme="minorHAnsi" w:hAnsiTheme="minorHAnsi"/>
          <w:snapToGrid w:val="0"/>
        </w:rPr>
        <w:t>duration of treatment associated with</w:t>
      </w:r>
      <w:r w:rsidR="00687555">
        <w:rPr>
          <w:rFonts w:asciiTheme="minorHAnsi" w:hAnsiTheme="minorHAnsi"/>
          <w:snapToGrid w:val="0"/>
        </w:rPr>
        <w:t xml:space="preserve"> the response rate observed in </w:t>
      </w:r>
      <w:r w:rsidR="00824714">
        <w:rPr>
          <w:rFonts w:asciiTheme="minorHAnsi" w:hAnsiTheme="minorHAnsi"/>
          <w:snapToGrid w:val="0"/>
        </w:rPr>
        <w:t>the</w:t>
      </w:r>
      <w:r w:rsidR="00687555">
        <w:rPr>
          <w:rFonts w:asciiTheme="minorHAnsi" w:hAnsiTheme="minorHAnsi"/>
          <w:snapToGrid w:val="0"/>
        </w:rPr>
        <w:t xml:space="preserve"> clinical evidence</w:t>
      </w:r>
      <w:r w:rsidR="00671098">
        <w:rPr>
          <w:rFonts w:asciiTheme="minorHAnsi" w:hAnsiTheme="minorHAnsi"/>
          <w:snapToGrid w:val="0"/>
        </w:rPr>
        <w:t xml:space="preserve"> as applied in the model.</w:t>
      </w:r>
      <w:r w:rsidR="002965F9">
        <w:rPr>
          <w:rFonts w:asciiTheme="minorHAnsi" w:hAnsiTheme="minorHAnsi"/>
          <w:snapToGrid w:val="0"/>
        </w:rPr>
        <w:t xml:space="preserve"> </w:t>
      </w:r>
      <w:r w:rsidR="00AD455E">
        <w:rPr>
          <w:rFonts w:asciiTheme="minorHAnsi" w:hAnsiTheme="minorHAnsi"/>
          <w:snapToGrid w:val="0"/>
        </w:rPr>
        <w:t>The sponsor argued that i</w:t>
      </w:r>
      <w:r w:rsidR="002A06E6" w:rsidRPr="002A06E6">
        <w:rPr>
          <w:rFonts w:asciiTheme="minorHAnsi" w:hAnsiTheme="minorHAnsi"/>
          <w:snapToGrid w:val="0"/>
        </w:rPr>
        <w:t>f the response rate was increase</w:t>
      </w:r>
      <w:r w:rsidR="007F6635">
        <w:rPr>
          <w:rFonts w:asciiTheme="minorHAnsi" w:hAnsiTheme="minorHAnsi"/>
          <w:snapToGrid w:val="0"/>
        </w:rPr>
        <w:t>d</w:t>
      </w:r>
      <w:r w:rsidR="002A06E6" w:rsidRPr="002A06E6">
        <w:rPr>
          <w:rFonts w:asciiTheme="minorHAnsi" w:hAnsiTheme="minorHAnsi"/>
          <w:snapToGrid w:val="0"/>
        </w:rPr>
        <w:t xml:space="preserve"> with th</w:t>
      </w:r>
      <w:r w:rsidR="00811244">
        <w:rPr>
          <w:rFonts w:asciiTheme="minorHAnsi" w:hAnsiTheme="minorHAnsi"/>
          <w:snapToGrid w:val="0"/>
        </w:rPr>
        <w:t>e</w:t>
      </w:r>
      <w:r w:rsidR="002A06E6" w:rsidRPr="002A06E6">
        <w:rPr>
          <w:rFonts w:asciiTheme="minorHAnsi" w:hAnsiTheme="minorHAnsi"/>
          <w:snapToGrid w:val="0"/>
        </w:rPr>
        <w:t xml:space="preserve"> increase in treatment exposure it </w:t>
      </w:r>
      <w:r w:rsidR="007F6635">
        <w:rPr>
          <w:rFonts w:asciiTheme="minorHAnsi" w:hAnsiTheme="minorHAnsi"/>
          <w:snapToGrid w:val="0"/>
        </w:rPr>
        <w:t>would</w:t>
      </w:r>
      <w:r w:rsidR="002A06E6" w:rsidRPr="002A06E6">
        <w:rPr>
          <w:rFonts w:asciiTheme="minorHAnsi" w:hAnsiTheme="minorHAnsi"/>
          <w:snapToGrid w:val="0"/>
        </w:rPr>
        <w:t xml:space="preserve"> need to </w:t>
      </w:r>
      <w:r w:rsidR="00495F5B">
        <w:rPr>
          <w:rFonts w:asciiTheme="minorHAnsi" w:hAnsiTheme="minorHAnsi"/>
          <w:snapToGrid w:val="0"/>
        </w:rPr>
        <w:t xml:space="preserve">increase </w:t>
      </w:r>
      <w:r w:rsidR="00AD455E">
        <w:rPr>
          <w:rFonts w:asciiTheme="minorHAnsi" w:hAnsiTheme="minorHAnsi"/>
          <w:snapToGrid w:val="0"/>
        </w:rPr>
        <w:t xml:space="preserve">from 59.2% to </w:t>
      </w:r>
      <w:r w:rsidR="002A06E6" w:rsidRPr="002A06E6">
        <w:rPr>
          <w:rFonts w:asciiTheme="minorHAnsi" w:hAnsiTheme="minorHAnsi"/>
          <w:snapToGrid w:val="0"/>
        </w:rPr>
        <w:t xml:space="preserve">62.0% for the model result to return to an ICER </w:t>
      </w:r>
      <w:r w:rsidR="0007607D">
        <w:rPr>
          <w:rFonts w:asciiTheme="minorHAnsi" w:hAnsiTheme="minorHAnsi"/>
          <w:snapToGrid w:val="0"/>
        </w:rPr>
        <w:t xml:space="preserve">less than </w:t>
      </w:r>
      <w:r w:rsidR="001B3094" w:rsidRPr="001B3094">
        <w:rPr>
          <w:rFonts w:asciiTheme="minorHAnsi" w:hAnsiTheme="minorHAnsi"/>
          <w:snapToGrid w:val="0"/>
        </w:rPr>
        <w:t>$25,000 to &lt; $35,000</w:t>
      </w:r>
      <w:r w:rsidR="0022338F">
        <w:rPr>
          <w:rFonts w:asciiTheme="minorHAnsi" w:hAnsiTheme="minorHAnsi"/>
          <w:snapToGrid w:val="0"/>
        </w:rPr>
        <w:t xml:space="preserve"> </w:t>
      </w:r>
      <w:r w:rsidR="00EA457B">
        <w:rPr>
          <w:rFonts w:asciiTheme="minorHAnsi" w:hAnsiTheme="minorHAnsi"/>
          <w:snapToGrid w:val="0"/>
        </w:rPr>
        <w:t>per QALY</w:t>
      </w:r>
      <w:r w:rsidR="002A06E6" w:rsidRPr="002A06E6">
        <w:rPr>
          <w:rFonts w:asciiTheme="minorHAnsi" w:hAnsiTheme="minorHAnsi"/>
          <w:snapToGrid w:val="0"/>
        </w:rPr>
        <w:t>.</w:t>
      </w:r>
      <w:r w:rsidR="007F6635">
        <w:rPr>
          <w:rFonts w:asciiTheme="minorHAnsi" w:hAnsiTheme="minorHAnsi"/>
          <w:snapToGrid w:val="0"/>
        </w:rPr>
        <w:t xml:space="preserve"> The PBAC considered that there was no </w:t>
      </w:r>
      <w:r w:rsidR="0068181B">
        <w:rPr>
          <w:rFonts w:asciiTheme="minorHAnsi" w:hAnsiTheme="minorHAnsi"/>
          <w:snapToGrid w:val="0"/>
        </w:rPr>
        <w:t xml:space="preserve">evidentiary </w:t>
      </w:r>
      <w:r w:rsidR="007F6635">
        <w:rPr>
          <w:rFonts w:asciiTheme="minorHAnsi" w:hAnsiTheme="minorHAnsi"/>
          <w:snapToGrid w:val="0"/>
        </w:rPr>
        <w:t xml:space="preserve">basis </w:t>
      </w:r>
      <w:r w:rsidR="008108B9">
        <w:rPr>
          <w:rFonts w:asciiTheme="minorHAnsi" w:hAnsiTheme="minorHAnsi"/>
          <w:snapToGrid w:val="0"/>
        </w:rPr>
        <w:t>to support</w:t>
      </w:r>
      <w:r w:rsidR="00404A7E">
        <w:rPr>
          <w:rFonts w:asciiTheme="minorHAnsi" w:hAnsiTheme="minorHAnsi"/>
          <w:snapToGrid w:val="0"/>
        </w:rPr>
        <w:t xml:space="preserve"> </w:t>
      </w:r>
      <w:r w:rsidR="004705C3">
        <w:rPr>
          <w:rFonts w:asciiTheme="minorHAnsi" w:hAnsiTheme="minorHAnsi"/>
          <w:snapToGrid w:val="0"/>
        </w:rPr>
        <w:t xml:space="preserve">a 2.8% absolute </w:t>
      </w:r>
      <w:r w:rsidR="004705C3">
        <w:rPr>
          <w:rFonts w:asciiTheme="minorHAnsi" w:hAnsiTheme="minorHAnsi"/>
          <w:snapToGrid w:val="0"/>
        </w:rPr>
        <w:lastRenderedPageBreak/>
        <w:t xml:space="preserve">increase </w:t>
      </w:r>
      <w:r w:rsidR="000A1E6F">
        <w:rPr>
          <w:rFonts w:asciiTheme="minorHAnsi" w:hAnsiTheme="minorHAnsi"/>
          <w:snapToGrid w:val="0"/>
        </w:rPr>
        <w:t xml:space="preserve">in response rate </w:t>
      </w:r>
      <w:r w:rsidR="00112BD7">
        <w:rPr>
          <w:rFonts w:asciiTheme="minorHAnsi" w:hAnsiTheme="minorHAnsi"/>
          <w:snapToGrid w:val="0"/>
        </w:rPr>
        <w:t xml:space="preserve">with additional </w:t>
      </w:r>
      <w:r w:rsidR="001122AE">
        <w:rPr>
          <w:rFonts w:asciiTheme="minorHAnsi" w:hAnsiTheme="minorHAnsi"/>
          <w:snapToGrid w:val="0"/>
        </w:rPr>
        <w:t>cycles</w:t>
      </w:r>
      <w:r w:rsidR="005A1E3C">
        <w:rPr>
          <w:rFonts w:asciiTheme="minorHAnsi" w:hAnsiTheme="minorHAnsi"/>
          <w:snapToGrid w:val="0"/>
        </w:rPr>
        <w:t>, and noted that a</w:t>
      </w:r>
      <w:r w:rsidR="005F23EB">
        <w:rPr>
          <w:rFonts w:asciiTheme="minorHAnsi" w:hAnsiTheme="minorHAnsi"/>
          <w:snapToGrid w:val="0"/>
        </w:rPr>
        <w:t xml:space="preserve"> reduction in price of </w:t>
      </w:r>
      <w:r w:rsidR="00471EB9" w:rsidRPr="00471EB9">
        <w:rPr>
          <w:rFonts w:asciiTheme="minorHAnsi" w:hAnsiTheme="minorHAnsi"/>
          <w:snapToGrid w:val="0"/>
          <w:color w:val="000000"/>
          <w:w w:val="62"/>
          <w:shd w:val="solid" w:color="000000" w:fill="000000"/>
          <w:fitText w:val="480" w:id="-694407924"/>
          <w14:textFill>
            <w14:solidFill>
              <w14:srgbClr w14:val="000000">
                <w14:alpha w14:val="100000"/>
              </w14:srgbClr>
            </w14:solidFill>
          </w14:textFill>
        </w:rPr>
        <w:t>|||  ||</w:t>
      </w:r>
      <w:r w:rsidR="00471EB9" w:rsidRPr="00471EB9">
        <w:rPr>
          <w:rFonts w:asciiTheme="minorHAnsi" w:hAnsiTheme="minorHAnsi"/>
          <w:snapToGrid w:val="0"/>
          <w:color w:val="000000"/>
          <w:spacing w:val="2"/>
          <w:w w:val="62"/>
          <w:shd w:val="solid" w:color="000000" w:fill="000000"/>
          <w:fitText w:val="480" w:id="-694407924"/>
          <w14:textFill>
            <w14:solidFill>
              <w14:srgbClr w14:val="000000">
                <w14:alpha w14:val="100000"/>
              </w14:srgbClr>
            </w14:solidFill>
          </w14:textFill>
        </w:rPr>
        <w:t>|</w:t>
      </w:r>
      <w:r w:rsidR="005F23EB">
        <w:rPr>
          <w:rFonts w:asciiTheme="minorHAnsi" w:hAnsiTheme="minorHAnsi"/>
          <w:snapToGrid w:val="0"/>
        </w:rPr>
        <w:t xml:space="preserve">% was required </w:t>
      </w:r>
      <w:r w:rsidR="0028541A">
        <w:rPr>
          <w:rFonts w:asciiTheme="minorHAnsi" w:hAnsiTheme="minorHAnsi"/>
          <w:snapToGrid w:val="0"/>
        </w:rPr>
        <w:t>for an</w:t>
      </w:r>
      <w:r w:rsidR="005F23EB">
        <w:rPr>
          <w:rFonts w:asciiTheme="minorHAnsi" w:hAnsiTheme="minorHAnsi"/>
          <w:snapToGrid w:val="0"/>
        </w:rPr>
        <w:t xml:space="preserve"> ICER </w:t>
      </w:r>
      <w:r w:rsidR="0028541A">
        <w:rPr>
          <w:rFonts w:asciiTheme="minorHAnsi" w:hAnsiTheme="minorHAnsi"/>
          <w:snapToGrid w:val="0"/>
        </w:rPr>
        <w:t>of</w:t>
      </w:r>
      <w:r w:rsidR="005F23EB">
        <w:rPr>
          <w:rFonts w:asciiTheme="minorHAnsi" w:hAnsiTheme="minorHAnsi"/>
          <w:snapToGrid w:val="0"/>
        </w:rPr>
        <w:t xml:space="preserve"> </w:t>
      </w:r>
      <w:r w:rsidR="003C780C" w:rsidRPr="003C780C">
        <w:rPr>
          <w:rFonts w:asciiTheme="minorHAnsi" w:hAnsiTheme="minorHAnsi"/>
          <w:snapToGrid w:val="0"/>
        </w:rPr>
        <w:t>$15,000 to &lt; $25,000</w:t>
      </w:r>
      <w:r w:rsidR="00C82167">
        <w:rPr>
          <w:rFonts w:asciiTheme="minorHAnsi" w:hAnsiTheme="minorHAnsi"/>
          <w:snapToGrid w:val="0"/>
        </w:rPr>
        <w:t xml:space="preserve"> </w:t>
      </w:r>
      <w:r w:rsidR="001C28C6">
        <w:rPr>
          <w:rFonts w:asciiTheme="minorHAnsi" w:hAnsiTheme="minorHAnsi"/>
          <w:snapToGrid w:val="0"/>
        </w:rPr>
        <w:t>per QALY</w:t>
      </w:r>
      <w:r w:rsidR="005F23EB">
        <w:rPr>
          <w:rFonts w:asciiTheme="minorHAnsi" w:hAnsiTheme="minorHAnsi"/>
          <w:snapToGrid w:val="0"/>
        </w:rPr>
        <w:t xml:space="preserve"> </w:t>
      </w:r>
      <w:r w:rsidR="00330B98">
        <w:rPr>
          <w:rFonts w:asciiTheme="minorHAnsi" w:hAnsiTheme="minorHAnsi"/>
          <w:snapToGrid w:val="0"/>
        </w:rPr>
        <w:t xml:space="preserve">when the model assumed the cost </w:t>
      </w:r>
      <w:r w:rsidR="00330B98" w:rsidRPr="00DE2B1E">
        <w:rPr>
          <w:rFonts w:asciiTheme="minorHAnsi" w:hAnsiTheme="minorHAnsi"/>
          <w:snapToGrid w:val="0"/>
        </w:rPr>
        <w:t xml:space="preserve">for </w:t>
      </w:r>
      <w:r w:rsidR="00471EB9" w:rsidRPr="00471EB9">
        <w:rPr>
          <w:rFonts w:asciiTheme="minorHAnsi" w:hAnsiTheme="minorHAnsi"/>
          <w:snapToGrid w:val="0"/>
          <w:color w:val="000000"/>
          <w:w w:val="60"/>
          <w:shd w:val="solid" w:color="000000" w:fill="000000"/>
          <w:fitText w:val="470" w:id="-694407923"/>
          <w14:textFill>
            <w14:solidFill>
              <w14:srgbClr w14:val="000000">
                <w14:alpha w14:val="100000"/>
              </w14:srgbClr>
            </w14:solidFill>
          </w14:textFill>
        </w:rPr>
        <w:t>|||  ||</w:t>
      </w:r>
      <w:r w:rsidR="00471EB9" w:rsidRPr="00471EB9">
        <w:rPr>
          <w:rFonts w:asciiTheme="minorHAnsi" w:hAnsiTheme="minorHAnsi"/>
          <w:snapToGrid w:val="0"/>
          <w:color w:val="000000"/>
          <w:spacing w:val="6"/>
          <w:w w:val="60"/>
          <w:shd w:val="solid" w:color="000000" w:fill="000000"/>
          <w:fitText w:val="470" w:id="-694407923"/>
          <w14:textFill>
            <w14:solidFill>
              <w14:srgbClr w14:val="000000">
                <w14:alpha w14:val="100000"/>
              </w14:srgbClr>
            </w14:solidFill>
          </w14:textFill>
        </w:rPr>
        <w:t>|</w:t>
      </w:r>
      <w:r w:rsidR="00330B98" w:rsidRPr="00DE2B1E">
        <w:rPr>
          <w:rFonts w:asciiTheme="minorHAnsi" w:hAnsiTheme="minorHAnsi"/>
          <w:snapToGrid w:val="0"/>
        </w:rPr>
        <w:t xml:space="preserve"> cycles</w:t>
      </w:r>
      <w:r w:rsidR="00330B98">
        <w:rPr>
          <w:rFonts w:asciiTheme="minorHAnsi" w:hAnsiTheme="minorHAnsi"/>
          <w:snapToGrid w:val="0"/>
        </w:rPr>
        <w:t xml:space="preserve"> of treatment.</w:t>
      </w:r>
      <w:r w:rsidR="005A1E3C">
        <w:rPr>
          <w:rFonts w:asciiTheme="minorHAnsi" w:hAnsiTheme="minorHAnsi"/>
          <w:snapToGrid w:val="0"/>
        </w:rPr>
        <w:t xml:space="preserve"> </w:t>
      </w:r>
      <w:r w:rsidR="004E3810">
        <w:rPr>
          <w:rFonts w:asciiTheme="minorHAnsi" w:hAnsiTheme="minorHAnsi"/>
          <w:snapToGrid w:val="0"/>
        </w:rPr>
        <w:t xml:space="preserve">The PBAC considered that neoadjuvant pertuzumab would be cost-effective </w:t>
      </w:r>
      <w:r w:rsidR="00E40FDA">
        <w:rPr>
          <w:rFonts w:asciiTheme="minorHAnsi" w:hAnsiTheme="minorHAnsi"/>
          <w:snapToGrid w:val="0"/>
        </w:rPr>
        <w:t xml:space="preserve">at a reduced price to result in an ICER of </w:t>
      </w:r>
      <w:r w:rsidR="003C780C" w:rsidRPr="003C780C">
        <w:rPr>
          <w:rFonts w:asciiTheme="minorHAnsi" w:hAnsiTheme="minorHAnsi"/>
          <w:snapToGrid w:val="0"/>
        </w:rPr>
        <w:t>$15,000 to &lt; $25,000</w:t>
      </w:r>
      <w:r w:rsidR="00E40FDA">
        <w:rPr>
          <w:rFonts w:asciiTheme="minorHAnsi" w:hAnsiTheme="minorHAnsi"/>
          <w:snapToGrid w:val="0"/>
        </w:rPr>
        <w:t xml:space="preserve">/QALY or less. </w:t>
      </w:r>
    </w:p>
    <w:p w14:paraId="66985B0F" w14:textId="407B7DFB" w:rsidR="007C21B9" w:rsidRPr="007C21B9" w:rsidRDefault="00900F11" w:rsidP="007732E5">
      <w:pPr>
        <w:pStyle w:val="3-BodyText"/>
        <w:spacing w:before="0" w:after="120"/>
        <w:rPr>
          <w:lang w:val="en-US"/>
        </w:rPr>
      </w:pPr>
      <w:r>
        <w:rPr>
          <w:snapToGrid w:val="0"/>
          <w:lang w:val="en-GB"/>
        </w:rPr>
        <w:t xml:space="preserve">The PBAC noted that the economic model presented </w:t>
      </w:r>
      <w:r w:rsidR="00920C2D">
        <w:rPr>
          <w:snapToGrid w:val="0"/>
          <w:lang w:val="en-GB"/>
        </w:rPr>
        <w:t xml:space="preserve">was not structured to assess the cost-effectiveness of </w:t>
      </w:r>
      <w:r w:rsidR="00554D44">
        <w:rPr>
          <w:snapToGrid w:val="0"/>
          <w:lang w:val="en-GB"/>
        </w:rPr>
        <w:t>adjuvant pertuzumab</w:t>
      </w:r>
      <w:r w:rsidR="006058ED">
        <w:rPr>
          <w:snapToGrid w:val="0"/>
          <w:lang w:val="en-GB"/>
        </w:rPr>
        <w:t xml:space="preserve">. The PBAC recalled that </w:t>
      </w:r>
      <w:r w:rsidR="00C51BC7" w:rsidRPr="00FE0A27">
        <w:rPr>
          <w:lang w:val="en-US"/>
        </w:rPr>
        <w:t>submissions</w:t>
      </w:r>
      <w:r w:rsidR="006058ED" w:rsidRPr="00FE0A27">
        <w:rPr>
          <w:lang w:val="en-US"/>
        </w:rPr>
        <w:t xml:space="preserve"> for pertuzumab in the adjuvant setting were considered at the July 2018 and March 2019 PBAC meetings. Pertuzumab was not recommended </w:t>
      </w:r>
      <w:r w:rsidR="006058ED">
        <w:t>due to limited clinical benefit, an uncertain ICER and unclear clinical place. The PBAC</w:t>
      </w:r>
      <w:r w:rsidR="006058ED" w:rsidRPr="00FE0A27">
        <w:t xml:space="preserve"> considered that the clinical place for pertuzumab in the adjuvant setting </w:t>
      </w:r>
      <w:r w:rsidR="006058ED">
        <w:t>wa</w:t>
      </w:r>
      <w:r w:rsidR="006058ED" w:rsidRPr="00FE0A27">
        <w:t xml:space="preserve">s unclear, </w:t>
      </w:r>
      <w:r w:rsidR="006058ED">
        <w:t>“</w:t>
      </w:r>
      <w:r w:rsidR="006058ED" w:rsidRPr="00FE0A27">
        <w:t>given the shift toward treating high-risk patients in the neoadjuvant setting and the lack of data for adjuvant pertuzumab following neoadjuvant treatment</w:t>
      </w:r>
      <w:r w:rsidR="006058ED">
        <w:t xml:space="preserve">” (paragraph 7.1, pertuzumab PSD, March 2019 PBAC meeting). </w:t>
      </w:r>
      <w:r w:rsidR="00284A51">
        <w:t xml:space="preserve">The PBAC considered that there was </w:t>
      </w:r>
      <w:r w:rsidR="00342E15">
        <w:t xml:space="preserve">now </w:t>
      </w:r>
      <w:r w:rsidR="00284A51">
        <w:t xml:space="preserve">greater clarity </w:t>
      </w:r>
      <w:r w:rsidR="00F841A7">
        <w:t xml:space="preserve">regarding </w:t>
      </w:r>
      <w:r w:rsidR="00284A51">
        <w:t xml:space="preserve">the clinical place </w:t>
      </w:r>
      <w:r w:rsidR="00342E15">
        <w:t>for</w:t>
      </w:r>
      <w:r w:rsidR="00E333F4">
        <w:t xml:space="preserve"> adjuvant treatment with pertuzumab in patients with high risk </w:t>
      </w:r>
      <w:proofErr w:type="spellStart"/>
      <w:r w:rsidR="00E333F4">
        <w:t>eBC</w:t>
      </w:r>
      <w:proofErr w:type="spellEnd"/>
      <w:r w:rsidR="008A08AC">
        <w:t>, however the cost</w:t>
      </w:r>
      <w:r w:rsidR="00CD70E0">
        <w:t>-</w:t>
      </w:r>
      <w:r w:rsidR="008A08AC">
        <w:t>effective</w:t>
      </w:r>
      <w:r w:rsidR="008D1768">
        <w:t xml:space="preserve"> price</w:t>
      </w:r>
      <w:r w:rsidR="008A08AC">
        <w:t xml:space="preserve"> remained uncertain</w:t>
      </w:r>
      <w:r w:rsidR="00E333F4">
        <w:t>.</w:t>
      </w:r>
      <w:r w:rsidR="00022A1D">
        <w:t xml:space="preserve"> The PBAC considered that</w:t>
      </w:r>
      <w:r w:rsidR="009673BD">
        <w:t xml:space="preserve"> at the price proposed in the March 2019 submission (AEMP $</w:t>
      </w:r>
      <w:r w:rsidR="00471EB9" w:rsidRPr="00471EB9">
        <w:rPr>
          <w:color w:val="000000"/>
          <w:w w:val="60"/>
          <w:shd w:val="solid" w:color="000000" w:fill="000000"/>
          <w:fitText w:val="470" w:id="-694407922"/>
          <w14:textFill>
            <w14:solidFill>
              <w14:srgbClr w14:val="000000">
                <w14:alpha w14:val="100000"/>
              </w14:srgbClr>
            </w14:solidFill>
          </w14:textFill>
        </w:rPr>
        <w:t>|||  ||</w:t>
      </w:r>
      <w:r w:rsidR="00471EB9" w:rsidRPr="00471EB9">
        <w:rPr>
          <w:color w:val="000000"/>
          <w:spacing w:val="6"/>
          <w:w w:val="60"/>
          <w:shd w:val="solid" w:color="000000" w:fill="000000"/>
          <w:fitText w:val="470" w:id="-694407922"/>
          <w14:textFill>
            <w14:solidFill>
              <w14:srgbClr w14:val="000000">
                <w14:alpha w14:val="100000"/>
              </w14:srgbClr>
            </w14:solidFill>
          </w14:textFill>
        </w:rPr>
        <w:t>|</w:t>
      </w:r>
      <w:r w:rsidR="009673BD">
        <w:t xml:space="preserve">, a </w:t>
      </w:r>
      <w:r w:rsidR="00471EB9" w:rsidRPr="00471EB9">
        <w:rPr>
          <w:color w:val="000000"/>
          <w:w w:val="60"/>
          <w:shd w:val="solid" w:color="000000" w:fill="000000"/>
          <w:fitText w:val="470" w:id="-694407921"/>
          <w14:textFill>
            <w14:solidFill>
              <w14:srgbClr w14:val="000000">
                <w14:alpha w14:val="100000"/>
              </w14:srgbClr>
            </w14:solidFill>
          </w14:textFill>
        </w:rPr>
        <w:t>|||  ||</w:t>
      </w:r>
      <w:r w:rsidR="00471EB9" w:rsidRPr="00471EB9">
        <w:rPr>
          <w:color w:val="000000"/>
          <w:spacing w:val="6"/>
          <w:w w:val="60"/>
          <w:shd w:val="solid" w:color="000000" w:fill="000000"/>
          <w:fitText w:val="470" w:id="-694407921"/>
          <w14:textFill>
            <w14:solidFill>
              <w14:srgbClr w14:val="000000">
                <w14:alpha w14:val="100000"/>
              </w14:srgbClr>
            </w14:solidFill>
          </w14:textFill>
        </w:rPr>
        <w:t>|</w:t>
      </w:r>
      <w:r w:rsidR="009673BD">
        <w:t xml:space="preserve">% reduction compared to the price proposed in the neoadjuvant setting) adjuvant </w:t>
      </w:r>
      <w:r w:rsidR="003C36C7">
        <w:t xml:space="preserve">pertuzumab treatment </w:t>
      </w:r>
      <w:r w:rsidR="001C2D16">
        <w:t xml:space="preserve">may be considered </w:t>
      </w:r>
      <w:r w:rsidR="007C2A91">
        <w:t xml:space="preserve">cost-effective </w:t>
      </w:r>
      <w:r w:rsidR="003C36C7">
        <w:t xml:space="preserve">for </w:t>
      </w:r>
      <w:r w:rsidR="00661787">
        <w:t xml:space="preserve">the small number of </w:t>
      </w:r>
      <w:r w:rsidR="006A1DD9">
        <w:rPr>
          <w:bCs/>
        </w:rPr>
        <w:t xml:space="preserve">patients with </w:t>
      </w:r>
      <w:r w:rsidR="00F51FFB">
        <w:rPr>
          <w:bCs/>
        </w:rPr>
        <w:t xml:space="preserve">high risk </w:t>
      </w:r>
      <w:proofErr w:type="spellStart"/>
      <w:r w:rsidR="00F51FFB">
        <w:rPr>
          <w:bCs/>
        </w:rPr>
        <w:t>eBC</w:t>
      </w:r>
      <w:proofErr w:type="spellEnd"/>
      <w:r w:rsidR="00F51FFB">
        <w:rPr>
          <w:bCs/>
        </w:rPr>
        <w:t xml:space="preserve"> who were </w:t>
      </w:r>
      <w:r w:rsidR="006A1DD9">
        <w:rPr>
          <w:bCs/>
        </w:rPr>
        <w:t>initially considered node negative, or who elect not to undergo neoadjuvant treatment prior to surgery</w:t>
      </w:r>
      <w:r w:rsidR="00661787">
        <w:rPr>
          <w:bCs/>
        </w:rPr>
        <w:t xml:space="preserve"> (approximately </w:t>
      </w:r>
      <w:r w:rsidR="00E22F07">
        <w:rPr>
          <w:bCs/>
        </w:rPr>
        <w:t>2-</w:t>
      </w:r>
      <w:r w:rsidR="00661787">
        <w:rPr>
          <w:bCs/>
        </w:rPr>
        <w:t xml:space="preserve">3% of </w:t>
      </w:r>
      <w:proofErr w:type="spellStart"/>
      <w:r w:rsidR="00661787">
        <w:rPr>
          <w:bCs/>
        </w:rPr>
        <w:t>e</w:t>
      </w:r>
      <w:r w:rsidR="00F92A57">
        <w:rPr>
          <w:bCs/>
        </w:rPr>
        <w:t>BC</w:t>
      </w:r>
      <w:proofErr w:type="spellEnd"/>
      <w:r w:rsidR="00F92A57">
        <w:rPr>
          <w:bCs/>
        </w:rPr>
        <w:t xml:space="preserve"> patients</w:t>
      </w:r>
      <w:r w:rsidR="00661787">
        <w:rPr>
          <w:bCs/>
        </w:rPr>
        <w:t>)</w:t>
      </w:r>
      <w:r w:rsidR="00E828A9">
        <w:rPr>
          <w:bCs/>
        </w:rPr>
        <w:t>;</w:t>
      </w:r>
      <w:r w:rsidR="002F3B9F">
        <w:rPr>
          <w:bCs/>
        </w:rPr>
        <w:t xml:space="preserve"> noting that this</w:t>
      </w:r>
      <w:r w:rsidR="00E828A9">
        <w:rPr>
          <w:bCs/>
        </w:rPr>
        <w:t xml:space="preserve"> </w:t>
      </w:r>
      <w:r w:rsidR="002F3B9F">
        <w:rPr>
          <w:bCs/>
        </w:rPr>
        <w:t>p</w:t>
      </w:r>
      <w:r w:rsidR="00E828A9">
        <w:rPr>
          <w:bCs/>
        </w:rPr>
        <w:t xml:space="preserve">atient population </w:t>
      </w:r>
      <w:r w:rsidR="002F3B9F">
        <w:rPr>
          <w:bCs/>
        </w:rPr>
        <w:t xml:space="preserve">was </w:t>
      </w:r>
      <w:r w:rsidR="00E828A9">
        <w:rPr>
          <w:bCs/>
        </w:rPr>
        <w:t>represented in the APHINITY trial</w:t>
      </w:r>
      <w:r w:rsidR="00F51FFB">
        <w:rPr>
          <w:bCs/>
        </w:rPr>
        <w:t xml:space="preserve">. </w:t>
      </w:r>
      <w:r w:rsidR="00CB5701">
        <w:rPr>
          <w:bCs/>
        </w:rPr>
        <w:t xml:space="preserve">The PBAC considered that </w:t>
      </w:r>
      <w:r w:rsidR="00807739">
        <w:rPr>
          <w:bCs/>
        </w:rPr>
        <w:t xml:space="preserve">for </w:t>
      </w:r>
      <w:r w:rsidR="00D13F21">
        <w:rPr>
          <w:bCs/>
        </w:rPr>
        <w:t xml:space="preserve">lymph node positive patients who start </w:t>
      </w:r>
      <w:proofErr w:type="spellStart"/>
      <w:r w:rsidR="00D13F21">
        <w:rPr>
          <w:bCs/>
        </w:rPr>
        <w:t>P+T+Chemo</w:t>
      </w:r>
      <w:proofErr w:type="spellEnd"/>
      <w:r w:rsidR="00D13F21" w:rsidRPr="001815C6">
        <w:rPr>
          <w:bCs/>
        </w:rPr>
        <w:t xml:space="preserve"> in the neoadjuvant setting </w:t>
      </w:r>
      <w:r w:rsidR="00D13F21">
        <w:rPr>
          <w:bCs/>
        </w:rPr>
        <w:t>and have pCR following surgery</w:t>
      </w:r>
      <w:r w:rsidR="003A23AF">
        <w:rPr>
          <w:bCs/>
        </w:rPr>
        <w:t>,</w:t>
      </w:r>
      <w:r w:rsidR="00D13F21">
        <w:rPr>
          <w:bCs/>
        </w:rPr>
        <w:t xml:space="preserve"> adjuvant pertuzumab </w:t>
      </w:r>
      <w:r w:rsidR="001141FF">
        <w:rPr>
          <w:bCs/>
        </w:rPr>
        <w:t>i</w:t>
      </w:r>
      <w:r w:rsidR="00D13F21">
        <w:rPr>
          <w:bCs/>
        </w:rPr>
        <w:t>s a treatment option</w:t>
      </w:r>
      <w:r w:rsidR="00184ACE">
        <w:rPr>
          <w:bCs/>
        </w:rPr>
        <w:t xml:space="preserve"> according to guidelines</w:t>
      </w:r>
      <w:r w:rsidR="000E0DDC">
        <w:rPr>
          <w:bCs/>
        </w:rPr>
        <w:t xml:space="preserve">, </w:t>
      </w:r>
      <w:r w:rsidR="001141FF">
        <w:rPr>
          <w:bCs/>
        </w:rPr>
        <w:t xml:space="preserve">however </w:t>
      </w:r>
      <w:r w:rsidR="000E0DDC">
        <w:rPr>
          <w:bCs/>
        </w:rPr>
        <w:t xml:space="preserve">the evidence </w:t>
      </w:r>
      <w:r w:rsidR="00184ACE">
        <w:rPr>
          <w:bCs/>
        </w:rPr>
        <w:t xml:space="preserve">supporting this use </w:t>
      </w:r>
      <w:r w:rsidR="000E0DDC">
        <w:rPr>
          <w:bCs/>
        </w:rPr>
        <w:t xml:space="preserve">is limited and </w:t>
      </w:r>
      <w:r w:rsidR="00184ACE">
        <w:rPr>
          <w:bCs/>
        </w:rPr>
        <w:t xml:space="preserve">its </w:t>
      </w:r>
      <w:r w:rsidR="000E0DDC">
        <w:rPr>
          <w:bCs/>
        </w:rPr>
        <w:t xml:space="preserve">cost-effectiveness </w:t>
      </w:r>
      <w:r w:rsidR="00FB4612">
        <w:rPr>
          <w:bCs/>
        </w:rPr>
        <w:t xml:space="preserve">is </w:t>
      </w:r>
      <w:r w:rsidR="00CF55FD">
        <w:rPr>
          <w:bCs/>
        </w:rPr>
        <w:t>unknown</w:t>
      </w:r>
      <w:r w:rsidR="00FB4612">
        <w:rPr>
          <w:bCs/>
        </w:rPr>
        <w:t xml:space="preserve">. </w:t>
      </w:r>
      <w:r w:rsidR="00EC504B">
        <w:rPr>
          <w:bCs/>
        </w:rPr>
        <w:t>In order to address the equity of access issue for patients currently self-funding adjuvant pertuzumab, the P</w:t>
      </w:r>
      <w:r w:rsidR="00FB4612">
        <w:rPr>
          <w:bCs/>
        </w:rPr>
        <w:t xml:space="preserve">BAC considered that </w:t>
      </w:r>
      <w:r w:rsidR="00EC504B">
        <w:rPr>
          <w:bCs/>
        </w:rPr>
        <w:t xml:space="preserve">it would be reasonable </w:t>
      </w:r>
      <w:r w:rsidR="00CB2B6E">
        <w:rPr>
          <w:bCs/>
        </w:rPr>
        <w:t>to include</w:t>
      </w:r>
      <w:r w:rsidR="001E5E51">
        <w:rPr>
          <w:bCs/>
        </w:rPr>
        <w:t xml:space="preserve"> the option</w:t>
      </w:r>
      <w:r w:rsidR="00CB2B6E">
        <w:rPr>
          <w:bCs/>
        </w:rPr>
        <w:t xml:space="preserve"> </w:t>
      </w:r>
      <w:r w:rsidR="00322CB4">
        <w:rPr>
          <w:bCs/>
        </w:rPr>
        <w:t xml:space="preserve">of </w:t>
      </w:r>
      <w:r w:rsidR="00CB2B6E">
        <w:rPr>
          <w:bCs/>
        </w:rPr>
        <w:t>adjuvant treatment</w:t>
      </w:r>
      <w:r w:rsidR="00D631A1">
        <w:rPr>
          <w:bCs/>
        </w:rPr>
        <w:t xml:space="preserve"> for this population</w:t>
      </w:r>
      <w:r w:rsidR="001E5E51">
        <w:rPr>
          <w:bCs/>
        </w:rPr>
        <w:t xml:space="preserve"> </w:t>
      </w:r>
      <w:r w:rsidR="002A7669">
        <w:rPr>
          <w:bCs/>
        </w:rPr>
        <w:t xml:space="preserve">if </w:t>
      </w:r>
      <w:r w:rsidR="004C391F">
        <w:rPr>
          <w:bCs/>
        </w:rPr>
        <w:t xml:space="preserve">the additional cost to Government could be minimised via </w:t>
      </w:r>
      <w:r w:rsidR="00832CF9">
        <w:rPr>
          <w:bCs/>
        </w:rPr>
        <w:t xml:space="preserve">implementation of </w:t>
      </w:r>
      <w:r w:rsidR="00A94A9A">
        <w:rPr>
          <w:bCs/>
        </w:rPr>
        <w:t>a</w:t>
      </w:r>
      <w:r w:rsidR="00CF55FD">
        <w:rPr>
          <w:bCs/>
        </w:rPr>
        <w:t>n</w:t>
      </w:r>
      <w:r w:rsidR="00A94A9A">
        <w:rPr>
          <w:bCs/>
        </w:rPr>
        <w:t xml:space="preserve"> </w:t>
      </w:r>
      <w:r w:rsidR="00832CF9">
        <w:rPr>
          <w:bCs/>
        </w:rPr>
        <w:t xml:space="preserve">RSA. </w:t>
      </w:r>
    </w:p>
    <w:p w14:paraId="3A7260ED" w14:textId="68C38A48" w:rsidR="00121883" w:rsidRPr="007732E5" w:rsidRDefault="007C21B9" w:rsidP="007732E5">
      <w:pPr>
        <w:pStyle w:val="3-BodyText"/>
        <w:spacing w:before="0" w:after="120"/>
        <w:rPr>
          <w:lang w:val="en-US"/>
        </w:rPr>
      </w:pPr>
      <w:r>
        <w:rPr>
          <w:bCs/>
        </w:rPr>
        <w:t xml:space="preserve">Overall, the PBAC considered that </w:t>
      </w:r>
      <w:r w:rsidR="00B724F4">
        <w:rPr>
          <w:bCs/>
        </w:rPr>
        <w:t xml:space="preserve">PBS listing of pertuzumab, for a maximum </w:t>
      </w:r>
      <w:r w:rsidR="001A3EF3">
        <w:rPr>
          <w:bCs/>
        </w:rPr>
        <w:t xml:space="preserve">total </w:t>
      </w:r>
      <w:r w:rsidR="00B724F4">
        <w:rPr>
          <w:bCs/>
        </w:rPr>
        <w:t xml:space="preserve">treatment duration of 12 months in the </w:t>
      </w:r>
      <w:r w:rsidR="00574425">
        <w:rPr>
          <w:bCs/>
        </w:rPr>
        <w:t xml:space="preserve">neoadjuvant or adjuvant setting, would be acceptably cost-effective with a </w:t>
      </w:r>
      <w:r w:rsidR="009673BD">
        <w:rPr>
          <w:bCs/>
        </w:rPr>
        <w:t xml:space="preserve">weighted </w:t>
      </w:r>
      <w:r w:rsidR="00574425">
        <w:rPr>
          <w:bCs/>
        </w:rPr>
        <w:t xml:space="preserve">reduction in price of </w:t>
      </w:r>
      <w:r w:rsidR="00471EB9" w:rsidRPr="00471EB9">
        <w:rPr>
          <w:bCs/>
          <w:color w:val="000000"/>
          <w:w w:val="60"/>
          <w:shd w:val="solid" w:color="000000" w:fill="000000"/>
          <w:fitText w:val="470" w:id="-694407920"/>
          <w14:textFill>
            <w14:solidFill>
              <w14:srgbClr w14:val="000000">
                <w14:alpha w14:val="100000"/>
              </w14:srgbClr>
            </w14:solidFill>
          </w14:textFill>
        </w:rPr>
        <w:t>|||  ||</w:t>
      </w:r>
      <w:r w:rsidR="00471EB9" w:rsidRPr="00471EB9">
        <w:rPr>
          <w:bCs/>
          <w:color w:val="000000"/>
          <w:spacing w:val="6"/>
          <w:w w:val="60"/>
          <w:shd w:val="solid" w:color="000000" w:fill="000000"/>
          <w:fitText w:val="470" w:id="-694407920"/>
          <w14:textFill>
            <w14:solidFill>
              <w14:srgbClr w14:val="000000">
                <w14:alpha w14:val="100000"/>
              </w14:srgbClr>
            </w14:solidFill>
          </w14:textFill>
        </w:rPr>
        <w:t>|</w:t>
      </w:r>
      <w:r w:rsidR="00574425">
        <w:rPr>
          <w:bCs/>
        </w:rPr>
        <w:t>%</w:t>
      </w:r>
      <w:r w:rsidR="009673BD">
        <w:rPr>
          <w:bCs/>
        </w:rPr>
        <w:t xml:space="preserve"> for neoadjuvant scripts and </w:t>
      </w:r>
      <w:r w:rsidR="00471EB9" w:rsidRPr="00471EB9">
        <w:rPr>
          <w:bCs/>
          <w:color w:val="000000"/>
          <w:w w:val="60"/>
          <w:shd w:val="solid" w:color="000000" w:fill="000000"/>
          <w:fitText w:val="470" w:id="-694407936"/>
          <w14:textFill>
            <w14:solidFill>
              <w14:srgbClr w14:val="000000">
                <w14:alpha w14:val="100000"/>
              </w14:srgbClr>
            </w14:solidFill>
          </w14:textFill>
        </w:rPr>
        <w:t>|||  ||</w:t>
      </w:r>
      <w:r w:rsidR="00471EB9" w:rsidRPr="00471EB9">
        <w:rPr>
          <w:bCs/>
          <w:color w:val="000000"/>
          <w:spacing w:val="6"/>
          <w:w w:val="60"/>
          <w:shd w:val="solid" w:color="000000" w:fill="000000"/>
          <w:fitText w:val="470" w:id="-694407936"/>
          <w14:textFill>
            <w14:solidFill>
              <w14:srgbClr w14:val="000000">
                <w14:alpha w14:val="100000"/>
              </w14:srgbClr>
            </w14:solidFill>
          </w14:textFill>
        </w:rPr>
        <w:t>|</w:t>
      </w:r>
      <w:r w:rsidR="009673BD">
        <w:rPr>
          <w:bCs/>
        </w:rPr>
        <w:t>%</w:t>
      </w:r>
      <w:r w:rsidR="00574425">
        <w:rPr>
          <w:bCs/>
        </w:rPr>
        <w:t xml:space="preserve"> </w:t>
      </w:r>
      <w:r w:rsidR="009673BD">
        <w:rPr>
          <w:bCs/>
        </w:rPr>
        <w:t xml:space="preserve">for adjuvant scripts </w:t>
      </w:r>
      <w:r w:rsidR="00574425">
        <w:rPr>
          <w:bCs/>
        </w:rPr>
        <w:t xml:space="preserve">and </w:t>
      </w:r>
      <w:r w:rsidR="00726071">
        <w:rPr>
          <w:bCs/>
        </w:rPr>
        <w:t xml:space="preserve">RSA </w:t>
      </w:r>
      <w:r w:rsidR="003A325D">
        <w:rPr>
          <w:bCs/>
        </w:rPr>
        <w:t>financial</w:t>
      </w:r>
      <w:r w:rsidR="00A740D3">
        <w:rPr>
          <w:bCs/>
        </w:rPr>
        <w:t xml:space="preserve"> </w:t>
      </w:r>
      <w:r w:rsidR="00574425">
        <w:rPr>
          <w:bCs/>
        </w:rPr>
        <w:t xml:space="preserve">caps </w:t>
      </w:r>
      <w:r w:rsidR="00A740D3">
        <w:rPr>
          <w:bCs/>
        </w:rPr>
        <w:t xml:space="preserve">based on </w:t>
      </w:r>
      <w:r w:rsidR="00057FF7">
        <w:rPr>
          <w:bCs/>
        </w:rPr>
        <w:t xml:space="preserve">1) </w:t>
      </w:r>
      <w:r w:rsidR="00A740D3">
        <w:rPr>
          <w:bCs/>
        </w:rPr>
        <w:t xml:space="preserve">the </w:t>
      </w:r>
      <w:r w:rsidR="003971AF">
        <w:rPr>
          <w:bCs/>
        </w:rPr>
        <w:t xml:space="preserve">neoadjuvant population </w:t>
      </w:r>
      <w:r w:rsidR="0048757F">
        <w:rPr>
          <w:bCs/>
        </w:rPr>
        <w:t xml:space="preserve">and </w:t>
      </w:r>
      <w:r w:rsidR="00057FF7">
        <w:rPr>
          <w:bCs/>
        </w:rPr>
        <w:t xml:space="preserve">2) </w:t>
      </w:r>
      <w:r w:rsidR="0048757F">
        <w:rPr>
          <w:bCs/>
        </w:rPr>
        <w:t xml:space="preserve">the small number of patients with high risk </w:t>
      </w:r>
      <w:proofErr w:type="spellStart"/>
      <w:r w:rsidR="0048757F">
        <w:rPr>
          <w:bCs/>
        </w:rPr>
        <w:t>eBC</w:t>
      </w:r>
      <w:proofErr w:type="spellEnd"/>
      <w:r w:rsidR="0048757F">
        <w:rPr>
          <w:bCs/>
        </w:rPr>
        <w:t xml:space="preserve"> </w:t>
      </w:r>
      <w:r w:rsidR="00057FF7">
        <w:rPr>
          <w:bCs/>
        </w:rPr>
        <w:t xml:space="preserve">who were initially considered </w:t>
      </w:r>
      <w:r w:rsidR="00FE4680">
        <w:rPr>
          <w:bCs/>
        </w:rPr>
        <w:t>low risk/</w:t>
      </w:r>
      <w:r w:rsidR="00057FF7">
        <w:rPr>
          <w:bCs/>
        </w:rPr>
        <w:t>node negative, or who elect not to undergo neoadjuvant treatment prior to surgery</w:t>
      </w:r>
      <w:r w:rsidR="0048757F">
        <w:rPr>
          <w:bCs/>
        </w:rPr>
        <w:t xml:space="preserve">. </w:t>
      </w:r>
      <w:r w:rsidR="004E6F5D">
        <w:rPr>
          <w:bCs/>
        </w:rPr>
        <w:t xml:space="preserve">The PBAC considered that adjuvant treatment </w:t>
      </w:r>
      <w:r w:rsidR="00701CCE">
        <w:rPr>
          <w:bCs/>
        </w:rPr>
        <w:t xml:space="preserve">with pertuzumab </w:t>
      </w:r>
      <w:r w:rsidR="00726071">
        <w:rPr>
          <w:bCs/>
        </w:rPr>
        <w:t xml:space="preserve">following neoadjuvant pertuzumab </w:t>
      </w:r>
      <w:r w:rsidR="00701CCE">
        <w:rPr>
          <w:bCs/>
        </w:rPr>
        <w:t>may be clinically appropriate for some patients, however its cost-</w:t>
      </w:r>
      <w:r w:rsidR="00726071">
        <w:rPr>
          <w:bCs/>
        </w:rPr>
        <w:t>effectiveness</w:t>
      </w:r>
      <w:r w:rsidR="00701CCE">
        <w:rPr>
          <w:bCs/>
        </w:rPr>
        <w:t xml:space="preserve"> has not been established, and these patients should not be included in </w:t>
      </w:r>
      <w:r w:rsidR="00E306BA">
        <w:rPr>
          <w:bCs/>
        </w:rPr>
        <w:t xml:space="preserve">financial </w:t>
      </w:r>
      <w:r w:rsidR="00701CCE">
        <w:rPr>
          <w:bCs/>
        </w:rPr>
        <w:t xml:space="preserve">estimates </w:t>
      </w:r>
      <w:r w:rsidR="00E306BA">
        <w:rPr>
          <w:bCs/>
        </w:rPr>
        <w:t xml:space="preserve">informing RSA </w:t>
      </w:r>
      <w:r w:rsidR="00726071">
        <w:rPr>
          <w:bCs/>
        </w:rPr>
        <w:t xml:space="preserve">financial </w:t>
      </w:r>
      <w:r w:rsidR="00E306BA">
        <w:rPr>
          <w:bCs/>
        </w:rPr>
        <w:t>caps. The PBAC considered that a rebate of close to 100% would be appropriate for utilisation above the financial caps.</w:t>
      </w:r>
      <w:r w:rsidR="00FA3CE6">
        <w:rPr>
          <w:bCs/>
        </w:rPr>
        <w:t xml:space="preserve"> </w:t>
      </w:r>
      <w:r w:rsidR="00D13F21">
        <w:rPr>
          <w:bCs/>
        </w:rPr>
        <w:t xml:space="preserve"> </w:t>
      </w:r>
    </w:p>
    <w:p w14:paraId="28839D35" w14:textId="692691FA" w:rsidR="00E20D9A" w:rsidRPr="00CE42B4" w:rsidRDefault="00AD47CE" w:rsidP="00121883">
      <w:pPr>
        <w:widowControl w:val="0"/>
        <w:numPr>
          <w:ilvl w:val="1"/>
          <w:numId w:val="5"/>
        </w:numPr>
        <w:spacing w:after="120"/>
      </w:pPr>
      <w:r>
        <w:rPr>
          <w:lang w:val="en-GB"/>
        </w:rPr>
        <w:lastRenderedPageBreak/>
        <w:t xml:space="preserve">The PBAC </w:t>
      </w:r>
      <w:r w:rsidR="008A2558">
        <w:rPr>
          <w:lang w:val="en-GB"/>
        </w:rPr>
        <w:t xml:space="preserve">noted </w:t>
      </w:r>
      <w:r>
        <w:rPr>
          <w:lang w:val="en-GB"/>
        </w:rPr>
        <w:t xml:space="preserve">the </w:t>
      </w:r>
      <w:r w:rsidR="008A2558">
        <w:rPr>
          <w:lang w:val="en-GB"/>
        </w:rPr>
        <w:t xml:space="preserve">submission’s </w:t>
      </w:r>
      <w:r>
        <w:rPr>
          <w:lang w:val="en-GB"/>
        </w:rPr>
        <w:t xml:space="preserve">approach to estimating the </w:t>
      </w:r>
      <w:r w:rsidR="008A2558">
        <w:rPr>
          <w:lang w:val="en-GB"/>
        </w:rPr>
        <w:t xml:space="preserve">incident population for neoadjuvant treatment with pertuzumab </w:t>
      </w:r>
      <w:r w:rsidR="00870816">
        <w:rPr>
          <w:lang w:val="en-GB"/>
        </w:rPr>
        <w:t>relied on use of the 10% PBS data sample and considered that the approach was reasonable</w:t>
      </w:r>
      <w:r w:rsidR="00977D06">
        <w:rPr>
          <w:lang w:val="en-GB"/>
        </w:rPr>
        <w:t xml:space="preserve"> for estimation of patient numbers</w:t>
      </w:r>
      <w:r w:rsidR="00870816">
        <w:rPr>
          <w:lang w:val="en-GB"/>
        </w:rPr>
        <w:t>.</w:t>
      </w:r>
      <w:r w:rsidR="00FD1033">
        <w:rPr>
          <w:lang w:val="en-GB"/>
        </w:rPr>
        <w:t xml:space="preserve"> </w:t>
      </w:r>
      <w:r w:rsidR="00541F18">
        <w:rPr>
          <w:lang w:val="en-GB"/>
        </w:rPr>
        <w:t xml:space="preserve">The PBAC considered that </w:t>
      </w:r>
      <w:r w:rsidR="009673BD">
        <w:rPr>
          <w:lang w:val="en-GB"/>
        </w:rPr>
        <w:t xml:space="preserve">a duration </w:t>
      </w:r>
      <w:r w:rsidR="005340F8">
        <w:rPr>
          <w:lang w:val="en-GB"/>
        </w:rPr>
        <w:t xml:space="preserve">of </w:t>
      </w:r>
      <w:r w:rsidR="00197EA5" w:rsidRPr="00197EA5">
        <w:rPr>
          <w:rFonts w:asciiTheme="minorHAnsi" w:hAnsiTheme="minorHAnsi"/>
          <w:snapToGrid w:val="0"/>
          <w:color w:val="000000"/>
          <w:w w:val="62"/>
          <w:shd w:val="solid" w:color="000000" w:fill="000000"/>
          <w:fitText w:val="480" w:id="-680315648"/>
          <w:lang w:val="en-GB"/>
          <w14:textFill>
            <w14:solidFill>
              <w14:srgbClr w14:val="000000">
                <w14:alpha w14:val="100000"/>
              </w14:srgbClr>
            </w14:solidFill>
          </w14:textFill>
        </w:rPr>
        <w:t>||</w:t>
      </w:r>
      <w:proofErr w:type="gramStart"/>
      <w:r w:rsidR="00197EA5" w:rsidRPr="00197EA5">
        <w:rPr>
          <w:rFonts w:asciiTheme="minorHAnsi" w:hAnsiTheme="minorHAnsi"/>
          <w:snapToGrid w:val="0"/>
          <w:color w:val="000000"/>
          <w:w w:val="62"/>
          <w:shd w:val="solid" w:color="000000" w:fill="000000"/>
          <w:fitText w:val="480" w:id="-680315648"/>
          <w:lang w:val="en-GB"/>
          <w14:textFill>
            <w14:solidFill>
              <w14:srgbClr w14:val="000000">
                <w14:alpha w14:val="100000"/>
              </w14:srgbClr>
            </w14:solidFill>
          </w14:textFill>
        </w:rPr>
        <w:t>|  |</w:t>
      </w:r>
      <w:proofErr w:type="gramEnd"/>
      <w:r w:rsidR="00197EA5" w:rsidRPr="00197EA5">
        <w:rPr>
          <w:rFonts w:asciiTheme="minorHAnsi" w:hAnsiTheme="minorHAnsi"/>
          <w:snapToGrid w:val="0"/>
          <w:color w:val="000000"/>
          <w:w w:val="62"/>
          <w:shd w:val="solid" w:color="000000" w:fill="000000"/>
          <w:fitText w:val="480" w:id="-680315648"/>
          <w:lang w:val="en-GB"/>
          <w14:textFill>
            <w14:solidFill>
              <w14:srgbClr w14:val="000000">
                <w14:alpha w14:val="100000"/>
              </w14:srgbClr>
            </w14:solidFill>
          </w14:textFill>
        </w:rPr>
        <w:t>||</w:t>
      </w:r>
      <w:r w:rsidR="005340F8">
        <w:rPr>
          <w:lang w:val="en-GB"/>
        </w:rPr>
        <w:t xml:space="preserve"> cycles </w:t>
      </w:r>
      <w:r w:rsidR="00B4288C">
        <w:rPr>
          <w:lang w:val="en-GB"/>
        </w:rPr>
        <w:t>should be applied</w:t>
      </w:r>
      <w:r w:rsidR="00541F18">
        <w:rPr>
          <w:lang w:val="en-GB"/>
        </w:rPr>
        <w:t xml:space="preserve">, </w:t>
      </w:r>
      <w:r w:rsidR="009673BD">
        <w:rPr>
          <w:lang w:val="en-GB"/>
        </w:rPr>
        <w:t>consistent with the economic model</w:t>
      </w:r>
      <w:r w:rsidR="004B1C56">
        <w:rPr>
          <w:lang w:val="en-GB"/>
        </w:rPr>
        <w:t xml:space="preserve">. </w:t>
      </w:r>
      <w:r w:rsidR="00E20D9A">
        <w:rPr>
          <w:lang w:val="en-GB"/>
        </w:rPr>
        <w:t xml:space="preserve">The PBAC also </w:t>
      </w:r>
      <w:r w:rsidR="004B5DC5">
        <w:rPr>
          <w:lang w:val="en-GB"/>
        </w:rPr>
        <w:t>considered it would be reasonable to increase the financial estimates to include</w:t>
      </w:r>
      <w:r w:rsidR="005340F8">
        <w:rPr>
          <w:lang w:val="en-GB"/>
        </w:rPr>
        <w:t xml:space="preserve"> the 3% </w:t>
      </w:r>
      <w:r w:rsidR="004B5DC5">
        <w:rPr>
          <w:lang w:val="en-GB"/>
        </w:rPr>
        <w:t xml:space="preserve">of patients </w:t>
      </w:r>
      <w:r w:rsidR="003E3722">
        <w:rPr>
          <w:lang w:val="en-GB"/>
        </w:rPr>
        <w:t xml:space="preserve">for whom adjuvant treatment with pertuzumab may be </w:t>
      </w:r>
      <w:r w:rsidR="00612158">
        <w:rPr>
          <w:lang w:val="en-GB"/>
        </w:rPr>
        <w:t>appropriate (</w:t>
      </w:r>
      <w:r w:rsidR="00612158">
        <w:rPr>
          <w:bCs/>
        </w:rPr>
        <w:t xml:space="preserve">high risk </w:t>
      </w:r>
      <w:proofErr w:type="spellStart"/>
      <w:r w:rsidR="00612158">
        <w:rPr>
          <w:bCs/>
        </w:rPr>
        <w:t>eBC</w:t>
      </w:r>
      <w:proofErr w:type="spellEnd"/>
      <w:r w:rsidR="00612158">
        <w:rPr>
          <w:bCs/>
        </w:rPr>
        <w:t xml:space="preserve">, initially considered </w:t>
      </w:r>
      <w:r w:rsidR="00E16033">
        <w:rPr>
          <w:bCs/>
        </w:rPr>
        <w:t>low risk/</w:t>
      </w:r>
      <w:r w:rsidR="00612158">
        <w:rPr>
          <w:bCs/>
        </w:rPr>
        <w:t xml:space="preserve">node negative, or who elect not to undergo neoadjuvant treatment prior to surgery). </w:t>
      </w:r>
      <w:r w:rsidR="004A3977">
        <w:rPr>
          <w:bCs/>
        </w:rPr>
        <w:t xml:space="preserve">For these patients, the PBAC considered </w:t>
      </w:r>
      <w:r w:rsidR="00E2135E">
        <w:rPr>
          <w:bCs/>
        </w:rPr>
        <w:t xml:space="preserve">the financial estimates should apply </w:t>
      </w:r>
      <w:r w:rsidR="004A3977">
        <w:rPr>
          <w:bCs/>
        </w:rPr>
        <w:t xml:space="preserve">a </w:t>
      </w:r>
      <w:r w:rsidR="009D4937">
        <w:rPr>
          <w:bCs/>
        </w:rPr>
        <w:t>mean duration</w:t>
      </w:r>
      <w:r w:rsidR="001364EF">
        <w:rPr>
          <w:bCs/>
        </w:rPr>
        <w:t xml:space="preserve"> of 13.0 cycles</w:t>
      </w:r>
      <w:r w:rsidR="00E2135E" w:rsidRPr="00694F07">
        <w:rPr>
          <w:bCs/>
        </w:rPr>
        <w:t>,</w:t>
      </w:r>
      <w:r w:rsidR="00E2135E">
        <w:rPr>
          <w:bCs/>
        </w:rPr>
        <w:t xml:space="preserve"> based on data from the patient access program.</w:t>
      </w:r>
      <w:r w:rsidR="00612158" w:rsidRPr="00CE42B4" w:rsidDel="00AF6929">
        <w:rPr>
          <w:rFonts w:asciiTheme="minorHAnsi" w:hAnsiTheme="minorHAnsi"/>
          <w:snapToGrid w:val="0"/>
          <w:lang w:val="en-GB"/>
        </w:rPr>
        <w:t xml:space="preserve"> </w:t>
      </w:r>
      <w:r w:rsidR="00217F1D">
        <w:rPr>
          <w:rFonts w:asciiTheme="minorHAnsi" w:hAnsiTheme="minorHAnsi"/>
          <w:snapToGrid w:val="0"/>
          <w:lang w:val="en-GB"/>
        </w:rPr>
        <w:t>The PBAC noted tha</w:t>
      </w:r>
      <w:r w:rsidR="00C7680E">
        <w:rPr>
          <w:rFonts w:asciiTheme="minorHAnsi" w:hAnsiTheme="minorHAnsi"/>
          <w:snapToGrid w:val="0"/>
          <w:lang w:val="en-GB"/>
        </w:rPr>
        <w:t xml:space="preserve">t with a </w:t>
      </w:r>
      <w:r w:rsidR="00471EB9" w:rsidRPr="00471EB9">
        <w:rPr>
          <w:rFonts w:asciiTheme="minorHAnsi" w:hAnsiTheme="minorHAnsi"/>
          <w:snapToGrid w:val="0"/>
          <w:color w:val="000000"/>
          <w:w w:val="60"/>
          <w:shd w:val="solid" w:color="000000" w:fill="000000"/>
          <w:fitText w:val="470" w:id="-694407932"/>
          <w:lang w:val="en-GB"/>
          <w14:textFill>
            <w14:solidFill>
              <w14:srgbClr w14:val="000000">
                <w14:alpha w14:val="100000"/>
              </w14:srgbClr>
            </w14:solidFill>
          </w14:textFill>
        </w:rPr>
        <w:t>|||  ||</w:t>
      </w:r>
      <w:r w:rsidR="00471EB9" w:rsidRPr="00471EB9">
        <w:rPr>
          <w:rFonts w:asciiTheme="minorHAnsi" w:hAnsiTheme="minorHAnsi"/>
          <w:snapToGrid w:val="0"/>
          <w:color w:val="000000"/>
          <w:spacing w:val="6"/>
          <w:w w:val="60"/>
          <w:shd w:val="solid" w:color="000000" w:fill="000000"/>
          <w:fitText w:val="470" w:id="-694407932"/>
          <w:lang w:val="en-GB"/>
          <w14:textFill>
            <w14:solidFill>
              <w14:srgbClr w14:val="000000">
                <w14:alpha w14:val="100000"/>
              </w14:srgbClr>
            </w14:solidFill>
          </w14:textFill>
        </w:rPr>
        <w:t>|</w:t>
      </w:r>
      <w:r w:rsidR="00C7680E">
        <w:rPr>
          <w:rFonts w:asciiTheme="minorHAnsi" w:hAnsiTheme="minorHAnsi"/>
          <w:snapToGrid w:val="0"/>
          <w:lang w:val="en-GB"/>
        </w:rPr>
        <w:t xml:space="preserve">% reduction in the AEMP price for </w:t>
      </w:r>
      <w:r w:rsidR="002E119D">
        <w:rPr>
          <w:rFonts w:asciiTheme="minorHAnsi" w:hAnsiTheme="minorHAnsi"/>
          <w:snapToGrid w:val="0"/>
          <w:lang w:val="en-GB"/>
        </w:rPr>
        <w:t xml:space="preserve">neoadjuvant </w:t>
      </w:r>
      <w:r w:rsidR="00C7680E">
        <w:rPr>
          <w:rFonts w:asciiTheme="minorHAnsi" w:hAnsiTheme="minorHAnsi"/>
          <w:snapToGrid w:val="0"/>
          <w:lang w:val="en-GB"/>
        </w:rPr>
        <w:t>pertuzumab (from $</w:t>
      </w:r>
      <w:r w:rsidR="00471EB9" w:rsidRPr="00471EB9">
        <w:rPr>
          <w:rFonts w:asciiTheme="minorHAnsi" w:hAnsiTheme="minorHAnsi"/>
          <w:snapToGrid w:val="0"/>
          <w:color w:val="000000"/>
          <w:w w:val="60"/>
          <w:shd w:val="solid" w:color="000000" w:fill="000000"/>
          <w:fitText w:val="470" w:id="-694407931"/>
          <w:lang w:val="en-GB"/>
          <w14:textFill>
            <w14:solidFill>
              <w14:srgbClr w14:val="000000">
                <w14:alpha w14:val="100000"/>
              </w14:srgbClr>
            </w14:solidFill>
          </w14:textFill>
        </w:rPr>
        <w:t>|||  ||</w:t>
      </w:r>
      <w:r w:rsidR="00471EB9" w:rsidRPr="00471EB9">
        <w:rPr>
          <w:rFonts w:asciiTheme="minorHAnsi" w:hAnsiTheme="minorHAnsi"/>
          <w:snapToGrid w:val="0"/>
          <w:color w:val="000000"/>
          <w:spacing w:val="6"/>
          <w:w w:val="60"/>
          <w:shd w:val="solid" w:color="000000" w:fill="000000"/>
          <w:fitText w:val="470" w:id="-694407931"/>
          <w:lang w:val="en-GB"/>
          <w14:textFill>
            <w14:solidFill>
              <w14:srgbClr w14:val="000000">
                <w14:alpha w14:val="100000"/>
              </w14:srgbClr>
            </w14:solidFill>
          </w14:textFill>
        </w:rPr>
        <w:t>|</w:t>
      </w:r>
      <w:r w:rsidR="005C6D86">
        <w:rPr>
          <w:rFonts w:asciiTheme="minorHAnsi" w:hAnsiTheme="minorHAnsi"/>
          <w:snapToGrid w:val="0"/>
          <w:lang w:val="en-GB"/>
        </w:rPr>
        <w:t xml:space="preserve"> to $</w:t>
      </w:r>
      <w:r w:rsidR="00471EB9" w:rsidRPr="00471EB9">
        <w:rPr>
          <w:rFonts w:asciiTheme="minorHAnsi" w:hAnsiTheme="minorHAnsi"/>
          <w:snapToGrid w:val="0"/>
          <w:color w:val="000000"/>
          <w:w w:val="60"/>
          <w:shd w:val="solid" w:color="000000" w:fill="000000"/>
          <w:fitText w:val="470" w:id="-694407930"/>
          <w:lang w:val="en-GB"/>
          <w14:textFill>
            <w14:solidFill>
              <w14:srgbClr w14:val="000000">
                <w14:alpha w14:val="100000"/>
              </w14:srgbClr>
            </w14:solidFill>
          </w14:textFill>
        </w:rPr>
        <w:t>|||  ||</w:t>
      </w:r>
      <w:r w:rsidR="00471EB9" w:rsidRPr="00471EB9">
        <w:rPr>
          <w:rFonts w:asciiTheme="minorHAnsi" w:hAnsiTheme="minorHAnsi"/>
          <w:snapToGrid w:val="0"/>
          <w:color w:val="000000"/>
          <w:spacing w:val="6"/>
          <w:w w:val="60"/>
          <w:shd w:val="solid" w:color="000000" w:fill="000000"/>
          <w:fitText w:val="470" w:id="-694407930"/>
          <w:lang w:val="en-GB"/>
          <w14:textFill>
            <w14:solidFill>
              <w14:srgbClr w14:val="000000">
                <w14:alpha w14:val="100000"/>
              </w14:srgbClr>
            </w14:solidFill>
          </w14:textFill>
        </w:rPr>
        <w:t>|</w:t>
      </w:r>
      <w:r w:rsidR="005C6D86">
        <w:rPr>
          <w:rFonts w:asciiTheme="minorHAnsi" w:hAnsiTheme="minorHAnsi"/>
          <w:snapToGrid w:val="0"/>
          <w:lang w:val="en-GB"/>
        </w:rPr>
        <w:t xml:space="preserve"> per </w:t>
      </w:r>
      <w:r w:rsidR="00A7375D">
        <w:rPr>
          <w:rFonts w:asciiTheme="minorHAnsi" w:hAnsiTheme="minorHAnsi"/>
          <w:snapToGrid w:val="0"/>
          <w:lang w:val="en-GB"/>
        </w:rPr>
        <w:t xml:space="preserve">vial) </w:t>
      </w:r>
      <w:r w:rsidR="00D5678A">
        <w:rPr>
          <w:rFonts w:asciiTheme="minorHAnsi" w:hAnsiTheme="minorHAnsi"/>
          <w:snapToGrid w:val="0"/>
          <w:lang w:val="en-GB"/>
        </w:rPr>
        <w:t xml:space="preserve">and </w:t>
      </w:r>
      <w:r w:rsidR="00471EB9" w:rsidRPr="00197EA5">
        <w:rPr>
          <w:rFonts w:asciiTheme="minorHAnsi" w:hAnsiTheme="minorHAnsi"/>
          <w:snapToGrid w:val="0"/>
          <w:color w:val="000000"/>
          <w:w w:val="62"/>
          <w:shd w:val="solid" w:color="000000" w:fill="000000"/>
          <w:fitText w:val="480" w:id="-694407929"/>
          <w:lang w:val="en-GB"/>
          <w14:textFill>
            <w14:solidFill>
              <w14:srgbClr w14:val="000000">
                <w14:alpha w14:val="100000"/>
              </w14:srgbClr>
            </w14:solidFill>
          </w14:textFill>
        </w:rPr>
        <w:t>|||  |||</w:t>
      </w:r>
      <w:r w:rsidR="003F19B0">
        <w:rPr>
          <w:rFonts w:asciiTheme="minorHAnsi" w:hAnsiTheme="minorHAnsi"/>
          <w:snapToGrid w:val="0"/>
          <w:lang w:val="en-GB"/>
        </w:rPr>
        <w:t xml:space="preserve">% reduction </w:t>
      </w:r>
      <w:r w:rsidR="006C4712">
        <w:rPr>
          <w:rFonts w:asciiTheme="minorHAnsi" w:hAnsiTheme="minorHAnsi"/>
          <w:snapToGrid w:val="0"/>
          <w:lang w:val="en-GB"/>
        </w:rPr>
        <w:t xml:space="preserve">in the AEMP </w:t>
      </w:r>
      <w:r w:rsidR="005B335C">
        <w:rPr>
          <w:rFonts w:asciiTheme="minorHAnsi" w:hAnsiTheme="minorHAnsi"/>
          <w:snapToGrid w:val="0"/>
          <w:lang w:val="en-GB"/>
        </w:rPr>
        <w:t>for adjuvant pertuzumab (</w:t>
      </w:r>
      <w:r w:rsidR="00DB4067">
        <w:rPr>
          <w:rFonts w:asciiTheme="minorHAnsi" w:hAnsiTheme="minorHAnsi"/>
          <w:snapToGrid w:val="0"/>
          <w:lang w:val="en-GB"/>
        </w:rPr>
        <w:t>$</w:t>
      </w:r>
      <w:r w:rsidR="00471EB9" w:rsidRPr="00197EA5">
        <w:rPr>
          <w:rFonts w:asciiTheme="minorHAnsi" w:hAnsiTheme="minorHAnsi"/>
          <w:snapToGrid w:val="0"/>
          <w:color w:val="000000"/>
          <w:w w:val="60"/>
          <w:shd w:val="solid" w:color="000000" w:fill="000000"/>
          <w:fitText w:val="470" w:id="-694407928"/>
          <w:lang w:val="en-GB"/>
          <w14:textFill>
            <w14:solidFill>
              <w14:srgbClr w14:val="000000">
                <w14:alpha w14:val="100000"/>
              </w14:srgbClr>
            </w14:solidFill>
          </w14:textFill>
        </w:rPr>
        <w:t>|||  ||</w:t>
      </w:r>
      <w:r w:rsidR="00471EB9" w:rsidRPr="00197EA5">
        <w:rPr>
          <w:rFonts w:asciiTheme="minorHAnsi" w:hAnsiTheme="minorHAnsi"/>
          <w:snapToGrid w:val="0"/>
          <w:color w:val="000000"/>
          <w:spacing w:val="6"/>
          <w:w w:val="60"/>
          <w:shd w:val="solid" w:color="000000" w:fill="000000"/>
          <w:fitText w:val="470" w:id="-694407928"/>
          <w:lang w:val="en-GB"/>
          <w14:textFill>
            <w14:solidFill>
              <w14:srgbClr w14:val="000000">
                <w14:alpha w14:val="100000"/>
              </w14:srgbClr>
            </w14:solidFill>
          </w14:textFill>
        </w:rPr>
        <w:t>|</w:t>
      </w:r>
      <w:r w:rsidR="008B3D11">
        <w:rPr>
          <w:rFonts w:asciiTheme="minorHAnsi" w:hAnsiTheme="minorHAnsi"/>
          <w:snapToGrid w:val="0"/>
          <w:lang w:val="en-GB"/>
        </w:rPr>
        <w:t xml:space="preserve"> per vial</w:t>
      </w:r>
      <w:r w:rsidR="00DB4067">
        <w:rPr>
          <w:rFonts w:asciiTheme="minorHAnsi" w:hAnsiTheme="minorHAnsi"/>
          <w:snapToGrid w:val="0"/>
          <w:lang w:val="en-GB"/>
        </w:rPr>
        <w:t xml:space="preserve">) </w:t>
      </w:r>
      <w:r w:rsidR="00A7375D">
        <w:rPr>
          <w:rFonts w:asciiTheme="minorHAnsi" w:hAnsiTheme="minorHAnsi"/>
          <w:snapToGrid w:val="0"/>
          <w:lang w:val="en-GB"/>
        </w:rPr>
        <w:t xml:space="preserve">the </w:t>
      </w:r>
      <w:r w:rsidR="00A7375D" w:rsidRPr="00873941">
        <w:t xml:space="preserve">total cost to the PBS/RPBS of listing pertuzumab was estimated to be </w:t>
      </w:r>
      <w:r w:rsidR="00025D8B" w:rsidRPr="00025D8B">
        <w:t>$10 million to &lt; $20 million</w:t>
      </w:r>
      <w:r w:rsidR="001364EF">
        <w:t xml:space="preserve"> </w:t>
      </w:r>
      <w:r w:rsidR="00A7375D" w:rsidRPr="00873941">
        <w:t xml:space="preserve">in Year 1 and </w:t>
      </w:r>
      <w:r w:rsidR="00025D8B" w:rsidRPr="00025D8B">
        <w:t>$10 million to &lt; $20 million</w:t>
      </w:r>
      <w:r w:rsidR="001364EF">
        <w:t xml:space="preserve"> </w:t>
      </w:r>
      <w:r w:rsidR="00A7375D" w:rsidRPr="00873941">
        <w:t xml:space="preserve">in Year 6, and a total of </w:t>
      </w:r>
      <w:r w:rsidR="007B689E" w:rsidRPr="007B689E">
        <w:t>$70 million to &lt; $80 million</w:t>
      </w:r>
      <w:r w:rsidR="001364EF">
        <w:t xml:space="preserve"> </w:t>
      </w:r>
      <w:r w:rsidR="00A7375D" w:rsidRPr="00873941">
        <w:t>in the first 6 years of listing.</w:t>
      </w:r>
      <w:r w:rsidR="00401379">
        <w:t xml:space="preserve"> The PBAC considered these estimates were a reasonable basis for </w:t>
      </w:r>
      <w:r w:rsidR="007146AD">
        <w:t>the proposed RSA financial caps.</w:t>
      </w:r>
    </w:p>
    <w:p w14:paraId="4B9A5D65" w14:textId="263C9D22" w:rsidR="00121883" w:rsidRPr="00D121C5" w:rsidRDefault="00121883" w:rsidP="00657149">
      <w:pPr>
        <w:widowControl w:val="0"/>
        <w:numPr>
          <w:ilvl w:val="1"/>
          <w:numId w:val="5"/>
        </w:numPr>
        <w:spacing w:after="120"/>
        <w:rPr>
          <w:rFonts w:asciiTheme="minorHAnsi" w:hAnsiTheme="minorHAnsi" w:cstheme="minorHAnsi"/>
          <w:b/>
          <w:lang w:val="en-GB"/>
        </w:rPr>
      </w:pPr>
      <w:r w:rsidRPr="00657149">
        <w:rPr>
          <w:rFonts w:asciiTheme="minorHAnsi" w:hAnsiTheme="minorHAnsi"/>
          <w:bCs/>
          <w:snapToGrid w:val="0"/>
          <w:lang w:val="en-GB"/>
        </w:rPr>
        <w:t>The PBAC found that the criteria prescribed by the National Health (Pharmaceuticals and</w:t>
      </w:r>
      <w:r w:rsidRPr="00D121C5">
        <w:rPr>
          <w:rFonts w:asciiTheme="minorHAnsi" w:hAnsiTheme="minorHAnsi" w:cstheme="minorHAnsi"/>
          <w:i/>
          <w:lang w:val="en-GB"/>
        </w:rPr>
        <w:t xml:space="preserve"> Vaccines – Cost Recovery) Regulations 20</w:t>
      </w:r>
      <w:r>
        <w:rPr>
          <w:rFonts w:asciiTheme="minorHAnsi" w:hAnsiTheme="minorHAnsi" w:cstheme="minorHAnsi"/>
          <w:i/>
          <w:lang w:val="en-GB"/>
        </w:rPr>
        <w:t>22</w:t>
      </w:r>
      <w:r w:rsidRPr="00D121C5">
        <w:rPr>
          <w:rFonts w:asciiTheme="minorHAnsi" w:hAnsiTheme="minorHAnsi" w:cstheme="minorHAnsi"/>
          <w:lang w:val="en-GB"/>
        </w:rPr>
        <w:t xml:space="preserve"> for Pricing Pathway A were not met. </w:t>
      </w:r>
      <w:proofErr w:type="gramStart"/>
      <w:r w:rsidRPr="00D121C5">
        <w:rPr>
          <w:rFonts w:asciiTheme="minorHAnsi" w:hAnsiTheme="minorHAnsi" w:cstheme="minorHAnsi"/>
          <w:lang w:val="en-GB"/>
        </w:rPr>
        <w:t>Specifically</w:t>
      </w:r>
      <w:proofErr w:type="gramEnd"/>
      <w:r w:rsidRPr="00D121C5">
        <w:rPr>
          <w:rFonts w:asciiTheme="minorHAnsi" w:hAnsiTheme="minorHAnsi" w:cstheme="minorHAnsi"/>
          <w:lang w:val="en-GB"/>
        </w:rPr>
        <w:t xml:space="preserve"> the PBAC found that in the circumstances of its recommendation for </w:t>
      </w:r>
      <w:r w:rsidR="002408B1">
        <w:rPr>
          <w:rFonts w:asciiTheme="minorHAnsi" w:hAnsiTheme="minorHAnsi" w:cstheme="minorHAnsi"/>
          <w:lang w:val="en-GB"/>
        </w:rPr>
        <w:t>pertuzumab</w:t>
      </w:r>
      <w:r w:rsidRPr="00D121C5">
        <w:rPr>
          <w:rFonts w:asciiTheme="minorHAnsi" w:hAnsiTheme="minorHAnsi" w:cstheme="minorHAnsi"/>
          <w:lang w:val="en-GB"/>
        </w:rPr>
        <w:t>:</w:t>
      </w:r>
    </w:p>
    <w:p w14:paraId="7BFDBF62" w14:textId="700CB33C" w:rsidR="00121883" w:rsidRPr="00763DFB" w:rsidRDefault="00121883" w:rsidP="00121883">
      <w:pPr>
        <w:widowControl w:val="0"/>
        <w:numPr>
          <w:ilvl w:val="1"/>
          <w:numId w:val="24"/>
        </w:numPr>
        <w:spacing w:after="120"/>
        <w:rPr>
          <w:rFonts w:asciiTheme="minorHAnsi" w:hAnsiTheme="minorHAnsi" w:cstheme="minorHAnsi"/>
          <w:lang w:val="en-GB"/>
        </w:rPr>
      </w:pPr>
      <w:r w:rsidRPr="00763DFB">
        <w:rPr>
          <w:rFonts w:asciiTheme="minorHAnsi" w:hAnsiTheme="minorHAnsi" w:cstheme="minorHAnsi"/>
          <w:lang w:val="en-GB"/>
        </w:rPr>
        <w:t>The treatment is</w:t>
      </w:r>
      <w:r w:rsidR="003E10C6">
        <w:rPr>
          <w:rFonts w:asciiTheme="minorHAnsi" w:hAnsiTheme="minorHAnsi" w:cstheme="minorHAnsi"/>
          <w:lang w:val="en-GB"/>
        </w:rPr>
        <w:t xml:space="preserve"> </w:t>
      </w:r>
      <w:r w:rsidRPr="00763DFB">
        <w:rPr>
          <w:rFonts w:asciiTheme="minorHAnsi" w:hAnsiTheme="minorHAnsi" w:cstheme="minorHAnsi"/>
          <w:lang w:val="en-GB"/>
        </w:rPr>
        <w:t xml:space="preserve">expected to provide a </w:t>
      </w:r>
      <w:r w:rsidR="003E632E">
        <w:rPr>
          <w:rFonts w:asciiTheme="minorHAnsi" w:hAnsiTheme="minorHAnsi" w:cstheme="minorHAnsi"/>
          <w:lang w:val="en-GB"/>
        </w:rPr>
        <w:t>moderate, but</w:t>
      </w:r>
      <w:r w:rsidRPr="00763DFB">
        <w:rPr>
          <w:rFonts w:asciiTheme="minorHAnsi" w:hAnsiTheme="minorHAnsi" w:cstheme="minorHAnsi"/>
          <w:lang w:val="en-GB"/>
        </w:rPr>
        <w:t xml:space="preserve"> clinically relevant improvement in </w:t>
      </w:r>
      <w:proofErr w:type="gramStart"/>
      <w:r w:rsidRPr="00763DFB">
        <w:rPr>
          <w:rFonts w:asciiTheme="minorHAnsi" w:hAnsiTheme="minorHAnsi" w:cstheme="minorHAnsi"/>
          <w:lang w:val="en-GB"/>
        </w:rPr>
        <w:t>efficacy;</w:t>
      </w:r>
      <w:proofErr w:type="gramEnd"/>
      <w:r w:rsidRPr="00763DFB">
        <w:rPr>
          <w:rFonts w:asciiTheme="minorHAnsi" w:hAnsiTheme="minorHAnsi" w:cstheme="minorHAnsi"/>
          <w:lang w:val="en-GB"/>
        </w:rPr>
        <w:t xml:space="preserve"> </w:t>
      </w:r>
    </w:p>
    <w:p w14:paraId="50A41A25" w14:textId="5EEB8D90" w:rsidR="00121883" w:rsidRPr="00763DFB" w:rsidRDefault="00121883" w:rsidP="00121883">
      <w:pPr>
        <w:widowControl w:val="0"/>
        <w:numPr>
          <w:ilvl w:val="1"/>
          <w:numId w:val="24"/>
        </w:numPr>
        <w:spacing w:after="120"/>
        <w:rPr>
          <w:rFonts w:asciiTheme="minorHAnsi" w:hAnsiTheme="minorHAnsi" w:cstheme="minorHAnsi"/>
          <w:lang w:val="en-GB"/>
        </w:rPr>
      </w:pPr>
      <w:r w:rsidRPr="00763DFB">
        <w:rPr>
          <w:rFonts w:asciiTheme="minorHAnsi" w:hAnsiTheme="minorHAnsi" w:cstheme="minorHAnsi"/>
          <w:lang w:val="en-GB"/>
        </w:rPr>
        <w:t xml:space="preserve">The treatment is not expected to address a high and urgent unmet clinical need </w:t>
      </w:r>
      <w:r w:rsidR="00303087">
        <w:rPr>
          <w:rFonts w:asciiTheme="minorHAnsi" w:hAnsiTheme="minorHAnsi" w:cstheme="minorHAnsi"/>
          <w:lang w:val="en-GB"/>
        </w:rPr>
        <w:t xml:space="preserve">as other treatments are available in this </w:t>
      </w:r>
      <w:proofErr w:type="gramStart"/>
      <w:r w:rsidR="00303087">
        <w:rPr>
          <w:rFonts w:asciiTheme="minorHAnsi" w:hAnsiTheme="minorHAnsi" w:cstheme="minorHAnsi"/>
          <w:lang w:val="en-GB"/>
        </w:rPr>
        <w:t>setting</w:t>
      </w:r>
      <w:r w:rsidRPr="00763DFB">
        <w:rPr>
          <w:rFonts w:asciiTheme="minorHAnsi" w:hAnsiTheme="minorHAnsi" w:cstheme="minorHAnsi"/>
          <w:lang w:val="en-GB"/>
        </w:rPr>
        <w:t>;</w:t>
      </w:r>
      <w:proofErr w:type="gramEnd"/>
    </w:p>
    <w:p w14:paraId="27EB51B6" w14:textId="46611D96" w:rsidR="00303087" w:rsidRPr="00763DFB" w:rsidRDefault="00121883" w:rsidP="00303087">
      <w:pPr>
        <w:widowControl w:val="0"/>
        <w:numPr>
          <w:ilvl w:val="1"/>
          <w:numId w:val="24"/>
        </w:numPr>
        <w:spacing w:after="120"/>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303087">
        <w:rPr>
          <w:rFonts w:asciiTheme="minorHAnsi" w:hAnsiTheme="minorHAnsi" w:cstheme="minorHAnsi"/>
          <w:lang w:val="en-GB"/>
        </w:rPr>
        <w:t>.</w:t>
      </w:r>
      <w:r w:rsidRPr="00763DFB">
        <w:rPr>
          <w:rFonts w:asciiTheme="minorHAnsi" w:hAnsiTheme="minorHAnsi" w:cstheme="minorHAnsi"/>
          <w:lang w:val="en-GB"/>
        </w:rPr>
        <w:t xml:space="preserve"> </w:t>
      </w:r>
    </w:p>
    <w:p w14:paraId="0717BA5C" w14:textId="5C230320" w:rsidR="00440EB9" w:rsidRPr="00525B39" w:rsidRDefault="00121883" w:rsidP="00CA713C">
      <w:pPr>
        <w:widowControl w:val="0"/>
        <w:numPr>
          <w:ilvl w:val="1"/>
          <w:numId w:val="5"/>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 not eligible for an Independent Review</w:t>
      </w:r>
      <w:r w:rsidR="00303087">
        <w:rPr>
          <w:rFonts w:asciiTheme="minorHAnsi" w:hAnsiTheme="minorHAnsi"/>
          <w:bCs/>
          <w:snapToGrid w:val="0"/>
          <w:lang w:val="en-GB"/>
        </w:rPr>
        <w:t xml:space="preserve"> as it is a positive recommendation</w:t>
      </w:r>
      <w:r w:rsidRPr="00525B39">
        <w:rPr>
          <w:rFonts w:asciiTheme="minorHAnsi" w:hAnsiTheme="minorHAnsi"/>
          <w:bCs/>
          <w:snapToGrid w:val="0"/>
          <w:lang w:val="en-GB"/>
        </w:rPr>
        <w:t xml:space="preserve">. </w:t>
      </w:r>
    </w:p>
    <w:p w14:paraId="7F6C2F01" w14:textId="77777777" w:rsidR="00121883" w:rsidRPr="007D4707" w:rsidRDefault="00121883" w:rsidP="00121883">
      <w:pPr>
        <w:widowControl w:val="0"/>
        <w:contextualSpacing/>
        <w:rPr>
          <w:rFonts w:asciiTheme="minorHAnsi" w:hAnsiTheme="minorHAnsi"/>
          <w:bCs/>
          <w:snapToGrid w:val="0"/>
          <w:lang w:val="en-GB"/>
        </w:rPr>
      </w:pPr>
    </w:p>
    <w:p w14:paraId="74542542" w14:textId="77777777" w:rsidR="00121883" w:rsidRPr="00525B39" w:rsidRDefault="00121883" w:rsidP="00121883">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520B27E8" w14:textId="2C6113B9" w:rsidR="00440EB9" w:rsidRPr="00B06EC6" w:rsidRDefault="00121883" w:rsidP="00440EB9">
      <w:pPr>
        <w:rPr>
          <w:rFonts w:asciiTheme="minorHAnsi" w:hAnsiTheme="minorHAnsi"/>
          <w:bCs/>
          <w:snapToGrid w:val="0"/>
          <w:lang w:val="en-GB"/>
        </w:rPr>
      </w:pPr>
      <w:r w:rsidRPr="00525B39">
        <w:rPr>
          <w:rFonts w:asciiTheme="minorHAnsi" w:hAnsiTheme="minorHAnsi"/>
          <w:bCs/>
          <w:snapToGrid w:val="0"/>
          <w:lang w:val="en-GB"/>
        </w:rPr>
        <w:t>Recommended</w:t>
      </w:r>
    </w:p>
    <w:p w14:paraId="042FD825" w14:textId="77777777" w:rsidR="00440EB9" w:rsidRPr="00525B39" w:rsidRDefault="00440EB9" w:rsidP="00440EB9">
      <w:pPr>
        <w:rPr>
          <w:b/>
          <w:bCs/>
          <w:snapToGrid w:val="0"/>
        </w:rPr>
      </w:pPr>
    </w:p>
    <w:bookmarkEnd w:id="118"/>
    <w:p w14:paraId="63174E6C" w14:textId="77777777" w:rsidR="00121883" w:rsidRPr="00907671" w:rsidRDefault="00121883" w:rsidP="00121883">
      <w:pPr>
        <w:pStyle w:val="2-SectionHeading"/>
      </w:pPr>
      <w:r w:rsidRPr="00907671">
        <w:t>Recommended listing</w:t>
      </w:r>
    </w:p>
    <w:p w14:paraId="14DAECC9" w14:textId="15096EF0" w:rsidR="00417098" w:rsidRDefault="00121883" w:rsidP="00417098">
      <w:pPr>
        <w:widowControl w:val="0"/>
        <w:numPr>
          <w:ilvl w:val="1"/>
          <w:numId w:val="5"/>
        </w:numPr>
        <w:spacing w:after="120"/>
        <w:contextualSpacing/>
        <w:rPr>
          <w:rFonts w:asciiTheme="minorHAnsi" w:hAnsiTheme="minorHAnsi"/>
          <w:bCs/>
          <w:snapToGrid w:val="0"/>
        </w:rPr>
      </w:pPr>
      <w:r w:rsidRPr="00A466B3">
        <w:rPr>
          <w:rFonts w:asciiTheme="minorHAnsi" w:hAnsiTheme="minorHAnsi"/>
          <w:bCs/>
          <w:snapToGrid w:val="0"/>
        </w:rPr>
        <w:t>Add new item:</w:t>
      </w:r>
    </w:p>
    <w:p w14:paraId="415CEF0D" w14:textId="77777777" w:rsidR="00D61DA0" w:rsidRPr="00D61DA0" w:rsidRDefault="00D61DA0" w:rsidP="00D61DA0">
      <w:pPr>
        <w:widowControl w:val="0"/>
        <w:spacing w:after="120"/>
        <w:ind w:left="720"/>
        <w:contextualSpacing/>
        <w:rPr>
          <w:rFonts w:asciiTheme="minorHAnsi" w:hAnsiTheme="minorHAnsi"/>
          <w:bCs/>
          <w:snapToGrid w:val="0"/>
        </w:rPr>
      </w:pPr>
    </w:p>
    <w:p w14:paraId="2DBA98FD" w14:textId="77777777" w:rsidR="00417098" w:rsidRPr="00873941" w:rsidRDefault="00417098" w:rsidP="00417098">
      <w:pPr>
        <w:rPr>
          <w:rFonts w:cs="Calibri"/>
          <w:b/>
        </w:rPr>
      </w:pPr>
      <w:r w:rsidRPr="00873941">
        <w:rPr>
          <w:rFonts w:cs="Calibri"/>
          <w:b/>
        </w:rPr>
        <w:t>Secretariat suggested wording for the restriction</w:t>
      </w:r>
    </w:p>
    <w:p w14:paraId="6A8BDDB3" w14:textId="3F968EBD" w:rsidR="00417098" w:rsidRPr="00873941" w:rsidRDefault="00B75A22" w:rsidP="00417098">
      <w:pPr>
        <w:spacing w:after="120"/>
        <w:rPr>
          <w:rFonts w:ascii="Arial Narrow" w:hAnsi="Arial Narrow" w:cstheme="minorHAnsi"/>
          <w:color w:val="FF0000"/>
          <w:sz w:val="18"/>
          <w:szCs w:val="18"/>
        </w:rPr>
      </w:pPr>
      <w:r w:rsidRPr="00873941">
        <w:rPr>
          <w:rFonts w:cs="Calibri"/>
          <w:bCs/>
        </w:rPr>
        <w:lastRenderedPageBreak/>
        <w:t xml:space="preserve">Suggested </w:t>
      </w:r>
      <w:r w:rsidR="00417098" w:rsidRPr="00873941">
        <w:rPr>
          <w:rFonts w:cs="Calibri"/>
          <w:bCs/>
        </w:rPr>
        <w:t>additions are in italics and deletions in strikethrough.</w:t>
      </w:r>
    </w:p>
    <w:tbl>
      <w:tblPr>
        <w:tblStyle w:val="TableGrid"/>
        <w:tblW w:w="5000" w:type="pct"/>
        <w:tblLayout w:type="fixed"/>
        <w:tblLook w:val="0020" w:firstRow="1" w:lastRow="0" w:firstColumn="0" w:lastColumn="0" w:noHBand="0" w:noVBand="0"/>
        <w:tblCaption w:val="Recommended listing"/>
      </w:tblPr>
      <w:tblGrid>
        <w:gridCol w:w="562"/>
        <w:gridCol w:w="709"/>
        <w:gridCol w:w="1823"/>
        <w:gridCol w:w="1973"/>
        <w:gridCol w:w="1973"/>
        <w:gridCol w:w="1977"/>
      </w:tblGrid>
      <w:tr w:rsidR="00417098" w:rsidRPr="00873941" w14:paraId="4F49A00F" w14:textId="77777777" w:rsidTr="00E6133E">
        <w:trPr>
          <w:trHeight w:val="20"/>
          <w:tblHeader/>
        </w:trPr>
        <w:tc>
          <w:tcPr>
            <w:tcW w:w="1716" w:type="pct"/>
            <w:gridSpan w:val="3"/>
          </w:tcPr>
          <w:p w14:paraId="12C51A49" w14:textId="77777777" w:rsidR="00417098" w:rsidRPr="00873941" w:rsidRDefault="00417098" w:rsidP="00EF13AB">
            <w:pPr>
              <w:keepNext/>
              <w:rPr>
                <w:rFonts w:ascii="Arial Narrow" w:hAnsi="Arial Narrow"/>
                <w:b/>
                <w:bCs/>
                <w:sz w:val="20"/>
                <w:szCs w:val="20"/>
              </w:rPr>
            </w:pPr>
            <w:r w:rsidRPr="00873941">
              <w:rPr>
                <w:rFonts w:ascii="Arial Narrow" w:hAnsi="Arial Narrow"/>
                <w:b/>
                <w:bCs/>
                <w:sz w:val="20"/>
                <w:szCs w:val="20"/>
              </w:rPr>
              <w:t>MEDICINAL PRODUCT</w:t>
            </w:r>
          </w:p>
          <w:p w14:paraId="2E8E1878" w14:textId="77777777" w:rsidR="00417098" w:rsidRPr="00873941" w:rsidRDefault="00417098" w:rsidP="00EF13AB">
            <w:pPr>
              <w:keepNext/>
              <w:rPr>
                <w:rFonts w:ascii="Arial Narrow" w:hAnsi="Arial Narrow"/>
                <w:b/>
                <w:sz w:val="20"/>
                <w:szCs w:val="20"/>
              </w:rPr>
            </w:pPr>
            <w:r w:rsidRPr="00873941">
              <w:rPr>
                <w:rFonts w:ascii="Arial Narrow" w:hAnsi="Arial Narrow"/>
                <w:b/>
                <w:sz w:val="20"/>
                <w:szCs w:val="20"/>
              </w:rPr>
              <w:t>Form</w:t>
            </w:r>
          </w:p>
        </w:tc>
        <w:tc>
          <w:tcPr>
            <w:tcW w:w="1094" w:type="pct"/>
          </w:tcPr>
          <w:p w14:paraId="1C4D850B" w14:textId="77777777" w:rsidR="00417098" w:rsidRPr="00873941" w:rsidRDefault="00417098" w:rsidP="00EF13AB">
            <w:pPr>
              <w:keepNext/>
              <w:jc w:val="center"/>
              <w:rPr>
                <w:rFonts w:ascii="Arial Narrow" w:hAnsi="Arial Narrow"/>
                <w:b/>
                <w:sz w:val="20"/>
                <w:szCs w:val="20"/>
              </w:rPr>
            </w:pPr>
            <w:r w:rsidRPr="00873941">
              <w:rPr>
                <w:rFonts w:ascii="Arial Narrow" w:hAnsi="Arial Narrow"/>
                <w:b/>
                <w:sz w:val="20"/>
                <w:szCs w:val="20"/>
              </w:rPr>
              <w:t>PBS item code</w:t>
            </w:r>
          </w:p>
        </w:tc>
        <w:tc>
          <w:tcPr>
            <w:tcW w:w="1094" w:type="pct"/>
          </w:tcPr>
          <w:p w14:paraId="64F5BB7B" w14:textId="77777777" w:rsidR="00417098" w:rsidRPr="00873941" w:rsidRDefault="00417098" w:rsidP="00EF13AB">
            <w:pPr>
              <w:keepNext/>
              <w:jc w:val="center"/>
              <w:rPr>
                <w:rFonts w:ascii="Arial Narrow" w:hAnsi="Arial Narrow"/>
                <w:b/>
                <w:sz w:val="20"/>
                <w:szCs w:val="20"/>
              </w:rPr>
            </w:pPr>
            <w:r w:rsidRPr="00873941">
              <w:rPr>
                <w:rFonts w:ascii="Arial Narrow" w:hAnsi="Arial Narrow"/>
                <w:b/>
                <w:sz w:val="20"/>
                <w:szCs w:val="20"/>
              </w:rPr>
              <w:t>Max. Amount</w:t>
            </w:r>
          </w:p>
        </w:tc>
        <w:tc>
          <w:tcPr>
            <w:tcW w:w="1096" w:type="pct"/>
          </w:tcPr>
          <w:p w14:paraId="42263846" w14:textId="77777777" w:rsidR="00417098" w:rsidRPr="00873941" w:rsidRDefault="00417098" w:rsidP="00EF13AB">
            <w:pPr>
              <w:keepNext/>
              <w:jc w:val="center"/>
              <w:rPr>
                <w:rFonts w:ascii="Arial Narrow" w:hAnsi="Arial Narrow"/>
                <w:b/>
                <w:sz w:val="20"/>
                <w:szCs w:val="20"/>
              </w:rPr>
            </w:pPr>
            <w:r w:rsidRPr="00873941">
              <w:rPr>
                <w:rFonts w:ascii="Arial Narrow" w:hAnsi="Arial Narrow"/>
                <w:b/>
                <w:sz w:val="20"/>
                <w:szCs w:val="20"/>
              </w:rPr>
              <w:t xml:space="preserve">№.of </w:t>
            </w:r>
            <w:proofErr w:type="spellStart"/>
            <w:r w:rsidRPr="00873941">
              <w:rPr>
                <w:rFonts w:ascii="Arial Narrow" w:hAnsi="Arial Narrow"/>
                <w:b/>
                <w:sz w:val="20"/>
                <w:szCs w:val="20"/>
              </w:rPr>
              <w:t>Rpts</w:t>
            </w:r>
            <w:proofErr w:type="spellEnd"/>
          </w:p>
        </w:tc>
      </w:tr>
      <w:tr w:rsidR="00417098" w:rsidRPr="00873941" w14:paraId="1E18D5E1" w14:textId="77777777" w:rsidTr="00E6133E">
        <w:trPr>
          <w:trHeight w:val="20"/>
        </w:trPr>
        <w:tc>
          <w:tcPr>
            <w:tcW w:w="1716" w:type="pct"/>
            <w:gridSpan w:val="3"/>
          </w:tcPr>
          <w:p w14:paraId="568E35FE" w14:textId="77777777" w:rsidR="00417098" w:rsidRPr="00873941" w:rsidRDefault="00417098" w:rsidP="00EF13AB">
            <w:pPr>
              <w:keepNext/>
              <w:rPr>
                <w:rFonts w:ascii="Arial Narrow" w:hAnsi="Arial Narrow"/>
                <w:sz w:val="20"/>
                <w:szCs w:val="20"/>
              </w:rPr>
            </w:pPr>
            <w:r w:rsidRPr="00873941">
              <w:rPr>
                <w:rFonts w:ascii="Arial Narrow" w:hAnsi="Arial Narrow"/>
                <w:sz w:val="20"/>
                <w:szCs w:val="20"/>
              </w:rPr>
              <w:t>PERTUZUMAB </w:t>
            </w:r>
            <w:r w:rsidRPr="00873941">
              <w:rPr>
                <w:rFonts w:ascii="Arial Narrow" w:hAnsi="Arial Narrow"/>
                <w:sz w:val="20"/>
                <w:szCs w:val="20"/>
              </w:rPr>
              <w:br/>
              <w:t>Injection</w:t>
            </w:r>
          </w:p>
        </w:tc>
        <w:tc>
          <w:tcPr>
            <w:tcW w:w="1094" w:type="pct"/>
          </w:tcPr>
          <w:p w14:paraId="28BA233F" w14:textId="77777777" w:rsidR="00417098" w:rsidRPr="00873941" w:rsidRDefault="00417098" w:rsidP="00A466B3">
            <w:pPr>
              <w:keepNext/>
              <w:jc w:val="left"/>
              <w:rPr>
                <w:rFonts w:ascii="Arial Narrow" w:hAnsi="Arial Narrow"/>
                <w:sz w:val="20"/>
                <w:szCs w:val="20"/>
              </w:rPr>
            </w:pPr>
            <w:r w:rsidRPr="00873941">
              <w:rPr>
                <w:rFonts w:ascii="Arial Narrow" w:hAnsi="Arial Narrow"/>
                <w:sz w:val="20"/>
                <w:szCs w:val="20"/>
              </w:rPr>
              <w:t>NEW (Public)</w:t>
            </w:r>
            <w:r w:rsidRPr="00873941">
              <w:rPr>
                <w:rFonts w:ascii="Arial Narrow" w:hAnsi="Arial Narrow"/>
                <w:sz w:val="20"/>
                <w:szCs w:val="20"/>
              </w:rPr>
              <w:br/>
              <w:t>NEW (Private)</w:t>
            </w:r>
          </w:p>
        </w:tc>
        <w:tc>
          <w:tcPr>
            <w:tcW w:w="1094" w:type="pct"/>
          </w:tcPr>
          <w:p w14:paraId="07E6F6CA" w14:textId="77777777" w:rsidR="00417098" w:rsidRPr="00873941" w:rsidRDefault="00417098" w:rsidP="00EF13AB">
            <w:pPr>
              <w:keepNext/>
              <w:jc w:val="center"/>
              <w:rPr>
                <w:rFonts w:ascii="Arial Narrow" w:hAnsi="Arial Narrow"/>
                <w:sz w:val="20"/>
                <w:szCs w:val="20"/>
              </w:rPr>
            </w:pPr>
            <w:r w:rsidRPr="00873941">
              <w:rPr>
                <w:rFonts w:ascii="Arial Narrow" w:hAnsi="Arial Narrow"/>
                <w:sz w:val="20"/>
                <w:szCs w:val="20"/>
              </w:rPr>
              <w:t>840 mg</w:t>
            </w:r>
          </w:p>
        </w:tc>
        <w:tc>
          <w:tcPr>
            <w:tcW w:w="1096" w:type="pct"/>
          </w:tcPr>
          <w:p w14:paraId="42966120" w14:textId="77777777" w:rsidR="00417098" w:rsidRPr="00873941" w:rsidRDefault="00417098" w:rsidP="00EF13AB">
            <w:pPr>
              <w:keepNext/>
              <w:jc w:val="center"/>
              <w:rPr>
                <w:rFonts w:ascii="Arial Narrow" w:hAnsi="Arial Narrow"/>
                <w:sz w:val="20"/>
                <w:szCs w:val="20"/>
              </w:rPr>
            </w:pPr>
            <w:r w:rsidRPr="00873941">
              <w:rPr>
                <w:rFonts w:ascii="Arial Narrow" w:hAnsi="Arial Narrow"/>
                <w:sz w:val="20"/>
                <w:szCs w:val="20"/>
              </w:rPr>
              <w:t>0</w:t>
            </w:r>
          </w:p>
        </w:tc>
      </w:tr>
      <w:tr w:rsidR="00417098" w:rsidRPr="00873941" w14:paraId="4223B9AD" w14:textId="77777777" w:rsidTr="00E6133E">
        <w:trPr>
          <w:trHeight w:val="20"/>
        </w:trPr>
        <w:tc>
          <w:tcPr>
            <w:tcW w:w="5000" w:type="pct"/>
            <w:gridSpan w:val="6"/>
          </w:tcPr>
          <w:p w14:paraId="39D1D6A1" w14:textId="77777777" w:rsidR="00417098" w:rsidRPr="00873941" w:rsidRDefault="00417098" w:rsidP="00EF13AB">
            <w:pPr>
              <w:keepNext/>
              <w:rPr>
                <w:rFonts w:ascii="Arial Narrow" w:hAnsi="Arial Narrow"/>
                <w:b/>
                <w:sz w:val="20"/>
                <w:szCs w:val="20"/>
              </w:rPr>
            </w:pPr>
            <w:r w:rsidRPr="00873941">
              <w:rPr>
                <w:rFonts w:ascii="Arial Narrow" w:hAnsi="Arial Narrow"/>
                <w:b/>
                <w:sz w:val="20"/>
                <w:szCs w:val="20"/>
              </w:rPr>
              <w:t xml:space="preserve">Available brands </w:t>
            </w:r>
          </w:p>
        </w:tc>
      </w:tr>
      <w:tr w:rsidR="00417098" w:rsidRPr="00873941" w14:paraId="0E95BCDD" w14:textId="77777777" w:rsidTr="00E6133E">
        <w:trPr>
          <w:trHeight w:val="20"/>
        </w:trPr>
        <w:tc>
          <w:tcPr>
            <w:tcW w:w="5000" w:type="pct"/>
            <w:gridSpan w:val="6"/>
          </w:tcPr>
          <w:p w14:paraId="6F96FDDB" w14:textId="4F307067" w:rsidR="00417098" w:rsidRPr="00873941" w:rsidRDefault="00417098" w:rsidP="00EF13AB">
            <w:pPr>
              <w:keepNext/>
              <w:rPr>
                <w:rFonts w:ascii="Arial Narrow" w:hAnsi="Arial Narrow"/>
                <w:sz w:val="20"/>
                <w:szCs w:val="20"/>
              </w:rPr>
            </w:pPr>
            <w:r w:rsidRPr="00873941">
              <w:rPr>
                <w:rFonts w:ascii="Arial Narrow" w:hAnsi="Arial Narrow"/>
                <w:sz w:val="20"/>
                <w:szCs w:val="20"/>
              </w:rPr>
              <w:t>Perjeta</w:t>
            </w:r>
            <w:r w:rsidRPr="00873941" w:rsidDel="00381EAC">
              <w:rPr>
                <w:rFonts w:ascii="Arial Narrow" w:hAnsi="Arial Narrow"/>
                <w:sz w:val="20"/>
                <w:szCs w:val="20"/>
              </w:rPr>
              <w:t xml:space="preserve"> </w:t>
            </w:r>
            <w:r w:rsidRPr="00873941">
              <w:rPr>
                <w:rFonts w:ascii="Arial Narrow" w:hAnsi="Arial Narrow"/>
                <w:sz w:val="20"/>
                <w:szCs w:val="20"/>
              </w:rPr>
              <w:br/>
              <w:t>(pertuzumab 420 mg/14mL, 14 mL vial)</w:t>
            </w:r>
            <w:r w:rsidR="00FA3CE6">
              <w:rPr>
                <w:rFonts w:ascii="Arial Narrow" w:hAnsi="Arial Narrow"/>
                <w:sz w:val="20"/>
                <w:szCs w:val="20"/>
              </w:rPr>
              <w:t xml:space="preserve"> </w:t>
            </w:r>
          </w:p>
        </w:tc>
      </w:tr>
      <w:tr w:rsidR="00417098" w:rsidRPr="00873941" w14:paraId="0A799BCB" w14:textId="77777777" w:rsidTr="00E6133E">
        <w:trPr>
          <w:trHeight w:val="20"/>
        </w:trPr>
        <w:tc>
          <w:tcPr>
            <w:tcW w:w="5000" w:type="pct"/>
            <w:gridSpan w:val="6"/>
          </w:tcPr>
          <w:p w14:paraId="217B18F8" w14:textId="77777777" w:rsidR="00417098" w:rsidRPr="00873941" w:rsidRDefault="00417098" w:rsidP="00EF13AB">
            <w:pPr>
              <w:rPr>
                <w:rFonts w:ascii="Arial Narrow" w:hAnsi="Arial Narrow"/>
                <w:color w:val="FF0000"/>
                <w:sz w:val="20"/>
                <w:szCs w:val="20"/>
              </w:rPr>
            </w:pPr>
          </w:p>
        </w:tc>
      </w:tr>
      <w:tr w:rsidR="00417098" w:rsidRPr="00873941" w14:paraId="057A1B70" w14:textId="77777777" w:rsidTr="00E6133E">
        <w:trPr>
          <w:trHeight w:val="20"/>
        </w:trPr>
        <w:tc>
          <w:tcPr>
            <w:tcW w:w="5000" w:type="pct"/>
            <w:gridSpan w:val="6"/>
          </w:tcPr>
          <w:p w14:paraId="765A68F9" w14:textId="77777777" w:rsidR="00417098" w:rsidRPr="00873941" w:rsidRDefault="00417098" w:rsidP="00EF13AB">
            <w:pPr>
              <w:keepNext/>
              <w:rPr>
                <w:rFonts w:ascii="Arial Narrow" w:hAnsi="Arial Narrow"/>
                <w:color w:val="FF0000"/>
                <w:sz w:val="20"/>
                <w:szCs w:val="20"/>
              </w:rPr>
            </w:pPr>
            <w:r w:rsidRPr="00873941">
              <w:rPr>
                <w:rFonts w:ascii="Arial Narrow" w:hAnsi="Arial Narrow"/>
                <w:b/>
                <w:sz w:val="20"/>
                <w:szCs w:val="20"/>
              </w:rPr>
              <w:t xml:space="preserve">Restriction Summary [new] / Treatment of Concept: [new] </w:t>
            </w:r>
          </w:p>
        </w:tc>
      </w:tr>
      <w:tr w:rsidR="00417098" w:rsidRPr="00873941" w14:paraId="0E265668" w14:textId="77777777" w:rsidTr="00E6133E">
        <w:trPr>
          <w:trHeight w:val="20"/>
        </w:trPr>
        <w:tc>
          <w:tcPr>
            <w:tcW w:w="705" w:type="pct"/>
            <w:gridSpan w:val="2"/>
            <w:vMerge w:val="restart"/>
          </w:tcPr>
          <w:p w14:paraId="387B3848" w14:textId="77777777" w:rsidR="00417098" w:rsidRPr="00873941" w:rsidRDefault="00417098" w:rsidP="00EF13AB">
            <w:pPr>
              <w:keepNext/>
              <w:jc w:val="center"/>
              <w:rPr>
                <w:rFonts w:ascii="Arial Narrow" w:hAnsi="Arial Narrow"/>
                <w:b/>
                <w:sz w:val="20"/>
                <w:szCs w:val="20"/>
              </w:rPr>
            </w:pPr>
            <w:r w:rsidRPr="00873941">
              <w:rPr>
                <w:rFonts w:ascii="Arial Narrow" w:hAnsi="Arial Narrow"/>
                <w:b/>
                <w:sz w:val="20"/>
                <w:szCs w:val="20"/>
              </w:rPr>
              <w:t xml:space="preserve">Concept ID </w:t>
            </w:r>
            <w:r w:rsidRPr="00873941">
              <w:rPr>
                <w:rFonts w:ascii="Arial Narrow" w:hAnsi="Arial Narrow"/>
                <w:sz w:val="20"/>
                <w:szCs w:val="20"/>
              </w:rPr>
              <w:t>(for internal Dept. use)</w:t>
            </w:r>
          </w:p>
        </w:tc>
        <w:tc>
          <w:tcPr>
            <w:tcW w:w="4295" w:type="pct"/>
            <w:gridSpan w:val="4"/>
          </w:tcPr>
          <w:p w14:paraId="6A2AFC84" w14:textId="77777777" w:rsidR="00417098" w:rsidRPr="00873941" w:rsidRDefault="00417098" w:rsidP="00EF13AB">
            <w:pPr>
              <w:keepNext/>
              <w:rPr>
                <w:rFonts w:ascii="Arial Narrow" w:hAnsi="Arial Narrow"/>
                <w:sz w:val="20"/>
                <w:szCs w:val="20"/>
              </w:rPr>
            </w:pPr>
            <w:r w:rsidRPr="00873941">
              <w:rPr>
                <w:rFonts w:ascii="Arial Narrow" w:hAnsi="Arial Narrow"/>
                <w:b/>
                <w:sz w:val="20"/>
                <w:szCs w:val="20"/>
              </w:rPr>
              <w:t xml:space="preserve">Category / Program: </w:t>
            </w:r>
            <w:r w:rsidRPr="00873941">
              <w:rPr>
                <w:rFonts w:ascii="Arial Narrow" w:hAnsi="Arial Narrow"/>
                <w:sz w:val="20"/>
                <w:szCs w:val="20"/>
              </w:rPr>
              <w:t xml:space="preserve">Section 100 – Efficient Funding of Chemotherapy Public/Private hospitals </w:t>
            </w:r>
          </w:p>
        </w:tc>
      </w:tr>
      <w:tr w:rsidR="00417098" w:rsidRPr="00873941" w14:paraId="2E95868A" w14:textId="77777777" w:rsidTr="00E6133E">
        <w:trPr>
          <w:trHeight w:val="20"/>
        </w:trPr>
        <w:tc>
          <w:tcPr>
            <w:tcW w:w="705" w:type="pct"/>
            <w:gridSpan w:val="2"/>
            <w:vMerge/>
          </w:tcPr>
          <w:p w14:paraId="6FCD9052" w14:textId="77777777" w:rsidR="00417098" w:rsidRPr="00873941" w:rsidRDefault="00417098" w:rsidP="00EF13AB">
            <w:pPr>
              <w:keepNext/>
              <w:rPr>
                <w:rFonts w:ascii="Arial Narrow" w:hAnsi="Arial Narrow"/>
                <w:sz w:val="20"/>
                <w:szCs w:val="20"/>
              </w:rPr>
            </w:pPr>
          </w:p>
        </w:tc>
        <w:tc>
          <w:tcPr>
            <w:tcW w:w="4295" w:type="pct"/>
            <w:gridSpan w:val="4"/>
          </w:tcPr>
          <w:p w14:paraId="3C269100" w14:textId="77777777" w:rsidR="00417098" w:rsidRPr="00873941" w:rsidRDefault="00417098" w:rsidP="00EF13AB">
            <w:pPr>
              <w:keepNext/>
              <w:rPr>
                <w:rFonts w:ascii="Arial Narrow" w:hAnsi="Arial Narrow"/>
                <w:b/>
                <w:sz w:val="20"/>
                <w:szCs w:val="20"/>
              </w:rPr>
            </w:pPr>
            <w:r w:rsidRPr="00873941">
              <w:rPr>
                <w:rFonts w:ascii="Arial Narrow" w:hAnsi="Arial Narrow"/>
                <w:b/>
                <w:sz w:val="20"/>
                <w:szCs w:val="20"/>
              </w:rPr>
              <w:t xml:space="preserve">Prescriber type: </w:t>
            </w:r>
            <w:r w:rsidRPr="00873941">
              <w:rPr>
                <w:rFonts w:ascii="Arial Narrow" w:hAnsi="Arial Narrow"/>
                <w:sz w:val="20"/>
                <w:szCs w:val="20"/>
              </w:rPr>
              <w:fldChar w:fldCharType="begin">
                <w:ffData>
                  <w:name w:val=""/>
                  <w:enabled/>
                  <w:calcOnExit w:val="0"/>
                  <w:checkBox>
                    <w:sizeAuto/>
                    <w:default w:val="1"/>
                  </w:checkBox>
                </w:ffData>
              </w:fldChar>
            </w:r>
            <w:r w:rsidRPr="00873941">
              <w:rPr>
                <w:rFonts w:ascii="Arial Narrow" w:hAnsi="Arial Narrow"/>
                <w:sz w:val="20"/>
                <w:szCs w:val="20"/>
              </w:rPr>
              <w:instrText xml:space="preserve"> FORMCHECKBOX </w:instrText>
            </w:r>
            <w:r w:rsidRPr="00873941">
              <w:rPr>
                <w:rFonts w:ascii="Arial Narrow" w:hAnsi="Arial Narrow"/>
                <w:sz w:val="20"/>
                <w:szCs w:val="20"/>
              </w:rPr>
            </w:r>
            <w:r w:rsidRPr="00873941">
              <w:rPr>
                <w:rFonts w:ascii="Arial Narrow" w:hAnsi="Arial Narrow"/>
                <w:sz w:val="20"/>
                <w:szCs w:val="20"/>
              </w:rPr>
              <w:fldChar w:fldCharType="separate"/>
            </w:r>
            <w:r w:rsidRPr="00873941">
              <w:rPr>
                <w:rFonts w:ascii="Arial Narrow" w:hAnsi="Arial Narrow"/>
                <w:sz w:val="20"/>
                <w:szCs w:val="20"/>
              </w:rPr>
              <w:fldChar w:fldCharType="end"/>
            </w:r>
            <w:r w:rsidRPr="00873941">
              <w:rPr>
                <w:rFonts w:ascii="Arial Narrow" w:hAnsi="Arial Narrow"/>
                <w:sz w:val="20"/>
                <w:szCs w:val="20"/>
              </w:rPr>
              <w:t xml:space="preserve">Medical Practitioners </w:t>
            </w:r>
          </w:p>
        </w:tc>
      </w:tr>
      <w:tr w:rsidR="00417098" w:rsidRPr="00873941" w14:paraId="3A7494FD" w14:textId="77777777" w:rsidTr="00E6133E">
        <w:trPr>
          <w:trHeight w:val="20"/>
        </w:trPr>
        <w:tc>
          <w:tcPr>
            <w:tcW w:w="705" w:type="pct"/>
            <w:gridSpan w:val="2"/>
            <w:vMerge/>
          </w:tcPr>
          <w:p w14:paraId="3957384C" w14:textId="77777777" w:rsidR="00417098" w:rsidRPr="00873941" w:rsidRDefault="00417098" w:rsidP="00EF13AB">
            <w:pPr>
              <w:rPr>
                <w:rFonts w:ascii="Arial Narrow" w:hAnsi="Arial Narrow"/>
                <w:sz w:val="20"/>
                <w:szCs w:val="20"/>
              </w:rPr>
            </w:pPr>
          </w:p>
        </w:tc>
        <w:tc>
          <w:tcPr>
            <w:tcW w:w="4295" w:type="pct"/>
            <w:gridSpan w:val="4"/>
          </w:tcPr>
          <w:p w14:paraId="62177F1E" w14:textId="258A069B" w:rsidR="00417098" w:rsidRPr="00873941" w:rsidRDefault="00417098" w:rsidP="00EF13AB">
            <w:pPr>
              <w:rPr>
                <w:rFonts w:ascii="Arial Narrow" w:eastAsia="Calibri" w:hAnsi="Arial Narrow"/>
                <w:sz w:val="20"/>
                <w:szCs w:val="20"/>
              </w:rPr>
            </w:pPr>
            <w:r w:rsidRPr="00873941">
              <w:rPr>
                <w:rFonts w:ascii="Arial Narrow" w:hAnsi="Arial Narrow"/>
                <w:b/>
                <w:sz w:val="20"/>
                <w:szCs w:val="20"/>
              </w:rPr>
              <w:t xml:space="preserve">Restriction type: </w:t>
            </w:r>
            <w:r w:rsidRPr="00873941">
              <w:rPr>
                <w:rFonts w:ascii="Arial Narrow" w:eastAsia="Calibri" w:hAnsi="Arial Narrow"/>
                <w:sz w:val="20"/>
                <w:szCs w:val="20"/>
              </w:rPr>
              <w:fldChar w:fldCharType="begin">
                <w:ffData>
                  <w:name w:val="Check3"/>
                  <w:enabled/>
                  <w:calcOnExit w:val="0"/>
                  <w:checkBox>
                    <w:sizeAuto/>
                    <w:default w:val="1"/>
                  </w:checkBox>
                </w:ffData>
              </w:fldChar>
            </w:r>
            <w:r w:rsidRPr="00873941">
              <w:rPr>
                <w:rFonts w:ascii="Arial Narrow" w:eastAsia="Calibri" w:hAnsi="Arial Narrow"/>
                <w:sz w:val="20"/>
                <w:szCs w:val="20"/>
              </w:rPr>
              <w:instrText xml:space="preserve"> FORMCHECKBOX </w:instrText>
            </w:r>
            <w:r w:rsidRPr="00873941">
              <w:rPr>
                <w:rFonts w:ascii="Arial Narrow" w:eastAsia="Calibri" w:hAnsi="Arial Narrow"/>
                <w:sz w:val="20"/>
                <w:szCs w:val="20"/>
              </w:rPr>
            </w:r>
            <w:r w:rsidRPr="00873941">
              <w:rPr>
                <w:rFonts w:ascii="Arial Narrow" w:eastAsia="Calibri" w:hAnsi="Arial Narrow"/>
                <w:sz w:val="20"/>
                <w:szCs w:val="20"/>
              </w:rPr>
              <w:fldChar w:fldCharType="separate"/>
            </w:r>
            <w:r w:rsidRPr="00873941">
              <w:rPr>
                <w:rFonts w:ascii="Arial Narrow" w:eastAsia="Calibri" w:hAnsi="Arial Narrow"/>
                <w:sz w:val="20"/>
                <w:szCs w:val="20"/>
              </w:rPr>
              <w:fldChar w:fldCharType="end"/>
            </w:r>
            <w:r w:rsidRPr="00873941">
              <w:rPr>
                <w:rFonts w:ascii="Arial Narrow" w:eastAsia="Calibri" w:hAnsi="Arial Narrow"/>
                <w:sz w:val="20"/>
                <w:szCs w:val="20"/>
              </w:rPr>
              <w:t>Authority Required</w:t>
            </w:r>
            <w:r w:rsidR="00894FAD">
              <w:rPr>
                <w:rFonts w:ascii="Arial Narrow" w:eastAsia="Calibri" w:hAnsi="Arial Narrow"/>
                <w:sz w:val="20"/>
                <w:szCs w:val="20"/>
              </w:rPr>
              <w:t xml:space="preserve"> </w:t>
            </w:r>
            <w:r w:rsidR="00D01F88">
              <w:rPr>
                <w:rFonts w:ascii="Arial Narrow" w:eastAsia="Calibri" w:hAnsi="Arial Narrow"/>
                <w:sz w:val="20"/>
                <w:szCs w:val="20"/>
              </w:rPr>
              <w:t>–</w:t>
            </w:r>
            <w:r w:rsidR="00894FAD">
              <w:rPr>
                <w:rFonts w:ascii="Arial Narrow" w:eastAsia="Calibri" w:hAnsi="Arial Narrow"/>
                <w:sz w:val="20"/>
                <w:szCs w:val="20"/>
              </w:rPr>
              <w:t xml:space="preserve"> </w:t>
            </w:r>
            <w:r w:rsidR="00D01F88">
              <w:rPr>
                <w:rFonts w:ascii="Arial Narrow" w:eastAsia="Calibri" w:hAnsi="Arial Narrow"/>
                <w:sz w:val="20"/>
                <w:szCs w:val="20"/>
              </w:rPr>
              <w:t>immediate assessment</w:t>
            </w:r>
            <w:r w:rsidRPr="00873941">
              <w:rPr>
                <w:rFonts w:ascii="Arial Narrow" w:eastAsia="Calibri" w:hAnsi="Arial Narrow"/>
                <w:sz w:val="20"/>
                <w:szCs w:val="20"/>
              </w:rPr>
              <w:t xml:space="preserve"> (telephone/online) </w:t>
            </w:r>
          </w:p>
        </w:tc>
      </w:tr>
      <w:tr w:rsidR="00417098" w:rsidRPr="00873941" w14:paraId="7F11E259" w14:textId="77777777" w:rsidTr="00E6133E">
        <w:trPr>
          <w:trHeight w:val="20"/>
        </w:trPr>
        <w:tc>
          <w:tcPr>
            <w:tcW w:w="312" w:type="pct"/>
            <w:vMerge w:val="restart"/>
            <w:textDirection w:val="btLr"/>
          </w:tcPr>
          <w:p w14:paraId="258487C0" w14:textId="77777777" w:rsidR="00417098" w:rsidRPr="00A466B3" w:rsidRDefault="00417098" w:rsidP="00EF13AB">
            <w:pPr>
              <w:keepLines/>
              <w:ind w:right="113"/>
              <w:jc w:val="center"/>
              <w:rPr>
                <w:rFonts w:ascii="Arial Narrow" w:hAnsi="Arial Narrow"/>
                <w:color w:val="333333"/>
                <w:sz w:val="20"/>
                <w:szCs w:val="20"/>
              </w:rPr>
            </w:pPr>
            <w:r w:rsidRPr="00A466B3">
              <w:rPr>
                <w:rFonts w:ascii="Arial Narrow" w:hAnsi="Arial Narrow"/>
                <w:color w:val="333333"/>
                <w:sz w:val="20"/>
                <w:szCs w:val="20"/>
              </w:rPr>
              <w:t>Prescribing Rule Level</w:t>
            </w:r>
          </w:p>
        </w:tc>
        <w:tc>
          <w:tcPr>
            <w:tcW w:w="393" w:type="pct"/>
          </w:tcPr>
          <w:p w14:paraId="6858A26B" w14:textId="1419ED51" w:rsidR="00417098" w:rsidRPr="00A466B3" w:rsidRDefault="00417098" w:rsidP="00EF13AB">
            <w:pPr>
              <w:keepLines/>
              <w:ind w:hanging="35"/>
              <w:jc w:val="center"/>
              <w:rPr>
                <w:rFonts w:ascii="Arial Narrow" w:hAnsi="Arial Narrow" w:cs="Open Sans"/>
                <w:color w:val="333333"/>
                <w:sz w:val="20"/>
                <w:szCs w:val="20"/>
              </w:rPr>
            </w:pPr>
          </w:p>
        </w:tc>
        <w:tc>
          <w:tcPr>
            <w:tcW w:w="4295" w:type="pct"/>
            <w:gridSpan w:val="4"/>
          </w:tcPr>
          <w:p w14:paraId="2B5BE2A0" w14:textId="77777777" w:rsidR="00417098" w:rsidRPr="00A466B3" w:rsidRDefault="00417098" w:rsidP="00EF13AB">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lang w:val="en-AU"/>
              </w:rPr>
            </w:pPr>
            <w:r w:rsidRPr="00A466B3">
              <w:rPr>
                <w:rStyle w:val="Strong"/>
                <w:rFonts w:ascii="Arial Narrow" w:eastAsiaTheme="majorEastAsia" w:hAnsi="Arial Narrow" w:cs="Open Sans"/>
                <w:color w:val="333333"/>
                <w:sz w:val="20"/>
                <w:szCs w:val="20"/>
                <w:bdr w:val="none" w:sz="0" w:space="0" w:color="auto" w:frame="1"/>
                <w:lang w:val="en-AU"/>
              </w:rPr>
              <w:t xml:space="preserve">Administrative Advice: </w:t>
            </w:r>
            <w:r w:rsidRPr="00094750">
              <w:rPr>
                <w:rStyle w:val="Strong"/>
                <w:rFonts w:ascii="Arial Narrow" w:eastAsiaTheme="majorEastAsia" w:hAnsi="Arial Narrow" w:cs="Open Sans"/>
                <w:b w:val="0"/>
                <w:bCs w:val="0"/>
                <w:color w:val="333333"/>
                <w:sz w:val="20"/>
                <w:szCs w:val="20"/>
                <w:bdr w:val="none" w:sz="0" w:space="0" w:color="auto" w:frame="1"/>
                <w:lang w:val="en-AU"/>
              </w:rPr>
              <w:t>No increase in the maximum amount or number of units may be authorised.</w:t>
            </w:r>
          </w:p>
        </w:tc>
      </w:tr>
      <w:tr w:rsidR="00417098" w:rsidRPr="00873941" w14:paraId="61FCD9FE" w14:textId="77777777" w:rsidTr="00E6133E">
        <w:trPr>
          <w:trHeight w:val="20"/>
        </w:trPr>
        <w:tc>
          <w:tcPr>
            <w:tcW w:w="312" w:type="pct"/>
            <w:vMerge/>
          </w:tcPr>
          <w:p w14:paraId="6C256272" w14:textId="77777777" w:rsidR="00417098" w:rsidRPr="00A466B3" w:rsidRDefault="00417098" w:rsidP="00EF13AB">
            <w:pPr>
              <w:keepLines/>
              <w:jc w:val="center"/>
              <w:rPr>
                <w:rFonts w:ascii="Arial Narrow" w:hAnsi="Arial Narrow"/>
                <w:color w:val="333333"/>
                <w:sz w:val="20"/>
                <w:szCs w:val="20"/>
              </w:rPr>
            </w:pPr>
          </w:p>
        </w:tc>
        <w:tc>
          <w:tcPr>
            <w:tcW w:w="393" w:type="pct"/>
          </w:tcPr>
          <w:p w14:paraId="713EA1D4" w14:textId="41B1FA3E" w:rsidR="00417098" w:rsidRPr="00A466B3" w:rsidRDefault="00417098" w:rsidP="00EF13AB">
            <w:pPr>
              <w:keepLines/>
              <w:ind w:hanging="35"/>
              <w:jc w:val="center"/>
              <w:rPr>
                <w:rFonts w:ascii="Arial Narrow" w:hAnsi="Arial Narrow"/>
                <w:color w:val="333333"/>
                <w:sz w:val="20"/>
                <w:szCs w:val="20"/>
              </w:rPr>
            </w:pPr>
          </w:p>
        </w:tc>
        <w:tc>
          <w:tcPr>
            <w:tcW w:w="4295" w:type="pct"/>
            <w:gridSpan w:val="4"/>
          </w:tcPr>
          <w:p w14:paraId="0AD329F2" w14:textId="77777777" w:rsidR="00417098" w:rsidRPr="00A466B3" w:rsidRDefault="00417098" w:rsidP="00EF13AB">
            <w:pPr>
              <w:pStyle w:val="NormalWeb"/>
              <w:spacing w:before="0" w:after="0"/>
              <w:textAlignment w:val="baseline"/>
              <w:rPr>
                <w:rFonts w:ascii="Arial Narrow" w:hAnsi="Arial Narrow"/>
                <w:b/>
                <w:bCs/>
                <w:color w:val="333333"/>
                <w:sz w:val="20"/>
                <w:szCs w:val="20"/>
                <w:lang w:val="en-AU"/>
              </w:rPr>
            </w:pPr>
            <w:r w:rsidRPr="00A466B3">
              <w:rPr>
                <w:rStyle w:val="Strong"/>
                <w:rFonts w:ascii="Arial Narrow" w:eastAsiaTheme="majorEastAsia" w:hAnsi="Arial Narrow" w:cs="Open Sans"/>
                <w:color w:val="333333"/>
                <w:sz w:val="20"/>
                <w:szCs w:val="20"/>
                <w:bdr w:val="none" w:sz="0" w:space="0" w:color="auto" w:frame="1"/>
                <w:lang w:val="en-AU"/>
              </w:rPr>
              <w:t>Administrative Advice:</w:t>
            </w:r>
            <w:r w:rsidRPr="00A466B3">
              <w:rPr>
                <w:rFonts w:ascii="Arial Narrow" w:hAnsi="Arial Narrow" w:cs="Open Sans"/>
                <w:color w:val="333333"/>
                <w:sz w:val="20"/>
                <w:szCs w:val="20"/>
                <w:lang w:val="en-AU"/>
              </w:rPr>
              <w:t xml:space="preserve"> No increase in the maximum number of repeats may be authorised.</w:t>
            </w:r>
          </w:p>
        </w:tc>
      </w:tr>
      <w:tr w:rsidR="00417098" w:rsidRPr="00873941" w14:paraId="26D58C88" w14:textId="77777777" w:rsidTr="00E6133E">
        <w:trPr>
          <w:trHeight w:val="546"/>
        </w:trPr>
        <w:tc>
          <w:tcPr>
            <w:tcW w:w="312" w:type="pct"/>
            <w:vMerge/>
          </w:tcPr>
          <w:p w14:paraId="3C43BE24" w14:textId="77777777" w:rsidR="00417098" w:rsidRPr="00A466B3" w:rsidRDefault="00417098" w:rsidP="00EF13AB">
            <w:pPr>
              <w:keepLines/>
              <w:jc w:val="center"/>
              <w:rPr>
                <w:rFonts w:ascii="Arial Narrow" w:hAnsi="Arial Narrow"/>
                <w:color w:val="333333"/>
                <w:sz w:val="20"/>
                <w:szCs w:val="20"/>
              </w:rPr>
            </w:pPr>
          </w:p>
        </w:tc>
        <w:tc>
          <w:tcPr>
            <w:tcW w:w="393" w:type="pct"/>
          </w:tcPr>
          <w:p w14:paraId="0DE22EE4" w14:textId="63D9F0BE" w:rsidR="00417098" w:rsidRPr="00A466B3" w:rsidRDefault="00417098" w:rsidP="00EF13AB">
            <w:pPr>
              <w:keepLines/>
              <w:ind w:hanging="35"/>
              <w:jc w:val="center"/>
              <w:rPr>
                <w:rFonts w:ascii="Arial Narrow" w:hAnsi="Arial Narrow" w:cs="Open Sans"/>
                <w:color w:val="333333"/>
                <w:sz w:val="20"/>
                <w:szCs w:val="20"/>
              </w:rPr>
            </w:pPr>
          </w:p>
        </w:tc>
        <w:tc>
          <w:tcPr>
            <w:tcW w:w="4295" w:type="pct"/>
            <w:gridSpan w:val="4"/>
          </w:tcPr>
          <w:p w14:paraId="392DA311" w14:textId="77777777" w:rsidR="00417098" w:rsidRPr="00A466B3" w:rsidRDefault="00417098" w:rsidP="00EF13AB">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lang w:val="en-AU"/>
              </w:rPr>
            </w:pPr>
            <w:r w:rsidRPr="00A466B3">
              <w:rPr>
                <w:rStyle w:val="Strong"/>
                <w:rFonts w:ascii="Arial Narrow" w:eastAsiaTheme="majorEastAsia" w:hAnsi="Arial Narrow" w:cs="Open Sans"/>
                <w:color w:val="333333"/>
                <w:sz w:val="20"/>
                <w:szCs w:val="20"/>
                <w:bdr w:val="none" w:sz="0" w:space="0" w:color="auto" w:frame="1"/>
                <w:lang w:val="en-AU"/>
              </w:rPr>
              <w:t>Administrative Advice:</w:t>
            </w:r>
            <w:r w:rsidRPr="00A466B3">
              <w:rPr>
                <w:rFonts w:ascii="Arial Narrow" w:hAnsi="Arial Narrow" w:cs="Open Sans"/>
                <w:color w:val="333333"/>
                <w:sz w:val="20"/>
                <w:szCs w:val="20"/>
                <w:lang w:val="en-AU"/>
              </w:rPr>
              <w:t xml:space="preserve"> Special Pricing Arrangements apply.</w:t>
            </w:r>
          </w:p>
        </w:tc>
      </w:tr>
      <w:tr w:rsidR="00417098" w:rsidRPr="00873941" w14:paraId="3FBB8012" w14:textId="77777777" w:rsidTr="00E6133E">
        <w:trPr>
          <w:trHeight w:val="20"/>
        </w:trPr>
        <w:tc>
          <w:tcPr>
            <w:tcW w:w="705" w:type="pct"/>
            <w:gridSpan w:val="2"/>
          </w:tcPr>
          <w:p w14:paraId="697D1093" w14:textId="3AF58928" w:rsidR="00417098" w:rsidRPr="00A466B3" w:rsidRDefault="00417098" w:rsidP="00EF13AB">
            <w:pPr>
              <w:keepLines/>
              <w:jc w:val="center"/>
              <w:rPr>
                <w:rFonts w:ascii="Arial Narrow" w:hAnsi="Arial Narrow"/>
                <w:color w:val="333333"/>
                <w:sz w:val="20"/>
                <w:szCs w:val="20"/>
              </w:rPr>
            </w:pPr>
          </w:p>
        </w:tc>
        <w:tc>
          <w:tcPr>
            <w:tcW w:w="4295" w:type="pct"/>
            <w:gridSpan w:val="4"/>
            <w:hideMark/>
          </w:tcPr>
          <w:p w14:paraId="7DF1C911" w14:textId="61C77739" w:rsidR="00417098" w:rsidRPr="00873941" w:rsidRDefault="00417098" w:rsidP="00EF13AB">
            <w:pPr>
              <w:keepLines/>
              <w:rPr>
                <w:rFonts w:ascii="Arial Narrow" w:hAnsi="Arial Narrow"/>
                <w:color w:val="333333"/>
                <w:sz w:val="20"/>
                <w:szCs w:val="20"/>
              </w:rPr>
            </w:pPr>
            <w:r w:rsidRPr="00873941">
              <w:rPr>
                <w:rFonts w:ascii="Arial Narrow" w:hAnsi="Arial Narrow"/>
                <w:b/>
                <w:bCs/>
                <w:color w:val="333333"/>
                <w:sz w:val="20"/>
                <w:szCs w:val="20"/>
              </w:rPr>
              <w:t>Indication:</w:t>
            </w:r>
            <w:r w:rsidRPr="00873941">
              <w:rPr>
                <w:rFonts w:ascii="Arial Narrow" w:hAnsi="Arial Narrow"/>
                <w:color w:val="333333"/>
                <w:sz w:val="20"/>
                <w:szCs w:val="20"/>
              </w:rPr>
              <w:t xml:space="preserve"> </w:t>
            </w:r>
            <w:bookmarkStart w:id="119" w:name="_Hlk182920453"/>
            <w:r w:rsidRPr="00A466B3">
              <w:rPr>
                <w:rFonts w:ascii="Arial Narrow" w:hAnsi="Arial Narrow"/>
                <w:color w:val="333333"/>
                <w:sz w:val="20"/>
                <w:szCs w:val="20"/>
              </w:rPr>
              <w:t>Early HER2 positive breast cancer</w:t>
            </w:r>
            <w:bookmarkEnd w:id="119"/>
          </w:p>
        </w:tc>
      </w:tr>
      <w:tr w:rsidR="00417098" w:rsidRPr="00873941" w14:paraId="03817BA9" w14:textId="77777777" w:rsidTr="00E6133E">
        <w:trPr>
          <w:trHeight w:val="20"/>
        </w:trPr>
        <w:tc>
          <w:tcPr>
            <w:tcW w:w="705" w:type="pct"/>
            <w:gridSpan w:val="2"/>
          </w:tcPr>
          <w:p w14:paraId="172D05CA" w14:textId="77777777" w:rsidR="00417098" w:rsidRPr="00A466B3" w:rsidRDefault="00417098" w:rsidP="00EF13AB">
            <w:pPr>
              <w:jc w:val="center"/>
              <w:rPr>
                <w:rFonts w:ascii="Arial Narrow" w:hAnsi="Arial Narrow"/>
                <w:sz w:val="20"/>
                <w:szCs w:val="20"/>
              </w:rPr>
            </w:pPr>
          </w:p>
        </w:tc>
        <w:tc>
          <w:tcPr>
            <w:tcW w:w="4295" w:type="pct"/>
            <w:gridSpan w:val="4"/>
            <w:hideMark/>
          </w:tcPr>
          <w:p w14:paraId="3543C24B" w14:textId="071A9C8C" w:rsidR="00417098" w:rsidRPr="00873941" w:rsidRDefault="00417098" w:rsidP="00EF13AB">
            <w:pPr>
              <w:rPr>
                <w:rFonts w:ascii="Arial Narrow" w:hAnsi="Arial Narrow"/>
                <w:sz w:val="20"/>
                <w:szCs w:val="20"/>
              </w:rPr>
            </w:pPr>
            <w:r w:rsidRPr="00873941">
              <w:rPr>
                <w:rFonts w:ascii="Arial Narrow" w:hAnsi="Arial Narrow"/>
                <w:b/>
                <w:bCs/>
                <w:sz w:val="20"/>
                <w:szCs w:val="20"/>
              </w:rPr>
              <w:t>Treatment Phase:</w:t>
            </w:r>
            <w:r w:rsidRPr="00873941">
              <w:rPr>
                <w:rFonts w:ascii="Arial Narrow" w:hAnsi="Arial Narrow"/>
                <w:sz w:val="20"/>
                <w:szCs w:val="20"/>
              </w:rPr>
              <w:t xml:space="preserve"> Initial treatment </w:t>
            </w:r>
          </w:p>
        </w:tc>
      </w:tr>
      <w:tr w:rsidR="00417098" w:rsidRPr="00873941" w14:paraId="0EEEA70B" w14:textId="77777777" w:rsidTr="00E6133E">
        <w:trPr>
          <w:trHeight w:val="20"/>
        </w:trPr>
        <w:tc>
          <w:tcPr>
            <w:tcW w:w="705" w:type="pct"/>
            <w:gridSpan w:val="2"/>
          </w:tcPr>
          <w:p w14:paraId="1971AFA7" w14:textId="789B9F17" w:rsidR="00417098" w:rsidRPr="00A466B3" w:rsidRDefault="00417098" w:rsidP="00EF13AB">
            <w:pPr>
              <w:jc w:val="center"/>
              <w:rPr>
                <w:rFonts w:ascii="Arial Narrow" w:hAnsi="Arial Narrow"/>
                <w:sz w:val="20"/>
                <w:szCs w:val="20"/>
              </w:rPr>
            </w:pPr>
          </w:p>
        </w:tc>
        <w:tc>
          <w:tcPr>
            <w:tcW w:w="4295" w:type="pct"/>
            <w:gridSpan w:val="4"/>
            <w:hideMark/>
          </w:tcPr>
          <w:p w14:paraId="396C686B" w14:textId="77777777" w:rsidR="00417098" w:rsidRPr="00873941" w:rsidRDefault="00417098" w:rsidP="00EF13AB">
            <w:pPr>
              <w:rPr>
                <w:rFonts w:ascii="Arial Narrow" w:hAnsi="Arial Narrow"/>
                <w:sz w:val="20"/>
                <w:szCs w:val="20"/>
              </w:rPr>
            </w:pPr>
            <w:r w:rsidRPr="00873941">
              <w:rPr>
                <w:rFonts w:ascii="Arial Narrow" w:hAnsi="Arial Narrow"/>
                <w:b/>
                <w:bCs/>
                <w:sz w:val="20"/>
                <w:szCs w:val="20"/>
              </w:rPr>
              <w:t>Clinical criteria</w:t>
            </w:r>
          </w:p>
        </w:tc>
      </w:tr>
      <w:tr w:rsidR="00417098" w:rsidRPr="00873941" w14:paraId="309B6738" w14:textId="77777777" w:rsidTr="00E6133E">
        <w:trPr>
          <w:trHeight w:val="20"/>
        </w:trPr>
        <w:tc>
          <w:tcPr>
            <w:tcW w:w="705" w:type="pct"/>
            <w:gridSpan w:val="2"/>
          </w:tcPr>
          <w:p w14:paraId="748B0020" w14:textId="05333437" w:rsidR="00417098" w:rsidRPr="00A466B3" w:rsidRDefault="00417098" w:rsidP="00EF13AB">
            <w:pPr>
              <w:jc w:val="center"/>
              <w:rPr>
                <w:rFonts w:ascii="Arial Narrow" w:hAnsi="Arial Narrow"/>
                <w:sz w:val="20"/>
                <w:szCs w:val="20"/>
              </w:rPr>
            </w:pPr>
          </w:p>
        </w:tc>
        <w:tc>
          <w:tcPr>
            <w:tcW w:w="4295" w:type="pct"/>
            <w:gridSpan w:val="4"/>
            <w:hideMark/>
          </w:tcPr>
          <w:p w14:paraId="1390AF22" w14:textId="77777777" w:rsidR="00417098" w:rsidRPr="00873941" w:rsidRDefault="00417098" w:rsidP="00EF13AB">
            <w:pPr>
              <w:rPr>
                <w:rFonts w:ascii="Arial Narrow" w:hAnsi="Arial Narrow"/>
                <w:sz w:val="20"/>
                <w:szCs w:val="20"/>
              </w:rPr>
            </w:pPr>
            <w:r w:rsidRPr="00873941">
              <w:rPr>
                <w:rFonts w:ascii="Arial Narrow" w:hAnsi="Arial Narrow"/>
                <w:sz w:val="20"/>
                <w:szCs w:val="20"/>
              </w:rPr>
              <w:t>Patient must have evidence of human epidermal growth factor receptor 2 (HER2) gene amplification as demonstrated by in situ hybridisation (ISH)</w:t>
            </w:r>
          </w:p>
        </w:tc>
      </w:tr>
      <w:tr w:rsidR="00417098" w:rsidRPr="00873941" w14:paraId="356ACC74" w14:textId="77777777" w:rsidTr="00E6133E">
        <w:trPr>
          <w:trHeight w:val="20"/>
        </w:trPr>
        <w:tc>
          <w:tcPr>
            <w:tcW w:w="705" w:type="pct"/>
            <w:gridSpan w:val="2"/>
          </w:tcPr>
          <w:p w14:paraId="54D3AE34" w14:textId="77777777" w:rsidR="00417098" w:rsidRPr="00A466B3" w:rsidRDefault="00417098" w:rsidP="00EF13AB">
            <w:pPr>
              <w:jc w:val="center"/>
              <w:rPr>
                <w:rFonts w:ascii="Arial Narrow" w:hAnsi="Arial Narrow"/>
                <w:sz w:val="20"/>
                <w:szCs w:val="20"/>
              </w:rPr>
            </w:pPr>
          </w:p>
        </w:tc>
        <w:tc>
          <w:tcPr>
            <w:tcW w:w="4295" w:type="pct"/>
            <w:gridSpan w:val="4"/>
            <w:hideMark/>
          </w:tcPr>
          <w:p w14:paraId="57CED915" w14:textId="77777777" w:rsidR="00417098" w:rsidRPr="00873941" w:rsidRDefault="00417098" w:rsidP="00EF13AB">
            <w:pPr>
              <w:rPr>
                <w:rFonts w:ascii="Arial Narrow" w:hAnsi="Arial Narrow"/>
                <w:sz w:val="20"/>
                <w:szCs w:val="20"/>
              </w:rPr>
            </w:pPr>
            <w:r w:rsidRPr="00873941">
              <w:rPr>
                <w:rFonts w:ascii="Arial Narrow" w:hAnsi="Arial Narrow"/>
                <w:b/>
                <w:bCs/>
                <w:sz w:val="20"/>
                <w:szCs w:val="20"/>
              </w:rPr>
              <w:t>AND</w:t>
            </w:r>
          </w:p>
        </w:tc>
      </w:tr>
      <w:tr w:rsidR="00417098" w:rsidRPr="00873941" w14:paraId="35439C40" w14:textId="77777777" w:rsidTr="00E6133E">
        <w:trPr>
          <w:trHeight w:val="20"/>
        </w:trPr>
        <w:tc>
          <w:tcPr>
            <w:tcW w:w="705" w:type="pct"/>
            <w:gridSpan w:val="2"/>
          </w:tcPr>
          <w:p w14:paraId="5D323F1A" w14:textId="1866C307" w:rsidR="00417098" w:rsidRPr="00A466B3" w:rsidRDefault="00417098" w:rsidP="00EF13AB">
            <w:pPr>
              <w:jc w:val="center"/>
              <w:rPr>
                <w:rFonts w:ascii="Arial Narrow" w:hAnsi="Arial Narrow"/>
                <w:sz w:val="20"/>
                <w:szCs w:val="20"/>
              </w:rPr>
            </w:pPr>
          </w:p>
        </w:tc>
        <w:tc>
          <w:tcPr>
            <w:tcW w:w="4295" w:type="pct"/>
            <w:gridSpan w:val="4"/>
            <w:hideMark/>
          </w:tcPr>
          <w:p w14:paraId="6BABB4CA" w14:textId="77777777" w:rsidR="00417098" w:rsidRPr="00873941" w:rsidRDefault="00417098" w:rsidP="00EF13AB">
            <w:pPr>
              <w:rPr>
                <w:rFonts w:ascii="Arial Narrow" w:hAnsi="Arial Narrow"/>
                <w:sz w:val="20"/>
                <w:szCs w:val="20"/>
              </w:rPr>
            </w:pPr>
            <w:r w:rsidRPr="00873941">
              <w:rPr>
                <w:rFonts w:ascii="Arial Narrow" w:hAnsi="Arial Narrow"/>
                <w:b/>
                <w:bCs/>
                <w:sz w:val="20"/>
                <w:szCs w:val="20"/>
              </w:rPr>
              <w:t>Clinical criteria:</w:t>
            </w:r>
          </w:p>
        </w:tc>
      </w:tr>
      <w:tr w:rsidR="00417098" w:rsidRPr="00873941" w14:paraId="2ED56154" w14:textId="77777777" w:rsidTr="00E6133E">
        <w:trPr>
          <w:trHeight w:val="20"/>
        </w:trPr>
        <w:tc>
          <w:tcPr>
            <w:tcW w:w="705" w:type="pct"/>
            <w:gridSpan w:val="2"/>
          </w:tcPr>
          <w:p w14:paraId="7DCE0841" w14:textId="39549AFE" w:rsidR="00417098" w:rsidRPr="00A466B3" w:rsidRDefault="00417098" w:rsidP="00EF13AB">
            <w:pPr>
              <w:jc w:val="center"/>
              <w:rPr>
                <w:rFonts w:ascii="Arial Narrow" w:hAnsi="Arial Narrow"/>
                <w:sz w:val="20"/>
                <w:szCs w:val="20"/>
              </w:rPr>
            </w:pPr>
          </w:p>
        </w:tc>
        <w:tc>
          <w:tcPr>
            <w:tcW w:w="4295" w:type="pct"/>
            <w:gridSpan w:val="4"/>
            <w:hideMark/>
          </w:tcPr>
          <w:p w14:paraId="641FB0FA" w14:textId="72770252" w:rsidR="00417098" w:rsidRPr="00873941" w:rsidRDefault="00417098" w:rsidP="00EF13AB">
            <w:pPr>
              <w:rPr>
                <w:rFonts w:ascii="Arial Narrow" w:hAnsi="Arial Narrow"/>
                <w:sz w:val="20"/>
                <w:szCs w:val="20"/>
              </w:rPr>
            </w:pPr>
            <w:r w:rsidRPr="00873941">
              <w:rPr>
                <w:rFonts w:ascii="Arial Narrow" w:hAnsi="Arial Narrow"/>
                <w:sz w:val="20"/>
                <w:szCs w:val="20"/>
              </w:rPr>
              <w:t>Patient must have locally advanced, inflammatory or early stage</w:t>
            </w:r>
            <w:r w:rsidR="00094750">
              <w:rPr>
                <w:rFonts w:ascii="Arial Narrow" w:hAnsi="Arial Narrow"/>
                <w:sz w:val="20"/>
                <w:szCs w:val="20"/>
              </w:rPr>
              <w:t>,</w:t>
            </w:r>
            <w:r w:rsidRPr="00873941">
              <w:rPr>
                <w:rFonts w:ascii="Arial Narrow" w:hAnsi="Arial Narrow"/>
                <w:sz w:val="20"/>
                <w:szCs w:val="20"/>
              </w:rPr>
              <w:t xml:space="preserve"> </w:t>
            </w:r>
            <w:r w:rsidR="00965BE2">
              <w:rPr>
                <w:rFonts w:ascii="Arial Narrow" w:hAnsi="Arial Narrow"/>
                <w:sz w:val="20"/>
                <w:szCs w:val="20"/>
              </w:rPr>
              <w:t xml:space="preserve">high risk </w:t>
            </w:r>
            <w:r w:rsidRPr="00873941">
              <w:rPr>
                <w:rFonts w:ascii="Arial Narrow" w:hAnsi="Arial Narrow"/>
                <w:sz w:val="20"/>
                <w:szCs w:val="20"/>
              </w:rPr>
              <w:t>(tumour &gt;2 cm in diameter or lymph node positive) breast cancer</w:t>
            </w:r>
          </w:p>
        </w:tc>
      </w:tr>
      <w:tr w:rsidR="00417098" w:rsidRPr="00873941" w14:paraId="301F1F4F" w14:textId="77777777" w:rsidTr="00E6133E">
        <w:trPr>
          <w:trHeight w:val="20"/>
        </w:trPr>
        <w:tc>
          <w:tcPr>
            <w:tcW w:w="705" w:type="pct"/>
            <w:gridSpan w:val="2"/>
          </w:tcPr>
          <w:p w14:paraId="4B03ACAE" w14:textId="77777777" w:rsidR="00417098" w:rsidRPr="00A466B3" w:rsidRDefault="00417098" w:rsidP="00EF13AB">
            <w:pPr>
              <w:jc w:val="center"/>
              <w:rPr>
                <w:rFonts w:ascii="Arial Narrow" w:hAnsi="Arial Narrow"/>
                <w:sz w:val="20"/>
                <w:szCs w:val="20"/>
              </w:rPr>
            </w:pPr>
          </w:p>
        </w:tc>
        <w:tc>
          <w:tcPr>
            <w:tcW w:w="4295" w:type="pct"/>
            <w:gridSpan w:val="4"/>
            <w:hideMark/>
          </w:tcPr>
          <w:p w14:paraId="67046EE4" w14:textId="77777777" w:rsidR="00417098" w:rsidRPr="00873941" w:rsidRDefault="00417098" w:rsidP="00EF13AB">
            <w:pPr>
              <w:rPr>
                <w:rFonts w:ascii="Arial Narrow" w:hAnsi="Arial Narrow"/>
                <w:sz w:val="20"/>
                <w:szCs w:val="20"/>
              </w:rPr>
            </w:pPr>
            <w:r w:rsidRPr="00873941">
              <w:rPr>
                <w:rFonts w:ascii="Arial Narrow" w:hAnsi="Arial Narrow"/>
                <w:b/>
                <w:bCs/>
                <w:sz w:val="20"/>
                <w:szCs w:val="20"/>
              </w:rPr>
              <w:t>AND</w:t>
            </w:r>
          </w:p>
        </w:tc>
      </w:tr>
      <w:tr w:rsidR="000823D4" w:rsidRPr="00873941" w14:paraId="441BF747" w14:textId="77777777" w:rsidTr="00E6133E">
        <w:trPr>
          <w:trHeight w:val="20"/>
        </w:trPr>
        <w:tc>
          <w:tcPr>
            <w:tcW w:w="705" w:type="pct"/>
            <w:gridSpan w:val="2"/>
          </w:tcPr>
          <w:p w14:paraId="2CE9D63D" w14:textId="7DCAC5A1" w:rsidR="000823D4" w:rsidRPr="000823D4" w:rsidRDefault="000823D4" w:rsidP="000823D4">
            <w:pPr>
              <w:jc w:val="center"/>
              <w:rPr>
                <w:rFonts w:ascii="Arial Narrow" w:hAnsi="Arial Narrow"/>
                <w:sz w:val="20"/>
                <w:szCs w:val="20"/>
              </w:rPr>
            </w:pPr>
          </w:p>
        </w:tc>
        <w:tc>
          <w:tcPr>
            <w:tcW w:w="4295" w:type="pct"/>
            <w:gridSpan w:val="4"/>
          </w:tcPr>
          <w:p w14:paraId="21CCAD2A" w14:textId="31029B61" w:rsidR="000823D4" w:rsidRPr="00873941" w:rsidRDefault="000823D4" w:rsidP="000823D4">
            <w:pPr>
              <w:rPr>
                <w:rFonts w:ascii="Arial Narrow" w:hAnsi="Arial Narrow"/>
                <w:b/>
                <w:bCs/>
                <w:sz w:val="20"/>
                <w:szCs w:val="20"/>
              </w:rPr>
            </w:pPr>
            <w:r w:rsidRPr="00873941">
              <w:rPr>
                <w:rFonts w:ascii="Arial Narrow" w:hAnsi="Arial Narrow"/>
                <w:b/>
                <w:bCs/>
                <w:sz w:val="20"/>
                <w:szCs w:val="20"/>
              </w:rPr>
              <w:t>Clinical criteria:</w:t>
            </w:r>
          </w:p>
        </w:tc>
      </w:tr>
      <w:tr w:rsidR="000823D4" w:rsidRPr="00873941" w14:paraId="5C61C6F9" w14:textId="77777777" w:rsidTr="00E6133E">
        <w:trPr>
          <w:trHeight w:val="20"/>
        </w:trPr>
        <w:tc>
          <w:tcPr>
            <w:tcW w:w="705" w:type="pct"/>
            <w:gridSpan w:val="2"/>
          </w:tcPr>
          <w:p w14:paraId="28119999" w14:textId="670CBD01" w:rsidR="000823D4" w:rsidRPr="000823D4" w:rsidRDefault="000823D4" w:rsidP="000823D4">
            <w:pPr>
              <w:jc w:val="center"/>
              <w:rPr>
                <w:rFonts w:ascii="Arial Narrow" w:hAnsi="Arial Narrow"/>
                <w:sz w:val="20"/>
                <w:szCs w:val="20"/>
              </w:rPr>
            </w:pPr>
          </w:p>
        </w:tc>
        <w:tc>
          <w:tcPr>
            <w:tcW w:w="4295" w:type="pct"/>
            <w:gridSpan w:val="4"/>
          </w:tcPr>
          <w:p w14:paraId="463E3AC7" w14:textId="3B2C3A0E" w:rsidR="000823D4" w:rsidRPr="00873941" w:rsidRDefault="000823D4" w:rsidP="000823D4">
            <w:pPr>
              <w:rPr>
                <w:rFonts w:ascii="Arial Narrow" w:hAnsi="Arial Narrow"/>
                <w:b/>
                <w:bCs/>
                <w:sz w:val="20"/>
                <w:szCs w:val="20"/>
              </w:rPr>
            </w:pPr>
            <w:r w:rsidRPr="00873941">
              <w:rPr>
                <w:rFonts w:ascii="Arial Narrow" w:hAnsi="Arial Narrow"/>
                <w:sz w:val="20"/>
                <w:szCs w:val="20"/>
              </w:rPr>
              <w:t>The treatment must be in combination with trastuzumab</w:t>
            </w:r>
          </w:p>
        </w:tc>
      </w:tr>
      <w:tr w:rsidR="000823D4" w:rsidRPr="00873941" w14:paraId="1A7CB0D2" w14:textId="77777777" w:rsidTr="00E6133E">
        <w:trPr>
          <w:trHeight w:val="20"/>
        </w:trPr>
        <w:tc>
          <w:tcPr>
            <w:tcW w:w="705" w:type="pct"/>
            <w:gridSpan w:val="2"/>
          </w:tcPr>
          <w:p w14:paraId="1AE8E5EE" w14:textId="77777777" w:rsidR="000823D4" w:rsidRPr="00873941" w:rsidRDefault="000823D4" w:rsidP="000823D4">
            <w:pPr>
              <w:jc w:val="center"/>
              <w:rPr>
                <w:rFonts w:ascii="Arial Narrow" w:hAnsi="Arial Narrow"/>
                <w:i/>
                <w:iCs/>
                <w:sz w:val="20"/>
                <w:szCs w:val="20"/>
              </w:rPr>
            </w:pPr>
          </w:p>
        </w:tc>
        <w:tc>
          <w:tcPr>
            <w:tcW w:w="4295" w:type="pct"/>
            <w:gridSpan w:val="4"/>
          </w:tcPr>
          <w:p w14:paraId="73C9A99C" w14:textId="693139D8" w:rsidR="000823D4" w:rsidRPr="000823D4" w:rsidRDefault="000823D4" w:rsidP="000823D4">
            <w:pPr>
              <w:rPr>
                <w:rFonts w:ascii="Arial Narrow" w:hAnsi="Arial Narrow"/>
                <w:b/>
                <w:bCs/>
                <w:sz w:val="20"/>
                <w:szCs w:val="20"/>
              </w:rPr>
            </w:pPr>
            <w:r w:rsidRPr="000823D4">
              <w:rPr>
                <w:rFonts w:ascii="Arial Narrow" w:hAnsi="Arial Narrow"/>
                <w:b/>
                <w:bCs/>
                <w:sz w:val="20"/>
                <w:szCs w:val="20"/>
              </w:rPr>
              <w:t>AND</w:t>
            </w:r>
          </w:p>
        </w:tc>
      </w:tr>
      <w:tr w:rsidR="00974C77" w:rsidRPr="00873941" w14:paraId="0BFC52EC" w14:textId="77777777" w:rsidTr="00E6133E">
        <w:trPr>
          <w:trHeight w:val="20"/>
        </w:trPr>
        <w:tc>
          <w:tcPr>
            <w:tcW w:w="705" w:type="pct"/>
            <w:gridSpan w:val="2"/>
          </w:tcPr>
          <w:p w14:paraId="6FFD1000" w14:textId="6EBBB197" w:rsidR="00974C77" w:rsidRPr="00A466B3" w:rsidRDefault="00974C77" w:rsidP="00974C77">
            <w:pPr>
              <w:jc w:val="center"/>
              <w:rPr>
                <w:rFonts w:ascii="Arial Narrow" w:hAnsi="Arial Narrow"/>
                <w:sz w:val="20"/>
                <w:szCs w:val="20"/>
              </w:rPr>
            </w:pPr>
          </w:p>
        </w:tc>
        <w:tc>
          <w:tcPr>
            <w:tcW w:w="4295" w:type="pct"/>
            <w:gridSpan w:val="4"/>
          </w:tcPr>
          <w:p w14:paraId="5A5BBA06" w14:textId="77777777" w:rsidR="00974C77" w:rsidRPr="00873941" w:rsidRDefault="00974C77" w:rsidP="00974C77">
            <w:pPr>
              <w:tabs>
                <w:tab w:val="left" w:pos="1180"/>
              </w:tabs>
              <w:rPr>
                <w:rFonts w:ascii="Arial Narrow" w:hAnsi="Arial Narrow"/>
                <w:sz w:val="20"/>
                <w:szCs w:val="20"/>
              </w:rPr>
            </w:pPr>
            <w:r w:rsidRPr="00873941">
              <w:rPr>
                <w:rStyle w:val="Strong"/>
                <w:rFonts w:ascii="Arial Narrow" w:hAnsi="Arial Narrow" w:cs="Open Sans"/>
                <w:color w:val="333333"/>
                <w:sz w:val="20"/>
                <w:szCs w:val="20"/>
                <w:bdr w:val="none" w:sz="0" w:space="0" w:color="auto" w:frame="1"/>
              </w:rPr>
              <w:t>Clinical criteria:</w:t>
            </w:r>
          </w:p>
        </w:tc>
      </w:tr>
      <w:tr w:rsidR="00974C77" w:rsidRPr="00873941" w14:paraId="2FE18022" w14:textId="77777777" w:rsidTr="00E6133E">
        <w:trPr>
          <w:trHeight w:val="20"/>
        </w:trPr>
        <w:tc>
          <w:tcPr>
            <w:tcW w:w="705" w:type="pct"/>
            <w:gridSpan w:val="2"/>
          </w:tcPr>
          <w:p w14:paraId="6A05D9EF" w14:textId="3198F314" w:rsidR="00974C77" w:rsidRPr="00A466B3" w:rsidRDefault="00974C77" w:rsidP="00974C77">
            <w:pPr>
              <w:jc w:val="center"/>
              <w:rPr>
                <w:rFonts w:ascii="Arial Narrow" w:hAnsi="Arial Narrow"/>
                <w:sz w:val="20"/>
                <w:szCs w:val="20"/>
              </w:rPr>
            </w:pPr>
          </w:p>
        </w:tc>
        <w:tc>
          <w:tcPr>
            <w:tcW w:w="4295" w:type="pct"/>
            <w:gridSpan w:val="4"/>
          </w:tcPr>
          <w:p w14:paraId="7D869A7C" w14:textId="2A09C542" w:rsidR="00974C77" w:rsidRPr="00873941" w:rsidRDefault="00974C77" w:rsidP="00974C77">
            <w:pPr>
              <w:rPr>
                <w:rFonts w:ascii="Arial Narrow" w:hAnsi="Arial Narrow"/>
                <w:sz w:val="20"/>
                <w:szCs w:val="20"/>
              </w:rPr>
            </w:pPr>
            <w:r w:rsidRPr="00873941">
              <w:rPr>
                <w:rFonts w:ascii="Arial Narrow" w:hAnsi="Arial Narrow"/>
                <w:sz w:val="20"/>
                <w:szCs w:val="20"/>
              </w:rPr>
              <w:t xml:space="preserve">The treatment must be </w:t>
            </w:r>
            <w:r>
              <w:rPr>
                <w:rFonts w:ascii="Arial Narrow" w:hAnsi="Arial Narrow"/>
                <w:sz w:val="20"/>
                <w:szCs w:val="20"/>
              </w:rPr>
              <w:t xml:space="preserve">used </w:t>
            </w:r>
            <w:r w:rsidRPr="00873941">
              <w:rPr>
                <w:rFonts w:ascii="Arial Narrow" w:hAnsi="Arial Narrow"/>
                <w:sz w:val="20"/>
                <w:szCs w:val="20"/>
              </w:rPr>
              <w:t>in combination with trastuzumab</w:t>
            </w:r>
          </w:p>
        </w:tc>
      </w:tr>
      <w:tr w:rsidR="00417098" w:rsidRPr="00873941" w14:paraId="37AD1CBD" w14:textId="77777777" w:rsidTr="00E6133E">
        <w:trPr>
          <w:trHeight w:val="20"/>
        </w:trPr>
        <w:tc>
          <w:tcPr>
            <w:tcW w:w="705" w:type="pct"/>
            <w:gridSpan w:val="2"/>
          </w:tcPr>
          <w:p w14:paraId="78FD6034" w14:textId="77777777" w:rsidR="00417098" w:rsidRPr="00A466B3" w:rsidRDefault="00417098" w:rsidP="00EF13AB">
            <w:pPr>
              <w:jc w:val="center"/>
              <w:rPr>
                <w:rFonts w:ascii="Arial Narrow" w:hAnsi="Arial Narrow"/>
                <w:sz w:val="20"/>
                <w:szCs w:val="20"/>
              </w:rPr>
            </w:pPr>
          </w:p>
        </w:tc>
        <w:tc>
          <w:tcPr>
            <w:tcW w:w="4295" w:type="pct"/>
            <w:gridSpan w:val="4"/>
          </w:tcPr>
          <w:p w14:paraId="2B60B283" w14:textId="77777777" w:rsidR="00417098" w:rsidRPr="00873941" w:rsidRDefault="00417098" w:rsidP="00EF13AB">
            <w:pPr>
              <w:rPr>
                <w:rFonts w:ascii="Arial Narrow" w:hAnsi="Arial Narrow"/>
                <w:sz w:val="20"/>
                <w:szCs w:val="20"/>
              </w:rPr>
            </w:pPr>
            <w:r w:rsidRPr="00873941">
              <w:rPr>
                <w:rFonts w:ascii="Arial Narrow" w:hAnsi="Arial Narrow"/>
                <w:b/>
                <w:bCs/>
                <w:sz w:val="20"/>
                <w:szCs w:val="20"/>
              </w:rPr>
              <w:t>AND</w:t>
            </w:r>
            <w:r w:rsidRPr="00873941">
              <w:rPr>
                <w:rFonts w:ascii="Arial Narrow" w:hAnsi="Arial Narrow"/>
                <w:b/>
                <w:bCs/>
                <w:sz w:val="20"/>
                <w:szCs w:val="20"/>
              </w:rPr>
              <w:tab/>
            </w:r>
          </w:p>
        </w:tc>
      </w:tr>
      <w:tr w:rsidR="00417098" w:rsidRPr="00873941" w14:paraId="34E28F3B" w14:textId="77777777" w:rsidTr="00E6133E">
        <w:trPr>
          <w:trHeight w:val="20"/>
        </w:trPr>
        <w:tc>
          <w:tcPr>
            <w:tcW w:w="705" w:type="pct"/>
            <w:gridSpan w:val="2"/>
          </w:tcPr>
          <w:p w14:paraId="07344DA3" w14:textId="53B21E9B" w:rsidR="00417098" w:rsidRPr="00A466B3" w:rsidRDefault="00417098" w:rsidP="00EF13AB">
            <w:pPr>
              <w:jc w:val="center"/>
              <w:rPr>
                <w:rFonts w:ascii="Arial Narrow" w:hAnsi="Arial Narrow"/>
                <w:sz w:val="20"/>
                <w:szCs w:val="20"/>
              </w:rPr>
            </w:pPr>
          </w:p>
        </w:tc>
        <w:tc>
          <w:tcPr>
            <w:tcW w:w="4295" w:type="pct"/>
            <w:gridSpan w:val="4"/>
          </w:tcPr>
          <w:p w14:paraId="7C932AEC" w14:textId="77777777" w:rsidR="00417098" w:rsidRPr="00873941" w:rsidRDefault="00417098" w:rsidP="00EF13AB">
            <w:pPr>
              <w:rPr>
                <w:rFonts w:ascii="Arial Narrow" w:hAnsi="Arial Narrow"/>
                <w:sz w:val="20"/>
                <w:szCs w:val="20"/>
              </w:rPr>
            </w:pPr>
            <w:r w:rsidRPr="00873941">
              <w:rPr>
                <w:rStyle w:val="Strong"/>
                <w:rFonts w:ascii="Arial Narrow" w:hAnsi="Arial Narrow" w:cs="Open Sans"/>
                <w:color w:val="333333"/>
                <w:sz w:val="20"/>
                <w:szCs w:val="20"/>
                <w:bdr w:val="none" w:sz="0" w:space="0" w:color="auto" w:frame="1"/>
              </w:rPr>
              <w:t>Clinical criteria:</w:t>
            </w:r>
          </w:p>
        </w:tc>
      </w:tr>
      <w:tr w:rsidR="00417098" w:rsidRPr="00873941" w14:paraId="1EE3FE39" w14:textId="77777777" w:rsidTr="00E6133E">
        <w:trPr>
          <w:trHeight w:val="20"/>
        </w:trPr>
        <w:tc>
          <w:tcPr>
            <w:tcW w:w="705" w:type="pct"/>
            <w:gridSpan w:val="2"/>
          </w:tcPr>
          <w:p w14:paraId="729D88B2" w14:textId="734D0010" w:rsidR="00417098" w:rsidRPr="00A466B3" w:rsidRDefault="00417098" w:rsidP="00EF13AB">
            <w:pPr>
              <w:jc w:val="center"/>
              <w:rPr>
                <w:rFonts w:ascii="Arial Narrow" w:hAnsi="Arial Narrow"/>
                <w:sz w:val="20"/>
                <w:szCs w:val="20"/>
              </w:rPr>
            </w:pPr>
          </w:p>
        </w:tc>
        <w:tc>
          <w:tcPr>
            <w:tcW w:w="4295" w:type="pct"/>
            <w:gridSpan w:val="4"/>
          </w:tcPr>
          <w:p w14:paraId="209212B2" w14:textId="15DC6022" w:rsidR="00417098" w:rsidRPr="00873941" w:rsidRDefault="00417098" w:rsidP="00EF13AB">
            <w:pPr>
              <w:rPr>
                <w:rFonts w:ascii="Arial Narrow" w:hAnsi="Arial Narrow"/>
                <w:sz w:val="20"/>
                <w:szCs w:val="20"/>
              </w:rPr>
            </w:pPr>
            <w:r w:rsidRPr="00873941">
              <w:rPr>
                <w:rFonts w:ascii="Arial Narrow" w:hAnsi="Arial Narrow"/>
                <w:sz w:val="20"/>
                <w:szCs w:val="20"/>
              </w:rPr>
              <w:t xml:space="preserve">The treatment must be </w:t>
            </w:r>
            <w:r w:rsidR="00651B44">
              <w:rPr>
                <w:rFonts w:ascii="Arial Narrow" w:hAnsi="Arial Narrow"/>
                <w:sz w:val="20"/>
                <w:szCs w:val="20"/>
              </w:rPr>
              <w:t xml:space="preserve">initiated </w:t>
            </w:r>
            <w:r w:rsidRPr="00873941">
              <w:rPr>
                <w:rFonts w:ascii="Arial Narrow" w:hAnsi="Arial Narrow"/>
                <w:sz w:val="20"/>
                <w:szCs w:val="20"/>
              </w:rPr>
              <w:t>in combination with chemotherapy</w:t>
            </w:r>
          </w:p>
        </w:tc>
      </w:tr>
      <w:tr w:rsidR="00417098" w:rsidRPr="00873941" w14:paraId="1F1CE4A6" w14:textId="77777777" w:rsidTr="00E6133E">
        <w:trPr>
          <w:trHeight w:val="20"/>
        </w:trPr>
        <w:tc>
          <w:tcPr>
            <w:tcW w:w="705" w:type="pct"/>
            <w:gridSpan w:val="2"/>
          </w:tcPr>
          <w:p w14:paraId="2B9C9618" w14:textId="77777777" w:rsidR="00417098" w:rsidRPr="00A466B3" w:rsidRDefault="00417098" w:rsidP="00EF13AB">
            <w:pPr>
              <w:jc w:val="center"/>
              <w:rPr>
                <w:rFonts w:ascii="Arial Narrow" w:hAnsi="Arial Narrow"/>
                <w:sz w:val="20"/>
                <w:szCs w:val="20"/>
              </w:rPr>
            </w:pPr>
          </w:p>
        </w:tc>
        <w:tc>
          <w:tcPr>
            <w:tcW w:w="4295" w:type="pct"/>
            <w:gridSpan w:val="4"/>
          </w:tcPr>
          <w:p w14:paraId="3136D1D7" w14:textId="77777777" w:rsidR="00417098" w:rsidRPr="00873941" w:rsidRDefault="00417098" w:rsidP="00EF13AB">
            <w:pPr>
              <w:rPr>
                <w:rFonts w:ascii="Arial Narrow" w:hAnsi="Arial Narrow"/>
                <w:b/>
                <w:bCs/>
                <w:sz w:val="20"/>
                <w:szCs w:val="20"/>
              </w:rPr>
            </w:pPr>
            <w:r w:rsidRPr="00873941">
              <w:rPr>
                <w:rFonts w:ascii="Arial Narrow" w:hAnsi="Arial Narrow"/>
                <w:b/>
                <w:bCs/>
                <w:sz w:val="20"/>
                <w:szCs w:val="20"/>
              </w:rPr>
              <w:t>AND</w:t>
            </w:r>
          </w:p>
        </w:tc>
      </w:tr>
      <w:tr w:rsidR="00417098" w:rsidRPr="00873941" w14:paraId="0CBF4F29" w14:textId="77777777" w:rsidTr="00E6133E">
        <w:trPr>
          <w:trHeight w:val="20"/>
        </w:trPr>
        <w:tc>
          <w:tcPr>
            <w:tcW w:w="705" w:type="pct"/>
            <w:gridSpan w:val="2"/>
          </w:tcPr>
          <w:p w14:paraId="327C68FB" w14:textId="6C086B42" w:rsidR="00417098" w:rsidRPr="000823D4" w:rsidRDefault="00417098" w:rsidP="00EF13AB">
            <w:pPr>
              <w:jc w:val="center"/>
              <w:rPr>
                <w:rFonts w:ascii="Arial Narrow" w:hAnsi="Arial Narrow"/>
                <w:sz w:val="20"/>
                <w:szCs w:val="20"/>
              </w:rPr>
            </w:pPr>
          </w:p>
        </w:tc>
        <w:tc>
          <w:tcPr>
            <w:tcW w:w="4295" w:type="pct"/>
            <w:gridSpan w:val="4"/>
          </w:tcPr>
          <w:p w14:paraId="69D43342" w14:textId="77777777" w:rsidR="00417098" w:rsidRPr="00873941" w:rsidRDefault="00417098" w:rsidP="00EF13AB">
            <w:pPr>
              <w:rPr>
                <w:rFonts w:ascii="Arial Narrow" w:hAnsi="Arial Narrow"/>
                <w:sz w:val="20"/>
                <w:szCs w:val="20"/>
              </w:rPr>
            </w:pPr>
            <w:r w:rsidRPr="00873941">
              <w:rPr>
                <w:rStyle w:val="Strong"/>
                <w:rFonts w:ascii="Arial Narrow" w:hAnsi="Arial Narrow" w:cs="Open Sans"/>
                <w:color w:val="333333"/>
                <w:sz w:val="20"/>
                <w:szCs w:val="20"/>
                <w:bdr w:val="none" w:sz="0" w:space="0" w:color="auto" w:frame="1"/>
              </w:rPr>
              <w:t>Clinical criteria:</w:t>
            </w:r>
          </w:p>
        </w:tc>
      </w:tr>
      <w:tr w:rsidR="00417098" w:rsidRPr="00873941" w14:paraId="4F1317AA" w14:textId="77777777" w:rsidTr="00E6133E">
        <w:trPr>
          <w:trHeight w:val="20"/>
        </w:trPr>
        <w:tc>
          <w:tcPr>
            <w:tcW w:w="705" w:type="pct"/>
            <w:gridSpan w:val="2"/>
          </w:tcPr>
          <w:p w14:paraId="224C85C1" w14:textId="1A07B026" w:rsidR="00417098" w:rsidRPr="000823D4" w:rsidRDefault="00417098" w:rsidP="00EF13AB">
            <w:pPr>
              <w:jc w:val="center"/>
              <w:rPr>
                <w:rFonts w:ascii="Arial Narrow" w:hAnsi="Arial Narrow"/>
                <w:sz w:val="20"/>
                <w:szCs w:val="20"/>
              </w:rPr>
            </w:pPr>
          </w:p>
        </w:tc>
        <w:tc>
          <w:tcPr>
            <w:tcW w:w="4295" w:type="pct"/>
            <w:gridSpan w:val="4"/>
          </w:tcPr>
          <w:p w14:paraId="6CB3F6E1" w14:textId="77777777" w:rsidR="00417098" w:rsidRPr="00873941" w:rsidRDefault="00417098" w:rsidP="00EF13AB">
            <w:pPr>
              <w:rPr>
                <w:rFonts w:ascii="Arial Narrow" w:hAnsi="Arial Narrow"/>
                <w:sz w:val="20"/>
                <w:szCs w:val="20"/>
              </w:rPr>
            </w:pPr>
            <w:r w:rsidRPr="00873941">
              <w:rPr>
                <w:rFonts w:ascii="Arial Narrow" w:hAnsi="Arial Narrow"/>
                <w:sz w:val="20"/>
                <w:szCs w:val="20"/>
              </w:rPr>
              <w:t>The treatment must not be used in a patient with a left ventricular ejection fraction (LVEF) of less than 45% and/or with symptomatic heart failure,</w:t>
            </w:r>
          </w:p>
        </w:tc>
      </w:tr>
      <w:tr w:rsidR="00417098" w:rsidRPr="00873941" w14:paraId="54BBF9C0" w14:textId="77777777" w:rsidTr="00E6133E">
        <w:trPr>
          <w:trHeight w:val="20"/>
        </w:trPr>
        <w:tc>
          <w:tcPr>
            <w:tcW w:w="705" w:type="pct"/>
            <w:gridSpan w:val="2"/>
          </w:tcPr>
          <w:p w14:paraId="2A7FAD66" w14:textId="77777777" w:rsidR="00417098" w:rsidRPr="00873941" w:rsidRDefault="00417098" w:rsidP="00EF13AB">
            <w:pPr>
              <w:jc w:val="center"/>
              <w:rPr>
                <w:rFonts w:ascii="Arial Narrow" w:hAnsi="Arial Narrow"/>
                <w:i/>
                <w:iCs/>
                <w:sz w:val="20"/>
                <w:szCs w:val="20"/>
              </w:rPr>
            </w:pPr>
          </w:p>
        </w:tc>
        <w:tc>
          <w:tcPr>
            <w:tcW w:w="4295" w:type="pct"/>
            <w:gridSpan w:val="4"/>
          </w:tcPr>
          <w:p w14:paraId="7F2BF752" w14:textId="77777777" w:rsidR="00417098" w:rsidRPr="00873941" w:rsidRDefault="00417098" w:rsidP="00EF13AB">
            <w:pPr>
              <w:rPr>
                <w:rFonts w:ascii="Arial Narrow" w:hAnsi="Arial Narrow"/>
                <w:sz w:val="20"/>
                <w:szCs w:val="20"/>
              </w:rPr>
            </w:pPr>
            <w:r w:rsidRPr="00873941">
              <w:rPr>
                <w:rFonts w:ascii="Arial Narrow" w:hAnsi="Arial Narrow"/>
                <w:b/>
                <w:bCs/>
                <w:sz w:val="20"/>
                <w:szCs w:val="20"/>
              </w:rPr>
              <w:t>AND</w:t>
            </w:r>
            <w:r w:rsidRPr="00873941">
              <w:rPr>
                <w:rFonts w:ascii="Arial Narrow" w:hAnsi="Arial Narrow"/>
                <w:b/>
                <w:bCs/>
                <w:sz w:val="20"/>
                <w:szCs w:val="20"/>
              </w:rPr>
              <w:tab/>
            </w:r>
          </w:p>
        </w:tc>
      </w:tr>
      <w:tr w:rsidR="00417098" w:rsidRPr="00873941" w14:paraId="66A93009" w14:textId="77777777" w:rsidTr="00E6133E">
        <w:trPr>
          <w:trHeight w:val="20"/>
        </w:trPr>
        <w:tc>
          <w:tcPr>
            <w:tcW w:w="705" w:type="pct"/>
            <w:gridSpan w:val="2"/>
          </w:tcPr>
          <w:p w14:paraId="4A69296B" w14:textId="33FD6E4F" w:rsidR="00417098" w:rsidRPr="000823D4" w:rsidRDefault="00417098" w:rsidP="00C87D73">
            <w:pPr>
              <w:keepNext/>
              <w:jc w:val="center"/>
              <w:rPr>
                <w:rFonts w:ascii="Arial Narrow" w:hAnsi="Arial Narrow"/>
                <w:sz w:val="20"/>
                <w:szCs w:val="20"/>
              </w:rPr>
            </w:pPr>
          </w:p>
        </w:tc>
        <w:tc>
          <w:tcPr>
            <w:tcW w:w="4295" w:type="pct"/>
            <w:gridSpan w:val="4"/>
          </w:tcPr>
          <w:p w14:paraId="3F66D293" w14:textId="77777777" w:rsidR="00417098" w:rsidRPr="00873941" w:rsidRDefault="00417098" w:rsidP="00C87D73">
            <w:pPr>
              <w:keepNext/>
              <w:rPr>
                <w:rFonts w:ascii="Arial Narrow" w:hAnsi="Arial Narrow"/>
                <w:sz w:val="20"/>
                <w:szCs w:val="20"/>
              </w:rPr>
            </w:pPr>
            <w:r w:rsidRPr="00873941">
              <w:rPr>
                <w:rStyle w:val="Strong"/>
                <w:rFonts w:ascii="Arial Narrow" w:hAnsi="Arial Narrow" w:cs="Open Sans"/>
                <w:color w:val="333333"/>
                <w:sz w:val="20"/>
                <w:szCs w:val="20"/>
                <w:bdr w:val="none" w:sz="0" w:space="0" w:color="auto" w:frame="1"/>
              </w:rPr>
              <w:t>Clinical criteria:</w:t>
            </w:r>
          </w:p>
        </w:tc>
      </w:tr>
      <w:tr w:rsidR="00417098" w:rsidRPr="00873941" w14:paraId="607190C9" w14:textId="77777777" w:rsidTr="00E6133E">
        <w:trPr>
          <w:trHeight w:val="20"/>
        </w:trPr>
        <w:tc>
          <w:tcPr>
            <w:tcW w:w="705" w:type="pct"/>
            <w:gridSpan w:val="2"/>
          </w:tcPr>
          <w:p w14:paraId="03A4B2EC" w14:textId="1C7D91A3" w:rsidR="00417098" w:rsidRPr="000823D4" w:rsidRDefault="00417098" w:rsidP="00EF13AB">
            <w:pPr>
              <w:jc w:val="center"/>
              <w:rPr>
                <w:rFonts w:ascii="Arial Narrow" w:hAnsi="Arial Narrow"/>
                <w:sz w:val="20"/>
                <w:szCs w:val="20"/>
              </w:rPr>
            </w:pPr>
          </w:p>
        </w:tc>
        <w:tc>
          <w:tcPr>
            <w:tcW w:w="4295" w:type="pct"/>
            <w:gridSpan w:val="4"/>
          </w:tcPr>
          <w:p w14:paraId="6070BF8E" w14:textId="77777777" w:rsidR="00417098" w:rsidRPr="00873941" w:rsidRDefault="00417098" w:rsidP="00EF13AB">
            <w:pPr>
              <w:rPr>
                <w:rFonts w:ascii="Arial Narrow" w:hAnsi="Arial Narrow"/>
                <w:sz w:val="20"/>
                <w:szCs w:val="20"/>
              </w:rPr>
            </w:pPr>
            <w:r w:rsidRPr="00873941">
              <w:rPr>
                <w:rFonts w:ascii="Arial Narrow" w:hAnsi="Arial Narrow"/>
                <w:sz w:val="20"/>
                <w:szCs w:val="20"/>
              </w:rPr>
              <w:t>Patient must not receive more than 1 treatment cycle under this restriction. </w:t>
            </w:r>
          </w:p>
        </w:tc>
      </w:tr>
      <w:tr w:rsidR="00417098" w:rsidRPr="00873941" w14:paraId="49E0AB56" w14:textId="77777777" w:rsidTr="00E6133E">
        <w:trPr>
          <w:trHeight w:val="20"/>
        </w:trPr>
        <w:tc>
          <w:tcPr>
            <w:tcW w:w="705" w:type="pct"/>
            <w:gridSpan w:val="2"/>
          </w:tcPr>
          <w:p w14:paraId="7FCC65ED" w14:textId="77777777" w:rsidR="00417098" w:rsidRPr="00873941" w:rsidRDefault="00417098" w:rsidP="00EF13AB">
            <w:pPr>
              <w:jc w:val="center"/>
              <w:rPr>
                <w:rFonts w:ascii="Arial Narrow" w:hAnsi="Arial Narrow"/>
                <w:i/>
                <w:iCs/>
                <w:sz w:val="20"/>
                <w:szCs w:val="20"/>
              </w:rPr>
            </w:pPr>
          </w:p>
        </w:tc>
        <w:tc>
          <w:tcPr>
            <w:tcW w:w="4295" w:type="pct"/>
            <w:gridSpan w:val="4"/>
          </w:tcPr>
          <w:p w14:paraId="5F6F3F6A" w14:textId="77777777" w:rsidR="00417098" w:rsidRPr="00873941" w:rsidRDefault="00417098" w:rsidP="00EF13AB">
            <w:pPr>
              <w:rPr>
                <w:rFonts w:ascii="Arial Narrow" w:hAnsi="Arial Narrow"/>
                <w:b/>
                <w:bCs/>
                <w:sz w:val="20"/>
                <w:szCs w:val="20"/>
              </w:rPr>
            </w:pPr>
            <w:r w:rsidRPr="00873941">
              <w:rPr>
                <w:rFonts w:ascii="Arial Narrow" w:hAnsi="Arial Narrow"/>
                <w:b/>
                <w:bCs/>
                <w:sz w:val="20"/>
                <w:szCs w:val="20"/>
              </w:rPr>
              <w:t>AND</w:t>
            </w:r>
          </w:p>
        </w:tc>
      </w:tr>
      <w:tr w:rsidR="00417098" w:rsidRPr="000823D4" w14:paraId="561B00C8" w14:textId="77777777" w:rsidTr="00E6133E">
        <w:trPr>
          <w:trHeight w:val="20"/>
        </w:trPr>
        <w:tc>
          <w:tcPr>
            <w:tcW w:w="705" w:type="pct"/>
            <w:gridSpan w:val="2"/>
          </w:tcPr>
          <w:p w14:paraId="4B19D650" w14:textId="1848D1E4" w:rsidR="00417098" w:rsidRPr="000823D4" w:rsidRDefault="00417098" w:rsidP="00EF13AB">
            <w:pPr>
              <w:jc w:val="center"/>
              <w:rPr>
                <w:rFonts w:ascii="Arial Narrow" w:hAnsi="Arial Narrow"/>
                <w:sz w:val="20"/>
                <w:szCs w:val="20"/>
              </w:rPr>
            </w:pPr>
          </w:p>
        </w:tc>
        <w:tc>
          <w:tcPr>
            <w:tcW w:w="4295" w:type="pct"/>
            <w:gridSpan w:val="4"/>
          </w:tcPr>
          <w:p w14:paraId="393F8D42" w14:textId="3DE26B81" w:rsidR="00417098" w:rsidRPr="000823D4" w:rsidRDefault="00417098" w:rsidP="00EF13AB">
            <w:pPr>
              <w:rPr>
                <w:rFonts w:ascii="Arial Narrow" w:hAnsi="Arial Narrow"/>
                <w:sz w:val="20"/>
                <w:szCs w:val="20"/>
              </w:rPr>
            </w:pPr>
            <w:r w:rsidRPr="000823D4">
              <w:rPr>
                <w:rFonts w:ascii="Arial Narrow" w:hAnsi="Arial Narrow"/>
                <w:b/>
                <w:bCs/>
                <w:color w:val="333333"/>
                <w:sz w:val="20"/>
                <w:szCs w:val="20"/>
              </w:rPr>
              <w:t>Clinical Criteria</w:t>
            </w:r>
          </w:p>
        </w:tc>
      </w:tr>
      <w:tr w:rsidR="00417098" w:rsidRPr="00B25F75" w14:paraId="11D5CA68" w14:textId="77777777" w:rsidTr="00E6133E">
        <w:trPr>
          <w:trHeight w:val="20"/>
        </w:trPr>
        <w:tc>
          <w:tcPr>
            <w:tcW w:w="705" w:type="pct"/>
            <w:gridSpan w:val="2"/>
          </w:tcPr>
          <w:p w14:paraId="64F9D065" w14:textId="77777777" w:rsidR="00417098" w:rsidRPr="00B25F75" w:rsidRDefault="00417098" w:rsidP="00EF13AB">
            <w:pPr>
              <w:jc w:val="center"/>
              <w:rPr>
                <w:rFonts w:ascii="Arial Narrow" w:hAnsi="Arial Narrow"/>
                <w:color w:val="333333"/>
                <w:sz w:val="20"/>
                <w:szCs w:val="20"/>
              </w:rPr>
            </w:pPr>
          </w:p>
        </w:tc>
        <w:tc>
          <w:tcPr>
            <w:tcW w:w="4295" w:type="pct"/>
            <w:gridSpan w:val="4"/>
          </w:tcPr>
          <w:p w14:paraId="067000A7" w14:textId="3E706F04" w:rsidR="00417098" w:rsidRPr="00B25F75" w:rsidRDefault="001D401A" w:rsidP="00EF13AB">
            <w:pPr>
              <w:rPr>
                <w:rFonts w:ascii="Arial Narrow" w:hAnsi="Arial Narrow"/>
                <w:color w:val="333333"/>
                <w:sz w:val="20"/>
                <w:szCs w:val="20"/>
              </w:rPr>
            </w:pPr>
            <w:r w:rsidRPr="001D401A">
              <w:rPr>
                <w:rFonts w:ascii="Arial Narrow" w:hAnsi="Arial Narrow"/>
                <w:sz w:val="20"/>
                <w:szCs w:val="20"/>
              </w:rPr>
              <w:t>The treatment for initial and continuing therapy combined must not extend beyond either (i) 18 weeks (6 cycles) in the neoadjuvant setting; (ii) 12 months (18 cycles) in total</w:t>
            </w:r>
          </w:p>
        </w:tc>
      </w:tr>
      <w:tr w:rsidR="00417098" w:rsidRPr="00873941" w14:paraId="16C02761" w14:textId="77777777" w:rsidTr="00E6133E">
        <w:trPr>
          <w:trHeight w:val="20"/>
        </w:trPr>
        <w:tc>
          <w:tcPr>
            <w:tcW w:w="705" w:type="pct"/>
            <w:gridSpan w:val="2"/>
          </w:tcPr>
          <w:p w14:paraId="51C2B30C" w14:textId="3CA8C9BB" w:rsidR="00417098" w:rsidRPr="003C2BAA" w:rsidRDefault="00417098" w:rsidP="00EF13AB">
            <w:pPr>
              <w:jc w:val="center"/>
              <w:rPr>
                <w:rFonts w:ascii="Arial Narrow" w:hAnsi="Arial Narrow"/>
                <w:sz w:val="20"/>
                <w:szCs w:val="20"/>
              </w:rPr>
            </w:pPr>
          </w:p>
        </w:tc>
        <w:tc>
          <w:tcPr>
            <w:tcW w:w="4295" w:type="pct"/>
            <w:gridSpan w:val="4"/>
          </w:tcPr>
          <w:p w14:paraId="355BC733" w14:textId="77777777" w:rsidR="00417098" w:rsidRPr="00873941" w:rsidRDefault="00417098" w:rsidP="00EF13AB">
            <w:pPr>
              <w:rPr>
                <w:rFonts w:ascii="Arial Narrow" w:hAnsi="Arial Narrow"/>
                <w:b/>
                <w:bCs/>
                <w:sz w:val="20"/>
                <w:szCs w:val="20"/>
              </w:rPr>
            </w:pPr>
            <w:r w:rsidRPr="00873941">
              <w:rPr>
                <w:rFonts w:ascii="Arial Narrow" w:hAnsi="Arial Narrow"/>
                <w:b/>
                <w:bCs/>
                <w:sz w:val="20"/>
                <w:szCs w:val="20"/>
              </w:rPr>
              <w:t xml:space="preserve">Prescribing Instructions: </w:t>
            </w:r>
          </w:p>
          <w:p w14:paraId="1CF5C253" w14:textId="77777777" w:rsidR="00417098" w:rsidRPr="00873941" w:rsidRDefault="00417098" w:rsidP="00EF13AB">
            <w:pPr>
              <w:rPr>
                <w:rFonts w:ascii="Arial Narrow" w:hAnsi="Arial Narrow"/>
                <w:sz w:val="20"/>
                <w:szCs w:val="20"/>
              </w:rPr>
            </w:pPr>
            <w:r w:rsidRPr="00873941">
              <w:rPr>
                <w:rFonts w:ascii="Arial Narrow" w:hAnsi="Arial Narrow"/>
                <w:sz w:val="20"/>
                <w:szCs w:val="20"/>
              </w:rPr>
              <w:t xml:space="preserve">Details (date, unique identifying number/code, or provider number) of the pathology report from an Approved Pathology Authority confirming evidence of HER2 gene amplification by in situ hybridisation (ISH) must be provided at the time of application. </w:t>
            </w:r>
          </w:p>
          <w:p w14:paraId="1B2CB8FB" w14:textId="77777777" w:rsidR="00417098" w:rsidRPr="00873941" w:rsidRDefault="00417098" w:rsidP="00EF13AB">
            <w:pPr>
              <w:rPr>
                <w:rFonts w:ascii="Arial Narrow" w:hAnsi="Arial Narrow"/>
                <w:sz w:val="20"/>
                <w:szCs w:val="20"/>
              </w:rPr>
            </w:pPr>
          </w:p>
          <w:p w14:paraId="1DC12BF5" w14:textId="77777777" w:rsidR="00417098" w:rsidRPr="00873941" w:rsidRDefault="00417098" w:rsidP="00EF13AB">
            <w:pPr>
              <w:rPr>
                <w:rFonts w:ascii="Arial Narrow" w:hAnsi="Arial Narrow"/>
                <w:sz w:val="20"/>
                <w:szCs w:val="20"/>
              </w:rPr>
            </w:pPr>
            <w:r w:rsidRPr="00873941">
              <w:rPr>
                <w:rFonts w:ascii="Arial Narrow" w:hAnsi="Arial Narrow"/>
                <w:sz w:val="20"/>
                <w:szCs w:val="20"/>
              </w:rPr>
              <w:t>The pathology report must be documented in the patient's medical records. </w:t>
            </w:r>
          </w:p>
        </w:tc>
      </w:tr>
      <w:tr w:rsidR="00417098" w:rsidRPr="00873941" w14:paraId="407C3558" w14:textId="77777777" w:rsidTr="00E6133E">
        <w:trPr>
          <w:trHeight w:val="20"/>
        </w:trPr>
        <w:tc>
          <w:tcPr>
            <w:tcW w:w="705" w:type="pct"/>
            <w:gridSpan w:val="2"/>
          </w:tcPr>
          <w:p w14:paraId="64B371C1" w14:textId="324FE3BA" w:rsidR="00417098" w:rsidRPr="003C2BAA" w:rsidRDefault="00417098" w:rsidP="00EF13AB">
            <w:pPr>
              <w:jc w:val="center"/>
              <w:rPr>
                <w:rFonts w:ascii="Arial Narrow" w:hAnsi="Arial Narrow"/>
                <w:sz w:val="20"/>
                <w:szCs w:val="20"/>
              </w:rPr>
            </w:pPr>
          </w:p>
        </w:tc>
        <w:tc>
          <w:tcPr>
            <w:tcW w:w="4295" w:type="pct"/>
            <w:gridSpan w:val="4"/>
          </w:tcPr>
          <w:p w14:paraId="531FD7D2" w14:textId="77777777" w:rsidR="00417098" w:rsidRPr="00873941" w:rsidRDefault="00417098" w:rsidP="00EF13AB">
            <w:pPr>
              <w:rPr>
                <w:rFonts w:ascii="Arial Narrow" w:hAnsi="Arial Narrow"/>
                <w:b/>
                <w:bCs/>
                <w:sz w:val="20"/>
                <w:szCs w:val="20"/>
              </w:rPr>
            </w:pPr>
            <w:r w:rsidRPr="00873941">
              <w:rPr>
                <w:rFonts w:ascii="Arial Narrow" w:hAnsi="Arial Narrow"/>
                <w:b/>
                <w:bCs/>
                <w:sz w:val="20"/>
                <w:szCs w:val="20"/>
              </w:rPr>
              <w:t xml:space="preserve">Prescribing Instructions: </w:t>
            </w:r>
          </w:p>
          <w:p w14:paraId="07A783E9" w14:textId="77777777" w:rsidR="00417098" w:rsidRPr="00873941" w:rsidRDefault="00417098" w:rsidP="00EF13AB">
            <w:pPr>
              <w:rPr>
                <w:rFonts w:ascii="Arial Narrow" w:hAnsi="Arial Narrow"/>
                <w:sz w:val="20"/>
                <w:szCs w:val="20"/>
              </w:rPr>
            </w:pPr>
            <w:r w:rsidRPr="00873941">
              <w:rPr>
                <w:rFonts w:ascii="Arial Narrow" w:hAnsi="Arial Narrow"/>
                <w:sz w:val="20"/>
                <w:szCs w:val="20"/>
              </w:rPr>
              <w:t xml:space="preserve">Cardiac function must be tested by echocardiography (ECHO) or </w:t>
            </w:r>
            <w:proofErr w:type="spellStart"/>
            <w:r w:rsidRPr="00873941">
              <w:rPr>
                <w:rFonts w:ascii="Arial Narrow" w:hAnsi="Arial Narrow"/>
                <w:sz w:val="20"/>
                <w:szCs w:val="20"/>
              </w:rPr>
              <w:t>multigated</w:t>
            </w:r>
            <w:proofErr w:type="spellEnd"/>
            <w:r w:rsidRPr="00873941">
              <w:rPr>
                <w:rFonts w:ascii="Arial Narrow" w:hAnsi="Arial Narrow"/>
                <w:sz w:val="20"/>
                <w:szCs w:val="20"/>
              </w:rPr>
              <w:t xml:space="preserve"> acquisition (MUGA), prior to seeking the initial authority approval.</w:t>
            </w:r>
          </w:p>
        </w:tc>
      </w:tr>
      <w:tr w:rsidR="00417098" w:rsidRPr="00B25F75" w14:paraId="6E5DAC1C" w14:textId="77777777" w:rsidTr="00E6133E">
        <w:trPr>
          <w:trHeight w:val="20"/>
        </w:trPr>
        <w:tc>
          <w:tcPr>
            <w:tcW w:w="705" w:type="pct"/>
            <w:gridSpan w:val="2"/>
          </w:tcPr>
          <w:p w14:paraId="7817578B" w14:textId="3DE0136A" w:rsidR="00417098" w:rsidRPr="00B25F75" w:rsidRDefault="00417098" w:rsidP="00EF13AB">
            <w:pPr>
              <w:pStyle w:val="NormalWeb"/>
              <w:spacing w:before="0" w:after="0"/>
              <w:jc w:val="center"/>
              <w:textAlignment w:val="baseline"/>
              <w:rPr>
                <w:rFonts w:ascii="Arial Narrow" w:hAnsi="Arial Narrow" w:cs="Open Sans"/>
                <w:color w:val="333333"/>
                <w:sz w:val="20"/>
                <w:szCs w:val="20"/>
                <w:lang w:val="en-AU"/>
              </w:rPr>
            </w:pPr>
          </w:p>
        </w:tc>
        <w:tc>
          <w:tcPr>
            <w:tcW w:w="4295" w:type="pct"/>
            <w:gridSpan w:val="4"/>
          </w:tcPr>
          <w:p w14:paraId="328662E3" w14:textId="77777777" w:rsidR="00417098" w:rsidRPr="00B25F75" w:rsidRDefault="00417098" w:rsidP="00EF13AB">
            <w:pPr>
              <w:pStyle w:val="NormalWeb"/>
              <w:spacing w:before="0" w:after="0"/>
              <w:textAlignment w:val="baseline"/>
              <w:rPr>
                <w:rFonts w:ascii="Arial Narrow" w:hAnsi="Arial Narrow" w:cs="Open Sans"/>
                <w:color w:val="333333"/>
                <w:sz w:val="20"/>
                <w:szCs w:val="20"/>
                <w:lang w:val="en-AU"/>
              </w:rPr>
            </w:pPr>
            <w:r w:rsidRPr="00B25F75">
              <w:rPr>
                <w:rStyle w:val="Strong"/>
                <w:rFonts w:ascii="Arial Narrow" w:eastAsiaTheme="majorEastAsia" w:hAnsi="Arial Narrow" w:cs="Open Sans"/>
                <w:color w:val="333333"/>
                <w:sz w:val="20"/>
                <w:szCs w:val="20"/>
                <w:bdr w:val="none" w:sz="0" w:space="0" w:color="auto" w:frame="1"/>
                <w:lang w:val="en-AU"/>
              </w:rPr>
              <w:t>Administrative Advice:</w:t>
            </w:r>
          </w:p>
          <w:p w14:paraId="688C6DD0" w14:textId="77777777" w:rsidR="00417098" w:rsidRPr="00B25F75" w:rsidRDefault="00417098" w:rsidP="00EF13AB">
            <w:pPr>
              <w:rPr>
                <w:rFonts w:ascii="Arial Narrow" w:hAnsi="Arial Narrow"/>
                <w:b/>
                <w:bCs/>
                <w:sz w:val="20"/>
                <w:szCs w:val="20"/>
              </w:rPr>
            </w:pPr>
            <w:r w:rsidRPr="00B25F75">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1"/>
        <w:gridCol w:w="1540"/>
        <w:gridCol w:w="1973"/>
        <w:gridCol w:w="1973"/>
        <w:gridCol w:w="1977"/>
      </w:tblGrid>
      <w:tr w:rsidR="00417098" w:rsidRPr="00873941" w14:paraId="4AA16DE0" w14:textId="77777777" w:rsidTr="00EF13AB">
        <w:trPr>
          <w:cantSplit/>
          <w:trHeight w:val="20"/>
        </w:trPr>
        <w:tc>
          <w:tcPr>
            <w:tcW w:w="1716" w:type="pct"/>
            <w:gridSpan w:val="3"/>
          </w:tcPr>
          <w:p w14:paraId="5FC36271" w14:textId="77777777" w:rsidR="00417098" w:rsidRPr="00873941" w:rsidRDefault="00417098" w:rsidP="00D326D4">
            <w:pPr>
              <w:widowControl w:val="0"/>
              <w:rPr>
                <w:rFonts w:ascii="Arial Narrow" w:hAnsi="Arial Narrow"/>
                <w:b/>
                <w:bCs/>
                <w:sz w:val="20"/>
                <w:szCs w:val="20"/>
              </w:rPr>
            </w:pPr>
            <w:r w:rsidRPr="00873941">
              <w:rPr>
                <w:rFonts w:ascii="Arial Narrow" w:hAnsi="Arial Narrow"/>
                <w:b/>
                <w:bCs/>
                <w:sz w:val="20"/>
                <w:szCs w:val="20"/>
              </w:rPr>
              <w:t>MEDICINAL PRODUCT</w:t>
            </w:r>
          </w:p>
          <w:p w14:paraId="65A463F0" w14:textId="77777777" w:rsidR="00417098" w:rsidRPr="00873941" w:rsidRDefault="00417098" w:rsidP="00D326D4">
            <w:pPr>
              <w:widowControl w:val="0"/>
              <w:rPr>
                <w:rFonts w:ascii="Arial Narrow" w:hAnsi="Arial Narrow"/>
                <w:b/>
                <w:sz w:val="20"/>
                <w:szCs w:val="20"/>
              </w:rPr>
            </w:pPr>
            <w:r w:rsidRPr="00873941">
              <w:rPr>
                <w:rFonts w:ascii="Arial Narrow" w:hAnsi="Arial Narrow"/>
                <w:b/>
                <w:sz w:val="20"/>
                <w:szCs w:val="20"/>
              </w:rPr>
              <w:t>Form</w:t>
            </w:r>
          </w:p>
        </w:tc>
        <w:tc>
          <w:tcPr>
            <w:tcW w:w="1094" w:type="pct"/>
          </w:tcPr>
          <w:p w14:paraId="6E9AD4B0" w14:textId="77777777" w:rsidR="00417098" w:rsidRPr="00873941" w:rsidRDefault="00417098" w:rsidP="00D326D4">
            <w:pPr>
              <w:widowControl w:val="0"/>
              <w:jc w:val="center"/>
              <w:rPr>
                <w:rFonts w:ascii="Arial Narrow" w:hAnsi="Arial Narrow"/>
                <w:b/>
                <w:sz w:val="20"/>
                <w:szCs w:val="20"/>
              </w:rPr>
            </w:pPr>
            <w:r w:rsidRPr="00873941">
              <w:rPr>
                <w:rFonts w:ascii="Arial Narrow" w:hAnsi="Arial Narrow"/>
                <w:b/>
                <w:sz w:val="20"/>
                <w:szCs w:val="20"/>
              </w:rPr>
              <w:t>PBS item code</w:t>
            </w:r>
          </w:p>
        </w:tc>
        <w:tc>
          <w:tcPr>
            <w:tcW w:w="1094" w:type="pct"/>
          </w:tcPr>
          <w:p w14:paraId="44DE505C" w14:textId="77777777" w:rsidR="00417098" w:rsidRPr="00873941" w:rsidRDefault="00417098" w:rsidP="00D326D4">
            <w:pPr>
              <w:widowControl w:val="0"/>
              <w:jc w:val="center"/>
              <w:rPr>
                <w:rFonts w:ascii="Arial Narrow" w:hAnsi="Arial Narrow"/>
                <w:b/>
                <w:sz w:val="20"/>
                <w:szCs w:val="20"/>
              </w:rPr>
            </w:pPr>
            <w:r w:rsidRPr="00873941">
              <w:rPr>
                <w:rFonts w:ascii="Arial Narrow" w:hAnsi="Arial Narrow"/>
                <w:b/>
                <w:sz w:val="20"/>
                <w:szCs w:val="20"/>
              </w:rPr>
              <w:t>Max. Amount</w:t>
            </w:r>
          </w:p>
        </w:tc>
        <w:tc>
          <w:tcPr>
            <w:tcW w:w="1096" w:type="pct"/>
          </w:tcPr>
          <w:p w14:paraId="1FBDACF8" w14:textId="77777777" w:rsidR="00417098" w:rsidRPr="00873941" w:rsidRDefault="00417098" w:rsidP="00D326D4">
            <w:pPr>
              <w:widowControl w:val="0"/>
              <w:jc w:val="center"/>
              <w:rPr>
                <w:rFonts w:ascii="Arial Narrow" w:hAnsi="Arial Narrow"/>
                <w:b/>
                <w:sz w:val="20"/>
                <w:szCs w:val="20"/>
              </w:rPr>
            </w:pPr>
            <w:r w:rsidRPr="00873941">
              <w:rPr>
                <w:rFonts w:ascii="Arial Narrow" w:hAnsi="Arial Narrow"/>
                <w:b/>
                <w:sz w:val="20"/>
                <w:szCs w:val="20"/>
              </w:rPr>
              <w:t xml:space="preserve">№.of </w:t>
            </w:r>
            <w:proofErr w:type="spellStart"/>
            <w:r w:rsidRPr="00873941">
              <w:rPr>
                <w:rFonts w:ascii="Arial Narrow" w:hAnsi="Arial Narrow"/>
                <w:b/>
                <w:sz w:val="20"/>
                <w:szCs w:val="20"/>
              </w:rPr>
              <w:t>Rpts</w:t>
            </w:r>
            <w:proofErr w:type="spellEnd"/>
          </w:p>
        </w:tc>
      </w:tr>
      <w:tr w:rsidR="00417098" w:rsidRPr="00873941" w14:paraId="28735242" w14:textId="77777777" w:rsidTr="00EF13AB">
        <w:trPr>
          <w:cantSplit/>
          <w:trHeight w:val="20"/>
        </w:trPr>
        <w:tc>
          <w:tcPr>
            <w:tcW w:w="1716" w:type="pct"/>
            <w:gridSpan w:val="3"/>
          </w:tcPr>
          <w:p w14:paraId="2E0104AA" w14:textId="77777777" w:rsidR="00417098" w:rsidRPr="00873941" w:rsidRDefault="00417098" w:rsidP="00D326D4">
            <w:pPr>
              <w:widowControl w:val="0"/>
              <w:rPr>
                <w:rFonts w:ascii="Arial Narrow" w:hAnsi="Arial Narrow"/>
                <w:sz w:val="20"/>
                <w:szCs w:val="20"/>
              </w:rPr>
            </w:pPr>
            <w:r w:rsidRPr="00873941">
              <w:rPr>
                <w:rFonts w:ascii="Arial Narrow" w:hAnsi="Arial Narrow"/>
                <w:sz w:val="20"/>
                <w:szCs w:val="20"/>
              </w:rPr>
              <w:t xml:space="preserve">PERTUZUMAB </w:t>
            </w:r>
          </w:p>
          <w:p w14:paraId="781CC2E0" w14:textId="77777777" w:rsidR="00417098" w:rsidRPr="00873941" w:rsidRDefault="00417098" w:rsidP="00D326D4">
            <w:pPr>
              <w:widowControl w:val="0"/>
              <w:rPr>
                <w:rFonts w:ascii="Arial Narrow" w:hAnsi="Arial Narrow"/>
                <w:sz w:val="20"/>
                <w:szCs w:val="20"/>
              </w:rPr>
            </w:pPr>
            <w:r w:rsidRPr="00873941">
              <w:rPr>
                <w:rFonts w:ascii="Arial Narrow" w:hAnsi="Arial Narrow"/>
                <w:sz w:val="20"/>
                <w:szCs w:val="20"/>
              </w:rPr>
              <w:t>Injection </w:t>
            </w:r>
          </w:p>
        </w:tc>
        <w:tc>
          <w:tcPr>
            <w:tcW w:w="1094" w:type="pct"/>
          </w:tcPr>
          <w:p w14:paraId="026CF268" w14:textId="77777777" w:rsidR="00417098" w:rsidRPr="00873941" w:rsidRDefault="00417098" w:rsidP="00D326D4">
            <w:pPr>
              <w:widowControl w:val="0"/>
              <w:jc w:val="center"/>
              <w:rPr>
                <w:rFonts w:ascii="Arial Narrow" w:hAnsi="Arial Narrow"/>
                <w:sz w:val="20"/>
                <w:szCs w:val="20"/>
              </w:rPr>
            </w:pPr>
            <w:r w:rsidRPr="00873941">
              <w:rPr>
                <w:rFonts w:ascii="Arial Narrow" w:hAnsi="Arial Narrow"/>
                <w:sz w:val="20"/>
                <w:szCs w:val="20"/>
              </w:rPr>
              <w:t>NEW (Public)</w:t>
            </w:r>
            <w:r w:rsidRPr="00873941">
              <w:rPr>
                <w:rFonts w:ascii="Arial Narrow" w:hAnsi="Arial Narrow"/>
                <w:sz w:val="20"/>
                <w:szCs w:val="20"/>
              </w:rPr>
              <w:br/>
              <w:t>NEW (Private)</w:t>
            </w:r>
          </w:p>
        </w:tc>
        <w:tc>
          <w:tcPr>
            <w:tcW w:w="1094" w:type="pct"/>
          </w:tcPr>
          <w:p w14:paraId="289C29F8" w14:textId="77777777" w:rsidR="00417098" w:rsidRPr="00873941" w:rsidRDefault="00417098" w:rsidP="00D326D4">
            <w:pPr>
              <w:widowControl w:val="0"/>
              <w:jc w:val="center"/>
              <w:rPr>
                <w:rFonts w:ascii="Arial Narrow" w:hAnsi="Arial Narrow"/>
                <w:sz w:val="20"/>
                <w:szCs w:val="20"/>
              </w:rPr>
            </w:pPr>
            <w:r w:rsidRPr="00873941">
              <w:rPr>
                <w:rFonts w:ascii="Arial Narrow" w:hAnsi="Arial Narrow"/>
                <w:sz w:val="20"/>
                <w:szCs w:val="20"/>
              </w:rPr>
              <w:t>420 mg</w:t>
            </w:r>
          </w:p>
        </w:tc>
        <w:tc>
          <w:tcPr>
            <w:tcW w:w="1096" w:type="pct"/>
          </w:tcPr>
          <w:p w14:paraId="0A02CCB1" w14:textId="362B2AA2" w:rsidR="00417098" w:rsidRPr="00873941" w:rsidRDefault="00417098" w:rsidP="00D326D4">
            <w:pPr>
              <w:widowControl w:val="0"/>
              <w:jc w:val="center"/>
              <w:rPr>
                <w:rFonts w:ascii="Arial Narrow" w:hAnsi="Arial Narrow"/>
                <w:sz w:val="20"/>
                <w:szCs w:val="20"/>
              </w:rPr>
            </w:pPr>
            <w:r w:rsidRPr="00873941">
              <w:rPr>
                <w:rFonts w:ascii="Arial Narrow" w:hAnsi="Arial Narrow"/>
                <w:sz w:val="20"/>
                <w:szCs w:val="20"/>
              </w:rPr>
              <w:t>4</w:t>
            </w:r>
          </w:p>
        </w:tc>
      </w:tr>
      <w:tr w:rsidR="00417098" w:rsidRPr="00873941" w14:paraId="62426042" w14:textId="77777777" w:rsidTr="00EF13AB">
        <w:trPr>
          <w:cantSplit/>
          <w:trHeight w:val="20"/>
        </w:trPr>
        <w:tc>
          <w:tcPr>
            <w:tcW w:w="5000" w:type="pct"/>
            <w:gridSpan w:val="6"/>
          </w:tcPr>
          <w:p w14:paraId="6B276B0A" w14:textId="77777777" w:rsidR="00417098" w:rsidRPr="00873941" w:rsidRDefault="00417098" w:rsidP="00D326D4">
            <w:pPr>
              <w:widowControl w:val="0"/>
              <w:rPr>
                <w:rFonts w:ascii="Arial Narrow" w:hAnsi="Arial Narrow"/>
                <w:b/>
                <w:sz w:val="20"/>
                <w:szCs w:val="20"/>
              </w:rPr>
            </w:pPr>
            <w:r w:rsidRPr="00873941">
              <w:rPr>
                <w:rFonts w:ascii="Arial Narrow" w:hAnsi="Arial Narrow"/>
                <w:b/>
                <w:sz w:val="20"/>
                <w:szCs w:val="20"/>
              </w:rPr>
              <w:t xml:space="preserve">Available brands </w:t>
            </w:r>
          </w:p>
        </w:tc>
      </w:tr>
      <w:tr w:rsidR="00417098" w:rsidRPr="00873941" w14:paraId="1ADE9C90" w14:textId="77777777" w:rsidTr="00EF13AB">
        <w:trPr>
          <w:cantSplit/>
          <w:trHeight w:val="20"/>
        </w:trPr>
        <w:tc>
          <w:tcPr>
            <w:tcW w:w="5000" w:type="pct"/>
            <w:gridSpan w:val="6"/>
          </w:tcPr>
          <w:p w14:paraId="2773A71C" w14:textId="77777777" w:rsidR="00417098" w:rsidRPr="00873941" w:rsidRDefault="00417098" w:rsidP="00D326D4">
            <w:pPr>
              <w:widowControl w:val="0"/>
              <w:rPr>
                <w:rFonts w:ascii="Arial Narrow" w:hAnsi="Arial Narrow"/>
                <w:sz w:val="20"/>
                <w:szCs w:val="20"/>
              </w:rPr>
            </w:pPr>
            <w:r w:rsidRPr="00873941">
              <w:rPr>
                <w:rFonts w:ascii="Arial Narrow" w:hAnsi="Arial Narrow"/>
                <w:sz w:val="20"/>
                <w:szCs w:val="20"/>
              </w:rPr>
              <w:t>Perjeta</w:t>
            </w:r>
            <w:r w:rsidRPr="00873941" w:rsidDel="00381EAC">
              <w:rPr>
                <w:rFonts w:ascii="Arial Narrow" w:hAnsi="Arial Narrow"/>
                <w:sz w:val="20"/>
                <w:szCs w:val="20"/>
              </w:rPr>
              <w:t xml:space="preserve"> </w:t>
            </w:r>
            <w:r w:rsidRPr="00873941">
              <w:rPr>
                <w:rFonts w:ascii="Arial Narrow" w:hAnsi="Arial Narrow"/>
                <w:sz w:val="20"/>
                <w:szCs w:val="20"/>
              </w:rPr>
              <w:br/>
              <w:t>(pertuzumab 420 mg/14mL, 14 mL vial) </w:t>
            </w:r>
          </w:p>
        </w:tc>
      </w:tr>
      <w:tr w:rsidR="00417098" w:rsidRPr="00873941" w14:paraId="66F471D3" w14:textId="77777777" w:rsidTr="00EF13AB">
        <w:trPr>
          <w:cantSplit/>
          <w:trHeight w:val="20"/>
        </w:trPr>
        <w:tc>
          <w:tcPr>
            <w:tcW w:w="5000" w:type="pct"/>
            <w:gridSpan w:val="6"/>
          </w:tcPr>
          <w:p w14:paraId="69290D69" w14:textId="77777777" w:rsidR="00417098" w:rsidRPr="00873941" w:rsidRDefault="00417098" w:rsidP="00D326D4">
            <w:pPr>
              <w:widowControl w:val="0"/>
              <w:rPr>
                <w:rFonts w:ascii="Arial Narrow" w:hAnsi="Arial Narrow"/>
                <w:color w:val="FF0000"/>
                <w:sz w:val="20"/>
                <w:szCs w:val="20"/>
              </w:rPr>
            </w:pPr>
          </w:p>
        </w:tc>
      </w:tr>
      <w:tr w:rsidR="00417098" w:rsidRPr="00873941" w14:paraId="31E0F3E5" w14:textId="77777777" w:rsidTr="00EF13AB">
        <w:trPr>
          <w:cantSplit/>
          <w:trHeight w:val="20"/>
        </w:trPr>
        <w:tc>
          <w:tcPr>
            <w:tcW w:w="5000" w:type="pct"/>
            <w:gridSpan w:val="6"/>
          </w:tcPr>
          <w:p w14:paraId="4ABF8F15" w14:textId="77777777" w:rsidR="00417098" w:rsidRPr="00873941" w:rsidRDefault="00417098" w:rsidP="00D326D4">
            <w:pPr>
              <w:widowControl w:val="0"/>
              <w:rPr>
                <w:rFonts w:ascii="Arial Narrow" w:hAnsi="Arial Narrow"/>
                <w:color w:val="FF0000"/>
                <w:sz w:val="20"/>
                <w:szCs w:val="20"/>
              </w:rPr>
            </w:pPr>
            <w:r w:rsidRPr="00873941">
              <w:rPr>
                <w:rFonts w:ascii="Arial Narrow" w:hAnsi="Arial Narrow"/>
                <w:b/>
                <w:sz w:val="20"/>
                <w:szCs w:val="20"/>
              </w:rPr>
              <w:t xml:space="preserve">Restriction Summary [new] / Treatment of Concept: [new] </w:t>
            </w:r>
          </w:p>
        </w:tc>
      </w:tr>
      <w:tr w:rsidR="00417098" w:rsidRPr="00873941" w14:paraId="4491ABCC" w14:textId="77777777" w:rsidTr="00EF13AB">
        <w:tblPrEx>
          <w:tblCellMar>
            <w:top w:w="15" w:type="dxa"/>
            <w:bottom w:w="15" w:type="dxa"/>
          </w:tblCellMar>
          <w:tblLook w:val="04A0" w:firstRow="1" w:lastRow="0" w:firstColumn="1" w:lastColumn="0" w:noHBand="0" w:noVBand="1"/>
        </w:tblPrEx>
        <w:trPr>
          <w:cantSplit/>
          <w:trHeight w:val="20"/>
        </w:trPr>
        <w:tc>
          <w:tcPr>
            <w:tcW w:w="862" w:type="pct"/>
            <w:gridSpan w:val="2"/>
            <w:vMerge w:val="restart"/>
          </w:tcPr>
          <w:p w14:paraId="1DF954D0" w14:textId="77777777" w:rsidR="00417098" w:rsidRPr="00873941" w:rsidRDefault="00417098" w:rsidP="00D326D4">
            <w:pPr>
              <w:widowControl w:val="0"/>
              <w:jc w:val="center"/>
              <w:rPr>
                <w:rFonts w:ascii="Arial Narrow" w:hAnsi="Arial Narrow"/>
                <w:b/>
                <w:sz w:val="20"/>
                <w:szCs w:val="20"/>
              </w:rPr>
            </w:pPr>
            <w:r w:rsidRPr="00873941">
              <w:rPr>
                <w:rFonts w:ascii="Arial Narrow" w:hAnsi="Arial Narrow"/>
                <w:b/>
                <w:sz w:val="20"/>
                <w:szCs w:val="20"/>
              </w:rPr>
              <w:t xml:space="preserve">Concept ID </w:t>
            </w:r>
            <w:r w:rsidRPr="00873941">
              <w:rPr>
                <w:rFonts w:ascii="Arial Narrow" w:hAnsi="Arial Narrow"/>
                <w:sz w:val="20"/>
                <w:szCs w:val="20"/>
              </w:rPr>
              <w:t>(for internal Dept. use)</w:t>
            </w:r>
          </w:p>
        </w:tc>
        <w:tc>
          <w:tcPr>
            <w:tcW w:w="4138" w:type="pct"/>
            <w:gridSpan w:val="4"/>
          </w:tcPr>
          <w:p w14:paraId="01376105" w14:textId="77777777" w:rsidR="00417098" w:rsidRPr="00873941" w:rsidRDefault="00417098" w:rsidP="00D326D4">
            <w:pPr>
              <w:widowControl w:val="0"/>
              <w:rPr>
                <w:rFonts w:ascii="Arial Narrow" w:hAnsi="Arial Narrow"/>
                <w:b/>
                <w:sz w:val="20"/>
                <w:szCs w:val="20"/>
              </w:rPr>
            </w:pPr>
            <w:r w:rsidRPr="00873941">
              <w:rPr>
                <w:rFonts w:ascii="Arial Narrow" w:hAnsi="Arial Narrow"/>
                <w:b/>
                <w:sz w:val="20"/>
                <w:szCs w:val="20"/>
              </w:rPr>
              <w:t xml:space="preserve">Category / Program: </w:t>
            </w:r>
            <w:r w:rsidRPr="00873941">
              <w:rPr>
                <w:rFonts w:ascii="Arial Narrow" w:hAnsi="Arial Narrow"/>
                <w:sz w:val="20"/>
                <w:szCs w:val="20"/>
              </w:rPr>
              <w:t xml:space="preserve">Section 100 – Efficient Funding of Chemotherapy Public/Private hospitals </w:t>
            </w:r>
          </w:p>
        </w:tc>
      </w:tr>
      <w:tr w:rsidR="00417098" w:rsidRPr="00873941" w14:paraId="0C66451E" w14:textId="77777777" w:rsidTr="00EF13AB">
        <w:tblPrEx>
          <w:tblCellMar>
            <w:top w:w="15" w:type="dxa"/>
            <w:bottom w:w="15" w:type="dxa"/>
          </w:tblCellMar>
          <w:tblLook w:val="04A0" w:firstRow="1" w:lastRow="0" w:firstColumn="1" w:lastColumn="0" w:noHBand="0" w:noVBand="1"/>
        </w:tblPrEx>
        <w:trPr>
          <w:cantSplit/>
          <w:trHeight w:val="20"/>
        </w:trPr>
        <w:tc>
          <w:tcPr>
            <w:tcW w:w="862" w:type="pct"/>
            <w:gridSpan w:val="2"/>
            <w:vMerge/>
          </w:tcPr>
          <w:p w14:paraId="237886AE" w14:textId="77777777" w:rsidR="00417098" w:rsidRPr="00873941" w:rsidRDefault="00417098" w:rsidP="00D326D4">
            <w:pPr>
              <w:widowControl w:val="0"/>
              <w:jc w:val="center"/>
              <w:rPr>
                <w:rFonts w:ascii="Arial Narrow" w:hAnsi="Arial Narrow"/>
                <w:b/>
                <w:sz w:val="20"/>
                <w:szCs w:val="20"/>
              </w:rPr>
            </w:pPr>
          </w:p>
        </w:tc>
        <w:tc>
          <w:tcPr>
            <w:tcW w:w="4138" w:type="pct"/>
            <w:gridSpan w:val="4"/>
          </w:tcPr>
          <w:p w14:paraId="61D390C8" w14:textId="77777777" w:rsidR="00417098" w:rsidRPr="00873941" w:rsidRDefault="00417098" w:rsidP="00D326D4">
            <w:pPr>
              <w:widowControl w:val="0"/>
              <w:rPr>
                <w:rFonts w:ascii="Arial Narrow" w:hAnsi="Arial Narrow"/>
                <w:sz w:val="20"/>
                <w:szCs w:val="20"/>
              </w:rPr>
            </w:pPr>
            <w:r w:rsidRPr="00873941">
              <w:rPr>
                <w:rFonts w:ascii="Arial Narrow" w:hAnsi="Arial Narrow"/>
                <w:b/>
                <w:sz w:val="20"/>
                <w:szCs w:val="20"/>
              </w:rPr>
              <w:t xml:space="preserve">Prescriber type: </w:t>
            </w:r>
            <w:r w:rsidRPr="00873941">
              <w:rPr>
                <w:rFonts w:ascii="Arial Narrow" w:hAnsi="Arial Narrow"/>
                <w:sz w:val="20"/>
                <w:szCs w:val="20"/>
              </w:rPr>
              <w:fldChar w:fldCharType="begin">
                <w:ffData>
                  <w:name w:val=""/>
                  <w:enabled/>
                  <w:calcOnExit w:val="0"/>
                  <w:checkBox>
                    <w:sizeAuto/>
                    <w:default w:val="1"/>
                  </w:checkBox>
                </w:ffData>
              </w:fldChar>
            </w:r>
            <w:r w:rsidRPr="00873941">
              <w:rPr>
                <w:rFonts w:ascii="Arial Narrow" w:hAnsi="Arial Narrow"/>
                <w:sz w:val="20"/>
                <w:szCs w:val="20"/>
              </w:rPr>
              <w:instrText xml:space="preserve"> FORMCHECKBOX </w:instrText>
            </w:r>
            <w:r w:rsidRPr="00873941">
              <w:rPr>
                <w:rFonts w:ascii="Arial Narrow" w:hAnsi="Arial Narrow"/>
                <w:sz w:val="20"/>
                <w:szCs w:val="20"/>
              </w:rPr>
            </w:r>
            <w:r w:rsidRPr="00873941">
              <w:rPr>
                <w:rFonts w:ascii="Arial Narrow" w:hAnsi="Arial Narrow"/>
                <w:sz w:val="20"/>
                <w:szCs w:val="20"/>
              </w:rPr>
              <w:fldChar w:fldCharType="separate"/>
            </w:r>
            <w:r w:rsidRPr="00873941">
              <w:rPr>
                <w:rFonts w:ascii="Arial Narrow" w:hAnsi="Arial Narrow"/>
                <w:sz w:val="20"/>
                <w:szCs w:val="20"/>
              </w:rPr>
              <w:fldChar w:fldCharType="end"/>
            </w:r>
            <w:r w:rsidRPr="00873941">
              <w:rPr>
                <w:rFonts w:ascii="Arial Narrow" w:hAnsi="Arial Narrow"/>
                <w:sz w:val="20"/>
                <w:szCs w:val="20"/>
              </w:rPr>
              <w:t xml:space="preserve">Medical Practitioners </w:t>
            </w:r>
          </w:p>
        </w:tc>
      </w:tr>
      <w:tr w:rsidR="00417098" w:rsidRPr="00873941" w14:paraId="3584DDC2" w14:textId="77777777" w:rsidTr="00EF13AB">
        <w:tblPrEx>
          <w:tblCellMar>
            <w:top w:w="15" w:type="dxa"/>
            <w:bottom w:w="15" w:type="dxa"/>
          </w:tblCellMar>
          <w:tblLook w:val="04A0" w:firstRow="1" w:lastRow="0" w:firstColumn="1" w:lastColumn="0" w:noHBand="0" w:noVBand="1"/>
        </w:tblPrEx>
        <w:trPr>
          <w:cantSplit/>
          <w:trHeight w:val="20"/>
        </w:trPr>
        <w:tc>
          <w:tcPr>
            <w:tcW w:w="862" w:type="pct"/>
            <w:gridSpan w:val="2"/>
            <w:vMerge/>
          </w:tcPr>
          <w:p w14:paraId="4A76380F" w14:textId="77777777" w:rsidR="00417098" w:rsidRPr="00873941" w:rsidRDefault="00417098" w:rsidP="00D326D4">
            <w:pPr>
              <w:widowControl w:val="0"/>
              <w:jc w:val="center"/>
              <w:rPr>
                <w:rFonts w:ascii="Arial Narrow" w:hAnsi="Arial Narrow"/>
                <w:b/>
                <w:sz w:val="20"/>
                <w:szCs w:val="20"/>
              </w:rPr>
            </w:pPr>
          </w:p>
        </w:tc>
        <w:tc>
          <w:tcPr>
            <w:tcW w:w="4138" w:type="pct"/>
            <w:gridSpan w:val="4"/>
          </w:tcPr>
          <w:p w14:paraId="34517F13" w14:textId="51F2E21C" w:rsidR="00417098" w:rsidRPr="00873941" w:rsidRDefault="00417098" w:rsidP="00D326D4">
            <w:pPr>
              <w:widowControl w:val="0"/>
              <w:rPr>
                <w:rFonts w:ascii="Arial Narrow" w:hAnsi="Arial Narrow"/>
                <w:b/>
                <w:sz w:val="20"/>
                <w:szCs w:val="20"/>
              </w:rPr>
            </w:pPr>
            <w:r w:rsidRPr="00873941">
              <w:rPr>
                <w:rFonts w:ascii="Arial Narrow" w:hAnsi="Arial Narrow"/>
                <w:b/>
                <w:sz w:val="20"/>
                <w:szCs w:val="20"/>
              </w:rPr>
              <w:t xml:space="preserve">Restriction type: </w:t>
            </w:r>
            <w:r w:rsidRPr="00873941">
              <w:rPr>
                <w:rFonts w:ascii="Arial Narrow" w:eastAsia="Calibri" w:hAnsi="Arial Narrow"/>
                <w:sz w:val="20"/>
                <w:szCs w:val="20"/>
              </w:rPr>
              <w:fldChar w:fldCharType="begin">
                <w:ffData>
                  <w:name w:val="Check3"/>
                  <w:enabled/>
                  <w:calcOnExit w:val="0"/>
                  <w:checkBox>
                    <w:sizeAuto/>
                    <w:default w:val="1"/>
                  </w:checkBox>
                </w:ffData>
              </w:fldChar>
            </w:r>
            <w:r w:rsidRPr="00873941">
              <w:rPr>
                <w:rFonts w:ascii="Arial Narrow" w:eastAsia="Calibri" w:hAnsi="Arial Narrow"/>
                <w:sz w:val="20"/>
                <w:szCs w:val="20"/>
              </w:rPr>
              <w:instrText xml:space="preserve"> FORMCHECKBOX </w:instrText>
            </w:r>
            <w:r w:rsidRPr="00873941">
              <w:rPr>
                <w:rFonts w:ascii="Arial Narrow" w:eastAsia="Calibri" w:hAnsi="Arial Narrow"/>
                <w:sz w:val="20"/>
                <w:szCs w:val="20"/>
              </w:rPr>
            </w:r>
            <w:r w:rsidRPr="00873941">
              <w:rPr>
                <w:rFonts w:ascii="Arial Narrow" w:eastAsia="Calibri" w:hAnsi="Arial Narrow"/>
                <w:sz w:val="20"/>
                <w:szCs w:val="20"/>
              </w:rPr>
              <w:fldChar w:fldCharType="separate"/>
            </w:r>
            <w:r w:rsidRPr="00873941">
              <w:rPr>
                <w:rFonts w:ascii="Arial Narrow" w:eastAsia="Calibri" w:hAnsi="Arial Narrow"/>
                <w:sz w:val="20"/>
                <w:szCs w:val="20"/>
              </w:rPr>
              <w:fldChar w:fldCharType="end"/>
            </w:r>
            <w:r w:rsidRPr="00873941">
              <w:rPr>
                <w:rFonts w:ascii="Arial Narrow" w:eastAsia="Calibri" w:hAnsi="Arial Narrow"/>
                <w:sz w:val="20"/>
                <w:szCs w:val="20"/>
              </w:rPr>
              <w:t xml:space="preserve">Authority Required </w:t>
            </w:r>
            <w:r w:rsidR="00F22765">
              <w:rPr>
                <w:rFonts w:ascii="Arial Narrow" w:eastAsia="Calibri" w:hAnsi="Arial Narrow"/>
                <w:sz w:val="20"/>
                <w:szCs w:val="20"/>
              </w:rPr>
              <w:t xml:space="preserve">– immediate assessment </w:t>
            </w:r>
            <w:r w:rsidRPr="00873941">
              <w:rPr>
                <w:rFonts w:ascii="Arial Narrow" w:eastAsia="Calibri" w:hAnsi="Arial Narrow"/>
                <w:sz w:val="20"/>
                <w:szCs w:val="20"/>
              </w:rPr>
              <w:t>(telephone/online)</w:t>
            </w:r>
          </w:p>
        </w:tc>
      </w:tr>
      <w:tr w:rsidR="00417098" w:rsidRPr="00AA24B3" w14:paraId="3E2F54E5" w14:textId="77777777" w:rsidTr="00EF13AB">
        <w:tblPrEx>
          <w:tblCellMar>
            <w:top w:w="15" w:type="dxa"/>
            <w:bottom w:w="15" w:type="dxa"/>
          </w:tblCellMar>
          <w:tblLook w:val="04A0" w:firstRow="1" w:lastRow="0" w:firstColumn="1" w:lastColumn="0" w:noHBand="0" w:noVBand="1"/>
        </w:tblPrEx>
        <w:trPr>
          <w:trHeight w:val="20"/>
        </w:trPr>
        <w:tc>
          <w:tcPr>
            <w:tcW w:w="390" w:type="pct"/>
            <w:vMerge w:val="restart"/>
            <w:textDirection w:val="btLr"/>
          </w:tcPr>
          <w:p w14:paraId="453C3DDB" w14:textId="77777777" w:rsidR="00417098" w:rsidRPr="00AA24B3" w:rsidRDefault="00417098" w:rsidP="00D326D4">
            <w:pPr>
              <w:widowControl w:val="0"/>
              <w:ind w:left="113" w:right="113"/>
              <w:jc w:val="center"/>
              <w:rPr>
                <w:rFonts w:ascii="Arial Narrow" w:hAnsi="Arial Narrow"/>
                <w:color w:val="333333"/>
                <w:sz w:val="20"/>
                <w:szCs w:val="20"/>
              </w:rPr>
            </w:pPr>
            <w:r w:rsidRPr="00AA24B3">
              <w:rPr>
                <w:rFonts w:ascii="Arial Narrow" w:hAnsi="Arial Narrow"/>
                <w:color w:val="333333"/>
                <w:sz w:val="20"/>
                <w:szCs w:val="20"/>
              </w:rPr>
              <w:t>Prescribing rule level</w:t>
            </w:r>
          </w:p>
          <w:p w14:paraId="331DE75B" w14:textId="77777777" w:rsidR="00417098" w:rsidRPr="00AA24B3" w:rsidRDefault="00417098" w:rsidP="00D326D4">
            <w:pPr>
              <w:widowControl w:val="0"/>
              <w:ind w:left="113" w:right="113"/>
              <w:jc w:val="center"/>
              <w:rPr>
                <w:rFonts w:ascii="Arial Narrow" w:hAnsi="Arial Narrow"/>
                <w:color w:val="333333"/>
                <w:sz w:val="20"/>
                <w:szCs w:val="20"/>
              </w:rPr>
            </w:pPr>
          </w:p>
        </w:tc>
        <w:tc>
          <w:tcPr>
            <w:tcW w:w="472" w:type="pct"/>
          </w:tcPr>
          <w:p w14:paraId="1D415E02" w14:textId="58558FDD" w:rsidR="00417098" w:rsidRPr="00AA24B3" w:rsidRDefault="00417098" w:rsidP="00D326D4">
            <w:pPr>
              <w:widowControl w:val="0"/>
              <w:ind w:hanging="35"/>
              <w:jc w:val="center"/>
              <w:rPr>
                <w:rFonts w:ascii="Arial Narrow" w:hAnsi="Arial Narrow"/>
                <w:color w:val="333333"/>
                <w:sz w:val="20"/>
                <w:szCs w:val="20"/>
              </w:rPr>
            </w:pPr>
          </w:p>
        </w:tc>
        <w:tc>
          <w:tcPr>
            <w:tcW w:w="4138" w:type="pct"/>
            <w:gridSpan w:val="4"/>
          </w:tcPr>
          <w:p w14:paraId="6FC0454C" w14:textId="77777777" w:rsidR="00417098" w:rsidRPr="00AA24B3" w:rsidRDefault="00417098" w:rsidP="00D326D4">
            <w:pPr>
              <w:widowControl w:val="0"/>
              <w:rPr>
                <w:rFonts w:ascii="Arial Narrow" w:hAnsi="Arial Narrow"/>
                <w:color w:val="333333"/>
                <w:sz w:val="20"/>
                <w:szCs w:val="20"/>
              </w:rPr>
            </w:pPr>
            <w:r w:rsidRPr="00AA24B3">
              <w:rPr>
                <w:rStyle w:val="Strong"/>
                <w:rFonts w:ascii="Arial Narrow" w:eastAsiaTheme="majorEastAsia" w:hAnsi="Arial Narrow" w:cs="Open Sans"/>
                <w:color w:val="333333"/>
                <w:sz w:val="20"/>
                <w:szCs w:val="20"/>
                <w:bdr w:val="none" w:sz="0" w:space="0" w:color="auto" w:frame="1"/>
              </w:rPr>
              <w:t xml:space="preserve">Administrative Advice: </w:t>
            </w:r>
            <w:r w:rsidRPr="00094750">
              <w:rPr>
                <w:rStyle w:val="Strong"/>
                <w:rFonts w:ascii="Arial Narrow" w:eastAsiaTheme="majorEastAsia" w:hAnsi="Arial Narrow" w:cs="Open Sans"/>
                <w:b w:val="0"/>
                <w:bCs w:val="0"/>
                <w:color w:val="333333"/>
                <w:sz w:val="20"/>
                <w:szCs w:val="20"/>
                <w:bdr w:val="none" w:sz="0" w:space="0" w:color="auto" w:frame="1"/>
              </w:rPr>
              <w:t>No increase in the maximum amount or number of units may be authorised.</w:t>
            </w:r>
          </w:p>
        </w:tc>
      </w:tr>
      <w:tr w:rsidR="00417098" w:rsidRPr="00AA24B3" w14:paraId="0AE95ACC" w14:textId="77777777" w:rsidTr="00EF13AB">
        <w:tblPrEx>
          <w:tblCellMar>
            <w:top w:w="15" w:type="dxa"/>
            <w:bottom w:w="15" w:type="dxa"/>
          </w:tblCellMar>
          <w:tblLook w:val="04A0" w:firstRow="1" w:lastRow="0" w:firstColumn="1" w:lastColumn="0" w:noHBand="0" w:noVBand="1"/>
        </w:tblPrEx>
        <w:trPr>
          <w:trHeight w:val="20"/>
        </w:trPr>
        <w:tc>
          <w:tcPr>
            <w:tcW w:w="390" w:type="pct"/>
            <w:vMerge/>
          </w:tcPr>
          <w:p w14:paraId="38D89867" w14:textId="77777777" w:rsidR="00417098" w:rsidRPr="00AA24B3" w:rsidRDefault="00417098" w:rsidP="00D326D4">
            <w:pPr>
              <w:widowControl w:val="0"/>
              <w:jc w:val="center"/>
              <w:rPr>
                <w:rFonts w:ascii="Arial Narrow" w:hAnsi="Arial Narrow"/>
                <w:color w:val="333333"/>
                <w:sz w:val="20"/>
                <w:szCs w:val="20"/>
              </w:rPr>
            </w:pPr>
          </w:p>
        </w:tc>
        <w:tc>
          <w:tcPr>
            <w:tcW w:w="472" w:type="pct"/>
          </w:tcPr>
          <w:p w14:paraId="685B7EA2" w14:textId="657D00A0" w:rsidR="00417098" w:rsidRPr="00AA24B3" w:rsidRDefault="00417098" w:rsidP="00D326D4">
            <w:pPr>
              <w:widowControl w:val="0"/>
              <w:ind w:hanging="35"/>
              <w:jc w:val="center"/>
              <w:rPr>
                <w:rFonts w:ascii="Arial Narrow" w:hAnsi="Arial Narrow"/>
                <w:color w:val="333333"/>
                <w:sz w:val="20"/>
                <w:szCs w:val="20"/>
              </w:rPr>
            </w:pPr>
          </w:p>
        </w:tc>
        <w:tc>
          <w:tcPr>
            <w:tcW w:w="4138" w:type="pct"/>
            <w:gridSpan w:val="4"/>
          </w:tcPr>
          <w:p w14:paraId="1915F72D" w14:textId="77777777" w:rsidR="00417098" w:rsidRPr="00AA24B3" w:rsidRDefault="00417098" w:rsidP="00D326D4">
            <w:pPr>
              <w:pStyle w:val="NormalWeb"/>
              <w:widowControl w:val="0"/>
              <w:spacing w:before="0" w:after="0"/>
              <w:textAlignment w:val="baseline"/>
              <w:rPr>
                <w:rFonts w:ascii="Arial Narrow" w:hAnsi="Arial Narrow" w:cs="Open Sans"/>
                <w:color w:val="333333"/>
                <w:sz w:val="20"/>
                <w:szCs w:val="20"/>
                <w:lang w:val="en-AU"/>
              </w:rPr>
            </w:pPr>
            <w:r w:rsidRPr="00AA24B3">
              <w:rPr>
                <w:rStyle w:val="Strong"/>
                <w:rFonts w:ascii="Arial Narrow" w:eastAsiaTheme="majorEastAsia" w:hAnsi="Arial Narrow" w:cs="Open Sans"/>
                <w:color w:val="333333"/>
                <w:sz w:val="20"/>
                <w:szCs w:val="20"/>
                <w:bdr w:val="none" w:sz="0" w:space="0" w:color="auto" w:frame="1"/>
                <w:lang w:val="en-AU"/>
              </w:rPr>
              <w:t>Administrative Advice:</w:t>
            </w:r>
          </w:p>
          <w:p w14:paraId="7AB84985" w14:textId="77777777" w:rsidR="00417098" w:rsidRPr="00AA24B3" w:rsidRDefault="00417098" w:rsidP="00D326D4">
            <w:pPr>
              <w:widowControl w:val="0"/>
              <w:rPr>
                <w:rFonts w:ascii="Arial Narrow" w:hAnsi="Arial Narrow"/>
                <w:b/>
                <w:bCs/>
                <w:color w:val="333333"/>
                <w:sz w:val="20"/>
                <w:szCs w:val="20"/>
              </w:rPr>
            </w:pPr>
            <w:r w:rsidRPr="00AA24B3">
              <w:rPr>
                <w:rFonts w:ascii="Arial Narrow" w:hAnsi="Arial Narrow" w:cs="Open Sans"/>
                <w:color w:val="333333"/>
                <w:sz w:val="20"/>
                <w:szCs w:val="20"/>
              </w:rPr>
              <w:t>No increase in the maximum number of repeats may be authorised.</w:t>
            </w:r>
          </w:p>
        </w:tc>
      </w:tr>
      <w:tr w:rsidR="00417098" w:rsidRPr="00AA24B3" w14:paraId="64862B60" w14:textId="77777777" w:rsidTr="00EF13AB">
        <w:tblPrEx>
          <w:tblCellMar>
            <w:top w:w="15" w:type="dxa"/>
            <w:bottom w:w="15" w:type="dxa"/>
          </w:tblCellMar>
          <w:tblLook w:val="04A0" w:firstRow="1" w:lastRow="0" w:firstColumn="1" w:lastColumn="0" w:noHBand="0" w:noVBand="1"/>
        </w:tblPrEx>
        <w:trPr>
          <w:trHeight w:val="20"/>
        </w:trPr>
        <w:tc>
          <w:tcPr>
            <w:tcW w:w="390" w:type="pct"/>
            <w:vMerge/>
          </w:tcPr>
          <w:p w14:paraId="354CF1BE" w14:textId="77777777" w:rsidR="00417098" w:rsidRPr="00AA24B3" w:rsidRDefault="00417098" w:rsidP="00D326D4">
            <w:pPr>
              <w:widowControl w:val="0"/>
              <w:jc w:val="center"/>
              <w:rPr>
                <w:rFonts w:ascii="Arial Narrow" w:hAnsi="Arial Narrow"/>
                <w:color w:val="333333"/>
                <w:sz w:val="20"/>
                <w:szCs w:val="20"/>
              </w:rPr>
            </w:pPr>
          </w:p>
        </w:tc>
        <w:tc>
          <w:tcPr>
            <w:tcW w:w="472" w:type="pct"/>
          </w:tcPr>
          <w:p w14:paraId="63E2D140" w14:textId="078DF72F" w:rsidR="00417098" w:rsidRPr="00AA24B3" w:rsidRDefault="00417098" w:rsidP="00D326D4">
            <w:pPr>
              <w:widowControl w:val="0"/>
              <w:ind w:hanging="35"/>
              <w:jc w:val="center"/>
              <w:rPr>
                <w:rFonts w:ascii="Arial Narrow" w:hAnsi="Arial Narrow" w:cs="Open Sans"/>
                <w:color w:val="333333"/>
                <w:sz w:val="20"/>
                <w:szCs w:val="20"/>
              </w:rPr>
            </w:pPr>
          </w:p>
        </w:tc>
        <w:tc>
          <w:tcPr>
            <w:tcW w:w="4138" w:type="pct"/>
            <w:gridSpan w:val="4"/>
          </w:tcPr>
          <w:p w14:paraId="0F826C2E" w14:textId="77777777" w:rsidR="00417098" w:rsidRPr="00AA24B3" w:rsidRDefault="00417098" w:rsidP="00D326D4">
            <w:pPr>
              <w:pStyle w:val="NormalWeb"/>
              <w:widowControl w:val="0"/>
              <w:spacing w:before="0" w:after="0"/>
              <w:textAlignment w:val="baseline"/>
              <w:rPr>
                <w:rFonts w:ascii="Arial Narrow" w:hAnsi="Arial Narrow" w:cs="Open Sans"/>
                <w:color w:val="333333"/>
                <w:sz w:val="20"/>
                <w:szCs w:val="20"/>
                <w:lang w:val="en-AU"/>
              </w:rPr>
            </w:pPr>
            <w:r w:rsidRPr="00AA24B3">
              <w:rPr>
                <w:rStyle w:val="Strong"/>
                <w:rFonts w:ascii="Arial Narrow" w:eastAsiaTheme="majorEastAsia" w:hAnsi="Arial Narrow" w:cs="Open Sans"/>
                <w:color w:val="333333"/>
                <w:sz w:val="20"/>
                <w:szCs w:val="20"/>
                <w:bdr w:val="none" w:sz="0" w:space="0" w:color="auto" w:frame="1"/>
                <w:lang w:val="en-AU"/>
              </w:rPr>
              <w:t>Administrative Advice:</w:t>
            </w:r>
          </w:p>
          <w:p w14:paraId="197CD1B7" w14:textId="77777777" w:rsidR="00417098" w:rsidRPr="00AA24B3" w:rsidRDefault="00417098" w:rsidP="00D326D4">
            <w:pPr>
              <w:pStyle w:val="NormalWeb"/>
              <w:widowControl w:val="0"/>
              <w:spacing w:before="0" w:after="0"/>
              <w:textAlignment w:val="baseline"/>
              <w:rPr>
                <w:rStyle w:val="Strong"/>
                <w:rFonts w:ascii="Arial Narrow" w:eastAsiaTheme="majorEastAsia" w:hAnsi="Arial Narrow" w:cs="Open Sans"/>
                <w:color w:val="333333"/>
                <w:sz w:val="20"/>
                <w:szCs w:val="20"/>
                <w:bdr w:val="none" w:sz="0" w:space="0" w:color="auto" w:frame="1"/>
                <w:lang w:val="en-AU"/>
              </w:rPr>
            </w:pPr>
            <w:r w:rsidRPr="00AA24B3">
              <w:rPr>
                <w:rFonts w:ascii="Arial Narrow" w:hAnsi="Arial Narrow" w:cs="Open Sans"/>
                <w:color w:val="333333"/>
                <w:sz w:val="20"/>
                <w:szCs w:val="20"/>
                <w:lang w:val="en-AU"/>
              </w:rPr>
              <w:t>Special Pricing Arrangements apply.</w:t>
            </w:r>
          </w:p>
        </w:tc>
      </w:tr>
      <w:tr w:rsidR="00417098" w:rsidRPr="00AA24B3" w14:paraId="6BE116B5" w14:textId="77777777" w:rsidTr="00EF13AB">
        <w:tblPrEx>
          <w:tblCellMar>
            <w:top w:w="15" w:type="dxa"/>
            <w:bottom w:w="15" w:type="dxa"/>
          </w:tblCellMar>
          <w:tblLook w:val="04A0" w:firstRow="1" w:lastRow="0" w:firstColumn="1" w:lastColumn="0" w:noHBand="0" w:noVBand="1"/>
        </w:tblPrEx>
        <w:trPr>
          <w:cantSplit/>
          <w:trHeight w:val="20"/>
        </w:trPr>
        <w:tc>
          <w:tcPr>
            <w:tcW w:w="862" w:type="pct"/>
            <w:gridSpan w:val="2"/>
          </w:tcPr>
          <w:p w14:paraId="0A3AF02C" w14:textId="6C507F9E" w:rsidR="00417098" w:rsidRPr="00AA24B3" w:rsidRDefault="00417098" w:rsidP="00D326D4">
            <w:pPr>
              <w:widowControl w:val="0"/>
              <w:jc w:val="center"/>
              <w:rPr>
                <w:rFonts w:ascii="Arial Narrow" w:hAnsi="Arial Narrow"/>
                <w:sz w:val="20"/>
                <w:szCs w:val="20"/>
              </w:rPr>
            </w:pPr>
          </w:p>
        </w:tc>
        <w:tc>
          <w:tcPr>
            <w:tcW w:w="4138" w:type="pct"/>
            <w:gridSpan w:val="4"/>
          </w:tcPr>
          <w:p w14:paraId="121C89D9" w14:textId="684472AC" w:rsidR="00417098" w:rsidRPr="00AA24B3" w:rsidRDefault="00417098" w:rsidP="00D326D4">
            <w:pPr>
              <w:widowControl w:val="0"/>
              <w:rPr>
                <w:rFonts w:ascii="Arial Narrow" w:hAnsi="Arial Narrow"/>
                <w:b/>
                <w:bCs/>
                <w:sz w:val="20"/>
                <w:szCs w:val="20"/>
              </w:rPr>
            </w:pPr>
            <w:r w:rsidRPr="00AA24B3">
              <w:rPr>
                <w:rFonts w:ascii="Arial Narrow" w:hAnsi="Arial Narrow"/>
                <w:b/>
                <w:bCs/>
                <w:sz w:val="20"/>
                <w:szCs w:val="20"/>
              </w:rPr>
              <w:t>Indication:</w:t>
            </w:r>
            <w:r w:rsidRPr="00AA24B3">
              <w:rPr>
                <w:rFonts w:ascii="Arial Narrow" w:hAnsi="Arial Narrow"/>
                <w:sz w:val="20"/>
                <w:szCs w:val="20"/>
              </w:rPr>
              <w:t xml:space="preserve"> </w:t>
            </w:r>
            <w:r w:rsidRPr="00AA24B3">
              <w:rPr>
                <w:rFonts w:ascii="Arial Narrow" w:hAnsi="Arial Narrow"/>
                <w:color w:val="333333"/>
                <w:sz w:val="20"/>
                <w:szCs w:val="20"/>
              </w:rPr>
              <w:t>Early HER2 positive breast cancer</w:t>
            </w:r>
          </w:p>
        </w:tc>
      </w:tr>
      <w:tr w:rsidR="00417098" w:rsidRPr="00AA24B3" w14:paraId="11A5FAC1" w14:textId="77777777" w:rsidTr="00EF13AB">
        <w:tblPrEx>
          <w:tblCellMar>
            <w:top w:w="15" w:type="dxa"/>
            <w:bottom w:w="15" w:type="dxa"/>
          </w:tblCellMar>
          <w:tblLook w:val="04A0" w:firstRow="1" w:lastRow="0" w:firstColumn="1" w:lastColumn="0" w:noHBand="0" w:noVBand="1"/>
        </w:tblPrEx>
        <w:trPr>
          <w:cantSplit/>
          <w:trHeight w:val="20"/>
        </w:trPr>
        <w:tc>
          <w:tcPr>
            <w:tcW w:w="862" w:type="pct"/>
            <w:gridSpan w:val="2"/>
            <w:hideMark/>
          </w:tcPr>
          <w:p w14:paraId="35310588" w14:textId="77777777" w:rsidR="00417098" w:rsidRPr="00AA24B3" w:rsidRDefault="00417098" w:rsidP="00D326D4">
            <w:pPr>
              <w:widowControl w:val="0"/>
              <w:jc w:val="center"/>
              <w:rPr>
                <w:rFonts w:ascii="Arial Narrow" w:hAnsi="Arial Narrow"/>
                <w:sz w:val="20"/>
                <w:szCs w:val="20"/>
              </w:rPr>
            </w:pPr>
          </w:p>
        </w:tc>
        <w:tc>
          <w:tcPr>
            <w:tcW w:w="4138" w:type="pct"/>
            <w:gridSpan w:val="4"/>
            <w:hideMark/>
          </w:tcPr>
          <w:p w14:paraId="34ADFBE9" w14:textId="372E43F5" w:rsidR="00417098" w:rsidRPr="00AA24B3" w:rsidRDefault="00417098" w:rsidP="00D326D4">
            <w:pPr>
              <w:widowControl w:val="0"/>
              <w:rPr>
                <w:rFonts w:ascii="Arial Narrow" w:hAnsi="Arial Narrow"/>
                <w:sz w:val="20"/>
                <w:szCs w:val="20"/>
              </w:rPr>
            </w:pPr>
            <w:r w:rsidRPr="00AA24B3">
              <w:rPr>
                <w:rFonts w:ascii="Arial Narrow" w:hAnsi="Arial Narrow"/>
                <w:b/>
                <w:bCs/>
                <w:sz w:val="20"/>
                <w:szCs w:val="20"/>
              </w:rPr>
              <w:t>Treatment Phase:</w:t>
            </w:r>
            <w:r w:rsidRPr="00AA24B3">
              <w:rPr>
                <w:rFonts w:ascii="Arial Narrow" w:hAnsi="Arial Narrow"/>
                <w:sz w:val="20"/>
                <w:szCs w:val="20"/>
              </w:rPr>
              <w:t xml:space="preserve"> Continuing treatment </w:t>
            </w:r>
          </w:p>
        </w:tc>
      </w:tr>
      <w:tr w:rsidR="00417098" w:rsidRPr="00AA24B3" w14:paraId="13C240B2" w14:textId="77777777" w:rsidTr="007D17AB">
        <w:tblPrEx>
          <w:tblCellMar>
            <w:top w:w="15" w:type="dxa"/>
            <w:bottom w:w="15" w:type="dxa"/>
          </w:tblCellMar>
          <w:tblLook w:val="04A0" w:firstRow="1" w:lastRow="0" w:firstColumn="1" w:lastColumn="0" w:noHBand="0" w:noVBand="1"/>
        </w:tblPrEx>
        <w:trPr>
          <w:cantSplit/>
          <w:trHeight w:val="20"/>
        </w:trPr>
        <w:tc>
          <w:tcPr>
            <w:tcW w:w="862" w:type="pct"/>
            <w:gridSpan w:val="2"/>
          </w:tcPr>
          <w:p w14:paraId="2791812D" w14:textId="673CBD6B" w:rsidR="00417098" w:rsidRPr="00AA24B3" w:rsidRDefault="00417098" w:rsidP="00D326D4">
            <w:pPr>
              <w:widowControl w:val="0"/>
              <w:jc w:val="center"/>
              <w:rPr>
                <w:rFonts w:ascii="Arial Narrow" w:hAnsi="Arial Narrow"/>
                <w:sz w:val="20"/>
                <w:szCs w:val="20"/>
              </w:rPr>
            </w:pPr>
          </w:p>
        </w:tc>
        <w:tc>
          <w:tcPr>
            <w:tcW w:w="4138" w:type="pct"/>
            <w:gridSpan w:val="4"/>
            <w:hideMark/>
          </w:tcPr>
          <w:p w14:paraId="141564A1" w14:textId="77777777" w:rsidR="00417098" w:rsidRPr="00AA24B3" w:rsidRDefault="00417098" w:rsidP="00D326D4">
            <w:pPr>
              <w:widowControl w:val="0"/>
              <w:rPr>
                <w:rFonts w:ascii="Arial Narrow" w:hAnsi="Arial Narrow"/>
                <w:sz w:val="20"/>
                <w:szCs w:val="20"/>
              </w:rPr>
            </w:pPr>
            <w:r w:rsidRPr="00AA24B3">
              <w:rPr>
                <w:rFonts w:ascii="Arial Narrow" w:hAnsi="Arial Narrow"/>
                <w:b/>
                <w:bCs/>
                <w:sz w:val="20"/>
                <w:szCs w:val="20"/>
              </w:rPr>
              <w:t>Clinical criteria</w:t>
            </w:r>
          </w:p>
        </w:tc>
      </w:tr>
      <w:tr w:rsidR="00417098" w:rsidRPr="00AA24B3" w14:paraId="2D255E57" w14:textId="77777777" w:rsidTr="007D17AB">
        <w:tblPrEx>
          <w:tblCellMar>
            <w:top w:w="15" w:type="dxa"/>
            <w:bottom w:w="15" w:type="dxa"/>
          </w:tblCellMar>
          <w:tblLook w:val="04A0" w:firstRow="1" w:lastRow="0" w:firstColumn="1" w:lastColumn="0" w:noHBand="0" w:noVBand="1"/>
        </w:tblPrEx>
        <w:trPr>
          <w:cantSplit/>
          <w:trHeight w:val="20"/>
        </w:trPr>
        <w:tc>
          <w:tcPr>
            <w:tcW w:w="862" w:type="pct"/>
            <w:gridSpan w:val="2"/>
          </w:tcPr>
          <w:p w14:paraId="1E3895BA" w14:textId="203B96CD" w:rsidR="00417098" w:rsidRPr="00AA24B3" w:rsidRDefault="00417098" w:rsidP="00D326D4">
            <w:pPr>
              <w:widowControl w:val="0"/>
              <w:jc w:val="center"/>
              <w:rPr>
                <w:rFonts w:ascii="Arial Narrow" w:hAnsi="Arial Narrow"/>
                <w:sz w:val="20"/>
                <w:szCs w:val="20"/>
              </w:rPr>
            </w:pPr>
          </w:p>
        </w:tc>
        <w:tc>
          <w:tcPr>
            <w:tcW w:w="4138" w:type="pct"/>
            <w:gridSpan w:val="4"/>
            <w:hideMark/>
          </w:tcPr>
          <w:p w14:paraId="7BD4C8B9" w14:textId="77777777" w:rsidR="00417098" w:rsidRPr="00AA24B3" w:rsidRDefault="00417098" w:rsidP="00D326D4">
            <w:pPr>
              <w:widowControl w:val="0"/>
              <w:rPr>
                <w:rFonts w:ascii="Arial Narrow" w:hAnsi="Arial Narrow"/>
                <w:sz w:val="20"/>
                <w:szCs w:val="20"/>
              </w:rPr>
            </w:pPr>
            <w:r w:rsidRPr="00AA24B3">
              <w:rPr>
                <w:rFonts w:ascii="Arial Narrow" w:hAnsi="Arial Narrow"/>
                <w:sz w:val="20"/>
                <w:szCs w:val="20"/>
              </w:rPr>
              <w:t xml:space="preserve">Patient must have previously received PBS-subsidised treatment with this drug for this condition </w:t>
            </w:r>
          </w:p>
        </w:tc>
      </w:tr>
      <w:tr w:rsidR="00417098" w:rsidRPr="00AA24B3" w14:paraId="76E1261E" w14:textId="77777777" w:rsidTr="007D17AB">
        <w:tblPrEx>
          <w:tblCellMar>
            <w:top w:w="15" w:type="dxa"/>
            <w:bottom w:w="15" w:type="dxa"/>
          </w:tblCellMar>
          <w:tblLook w:val="04A0" w:firstRow="1" w:lastRow="0" w:firstColumn="1" w:lastColumn="0" w:noHBand="0" w:noVBand="1"/>
        </w:tblPrEx>
        <w:trPr>
          <w:cantSplit/>
          <w:trHeight w:val="20"/>
        </w:trPr>
        <w:tc>
          <w:tcPr>
            <w:tcW w:w="862" w:type="pct"/>
            <w:gridSpan w:val="2"/>
          </w:tcPr>
          <w:p w14:paraId="0DA0F046" w14:textId="77777777" w:rsidR="00417098" w:rsidRPr="00AA24B3" w:rsidRDefault="00417098" w:rsidP="00D326D4">
            <w:pPr>
              <w:widowControl w:val="0"/>
              <w:jc w:val="center"/>
              <w:rPr>
                <w:rFonts w:ascii="Arial Narrow" w:hAnsi="Arial Narrow"/>
                <w:sz w:val="20"/>
                <w:szCs w:val="20"/>
              </w:rPr>
            </w:pPr>
          </w:p>
        </w:tc>
        <w:tc>
          <w:tcPr>
            <w:tcW w:w="4138" w:type="pct"/>
            <w:gridSpan w:val="4"/>
            <w:hideMark/>
          </w:tcPr>
          <w:p w14:paraId="722E5789" w14:textId="77777777" w:rsidR="00417098" w:rsidRPr="00AA24B3" w:rsidRDefault="00417098" w:rsidP="00D326D4">
            <w:pPr>
              <w:widowControl w:val="0"/>
              <w:rPr>
                <w:rFonts w:ascii="Arial Narrow" w:hAnsi="Arial Narrow"/>
                <w:sz w:val="20"/>
                <w:szCs w:val="20"/>
              </w:rPr>
            </w:pPr>
            <w:r w:rsidRPr="00AA24B3">
              <w:rPr>
                <w:rFonts w:ascii="Arial Narrow" w:hAnsi="Arial Narrow"/>
                <w:b/>
                <w:bCs/>
                <w:sz w:val="20"/>
                <w:szCs w:val="20"/>
              </w:rPr>
              <w:t>AND</w:t>
            </w:r>
          </w:p>
        </w:tc>
      </w:tr>
      <w:tr w:rsidR="00990F88" w:rsidRPr="00AA24B3" w14:paraId="03EEE4BF" w14:textId="77777777" w:rsidTr="00EF13AB">
        <w:tblPrEx>
          <w:tblCellMar>
            <w:top w:w="15" w:type="dxa"/>
            <w:bottom w:w="15" w:type="dxa"/>
          </w:tblCellMar>
          <w:tblLook w:val="04A0" w:firstRow="1" w:lastRow="0" w:firstColumn="1" w:lastColumn="0" w:noHBand="0" w:noVBand="1"/>
        </w:tblPrEx>
        <w:trPr>
          <w:cantSplit/>
          <w:trHeight w:val="20"/>
        </w:trPr>
        <w:tc>
          <w:tcPr>
            <w:tcW w:w="862" w:type="pct"/>
            <w:gridSpan w:val="2"/>
          </w:tcPr>
          <w:p w14:paraId="368036C6" w14:textId="291503A7" w:rsidR="00990F88" w:rsidRPr="00AA24B3" w:rsidRDefault="00990F88" w:rsidP="00990F88">
            <w:pPr>
              <w:widowControl w:val="0"/>
              <w:jc w:val="center"/>
              <w:rPr>
                <w:rFonts w:ascii="Arial Narrow" w:hAnsi="Arial Narrow"/>
                <w:sz w:val="20"/>
                <w:szCs w:val="20"/>
              </w:rPr>
            </w:pPr>
          </w:p>
        </w:tc>
        <w:tc>
          <w:tcPr>
            <w:tcW w:w="4138" w:type="pct"/>
            <w:gridSpan w:val="4"/>
            <w:hideMark/>
          </w:tcPr>
          <w:p w14:paraId="6FC216BB" w14:textId="77777777" w:rsidR="00990F88" w:rsidRPr="00AA24B3" w:rsidRDefault="00990F88" w:rsidP="00990F88">
            <w:pPr>
              <w:widowControl w:val="0"/>
              <w:rPr>
                <w:rFonts w:ascii="Arial Narrow" w:hAnsi="Arial Narrow"/>
                <w:sz w:val="20"/>
                <w:szCs w:val="20"/>
              </w:rPr>
            </w:pPr>
            <w:r w:rsidRPr="00AA24B3">
              <w:rPr>
                <w:rFonts w:ascii="Arial Narrow" w:hAnsi="Arial Narrow"/>
                <w:b/>
                <w:bCs/>
                <w:sz w:val="20"/>
                <w:szCs w:val="20"/>
              </w:rPr>
              <w:t>Clinical criteria:</w:t>
            </w:r>
          </w:p>
        </w:tc>
      </w:tr>
      <w:tr w:rsidR="00990F88" w:rsidRPr="00AA24B3" w14:paraId="4C056379" w14:textId="77777777" w:rsidTr="00EF13AB">
        <w:tblPrEx>
          <w:tblCellMar>
            <w:top w:w="15" w:type="dxa"/>
            <w:bottom w:w="15" w:type="dxa"/>
          </w:tblCellMar>
          <w:tblLook w:val="04A0" w:firstRow="1" w:lastRow="0" w:firstColumn="1" w:lastColumn="0" w:noHBand="0" w:noVBand="1"/>
        </w:tblPrEx>
        <w:trPr>
          <w:cantSplit/>
          <w:trHeight w:val="20"/>
        </w:trPr>
        <w:tc>
          <w:tcPr>
            <w:tcW w:w="862" w:type="pct"/>
            <w:gridSpan w:val="2"/>
          </w:tcPr>
          <w:p w14:paraId="7ECA1A92" w14:textId="2639D498" w:rsidR="00990F88" w:rsidRPr="00AA24B3" w:rsidRDefault="00990F88" w:rsidP="00990F88">
            <w:pPr>
              <w:widowControl w:val="0"/>
              <w:jc w:val="center"/>
              <w:rPr>
                <w:rFonts w:ascii="Arial Narrow" w:hAnsi="Arial Narrow"/>
                <w:sz w:val="20"/>
                <w:szCs w:val="20"/>
              </w:rPr>
            </w:pPr>
          </w:p>
        </w:tc>
        <w:tc>
          <w:tcPr>
            <w:tcW w:w="4138" w:type="pct"/>
            <w:gridSpan w:val="4"/>
            <w:hideMark/>
          </w:tcPr>
          <w:p w14:paraId="2A6A532B" w14:textId="712C7399" w:rsidR="00990F88" w:rsidRPr="00AA24B3" w:rsidRDefault="00990F88" w:rsidP="00990F88">
            <w:pPr>
              <w:widowControl w:val="0"/>
              <w:rPr>
                <w:rFonts w:ascii="Arial Narrow" w:hAnsi="Arial Narrow"/>
                <w:sz w:val="20"/>
                <w:szCs w:val="20"/>
              </w:rPr>
            </w:pPr>
            <w:r w:rsidRPr="00AA24B3">
              <w:rPr>
                <w:rFonts w:ascii="Arial Narrow" w:hAnsi="Arial Narrow"/>
                <w:sz w:val="20"/>
                <w:szCs w:val="20"/>
              </w:rPr>
              <w:t>The treatment must</w:t>
            </w:r>
            <w:r>
              <w:rPr>
                <w:rFonts w:ascii="Arial Narrow" w:hAnsi="Arial Narrow"/>
                <w:sz w:val="20"/>
                <w:szCs w:val="20"/>
              </w:rPr>
              <w:t xml:space="preserve"> be</w:t>
            </w:r>
            <w:r w:rsidRPr="00AA24B3">
              <w:rPr>
                <w:rFonts w:ascii="Arial Narrow" w:hAnsi="Arial Narrow"/>
                <w:sz w:val="20"/>
                <w:szCs w:val="20"/>
              </w:rPr>
              <w:t xml:space="preserve"> </w:t>
            </w:r>
            <w:r>
              <w:rPr>
                <w:rFonts w:ascii="Arial Narrow" w:hAnsi="Arial Narrow"/>
                <w:sz w:val="20"/>
                <w:szCs w:val="20"/>
              </w:rPr>
              <w:t xml:space="preserve">used </w:t>
            </w:r>
            <w:r w:rsidRPr="00AA24B3">
              <w:rPr>
                <w:rFonts w:ascii="Arial Narrow" w:hAnsi="Arial Narrow"/>
                <w:sz w:val="20"/>
                <w:szCs w:val="20"/>
              </w:rPr>
              <w:t>in combination with trastuzumab</w:t>
            </w:r>
          </w:p>
        </w:tc>
      </w:tr>
      <w:tr w:rsidR="00417098" w:rsidRPr="00AA24B3" w14:paraId="5F57FF5A" w14:textId="77777777" w:rsidTr="00EF13AB">
        <w:tblPrEx>
          <w:tblCellMar>
            <w:top w:w="15" w:type="dxa"/>
            <w:bottom w:w="15" w:type="dxa"/>
          </w:tblCellMar>
          <w:tblLook w:val="04A0" w:firstRow="1" w:lastRow="0" w:firstColumn="1" w:lastColumn="0" w:noHBand="0" w:noVBand="1"/>
        </w:tblPrEx>
        <w:trPr>
          <w:cantSplit/>
          <w:trHeight w:val="20"/>
        </w:trPr>
        <w:tc>
          <w:tcPr>
            <w:tcW w:w="862" w:type="pct"/>
            <w:gridSpan w:val="2"/>
          </w:tcPr>
          <w:p w14:paraId="05C60468" w14:textId="77777777" w:rsidR="00417098" w:rsidRPr="00AA24B3" w:rsidRDefault="00417098" w:rsidP="00D326D4">
            <w:pPr>
              <w:widowControl w:val="0"/>
              <w:jc w:val="center"/>
              <w:rPr>
                <w:rFonts w:ascii="Arial Narrow" w:hAnsi="Arial Narrow"/>
                <w:sz w:val="20"/>
                <w:szCs w:val="20"/>
              </w:rPr>
            </w:pPr>
          </w:p>
        </w:tc>
        <w:tc>
          <w:tcPr>
            <w:tcW w:w="4138" w:type="pct"/>
            <w:gridSpan w:val="4"/>
            <w:hideMark/>
          </w:tcPr>
          <w:p w14:paraId="18A3CF64" w14:textId="77777777" w:rsidR="00417098" w:rsidRPr="00AA24B3" w:rsidRDefault="00417098" w:rsidP="00D326D4">
            <w:pPr>
              <w:widowControl w:val="0"/>
              <w:autoSpaceDE w:val="0"/>
              <w:autoSpaceDN w:val="0"/>
              <w:adjustRightInd w:val="0"/>
              <w:rPr>
                <w:rFonts w:ascii="Arial Narrow" w:hAnsi="Arial Narrow" w:cs="Arial Narrow"/>
                <w:sz w:val="20"/>
                <w:szCs w:val="20"/>
              </w:rPr>
            </w:pPr>
            <w:r w:rsidRPr="00AA24B3">
              <w:rPr>
                <w:rFonts w:ascii="Arial Narrow" w:hAnsi="Arial Narrow"/>
                <w:b/>
                <w:bCs/>
                <w:sz w:val="20"/>
                <w:szCs w:val="20"/>
              </w:rPr>
              <w:t>AND</w:t>
            </w:r>
            <w:r w:rsidRPr="00AA24B3">
              <w:rPr>
                <w:rFonts w:ascii="Arial Narrow" w:hAnsi="Arial Narrow"/>
                <w:b/>
                <w:bCs/>
                <w:sz w:val="20"/>
                <w:szCs w:val="20"/>
              </w:rPr>
              <w:tab/>
            </w:r>
          </w:p>
        </w:tc>
      </w:tr>
      <w:tr w:rsidR="00417098" w:rsidRPr="00AA24B3" w14:paraId="5C72F6E0" w14:textId="77777777" w:rsidTr="00EF13AB">
        <w:tblPrEx>
          <w:tblCellMar>
            <w:top w:w="15" w:type="dxa"/>
            <w:bottom w:w="15" w:type="dxa"/>
          </w:tblCellMar>
          <w:tblLook w:val="04A0" w:firstRow="1" w:lastRow="0" w:firstColumn="1" w:lastColumn="0" w:noHBand="0" w:noVBand="1"/>
        </w:tblPrEx>
        <w:trPr>
          <w:cantSplit/>
          <w:trHeight w:val="20"/>
        </w:trPr>
        <w:tc>
          <w:tcPr>
            <w:tcW w:w="862" w:type="pct"/>
            <w:gridSpan w:val="2"/>
          </w:tcPr>
          <w:p w14:paraId="4DEBF93C" w14:textId="1CE41AE6" w:rsidR="00417098" w:rsidRPr="00AA24B3" w:rsidRDefault="00417098" w:rsidP="00D326D4">
            <w:pPr>
              <w:widowControl w:val="0"/>
              <w:jc w:val="center"/>
              <w:rPr>
                <w:rFonts w:ascii="Arial Narrow" w:hAnsi="Arial Narrow"/>
                <w:sz w:val="20"/>
                <w:szCs w:val="20"/>
              </w:rPr>
            </w:pPr>
          </w:p>
        </w:tc>
        <w:tc>
          <w:tcPr>
            <w:tcW w:w="4138" w:type="pct"/>
            <w:gridSpan w:val="4"/>
          </w:tcPr>
          <w:p w14:paraId="70C54EF5" w14:textId="77777777" w:rsidR="00417098" w:rsidRPr="00AA24B3" w:rsidRDefault="00417098" w:rsidP="00D326D4">
            <w:pPr>
              <w:widowControl w:val="0"/>
              <w:autoSpaceDE w:val="0"/>
              <w:autoSpaceDN w:val="0"/>
              <w:adjustRightInd w:val="0"/>
              <w:rPr>
                <w:rFonts w:ascii="Arial Narrow" w:hAnsi="Arial Narrow" w:cs="Arial Narrow"/>
                <w:sz w:val="20"/>
                <w:szCs w:val="20"/>
              </w:rPr>
            </w:pPr>
            <w:r w:rsidRPr="00AA24B3">
              <w:rPr>
                <w:rStyle w:val="Strong"/>
                <w:rFonts w:ascii="Arial Narrow" w:hAnsi="Arial Narrow" w:cs="Open Sans"/>
                <w:sz w:val="20"/>
                <w:szCs w:val="20"/>
                <w:bdr w:val="none" w:sz="0" w:space="0" w:color="auto" w:frame="1"/>
              </w:rPr>
              <w:t>Clinical criteria:</w:t>
            </w:r>
          </w:p>
        </w:tc>
      </w:tr>
      <w:tr w:rsidR="00417098" w:rsidRPr="00AA24B3" w14:paraId="7CDDF319" w14:textId="77777777" w:rsidTr="00EF13AB">
        <w:tblPrEx>
          <w:tblCellMar>
            <w:top w:w="15" w:type="dxa"/>
            <w:bottom w:w="15" w:type="dxa"/>
          </w:tblCellMar>
          <w:tblLook w:val="04A0" w:firstRow="1" w:lastRow="0" w:firstColumn="1" w:lastColumn="0" w:noHBand="0" w:noVBand="1"/>
        </w:tblPrEx>
        <w:trPr>
          <w:cantSplit/>
          <w:trHeight w:val="20"/>
        </w:trPr>
        <w:tc>
          <w:tcPr>
            <w:tcW w:w="862" w:type="pct"/>
            <w:gridSpan w:val="2"/>
          </w:tcPr>
          <w:p w14:paraId="4175E28A" w14:textId="78B4A3E0" w:rsidR="00417098" w:rsidRPr="00AA24B3" w:rsidRDefault="00417098" w:rsidP="00D326D4">
            <w:pPr>
              <w:widowControl w:val="0"/>
              <w:jc w:val="center"/>
              <w:rPr>
                <w:rFonts w:ascii="Arial Narrow" w:hAnsi="Arial Narrow"/>
                <w:sz w:val="20"/>
                <w:szCs w:val="20"/>
              </w:rPr>
            </w:pPr>
          </w:p>
        </w:tc>
        <w:tc>
          <w:tcPr>
            <w:tcW w:w="4138" w:type="pct"/>
            <w:gridSpan w:val="4"/>
          </w:tcPr>
          <w:p w14:paraId="6280A8F0" w14:textId="52B1CE96" w:rsidR="00417098" w:rsidRPr="00AA24B3" w:rsidRDefault="00417098" w:rsidP="00D326D4">
            <w:pPr>
              <w:widowControl w:val="0"/>
              <w:rPr>
                <w:rFonts w:ascii="Arial Narrow" w:hAnsi="Arial Narrow"/>
                <w:b/>
                <w:bCs/>
                <w:sz w:val="20"/>
                <w:szCs w:val="20"/>
              </w:rPr>
            </w:pPr>
            <w:r w:rsidRPr="00AA24B3">
              <w:rPr>
                <w:rFonts w:ascii="Arial Narrow" w:hAnsi="Arial Narrow"/>
                <w:sz w:val="20"/>
                <w:szCs w:val="20"/>
              </w:rPr>
              <w:t xml:space="preserve">The treatment must </w:t>
            </w:r>
            <w:r w:rsidR="00B661A0">
              <w:rPr>
                <w:rFonts w:ascii="Arial Narrow" w:hAnsi="Arial Narrow"/>
                <w:sz w:val="20"/>
                <w:szCs w:val="20"/>
              </w:rPr>
              <w:t xml:space="preserve">have </w:t>
            </w:r>
            <w:r w:rsidRPr="00AA24B3">
              <w:rPr>
                <w:rFonts w:ascii="Arial Narrow" w:hAnsi="Arial Narrow"/>
                <w:sz w:val="20"/>
                <w:szCs w:val="20"/>
              </w:rPr>
              <w:t>be</w:t>
            </w:r>
            <w:r w:rsidR="00B661A0">
              <w:rPr>
                <w:rFonts w:ascii="Arial Narrow" w:hAnsi="Arial Narrow"/>
                <w:sz w:val="20"/>
                <w:szCs w:val="20"/>
              </w:rPr>
              <w:t>en</w:t>
            </w:r>
            <w:r w:rsidRPr="00AA24B3">
              <w:rPr>
                <w:rFonts w:ascii="Arial Narrow" w:hAnsi="Arial Narrow"/>
                <w:sz w:val="20"/>
                <w:szCs w:val="20"/>
              </w:rPr>
              <w:t xml:space="preserve"> </w:t>
            </w:r>
            <w:r w:rsidR="00BE68B3">
              <w:rPr>
                <w:rFonts w:ascii="Arial Narrow" w:hAnsi="Arial Narrow"/>
                <w:sz w:val="20"/>
                <w:szCs w:val="20"/>
              </w:rPr>
              <w:t xml:space="preserve">initiated </w:t>
            </w:r>
            <w:r w:rsidRPr="00AA24B3">
              <w:rPr>
                <w:rFonts w:ascii="Arial Narrow" w:hAnsi="Arial Narrow"/>
                <w:sz w:val="20"/>
                <w:szCs w:val="20"/>
              </w:rPr>
              <w:t>in combination with chemotherapy</w:t>
            </w:r>
          </w:p>
        </w:tc>
      </w:tr>
      <w:tr w:rsidR="00417098" w:rsidRPr="00AA24B3" w14:paraId="4897B70A" w14:textId="77777777" w:rsidTr="00EF13AB">
        <w:tblPrEx>
          <w:tblCellMar>
            <w:top w:w="15" w:type="dxa"/>
            <w:bottom w:w="15" w:type="dxa"/>
          </w:tblCellMar>
          <w:tblLook w:val="04A0" w:firstRow="1" w:lastRow="0" w:firstColumn="1" w:lastColumn="0" w:noHBand="0" w:noVBand="1"/>
        </w:tblPrEx>
        <w:trPr>
          <w:cantSplit/>
          <w:trHeight w:val="20"/>
        </w:trPr>
        <w:tc>
          <w:tcPr>
            <w:tcW w:w="862" w:type="pct"/>
            <w:gridSpan w:val="2"/>
          </w:tcPr>
          <w:p w14:paraId="69C40635" w14:textId="77777777" w:rsidR="00417098" w:rsidRPr="00AA24B3" w:rsidRDefault="00417098" w:rsidP="00D326D4">
            <w:pPr>
              <w:widowControl w:val="0"/>
              <w:jc w:val="center"/>
              <w:rPr>
                <w:rFonts w:ascii="Arial Narrow" w:hAnsi="Arial Narrow"/>
                <w:sz w:val="20"/>
                <w:szCs w:val="20"/>
              </w:rPr>
            </w:pPr>
          </w:p>
        </w:tc>
        <w:tc>
          <w:tcPr>
            <w:tcW w:w="4138" w:type="pct"/>
            <w:gridSpan w:val="4"/>
          </w:tcPr>
          <w:p w14:paraId="202F1079" w14:textId="77777777" w:rsidR="00417098" w:rsidRPr="00AA24B3" w:rsidRDefault="00417098" w:rsidP="00D326D4">
            <w:pPr>
              <w:widowControl w:val="0"/>
              <w:rPr>
                <w:rFonts w:ascii="Arial Narrow" w:hAnsi="Arial Narrow"/>
                <w:b/>
                <w:bCs/>
                <w:sz w:val="20"/>
                <w:szCs w:val="20"/>
              </w:rPr>
            </w:pPr>
            <w:r w:rsidRPr="00AA24B3">
              <w:rPr>
                <w:rFonts w:ascii="Arial Narrow" w:hAnsi="Arial Narrow"/>
                <w:b/>
                <w:bCs/>
                <w:sz w:val="20"/>
                <w:szCs w:val="20"/>
              </w:rPr>
              <w:t>AND</w:t>
            </w:r>
            <w:r w:rsidRPr="00AA24B3">
              <w:rPr>
                <w:rFonts w:ascii="Arial Narrow" w:hAnsi="Arial Narrow"/>
                <w:b/>
                <w:bCs/>
                <w:sz w:val="20"/>
                <w:szCs w:val="20"/>
              </w:rPr>
              <w:tab/>
            </w:r>
          </w:p>
        </w:tc>
      </w:tr>
      <w:tr w:rsidR="00417098" w:rsidRPr="00AA24B3" w14:paraId="4FECCE6B" w14:textId="77777777" w:rsidTr="00EF13AB">
        <w:tblPrEx>
          <w:tblCellMar>
            <w:top w:w="15" w:type="dxa"/>
            <w:bottom w:w="15" w:type="dxa"/>
          </w:tblCellMar>
          <w:tblLook w:val="04A0" w:firstRow="1" w:lastRow="0" w:firstColumn="1" w:lastColumn="0" w:noHBand="0" w:noVBand="1"/>
        </w:tblPrEx>
        <w:trPr>
          <w:cantSplit/>
          <w:trHeight w:val="20"/>
        </w:trPr>
        <w:tc>
          <w:tcPr>
            <w:tcW w:w="862" w:type="pct"/>
            <w:gridSpan w:val="2"/>
          </w:tcPr>
          <w:p w14:paraId="7F55E69A" w14:textId="44FFC608" w:rsidR="00417098" w:rsidRPr="00AA24B3" w:rsidRDefault="00417098" w:rsidP="00D326D4">
            <w:pPr>
              <w:widowControl w:val="0"/>
              <w:jc w:val="center"/>
              <w:rPr>
                <w:rFonts w:ascii="Arial Narrow" w:hAnsi="Arial Narrow"/>
                <w:sz w:val="20"/>
                <w:szCs w:val="20"/>
              </w:rPr>
            </w:pPr>
          </w:p>
        </w:tc>
        <w:tc>
          <w:tcPr>
            <w:tcW w:w="4138" w:type="pct"/>
            <w:gridSpan w:val="4"/>
          </w:tcPr>
          <w:p w14:paraId="1D7C9856" w14:textId="77777777" w:rsidR="00417098" w:rsidRPr="00AA24B3" w:rsidRDefault="00417098" w:rsidP="00D326D4">
            <w:pPr>
              <w:widowControl w:val="0"/>
              <w:rPr>
                <w:rFonts w:ascii="Arial Narrow" w:hAnsi="Arial Narrow"/>
                <w:b/>
                <w:bCs/>
                <w:sz w:val="20"/>
                <w:szCs w:val="20"/>
              </w:rPr>
            </w:pPr>
            <w:r w:rsidRPr="00AA24B3">
              <w:rPr>
                <w:rStyle w:val="Strong"/>
                <w:rFonts w:ascii="Arial Narrow" w:hAnsi="Arial Narrow" w:cs="Open Sans"/>
                <w:sz w:val="20"/>
                <w:szCs w:val="20"/>
                <w:bdr w:val="none" w:sz="0" w:space="0" w:color="auto" w:frame="1"/>
              </w:rPr>
              <w:t>Clinical criteria:</w:t>
            </w:r>
          </w:p>
        </w:tc>
      </w:tr>
      <w:tr w:rsidR="00417098" w:rsidRPr="00AA24B3" w14:paraId="5BC3C462" w14:textId="77777777" w:rsidTr="00EF13AB">
        <w:tblPrEx>
          <w:tblCellMar>
            <w:top w:w="15" w:type="dxa"/>
            <w:bottom w:w="15" w:type="dxa"/>
          </w:tblCellMar>
          <w:tblLook w:val="04A0" w:firstRow="1" w:lastRow="0" w:firstColumn="1" w:lastColumn="0" w:noHBand="0" w:noVBand="1"/>
        </w:tblPrEx>
        <w:trPr>
          <w:cantSplit/>
          <w:trHeight w:val="20"/>
        </w:trPr>
        <w:tc>
          <w:tcPr>
            <w:tcW w:w="862" w:type="pct"/>
            <w:gridSpan w:val="2"/>
          </w:tcPr>
          <w:p w14:paraId="4AB7BB08" w14:textId="235CEBE9" w:rsidR="00417098" w:rsidRPr="00AA24B3" w:rsidRDefault="00417098" w:rsidP="00D326D4">
            <w:pPr>
              <w:widowControl w:val="0"/>
              <w:jc w:val="center"/>
              <w:rPr>
                <w:rFonts w:ascii="Arial Narrow" w:hAnsi="Arial Narrow"/>
                <w:sz w:val="20"/>
                <w:szCs w:val="20"/>
              </w:rPr>
            </w:pPr>
          </w:p>
        </w:tc>
        <w:tc>
          <w:tcPr>
            <w:tcW w:w="4138" w:type="pct"/>
            <w:gridSpan w:val="4"/>
            <w:hideMark/>
          </w:tcPr>
          <w:p w14:paraId="058F0BC9" w14:textId="77777777" w:rsidR="00417098" w:rsidRPr="00AA24B3" w:rsidRDefault="00417098" w:rsidP="00D326D4">
            <w:pPr>
              <w:widowControl w:val="0"/>
              <w:rPr>
                <w:rFonts w:ascii="Arial Narrow" w:hAnsi="Arial Narrow"/>
                <w:sz w:val="20"/>
                <w:szCs w:val="20"/>
              </w:rPr>
            </w:pPr>
            <w:r w:rsidRPr="00AA24B3">
              <w:rPr>
                <w:rFonts w:ascii="Arial Narrow" w:hAnsi="Arial Narrow"/>
                <w:sz w:val="20"/>
                <w:szCs w:val="20"/>
              </w:rPr>
              <w:t>The treatment must not be used in a patient with a left ventricular ejection fraction (LVEF) of less than 45% and/or with symptomatic heart failure,</w:t>
            </w:r>
          </w:p>
        </w:tc>
      </w:tr>
      <w:tr w:rsidR="00417098" w:rsidRPr="00AA24B3" w14:paraId="7B2DB798" w14:textId="77777777" w:rsidTr="00EF13AB">
        <w:tblPrEx>
          <w:tblCellMar>
            <w:top w:w="15" w:type="dxa"/>
            <w:bottom w:w="15" w:type="dxa"/>
          </w:tblCellMar>
          <w:tblLook w:val="04A0" w:firstRow="1" w:lastRow="0" w:firstColumn="1" w:lastColumn="0" w:noHBand="0" w:noVBand="1"/>
        </w:tblPrEx>
        <w:trPr>
          <w:cantSplit/>
          <w:trHeight w:val="20"/>
        </w:trPr>
        <w:tc>
          <w:tcPr>
            <w:tcW w:w="862" w:type="pct"/>
            <w:gridSpan w:val="2"/>
          </w:tcPr>
          <w:p w14:paraId="0051BD72" w14:textId="77777777" w:rsidR="00417098" w:rsidRPr="00AA24B3" w:rsidRDefault="00417098" w:rsidP="00D326D4">
            <w:pPr>
              <w:widowControl w:val="0"/>
              <w:jc w:val="center"/>
              <w:rPr>
                <w:rFonts w:ascii="Arial Narrow" w:hAnsi="Arial Narrow"/>
                <w:sz w:val="20"/>
                <w:szCs w:val="20"/>
              </w:rPr>
            </w:pPr>
          </w:p>
        </w:tc>
        <w:tc>
          <w:tcPr>
            <w:tcW w:w="4138" w:type="pct"/>
            <w:gridSpan w:val="4"/>
          </w:tcPr>
          <w:p w14:paraId="5ADD69B9" w14:textId="77777777" w:rsidR="00417098" w:rsidRPr="00AA24B3" w:rsidRDefault="00417098" w:rsidP="00D326D4">
            <w:pPr>
              <w:widowControl w:val="0"/>
              <w:rPr>
                <w:rFonts w:ascii="Arial Narrow" w:hAnsi="Arial Narrow"/>
                <w:sz w:val="20"/>
                <w:szCs w:val="20"/>
              </w:rPr>
            </w:pPr>
            <w:r w:rsidRPr="00AA24B3">
              <w:rPr>
                <w:rFonts w:ascii="Arial Narrow" w:hAnsi="Arial Narrow"/>
                <w:b/>
                <w:bCs/>
                <w:sz w:val="20"/>
                <w:szCs w:val="20"/>
              </w:rPr>
              <w:t>AND</w:t>
            </w:r>
            <w:r w:rsidRPr="00AA24B3">
              <w:rPr>
                <w:rFonts w:ascii="Arial Narrow" w:hAnsi="Arial Narrow"/>
                <w:b/>
                <w:bCs/>
                <w:sz w:val="20"/>
                <w:szCs w:val="20"/>
              </w:rPr>
              <w:tab/>
            </w:r>
          </w:p>
        </w:tc>
      </w:tr>
    </w:tbl>
    <w:tbl>
      <w:tblPr>
        <w:tblStyle w:val="TableGrid"/>
        <w:tblW w:w="5000" w:type="pct"/>
        <w:tblLayout w:type="fixed"/>
        <w:tblLook w:val="0000" w:firstRow="0" w:lastRow="0" w:firstColumn="0" w:lastColumn="0" w:noHBand="0" w:noVBand="0"/>
      </w:tblPr>
      <w:tblGrid>
        <w:gridCol w:w="1555"/>
        <w:gridCol w:w="7462"/>
      </w:tblGrid>
      <w:tr w:rsidR="00417098" w:rsidRPr="00AA24B3" w14:paraId="04C7A09C" w14:textId="77777777" w:rsidTr="00A97E23">
        <w:trPr>
          <w:trHeight w:val="20"/>
        </w:trPr>
        <w:tc>
          <w:tcPr>
            <w:tcW w:w="862" w:type="pct"/>
            <w:tcBorders>
              <w:bottom w:val="single" w:sz="4" w:space="0" w:color="auto"/>
            </w:tcBorders>
          </w:tcPr>
          <w:p w14:paraId="0FAE0A83" w14:textId="3ED31CAA" w:rsidR="00417098" w:rsidRPr="00AA24B3" w:rsidRDefault="00417098" w:rsidP="003E7009">
            <w:pPr>
              <w:keepNext/>
              <w:keepLines/>
              <w:jc w:val="center"/>
              <w:rPr>
                <w:rFonts w:ascii="Arial Narrow" w:hAnsi="Arial Narrow"/>
                <w:sz w:val="20"/>
                <w:szCs w:val="20"/>
              </w:rPr>
            </w:pPr>
          </w:p>
        </w:tc>
        <w:tc>
          <w:tcPr>
            <w:tcW w:w="4138" w:type="pct"/>
            <w:tcBorders>
              <w:bottom w:val="single" w:sz="4" w:space="0" w:color="auto"/>
            </w:tcBorders>
          </w:tcPr>
          <w:p w14:paraId="22D5F292" w14:textId="10A11181" w:rsidR="00417098" w:rsidRPr="00AA24B3" w:rsidRDefault="00417098" w:rsidP="003E7009">
            <w:pPr>
              <w:keepNext/>
              <w:keepLines/>
              <w:rPr>
                <w:rFonts w:ascii="Arial Narrow" w:hAnsi="Arial Narrow"/>
                <w:sz w:val="20"/>
                <w:szCs w:val="20"/>
              </w:rPr>
            </w:pPr>
            <w:r w:rsidRPr="00AA24B3">
              <w:rPr>
                <w:rFonts w:ascii="Arial Narrow" w:hAnsi="Arial Narrow"/>
                <w:b/>
                <w:bCs/>
                <w:color w:val="333333"/>
                <w:sz w:val="20"/>
                <w:szCs w:val="20"/>
              </w:rPr>
              <w:t>Clinical Criteria</w:t>
            </w:r>
          </w:p>
        </w:tc>
      </w:tr>
      <w:tr w:rsidR="00417098" w:rsidRPr="00AA24B3" w14:paraId="05787D5C" w14:textId="77777777" w:rsidTr="00A97E23">
        <w:trPr>
          <w:trHeight w:val="20"/>
        </w:trPr>
        <w:tc>
          <w:tcPr>
            <w:tcW w:w="862" w:type="pct"/>
            <w:tcBorders>
              <w:top w:val="single" w:sz="4" w:space="0" w:color="auto"/>
              <w:left w:val="single" w:sz="4" w:space="0" w:color="auto"/>
              <w:bottom w:val="single" w:sz="4" w:space="0" w:color="auto"/>
              <w:right w:val="single" w:sz="4" w:space="0" w:color="auto"/>
            </w:tcBorders>
          </w:tcPr>
          <w:p w14:paraId="796944C7" w14:textId="43FF897D" w:rsidR="00417098" w:rsidRPr="00AA24B3" w:rsidRDefault="00417098" w:rsidP="003E7009">
            <w:pPr>
              <w:keepNext/>
              <w:keepLines/>
              <w:jc w:val="center"/>
              <w:rPr>
                <w:rFonts w:ascii="Arial Narrow" w:hAnsi="Arial Narrow"/>
                <w:color w:val="333333"/>
                <w:sz w:val="20"/>
                <w:szCs w:val="20"/>
              </w:rPr>
            </w:pPr>
          </w:p>
        </w:tc>
        <w:tc>
          <w:tcPr>
            <w:tcW w:w="4138" w:type="pct"/>
            <w:tcBorders>
              <w:top w:val="single" w:sz="4" w:space="0" w:color="auto"/>
              <w:left w:val="single" w:sz="4" w:space="0" w:color="auto"/>
              <w:bottom w:val="single" w:sz="4" w:space="0" w:color="auto"/>
              <w:right w:val="single" w:sz="4" w:space="0" w:color="auto"/>
            </w:tcBorders>
          </w:tcPr>
          <w:p w14:paraId="1C586071" w14:textId="08231E90" w:rsidR="001D401A" w:rsidRPr="00AA24B3" w:rsidRDefault="001D401A" w:rsidP="003E7009">
            <w:pPr>
              <w:keepNext/>
              <w:keepLines/>
              <w:rPr>
                <w:rFonts w:ascii="Arial Narrow" w:hAnsi="Arial Narrow"/>
                <w:color w:val="333333"/>
                <w:sz w:val="20"/>
                <w:szCs w:val="20"/>
              </w:rPr>
            </w:pPr>
            <w:r w:rsidRPr="001D401A">
              <w:rPr>
                <w:rFonts w:ascii="Arial Narrow" w:hAnsi="Arial Narrow"/>
                <w:sz w:val="20"/>
                <w:szCs w:val="20"/>
              </w:rPr>
              <w:t>The treatment for initial and continuing therapy combined must not extend beyond either (i) 18 weeks (6 cycles) in the neoadjuvant setting; (ii) 12 months (18 cycles) in total</w:t>
            </w:r>
          </w:p>
        </w:tc>
      </w:tr>
      <w:tr w:rsidR="00A97E23" w:rsidRPr="00AA24B3" w14:paraId="62B37BA1" w14:textId="77777777" w:rsidTr="00A97E23">
        <w:trPr>
          <w:trHeight w:val="20"/>
        </w:trPr>
        <w:tc>
          <w:tcPr>
            <w:tcW w:w="862" w:type="pct"/>
            <w:tcBorders>
              <w:top w:val="single" w:sz="4" w:space="0" w:color="auto"/>
              <w:left w:val="single" w:sz="4" w:space="0" w:color="auto"/>
              <w:bottom w:val="single" w:sz="4" w:space="0" w:color="auto"/>
              <w:right w:val="single" w:sz="4" w:space="0" w:color="auto"/>
            </w:tcBorders>
          </w:tcPr>
          <w:p w14:paraId="57F4CC9E" w14:textId="3D4A512F" w:rsidR="00A97E23" w:rsidRDefault="00A97E23" w:rsidP="00A97E23">
            <w:pPr>
              <w:keepNext/>
              <w:keepLines/>
              <w:jc w:val="center"/>
              <w:rPr>
                <w:rFonts w:ascii="Arial Narrow" w:hAnsi="Arial Narrow"/>
                <w:color w:val="333333"/>
                <w:sz w:val="20"/>
                <w:szCs w:val="20"/>
              </w:rPr>
            </w:pPr>
          </w:p>
        </w:tc>
        <w:tc>
          <w:tcPr>
            <w:tcW w:w="4138" w:type="pct"/>
            <w:tcBorders>
              <w:top w:val="single" w:sz="4" w:space="0" w:color="auto"/>
              <w:left w:val="single" w:sz="4" w:space="0" w:color="auto"/>
              <w:bottom w:val="single" w:sz="4" w:space="0" w:color="auto"/>
              <w:right w:val="single" w:sz="4" w:space="0" w:color="auto"/>
            </w:tcBorders>
          </w:tcPr>
          <w:p w14:paraId="2D73989A" w14:textId="77777777" w:rsidR="00A97E23" w:rsidRPr="00AA24B3" w:rsidRDefault="00A97E23" w:rsidP="00A97E23">
            <w:pPr>
              <w:pStyle w:val="NormalWeb"/>
              <w:keepNext/>
              <w:keepLines/>
              <w:spacing w:before="0" w:after="0"/>
              <w:textAlignment w:val="baseline"/>
              <w:rPr>
                <w:rFonts w:ascii="Arial Narrow" w:hAnsi="Arial Narrow" w:cs="Open Sans"/>
                <w:color w:val="333333"/>
                <w:sz w:val="20"/>
                <w:szCs w:val="20"/>
                <w:lang w:val="en-AU"/>
              </w:rPr>
            </w:pPr>
            <w:r w:rsidRPr="00AA24B3">
              <w:rPr>
                <w:rStyle w:val="Strong"/>
                <w:rFonts w:ascii="Arial Narrow" w:eastAsiaTheme="majorEastAsia" w:hAnsi="Arial Narrow" w:cs="Open Sans"/>
                <w:color w:val="333333"/>
                <w:sz w:val="20"/>
                <w:szCs w:val="20"/>
                <w:bdr w:val="none" w:sz="0" w:space="0" w:color="auto" w:frame="1"/>
                <w:lang w:val="en-AU"/>
              </w:rPr>
              <w:t>Administrative Advice:</w:t>
            </w:r>
          </w:p>
          <w:p w14:paraId="655AAD33" w14:textId="46B210E1" w:rsidR="00A97E23" w:rsidRPr="00AA24B3" w:rsidRDefault="00A97E23" w:rsidP="00A97E23">
            <w:pPr>
              <w:keepNext/>
              <w:keepLines/>
              <w:rPr>
                <w:rFonts w:ascii="Arial Narrow" w:hAnsi="Arial Narrow"/>
                <w:color w:val="333333"/>
                <w:sz w:val="20"/>
                <w:szCs w:val="20"/>
              </w:rPr>
            </w:pPr>
            <w:r w:rsidRPr="00AA24B3">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68F9E770" w14:textId="77777777" w:rsidR="00417098" w:rsidRPr="00873941" w:rsidRDefault="00417098" w:rsidP="00417098">
      <w:pPr>
        <w:rPr>
          <w:rFonts w:ascii="Arial Narrow" w:hAnsi="Arial Narrow"/>
        </w:rPr>
      </w:pPr>
    </w:p>
    <w:p w14:paraId="2F4867F7" w14:textId="77777777" w:rsidR="00C86736" w:rsidRPr="00873941" w:rsidRDefault="00C86736" w:rsidP="00C86736">
      <w:pPr>
        <w:pStyle w:val="3-BodyText"/>
        <w:numPr>
          <w:ilvl w:val="0"/>
          <w:numId w:val="0"/>
        </w:numPr>
        <w:rPr>
          <w:b/>
          <w:snapToGrid w:val="0"/>
          <w:sz w:val="32"/>
          <w:szCs w:val="32"/>
        </w:rPr>
      </w:pPr>
      <w:r w:rsidRPr="00BB6D30">
        <w:rPr>
          <w:b/>
          <w:bCs/>
          <w:i/>
        </w:rPr>
        <w:lastRenderedPageBreak/>
        <w:t>This restriction may be subject to further review. Should there be any changes made to the restriction the sponsor will be informed</w:t>
      </w:r>
      <w:r w:rsidRPr="007F262A">
        <w:t>.</w:t>
      </w:r>
    </w:p>
    <w:p w14:paraId="7E202F42" w14:textId="77777777" w:rsidR="006260D2" w:rsidRPr="00873941" w:rsidRDefault="006260D2">
      <w:pPr>
        <w:jc w:val="left"/>
      </w:pPr>
    </w:p>
    <w:p w14:paraId="021F180A" w14:textId="77777777" w:rsidR="007D17AB" w:rsidRPr="00653F25" w:rsidRDefault="007D17AB" w:rsidP="007D17AB">
      <w:pPr>
        <w:keepNext/>
        <w:numPr>
          <w:ilvl w:val="0"/>
          <w:numId w:val="5"/>
        </w:numPr>
        <w:spacing w:before="240" w:after="120"/>
        <w:jc w:val="left"/>
        <w:outlineLvl w:val="0"/>
        <w:rPr>
          <w:rFonts w:asciiTheme="minorHAnsi" w:hAnsiTheme="minorHAnsi"/>
          <w:b/>
          <w:snapToGrid w:val="0"/>
          <w:sz w:val="32"/>
          <w:szCs w:val="32"/>
        </w:rPr>
      </w:pPr>
      <w:r w:rsidRPr="00653F25">
        <w:rPr>
          <w:rFonts w:asciiTheme="minorHAnsi" w:hAnsiTheme="minorHAnsi"/>
          <w:b/>
          <w:snapToGrid w:val="0"/>
          <w:sz w:val="32"/>
          <w:szCs w:val="32"/>
        </w:rPr>
        <w:t>Context for Decision</w:t>
      </w:r>
    </w:p>
    <w:p w14:paraId="7DE9E2A3" w14:textId="77777777" w:rsidR="007D17AB" w:rsidRPr="00653F25" w:rsidRDefault="007D17AB" w:rsidP="007D17AB">
      <w:pPr>
        <w:spacing w:after="120"/>
        <w:ind w:left="720"/>
        <w:rPr>
          <w:bCs/>
          <w:lang w:val="en-GB"/>
        </w:rPr>
      </w:pPr>
      <w:r w:rsidRPr="00653F25">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0A89177" w14:textId="77777777" w:rsidR="007D17AB" w:rsidRPr="00653F25" w:rsidRDefault="007D17AB" w:rsidP="007D17AB">
      <w:pPr>
        <w:keepNext/>
        <w:numPr>
          <w:ilvl w:val="0"/>
          <w:numId w:val="5"/>
        </w:numPr>
        <w:spacing w:before="240" w:after="120"/>
        <w:jc w:val="left"/>
        <w:outlineLvl w:val="0"/>
        <w:rPr>
          <w:rFonts w:asciiTheme="minorHAnsi" w:hAnsiTheme="minorHAnsi"/>
          <w:b/>
          <w:snapToGrid w:val="0"/>
          <w:sz w:val="32"/>
          <w:szCs w:val="32"/>
        </w:rPr>
      </w:pPr>
      <w:r w:rsidRPr="00653F25">
        <w:rPr>
          <w:rFonts w:asciiTheme="minorHAnsi" w:hAnsiTheme="minorHAnsi"/>
          <w:b/>
          <w:snapToGrid w:val="0"/>
          <w:sz w:val="32"/>
          <w:szCs w:val="32"/>
        </w:rPr>
        <w:t>Sponsor’s Comment</w:t>
      </w:r>
    </w:p>
    <w:p w14:paraId="1B976CAF" w14:textId="47E0C58C" w:rsidR="00BE46B7" w:rsidRPr="00653F25" w:rsidRDefault="00481EE1" w:rsidP="007D17AB">
      <w:pPr>
        <w:spacing w:after="120" w:line="276" w:lineRule="auto"/>
        <w:ind w:left="720"/>
        <w:rPr>
          <w:rFonts w:eastAsia="Calibri"/>
          <w:bCs/>
          <w:szCs w:val="22"/>
          <w:lang w:eastAsia="en-US"/>
        </w:rPr>
      </w:pPr>
      <w:r>
        <w:rPr>
          <w:rFonts w:eastAsia="Calibri"/>
          <w:bCs/>
          <w:szCs w:val="22"/>
          <w:lang w:val="en-GB" w:eastAsia="en-US"/>
        </w:rPr>
        <w:t>Roche welcomes the PBAC’s decision to recommend pertuzumab for the treatment of patients with HER2-positive high-risk early breast cancer</w:t>
      </w:r>
      <w:r w:rsidR="00BE46B7">
        <w:rPr>
          <w:rFonts w:eastAsia="Calibri"/>
          <w:bCs/>
          <w:szCs w:val="22"/>
          <w:lang w:val="en-GB" w:eastAsia="en-US"/>
        </w:rPr>
        <w:t xml:space="preserve"> and is working with the Department of Health towards a PBS listing.</w:t>
      </w:r>
    </w:p>
    <w:p w14:paraId="125F39D5" w14:textId="509BD334" w:rsidR="00981050" w:rsidRPr="00873941" w:rsidRDefault="00981050">
      <w:pPr>
        <w:jc w:val="left"/>
        <w:rPr>
          <w:rFonts w:asciiTheme="minorHAnsi" w:hAnsiTheme="minorHAnsi"/>
          <w:b/>
          <w:snapToGrid w:val="0"/>
          <w:sz w:val="32"/>
          <w:szCs w:val="32"/>
        </w:rPr>
      </w:pPr>
    </w:p>
    <w:sectPr w:rsidR="00981050" w:rsidRPr="00873941" w:rsidSect="00E108EA">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32A9B" w14:textId="77777777" w:rsidR="00151281" w:rsidRDefault="00151281" w:rsidP="00124A51">
      <w:r>
        <w:separator/>
      </w:r>
    </w:p>
    <w:p w14:paraId="263665F6" w14:textId="77777777" w:rsidR="00151281" w:rsidRDefault="00151281"/>
  </w:endnote>
  <w:endnote w:type="continuationSeparator" w:id="0">
    <w:p w14:paraId="5C7B85A3" w14:textId="77777777" w:rsidR="00151281" w:rsidRDefault="00151281" w:rsidP="00124A51">
      <w:r>
        <w:continuationSeparator/>
      </w:r>
    </w:p>
    <w:p w14:paraId="09C2B521" w14:textId="77777777" w:rsidR="00151281" w:rsidRDefault="00151281"/>
  </w:endnote>
  <w:endnote w:type="continuationNotice" w:id="1">
    <w:p w14:paraId="050AC372" w14:textId="77777777" w:rsidR="00151281" w:rsidRDefault="00151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51FF" w14:textId="77777777" w:rsidR="00471EB9" w:rsidRDefault="00471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B30EA5" w:rsidRDefault="00B30EA5" w:rsidP="00753B29">
    <w:pPr>
      <w:pStyle w:val="Footer"/>
      <w:jc w:val="center"/>
    </w:pPr>
  </w:p>
  <w:p w14:paraId="37484CD3" w14:textId="0EE553EB" w:rsidR="00B30EA5" w:rsidRPr="00AE60D1" w:rsidRDefault="00E6133E" w:rsidP="006028D3">
    <w:pPr>
      <w:pStyle w:val="PageFooter"/>
    </w:pPr>
    <w:sdt>
      <w:sdtPr>
        <w:id w:val="1036156457"/>
        <w:docPartObj>
          <w:docPartGallery w:val="Page Numbers (Bottom of Page)"/>
          <w:docPartUnique/>
        </w:docPartObj>
      </w:sdtPr>
      <w:sdtEndPr>
        <w:rPr>
          <w:noProof/>
        </w:rPr>
      </w:sdtEndPr>
      <w:sdtContent>
        <w:r w:rsidR="00B30EA5" w:rsidRPr="00AE60D1">
          <w:fldChar w:fldCharType="begin"/>
        </w:r>
        <w:r w:rsidR="00B30EA5" w:rsidRPr="00AE60D1">
          <w:instrText xml:space="preserve"> PAGE   \* MERGEFORMAT </w:instrText>
        </w:r>
        <w:r w:rsidR="00B30EA5" w:rsidRPr="00AE60D1">
          <w:fldChar w:fldCharType="separate"/>
        </w:r>
        <w:r w:rsidR="001B1753">
          <w:rPr>
            <w:noProof/>
          </w:rPr>
          <w:t>45</w:t>
        </w:r>
        <w:r w:rsidR="00B30EA5" w:rsidRPr="00AE60D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ED2E" w14:textId="77777777" w:rsidR="00471EB9" w:rsidRDefault="00471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6ACAC" w14:textId="77777777" w:rsidR="00151281" w:rsidRDefault="00151281" w:rsidP="00124A51">
      <w:r>
        <w:separator/>
      </w:r>
    </w:p>
    <w:p w14:paraId="30DB0C97" w14:textId="77777777" w:rsidR="00151281" w:rsidRDefault="00151281"/>
  </w:footnote>
  <w:footnote w:type="continuationSeparator" w:id="0">
    <w:p w14:paraId="40F13401" w14:textId="77777777" w:rsidR="00151281" w:rsidRDefault="00151281" w:rsidP="00124A51">
      <w:r>
        <w:continuationSeparator/>
      </w:r>
    </w:p>
    <w:p w14:paraId="0064D6A5" w14:textId="77777777" w:rsidR="00151281" w:rsidRDefault="00151281"/>
  </w:footnote>
  <w:footnote w:type="continuationNotice" w:id="1">
    <w:p w14:paraId="70893F7E" w14:textId="77777777" w:rsidR="00151281" w:rsidRDefault="00151281"/>
  </w:footnote>
  <w:footnote w:id="2">
    <w:p w14:paraId="13E3831A" w14:textId="77777777" w:rsidR="00B30EA5" w:rsidRPr="00AD30EE" w:rsidRDefault="00B30EA5" w:rsidP="006676B1">
      <w:pPr>
        <w:pStyle w:val="FootnoteText"/>
        <w:rPr>
          <w:lang w:val="en-US"/>
        </w:rPr>
      </w:pPr>
      <w:r>
        <w:rPr>
          <w:rStyle w:val="FootnoteReference"/>
        </w:rPr>
        <w:footnoteRef/>
      </w:r>
      <w:r>
        <w:t xml:space="preserve"> </w:t>
      </w:r>
      <w:r w:rsidRPr="003B65BF">
        <w:t xml:space="preserve">Australian Public Assessment Report for pertuzumab. Australian Government, Dept of Health. Therapeutic Goods </w:t>
      </w:r>
      <w:r w:rsidRPr="00AD30EE">
        <w:t xml:space="preserve">Administration. </w:t>
      </w:r>
      <w:hyperlink r:id="rId1" w:history="1">
        <w:r w:rsidRPr="00AD30EE">
          <w:rPr>
            <w:rStyle w:val="Hyperlink"/>
            <w:color w:val="auto"/>
          </w:rPr>
          <w:t>https://www.tga.gov.au/sites/default/files/auspar-pertuzumab-160616.pdf</w:t>
        </w:r>
      </w:hyperlink>
      <w:r w:rsidRPr="00AD30EE">
        <w:t xml:space="preserve"> [accessed 11-Dec-24]</w:t>
      </w:r>
    </w:p>
  </w:footnote>
  <w:footnote w:id="3">
    <w:p w14:paraId="1A292CA0" w14:textId="77777777" w:rsidR="00B30EA5" w:rsidRPr="00AD30EE" w:rsidRDefault="00B30EA5" w:rsidP="006676B1">
      <w:pPr>
        <w:pStyle w:val="FootnoteText"/>
        <w:jc w:val="left"/>
        <w:rPr>
          <w:lang w:val="en-US"/>
        </w:rPr>
      </w:pPr>
      <w:r w:rsidRPr="00AD30EE">
        <w:rPr>
          <w:rStyle w:val="FootnoteReference"/>
        </w:rPr>
        <w:footnoteRef/>
      </w:r>
      <w:r w:rsidRPr="00AD30EE">
        <w:t xml:space="preserve"> PERJETA (Roche Products Pty Ltd). Australian Government. Therapeutic Goods Administration. </w:t>
      </w:r>
      <w:hyperlink r:id="rId2" w:history="1">
        <w:r w:rsidRPr="00AD30EE">
          <w:rPr>
            <w:rStyle w:val="Hyperlink"/>
            <w:color w:val="auto"/>
          </w:rPr>
          <w:t>https://www.tga.gov.au/resources/prescription-medicines-registrations/perjeta-roche-products-pty-ltd</w:t>
        </w:r>
      </w:hyperlink>
      <w:r w:rsidRPr="00AD30EE">
        <w:t xml:space="preserve"> [accessed 11-Dec-24]</w:t>
      </w:r>
    </w:p>
  </w:footnote>
  <w:footnote w:id="4">
    <w:p w14:paraId="38A1C819" w14:textId="77777777" w:rsidR="00B30EA5" w:rsidRPr="00AC3EEF" w:rsidRDefault="00B30EA5" w:rsidP="006676B1">
      <w:pPr>
        <w:pStyle w:val="FootnoteText"/>
        <w:rPr>
          <w:lang w:val="en-US"/>
        </w:rPr>
      </w:pPr>
      <w:r>
        <w:rPr>
          <w:rStyle w:val="FootnoteReference"/>
        </w:rPr>
        <w:footnoteRef/>
      </w:r>
      <w:r>
        <w:t xml:space="preserve"> </w:t>
      </w:r>
      <w:r w:rsidRPr="003B65BF">
        <w:t>PERJETA pertuzumab (</w:t>
      </w:r>
      <w:proofErr w:type="spellStart"/>
      <w:r w:rsidRPr="003B65BF">
        <w:t>rch</w:t>
      </w:r>
      <w:proofErr w:type="spellEnd"/>
      <w:r w:rsidRPr="003B65BF">
        <w:t xml:space="preserve">) 30mg/mL concentrate injection vial (196218). Australian Government. Therapeutic Goods Administration. </w:t>
      </w:r>
      <w:hyperlink r:id="rId3" w:history="1">
        <w:r w:rsidRPr="00D0388A">
          <w:rPr>
            <w:rStyle w:val="Hyperlink"/>
          </w:rPr>
          <w:t>https://www.tga.gov.au/resources/artg/196218</w:t>
        </w:r>
      </w:hyperlink>
      <w:r>
        <w:t xml:space="preserve"> [accessed 11-Dec-24]</w:t>
      </w:r>
    </w:p>
  </w:footnote>
  <w:footnote w:id="5">
    <w:p w14:paraId="2DADF4A4" w14:textId="5F24728A" w:rsidR="00B30EA5" w:rsidRPr="002A2B70" w:rsidRDefault="00B30EA5">
      <w:pPr>
        <w:pStyle w:val="FootnoteText"/>
        <w:rPr>
          <w:lang w:val="en-US"/>
        </w:rPr>
      </w:pPr>
      <w:r>
        <w:rPr>
          <w:rStyle w:val="FootnoteReference"/>
        </w:rPr>
        <w:footnoteRef/>
      </w:r>
      <w:r>
        <w:t xml:space="preserve"> </w:t>
      </w:r>
      <w:r>
        <w:rPr>
          <w:lang w:val="en-US"/>
        </w:rPr>
        <w:t xml:space="preserve">Ex-manufacturer prices (Efficient Funding of Chemotherapy) – 1 December 2024. Available online at </w:t>
      </w:r>
      <w:hyperlink r:id="rId4" w:history="1">
        <w:r w:rsidRPr="00912EF5">
          <w:rPr>
            <w:rStyle w:val="Hyperlink"/>
            <w:lang w:val="en-US"/>
          </w:rPr>
          <w:t>https://www.pbs.gov.au/info/industry/pricing/ex-manufacturer-price</w:t>
        </w:r>
      </w:hyperlink>
      <w:r>
        <w:rPr>
          <w:lang w:val="en-US"/>
        </w:rPr>
        <w:t>. [Accessed 16-Dec-24].</w:t>
      </w:r>
    </w:p>
  </w:footnote>
  <w:footnote w:id="6">
    <w:p w14:paraId="351DF796" w14:textId="4D6EB285" w:rsidR="00B30EA5" w:rsidRPr="00E774CE" w:rsidRDefault="00B30EA5">
      <w:pPr>
        <w:pStyle w:val="FootnoteText"/>
        <w:rPr>
          <w:lang w:val="en-US"/>
        </w:rPr>
      </w:pPr>
      <w:r>
        <w:rPr>
          <w:rStyle w:val="FootnoteReference"/>
        </w:rPr>
        <w:footnoteRef/>
      </w:r>
      <w:r>
        <w:t xml:space="preserve"> </w:t>
      </w:r>
      <w:r w:rsidRPr="00E774CE">
        <w:t>Dowling GP, Keelan S, Toomey S, et al. 2023. Review of the status of neoadjuvant therapy in HER2-positive breast cancer. Front Oncol 13: 1066007.</w:t>
      </w:r>
    </w:p>
  </w:footnote>
  <w:footnote w:id="7">
    <w:p w14:paraId="4F0AC551" w14:textId="14658BCB" w:rsidR="00B30EA5" w:rsidRPr="00E774CE" w:rsidRDefault="00B30EA5" w:rsidP="00E774CE">
      <w:pPr>
        <w:pStyle w:val="FootnoteText"/>
        <w:rPr>
          <w:lang w:val="en-US"/>
        </w:rPr>
      </w:pPr>
      <w:r>
        <w:rPr>
          <w:rStyle w:val="FootnoteReference"/>
        </w:rPr>
        <w:footnoteRef/>
      </w:r>
      <w:r>
        <w:t xml:space="preserve"> </w:t>
      </w:r>
      <w:r>
        <w:rPr>
          <w:lang w:val="en-US"/>
        </w:rPr>
        <w:t xml:space="preserve">Loibl S, Andre F, et al. (2024) </w:t>
      </w:r>
      <w:r w:rsidRPr="00E774CE">
        <w:rPr>
          <w:lang w:val="en-US"/>
        </w:rPr>
        <w:t>Early breast cancer: ESMO Clinical Practice Guideline for diagnosis,</w:t>
      </w:r>
      <w:r>
        <w:rPr>
          <w:lang w:val="en-US"/>
        </w:rPr>
        <w:t xml:space="preserve"> </w:t>
      </w:r>
      <w:r w:rsidRPr="00E774CE">
        <w:rPr>
          <w:lang w:val="en-US"/>
        </w:rPr>
        <w:t>treatment and follow-up</w:t>
      </w:r>
      <w:r>
        <w:rPr>
          <w:lang w:val="en-US"/>
        </w:rPr>
        <w:t xml:space="preserve">. </w:t>
      </w:r>
      <w:r>
        <w:rPr>
          <w:i/>
          <w:iCs/>
          <w:lang w:val="en-US"/>
        </w:rPr>
        <w:t xml:space="preserve">Ann Oncol. </w:t>
      </w:r>
      <w:r>
        <w:rPr>
          <w:lang w:val="en-US"/>
        </w:rPr>
        <w:t>35(2):159-182.</w:t>
      </w:r>
    </w:p>
  </w:footnote>
  <w:footnote w:id="8">
    <w:p w14:paraId="11BC3317" w14:textId="77777777" w:rsidR="00B30EA5" w:rsidRDefault="00B30EA5" w:rsidP="00984327">
      <w:pPr>
        <w:pStyle w:val="FootnoteText"/>
      </w:pPr>
      <w:r>
        <w:rPr>
          <w:rStyle w:val="FootnoteReference"/>
        </w:rPr>
        <w:footnoteRef/>
      </w:r>
      <w:r>
        <w:t xml:space="preserve"> </w:t>
      </w:r>
      <w:r w:rsidRPr="00ED4085">
        <w:t xml:space="preserve">Harbeck N. Neoadjuvant and adjuvant treatment of patients with HER2-positive early breast cancer. Breast. 2022 Mar;62 Suppl 1(Suppl 1):S12-S16. </w:t>
      </w:r>
      <w:proofErr w:type="spellStart"/>
      <w:r w:rsidRPr="00ED4085">
        <w:t>doi</w:t>
      </w:r>
      <w:proofErr w:type="spellEnd"/>
      <w:r w:rsidRPr="00ED4085">
        <w:t xml:space="preserve">: 10.1016/j.breast.2022.01.006. </w:t>
      </w:r>
      <w:proofErr w:type="spellStart"/>
      <w:r w:rsidRPr="00ED4085">
        <w:t>Epub</w:t>
      </w:r>
      <w:proofErr w:type="spellEnd"/>
      <w:r w:rsidRPr="00ED4085">
        <w:t xml:space="preserve"> 2022 Jan 19. PMID: 35148934; PMCID: PMC9097807.</w:t>
      </w:r>
    </w:p>
  </w:footnote>
  <w:footnote w:id="9">
    <w:p w14:paraId="1FCAB2DD" w14:textId="1D27EFCD" w:rsidR="00B30EA5" w:rsidRPr="00842422" w:rsidRDefault="00B30EA5">
      <w:pPr>
        <w:pStyle w:val="FootnoteText"/>
      </w:pPr>
      <w:r w:rsidRPr="00842422">
        <w:rPr>
          <w:rStyle w:val="FootnoteReference"/>
        </w:rPr>
        <w:footnoteRef/>
      </w:r>
      <w:r w:rsidRPr="00842422">
        <w:t xml:space="preserve"> </w:t>
      </w:r>
      <w:r w:rsidRPr="00842422">
        <w:rPr>
          <w:rFonts w:asciiTheme="minorHAnsi" w:hAnsiTheme="minorHAnsi"/>
          <w:bCs/>
          <w:snapToGrid w:val="0"/>
        </w:rPr>
        <w:t>Cherny NI, Dafni U, Bogaerts J, et al: ESMO-Magnitude of Clinical Benefit Scale version 1.1. Annals of Oncology 28:2340-2366, 2017</w:t>
      </w:r>
    </w:p>
  </w:footnote>
  <w:footnote w:id="10">
    <w:p w14:paraId="529A30C9" w14:textId="0B39DB46" w:rsidR="00B30EA5" w:rsidRPr="00317D77" w:rsidRDefault="00B30EA5">
      <w:pPr>
        <w:pStyle w:val="FootnoteText"/>
        <w:rPr>
          <w:lang w:val="en-US"/>
        </w:rPr>
      </w:pPr>
      <w:r>
        <w:rPr>
          <w:rStyle w:val="FootnoteReference"/>
        </w:rPr>
        <w:footnoteRef/>
      </w:r>
      <w:r>
        <w:t xml:space="preserve"> </w:t>
      </w:r>
      <w:r w:rsidRPr="00317D77">
        <w:t>Spring L, et al</w:t>
      </w:r>
      <w:r>
        <w:t>. (2018)</w:t>
      </w:r>
      <w:r w:rsidRPr="00317D77">
        <w:t xml:space="preserve"> Pathological complete response after neoadjuvant chemotherapy and impact on breast cancer recurrence and survival, stratified by breast cancer subtypes and adjuvant chemotherapy usage. San Antonio Breast Cancer Symposium. Abstract GS2-03. Presented December 5, 2018.</w:t>
      </w:r>
    </w:p>
  </w:footnote>
  <w:footnote w:id="11">
    <w:p w14:paraId="4E47A0C1" w14:textId="01DB91D6" w:rsidR="00B30EA5" w:rsidRPr="00317D77" w:rsidRDefault="00B30EA5">
      <w:pPr>
        <w:pStyle w:val="FootnoteText"/>
        <w:rPr>
          <w:lang w:val="en-US"/>
        </w:rPr>
      </w:pPr>
      <w:r>
        <w:rPr>
          <w:rStyle w:val="FootnoteReference"/>
        </w:rPr>
        <w:footnoteRef/>
      </w:r>
      <w:r>
        <w:t xml:space="preserve"> </w:t>
      </w:r>
      <w:r w:rsidRPr="00317D77">
        <w:t>Spring L, Fell G, et al.</w:t>
      </w:r>
      <w:r>
        <w:t xml:space="preserve"> (2020)</w:t>
      </w:r>
      <w:r w:rsidRPr="00317D77">
        <w:t xml:space="preserve"> Pathologic Complete Response after Neoadjuvant Chemotherapy and Impact on Breast Cancer Recurrence and Survival: A Comprehensive Meta-Analysis</w:t>
      </w:r>
      <w:r>
        <w:t>,</w:t>
      </w:r>
      <w:r w:rsidRPr="00317D77">
        <w:t xml:space="preserve"> Clin Cancer Res</w:t>
      </w:r>
      <w:r>
        <w:t>,</w:t>
      </w:r>
      <w:r w:rsidRPr="00317D77">
        <w:t xml:space="preserve"> 26:2838-48.</w:t>
      </w:r>
    </w:p>
  </w:footnote>
  <w:footnote w:id="12">
    <w:p w14:paraId="045D3FBA" w14:textId="51A3C20C" w:rsidR="00B30EA5" w:rsidRPr="00070B49" w:rsidRDefault="00B30EA5">
      <w:pPr>
        <w:pStyle w:val="FootnoteText"/>
        <w:rPr>
          <w:lang w:val="en-US"/>
        </w:rPr>
      </w:pPr>
      <w:r>
        <w:rPr>
          <w:rStyle w:val="FootnoteReference"/>
        </w:rPr>
        <w:footnoteRef/>
      </w:r>
      <w:r>
        <w:t xml:space="preserve"> </w:t>
      </w:r>
      <w:r w:rsidRPr="00070B49">
        <w:t>Swain SM, Macharia H, Cortes J, et al. 2022. Event-Free Survival in Patients with Early HER2-Positive Breast Cancer with a Pathological Complete Response after HER2-Targeted Therapy: A Pooled Analysis. Cancers (Basel) 14(20). Available at: 10.3390/cancers14205051</w:t>
      </w:r>
    </w:p>
  </w:footnote>
  <w:footnote w:id="13">
    <w:p w14:paraId="70D47C48" w14:textId="28326B13" w:rsidR="00B30EA5" w:rsidRDefault="00B30EA5">
      <w:pPr>
        <w:pStyle w:val="FootnoteText"/>
      </w:pPr>
      <w:r>
        <w:rPr>
          <w:rStyle w:val="FootnoteReference"/>
        </w:rPr>
        <w:footnoteRef/>
      </w:r>
      <w:r>
        <w:t xml:space="preserve"> Loibl et al (2024) Adjuvant Pertuzumab and Trastuzumab in Early Human Epidermal Growth Factor Receptor 2-Positive Breast Cancer in the APHINITY Trial: Third Interim Overall Survival Analysis With Efficacy Update. </w:t>
      </w:r>
      <w:r w:rsidRPr="001A0738">
        <w:rPr>
          <w:i/>
          <w:iCs/>
        </w:rPr>
        <w:t>Journal of clinical Oncology Volume 42, Number 31</w:t>
      </w:r>
      <w:r>
        <w:t xml:space="preserve"> </w:t>
      </w:r>
      <w:hyperlink r:id="rId5" w:history="1">
        <w:r w:rsidRPr="001A0738">
          <w:rPr>
            <w:rStyle w:val="Hyperlink"/>
          </w:rPr>
          <w:t>https://doi.org/10.1200/JCO.23.02505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76A0" w14:textId="77777777" w:rsidR="00471EB9" w:rsidRDefault="00471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15076CBF" w:rsidR="00B30EA5" w:rsidRPr="00195452" w:rsidRDefault="00B30EA5" w:rsidP="00D822E2">
    <w:pPr>
      <w:pStyle w:val="Header"/>
      <w:rPr>
        <w:rFonts w:asciiTheme="minorHAnsi" w:hAnsiTheme="minorHAnsi"/>
        <w:i w:val="0"/>
        <w:color w:val="808080"/>
      </w:rPr>
    </w:pPr>
    <w:r w:rsidRPr="00886A19">
      <w:rPr>
        <w:rFonts w:asciiTheme="minorHAnsi" w:hAnsiTheme="minorHAnsi"/>
        <w:color w:val="808080"/>
      </w:rPr>
      <w:t xml:space="preserve">Public Summary Document </w:t>
    </w:r>
    <w:r>
      <w:rPr>
        <w:rFonts w:asciiTheme="minorHAnsi" w:hAnsiTheme="minorHAnsi"/>
        <w:color w:val="808080"/>
      </w:rPr>
      <w:t xml:space="preserve">- March 2025 </w:t>
    </w:r>
    <w:r w:rsidRPr="00195452">
      <w:rPr>
        <w:rFonts w:asciiTheme="minorHAnsi" w:hAnsiTheme="minorHAnsi"/>
        <w:color w:val="808080"/>
      </w:rPr>
      <w:t>PBAC Meeting</w:t>
    </w:r>
  </w:p>
  <w:p w14:paraId="03AF943B" w14:textId="77777777" w:rsidR="00B30EA5" w:rsidRPr="008C7ECB" w:rsidRDefault="00B30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62CE" w14:textId="77777777" w:rsidR="00471EB9" w:rsidRDefault="00471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D65FFB"/>
    <w:multiLevelType w:val="hybridMultilevel"/>
    <w:tmpl w:val="C444F850"/>
    <w:lvl w:ilvl="0" w:tplc="0C09001B">
      <w:start w:val="1"/>
      <w:numFmt w:val="lowerRoman"/>
      <w:lvlText w:val="%1."/>
      <w:lvlJc w:val="right"/>
      <w:pPr>
        <w:ind w:left="1778"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346AD7"/>
    <w:multiLevelType w:val="hybridMultilevel"/>
    <w:tmpl w:val="CEA8AC1E"/>
    <w:lvl w:ilvl="0" w:tplc="681ED70C">
      <w:start w:val="1"/>
      <w:numFmt w:val="bullet"/>
      <w:pStyle w:val="ListParagraph"/>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226141F"/>
    <w:multiLevelType w:val="hybridMultilevel"/>
    <w:tmpl w:val="1C764026"/>
    <w:lvl w:ilvl="0" w:tplc="5CC6A47E">
      <w:start w:val="40"/>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87629"/>
    <w:multiLevelType w:val="hybridMultilevel"/>
    <w:tmpl w:val="28B2B3E4"/>
    <w:lvl w:ilvl="0" w:tplc="FF483584">
      <w:start w:val="1"/>
      <w:numFmt w:val="bullet"/>
      <w:pStyle w:val="Table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594316"/>
    <w:multiLevelType w:val="hybridMultilevel"/>
    <w:tmpl w:val="A97C74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573282F"/>
    <w:multiLevelType w:val="hybridMultilevel"/>
    <w:tmpl w:val="8E8C0544"/>
    <w:lvl w:ilvl="0" w:tplc="083AE91A">
      <w:numFmt w:val="bullet"/>
      <w:lvlText w:val="•"/>
      <w:lvlJc w:val="left"/>
      <w:pPr>
        <w:ind w:left="1080" w:hanging="72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6237B06"/>
    <w:multiLevelType w:val="hybridMultilevel"/>
    <w:tmpl w:val="EFECF2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84D033C"/>
    <w:multiLevelType w:val="multilevel"/>
    <w:tmpl w:val="2B54947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62835935">
    <w:abstractNumId w:val="11"/>
  </w:num>
  <w:num w:numId="2" w16cid:durableId="129789528">
    <w:abstractNumId w:val="0"/>
  </w:num>
  <w:num w:numId="3" w16cid:durableId="424763244">
    <w:abstractNumId w:val="17"/>
  </w:num>
  <w:num w:numId="4" w16cid:durableId="1306469425">
    <w:abstractNumId w:val="8"/>
  </w:num>
  <w:num w:numId="5" w16cid:durableId="1934120978">
    <w:abstractNumId w:val="22"/>
  </w:num>
  <w:num w:numId="6" w16cid:durableId="1565599571">
    <w:abstractNumId w:val="18"/>
  </w:num>
  <w:num w:numId="7" w16cid:durableId="499277742">
    <w:abstractNumId w:val="10"/>
  </w:num>
  <w:num w:numId="8" w16cid:durableId="1885749503">
    <w:abstractNumId w:val="16"/>
  </w:num>
  <w:num w:numId="9" w16cid:durableId="22828205">
    <w:abstractNumId w:val="21"/>
  </w:num>
  <w:num w:numId="10" w16cid:durableId="1320188226">
    <w:abstractNumId w:val="8"/>
  </w:num>
  <w:num w:numId="11" w16cid:durableId="837773258">
    <w:abstractNumId w:val="9"/>
  </w:num>
  <w:num w:numId="12" w16cid:durableId="2134400503">
    <w:abstractNumId w:val="12"/>
  </w:num>
  <w:num w:numId="13" w16cid:durableId="1346131073">
    <w:abstractNumId w:val="14"/>
  </w:num>
  <w:num w:numId="14" w16cid:durableId="504367874">
    <w:abstractNumId w:val="4"/>
  </w:num>
  <w:num w:numId="15" w16cid:durableId="2099325364">
    <w:abstractNumId w:val="19"/>
  </w:num>
  <w:num w:numId="16" w16cid:durableId="212280295">
    <w:abstractNumId w:val="2"/>
  </w:num>
  <w:num w:numId="17" w16cid:durableId="1515606185">
    <w:abstractNumId w:val="13"/>
  </w:num>
  <w:num w:numId="18" w16cid:durableId="1240166967">
    <w:abstractNumId w:val="3"/>
  </w:num>
  <w:num w:numId="19" w16cid:durableId="1703094635">
    <w:abstractNumId w:val="1"/>
  </w:num>
  <w:num w:numId="20" w16cid:durableId="1783070647">
    <w:abstractNumId w:val="6"/>
  </w:num>
  <w:num w:numId="21" w16cid:durableId="1983004760">
    <w:abstractNumId w:val="7"/>
  </w:num>
  <w:num w:numId="22" w16cid:durableId="1453210651">
    <w:abstractNumId w:val="5"/>
  </w:num>
  <w:num w:numId="23" w16cid:durableId="56402662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905318">
    <w:abstractNumId w:val="20"/>
  </w:num>
  <w:num w:numId="25" w16cid:durableId="3116416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1MDIyNzUxsDA1MTFS0lEKTi0uzszPAymwqAUAQml44iwAAAA="/>
  </w:docVars>
  <w:rsids>
    <w:rsidRoot w:val="00E65E79"/>
    <w:rsid w:val="00000576"/>
    <w:rsid w:val="00000790"/>
    <w:rsid w:val="00000A5B"/>
    <w:rsid w:val="0000110B"/>
    <w:rsid w:val="00002521"/>
    <w:rsid w:val="000027A2"/>
    <w:rsid w:val="00002E82"/>
    <w:rsid w:val="00003012"/>
    <w:rsid w:val="00003499"/>
    <w:rsid w:val="000039B7"/>
    <w:rsid w:val="000043BD"/>
    <w:rsid w:val="000047A0"/>
    <w:rsid w:val="00004D2D"/>
    <w:rsid w:val="00005497"/>
    <w:rsid w:val="00005499"/>
    <w:rsid w:val="0000552B"/>
    <w:rsid w:val="000056B9"/>
    <w:rsid w:val="00006016"/>
    <w:rsid w:val="0000639A"/>
    <w:rsid w:val="0000695A"/>
    <w:rsid w:val="00006D7D"/>
    <w:rsid w:val="00006E1E"/>
    <w:rsid w:val="000070FE"/>
    <w:rsid w:val="000071E3"/>
    <w:rsid w:val="000104B1"/>
    <w:rsid w:val="00010932"/>
    <w:rsid w:val="000113BA"/>
    <w:rsid w:val="00011D50"/>
    <w:rsid w:val="00012C47"/>
    <w:rsid w:val="00013247"/>
    <w:rsid w:val="00015886"/>
    <w:rsid w:val="000162EF"/>
    <w:rsid w:val="00016842"/>
    <w:rsid w:val="00016D90"/>
    <w:rsid w:val="00017163"/>
    <w:rsid w:val="000207C9"/>
    <w:rsid w:val="000210AB"/>
    <w:rsid w:val="00021168"/>
    <w:rsid w:val="000214C8"/>
    <w:rsid w:val="0002194E"/>
    <w:rsid w:val="0002225F"/>
    <w:rsid w:val="00022687"/>
    <w:rsid w:val="0002298D"/>
    <w:rsid w:val="00022A1D"/>
    <w:rsid w:val="00022AC8"/>
    <w:rsid w:val="00023763"/>
    <w:rsid w:val="0002474F"/>
    <w:rsid w:val="00024EB5"/>
    <w:rsid w:val="0002532A"/>
    <w:rsid w:val="0002579B"/>
    <w:rsid w:val="000259E9"/>
    <w:rsid w:val="00025D8B"/>
    <w:rsid w:val="0002668C"/>
    <w:rsid w:val="00026F97"/>
    <w:rsid w:val="00027066"/>
    <w:rsid w:val="000274B8"/>
    <w:rsid w:val="000301BF"/>
    <w:rsid w:val="000302D8"/>
    <w:rsid w:val="000304F5"/>
    <w:rsid w:val="00032DD6"/>
    <w:rsid w:val="000330BA"/>
    <w:rsid w:val="00033863"/>
    <w:rsid w:val="000339F6"/>
    <w:rsid w:val="00033F8B"/>
    <w:rsid w:val="00034345"/>
    <w:rsid w:val="00035DC0"/>
    <w:rsid w:val="00035EB3"/>
    <w:rsid w:val="00036829"/>
    <w:rsid w:val="000369EF"/>
    <w:rsid w:val="00040895"/>
    <w:rsid w:val="00040B7A"/>
    <w:rsid w:val="000410A0"/>
    <w:rsid w:val="0004129A"/>
    <w:rsid w:val="00041889"/>
    <w:rsid w:val="00042255"/>
    <w:rsid w:val="000435EE"/>
    <w:rsid w:val="00043929"/>
    <w:rsid w:val="00043B24"/>
    <w:rsid w:val="00043C37"/>
    <w:rsid w:val="00043DFD"/>
    <w:rsid w:val="00045017"/>
    <w:rsid w:val="00045A2B"/>
    <w:rsid w:val="0004698F"/>
    <w:rsid w:val="00046B0E"/>
    <w:rsid w:val="00046D64"/>
    <w:rsid w:val="00047C0A"/>
    <w:rsid w:val="00047FF1"/>
    <w:rsid w:val="000500FB"/>
    <w:rsid w:val="000508C2"/>
    <w:rsid w:val="000517C3"/>
    <w:rsid w:val="00051962"/>
    <w:rsid w:val="000539D0"/>
    <w:rsid w:val="00054621"/>
    <w:rsid w:val="000546D7"/>
    <w:rsid w:val="00054A8D"/>
    <w:rsid w:val="00055367"/>
    <w:rsid w:val="0005559C"/>
    <w:rsid w:val="00056ECF"/>
    <w:rsid w:val="000574C0"/>
    <w:rsid w:val="00057BD3"/>
    <w:rsid w:val="00057FF7"/>
    <w:rsid w:val="000604DF"/>
    <w:rsid w:val="00060911"/>
    <w:rsid w:val="00062324"/>
    <w:rsid w:val="00062383"/>
    <w:rsid w:val="00062475"/>
    <w:rsid w:val="0006304A"/>
    <w:rsid w:val="0006339E"/>
    <w:rsid w:val="000653B5"/>
    <w:rsid w:val="00065551"/>
    <w:rsid w:val="0006599C"/>
    <w:rsid w:val="00065DDD"/>
    <w:rsid w:val="000662FD"/>
    <w:rsid w:val="00066360"/>
    <w:rsid w:val="00066AF8"/>
    <w:rsid w:val="00066F15"/>
    <w:rsid w:val="00067A1E"/>
    <w:rsid w:val="00067DC7"/>
    <w:rsid w:val="00070B49"/>
    <w:rsid w:val="00071248"/>
    <w:rsid w:val="00071CEF"/>
    <w:rsid w:val="000720B9"/>
    <w:rsid w:val="000723DC"/>
    <w:rsid w:val="0007276C"/>
    <w:rsid w:val="00072A89"/>
    <w:rsid w:val="0007353A"/>
    <w:rsid w:val="000737F7"/>
    <w:rsid w:val="00073A27"/>
    <w:rsid w:val="00074035"/>
    <w:rsid w:val="0007489B"/>
    <w:rsid w:val="0007607D"/>
    <w:rsid w:val="0007672F"/>
    <w:rsid w:val="00076B54"/>
    <w:rsid w:val="00077473"/>
    <w:rsid w:val="000774F0"/>
    <w:rsid w:val="000808D4"/>
    <w:rsid w:val="00080909"/>
    <w:rsid w:val="000812BD"/>
    <w:rsid w:val="000812CA"/>
    <w:rsid w:val="00081A62"/>
    <w:rsid w:val="00081ADE"/>
    <w:rsid w:val="00081E63"/>
    <w:rsid w:val="00082230"/>
    <w:rsid w:val="000823D4"/>
    <w:rsid w:val="0008258D"/>
    <w:rsid w:val="00083E99"/>
    <w:rsid w:val="00084A85"/>
    <w:rsid w:val="00084CEA"/>
    <w:rsid w:val="00084FA8"/>
    <w:rsid w:val="00085614"/>
    <w:rsid w:val="000856C5"/>
    <w:rsid w:val="00085A54"/>
    <w:rsid w:val="00085C31"/>
    <w:rsid w:val="00085E0E"/>
    <w:rsid w:val="00086003"/>
    <w:rsid w:val="000902D9"/>
    <w:rsid w:val="0009091D"/>
    <w:rsid w:val="00090C7E"/>
    <w:rsid w:val="000910A9"/>
    <w:rsid w:val="000911AC"/>
    <w:rsid w:val="00091732"/>
    <w:rsid w:val="00092600"/>
    <w:rsid w:val="0009262B"/>
    <w:rsid w:val="00093310"/>
    <w:rsid w:val="0009445C"/>
    <w:rsid w:val="00094750"/>
    <w:rsid w:val="00095200"/>
    <w:rsid w:val="00095C9C"/>
    <w:rsid w:val="00095FE5"/>
    <w:rsid w:val="00096284"/>
    <w:rsid w:val="00096399"/>
    <w:rsid w:val="00097791"/>
    <w:rsid w:val="00097C95"/>
    <w:rsid w:val="000A1392"/>
    <w:rsid w:val="000A1BC0"/>
    <w:rsid w:val="000A1E6F"/>
    <w:rsid w:val="000A1EF9"/>
    <w:rsid w:val="000A2172"/>
    <w:rsid w:val="000A2F9E"/>
    <w:rsid w:val="000A2FEF"/>
    <w:rsid w:val="000A3C7C"/>
    <w:rsid w:val="000A3E47"/>
    <w:rsid w:val="000A42E7"/>
    <w:rsid w:val="000A45F5"/>
    <w:rsid w:val="000A522B"/>
    <w:rsid w:val="000A5649"/>
    <w:rsid w:val="000A573E"/>
    <w:rsid w:val="000A5974"/>
    <w:rsid w:val="000A6039"/>
    <w:rsid w:val="000A652D"/>
    <w:rsid w:val="000A67B4"/>
    <w:rsid w:val="000A68DD"/>
    <w:rsid w:val="000A6C4A"/>
    <w:rsid w:val="000A7345"/>
    <w:rsid w:val="000A7453"/>
    <w:rsid w:val="000A7577"/>
    <w:rsid w:val="000A76C8"/>
    <w:rsid w:val="000A7D08"/>
    <w:rsid w:val="000B0121"/>
    <w:rsid w:val="000B0670"/>
    <w:rsid w:val="000B094B"/>
    <w:rsid w:val="000B0BD9"/>
    <w:rsid w:val="000B0E75"/>
    <w:rsid w:val="000B1C80"/>
    <w:rsid w:val="000B213F"/>
    <w:rsid w:val="000B2615"/>
    <w:rsid w:val="000B2DCB"/>
    <w:rsid w:val="000B4C08"/>
    <w:rsid w:val="000B5CE0"/>
    <w:rsid w:val="000B6281"/>
    <w:rsid w:val="000B6CAC"/>
    <w:rsid w:val="000B6F07"/>
    <w:rsid w:val="000B7612"/>
    <w:rsid w:val="000B78AE"/>
    <w:rsid w:val="000B7F6A"/>
    <w:rsid w:val="000C0F45"/>
    <w:rsid w:val="000C274F"/>
    <w:rsid w:val="000C3DF9"/>
    <w:rsid w:val="000C4466"/>
    <w:rsid w:val="000C4B2F"/>
    <w:rsid w:val="000C4CF2"/>
    <w:rsid w:val="000C5D39"/>
    <w:rsid w:val="000C5F05"/>
    <w:rsid w:val="000C6713"/>
    <w:rsid w:val="000C7153"/>
    <w:rsid w:val="000C72E2"/>
    <w:rsid w:val="000C7D37"/>
    <w:rsid w:val="000C7F5D"/>
    <w:rsid w:val="000D00AD"/>
    <w:rsid w:val="000D035B"/>
    <w:rsid w:val="000D1A7F"/>
    <w:rsid w:val="000D1BFC"/>
    <w:rsid w:val="000D1D5D"/>
    <w:rsid w:val="000D1F1C"/>
    <w:rsid w:val="000D2130"/>
    <w:rsid w:val="000D281A"/>
    <w:rsid w:val="000D2848"/>
    <w:rsid w:val="000D3029"/>
    <w:rsid w:val="000D326A"/>
    <w:rsid w:val="000D3283"/>
    <w:rsid w:val="000D33C6"/>
    <w:rsid w:val="000D3EDD"/>
    <w:rsid w:val="000D51FB"/>
    <w:rsid w:val="000D67D3"/>
    <w:rsid w:val="000D6A31"/>
    <w:rsid w:val="000E03EC"/>
    <w:rsid w:val="000E0640"/>
    <w:rsid w:val="000E0DDC"/>
    <w:rsid w:val="000E1094"/>
    <w:rsid w:val="000E11A7"/>
    <w:rsid w:val="000E135D"/>
    <w:rsid w:val="000E1F86"/>
    <w:rsid w:val="000E229D"/>
    <w:rsid w:val="000E4DA7"/>
    <w:rsid w:val="000E5759"/>
    <w:rsid w:val="000E5B39"/>
    <w:rsid w:val="000E70AD"/>
    <w:rsid w:val="000E72DC"/>
    <w:rsid w:val="000E77C9"/>
    <w:rsid w:val="000F00BA"/>
    <w:rsid w:val="000F316A"/>
    <w:rsid w:val="000F3C74"/>
    <w:rsid w:val="000F4BB8"/>
    <w:rsid w:val="000F4FA9"/>
    <w:rsid w:val="000F50B3"/>
    <w:rsid w:val="000F53FB"/>
    <w:rsid w:val="000F6169"/>
    <w:rsid w:val="000F6862"/>
    <w:rsid w:val="000F7127"/>
    <w:rsid w:val="000F7B54"/>
    <w:rsid w:val="001000B3"/>
    <w:rsid w:val="00100F8A"/>
    <w:rsid w:val="00101090"/>
    <w:rsid w:val="00102743"/>
    <w:rsid w:val="0010343A"/>
    <w:rsid w:val="00103814"/>
    <w:rsid w:val="0010452E"/>
    <w:rsid w:val="00105AE2"/>
    <w:rsid w:val="001060C6"/>
    <w:rsid w:val="00106B80"/>
    <w:rsid w:val="00107225"/>
    <w:rsid w:val="0011032E"/>
    <w:rsid w:val="001114D9"/>
    <w:rsid w:val="001118BD"/>
    <w:rsid w:val="001122AE"/>
    <w:rsid w:val="00112BD7"/>
    <w:rsid w:val="0011348B"/>
    <w:rsid w:val="00113E8A"/>
    <w:rsid w:val="001141FF"/>
    <w:rsid w:val="001149C5"/>
    <w:rsid w:val="00114B23"/>
    <w:rsid w:val="00115664"/>
    <w:rsid w:val="00115982"/>
    <w:rsid w:val="00115CD1"/>
    <w:rsid w:val="00115F23"/>
    <w:rsid w:val="00116426"/>
    <w:rsid w:val="00116917"/>
    <w:rsid w:val="00116A63"/>
    <w:rsid w:val="00116C53"/>
    <w:rsid w:val="00116C58"/>
    <w:rsid w:val="00117574"/>
    <w:rsid w:val="001176A2"/>
    <w:rsid w:val="00120921"/>
    <w:rsid w:val="0012128C"/>
    <w:rsid w:val="00121799"/>
    <w:rsid w:val="00121883"/>
    <w:rsid w:val="001222FC"/>
    <w:rsid w:val="00122BC0"/>
    <w:rsid w:val="00123902"/>
    <w:rsid w:val="00123A92"/>
    <w:rsid w:val="00123AF5"/>
    <w:rsid w:val="00123BD1"/>
    <w:rsid w:val="00124A51"/>
    <w:rsid w:val="00125186"/>
    <w:rsid w:val="00125A79"/>
    <w:rsid w:val="00126621"/>
    <w:rsid w:val="00126B1D"/>
    <w:rsid w:val="0012738C"/>
    <w:rsid w:val="001301E9"/>
    <w:rsid w:val="00130504"/>
    <w:rsid w:val="00130F86"/>
    <w:rsid w:val="00131806"/>
    <w:rsid w:val="001319FC"/>
    <w:rsid w:val="00131D82"/>
    <w:rsid w:val="00132464"/>
    <w:rsid w:val="00132A9A"/>
    <w:rsid w:val="00132B22"/>
    <w:rsid w:val="00132EE1"/>
    <w:rsid w:val="00132FF2"/>
    <w:rsid w:val="00133D36"/>
    <w:rsid w:val="00134706"/>
    <w:rsid w:val="00134F57"/>
    <w:rsid w:val="001364EF"/>
    <w:rsid w:val="0013679E"/>
    <w:rsid w:val="00136ABA"/>
    <w:rsid w:val="001372F7"/>
    <w:rsid w:val="00137645"/>
    <w:rsid w:val="0014015A"/>
    <w:rsid w:val="00140DC1"/>
    <w:rsid w:val="00140E99"/>
    <w:rsid w:val="0014156A"/>
    <w:rsid w:val="00141D0B"/>
    <w:rsid w:val="001421DA"/>
    <w:rsid w:val="001422D9"/>
    <w:rsid w:val="0014253E"/>
    <w:rsid w:val="001426CD"/>
    <w:rsid w:val="00143F67"/>
    <w:rsid w:val="00143F73"/>
    <w:rsid w:val="0014435E"/>
    <w:rsid w:val="0014441D"/>
    <w:rsid w:val="00144BED"/>
    <w:rsid w:val="00144D1C"/>
    <w:rsid w:val="00144DAE"/>
    <w:rsid w:val="00145234"/>
    <w:rsid w:val="00145540"/>
    <w:rsid w:val="001456B0"/>
    <w:rsid w:val="001458AE"/>
    <w:rsid w:val="00145C7B"/>
    <w:rsid w:val="00146B9D"/>
    <w:rsid w:val="00147B9B"/>
    <w:rsid w:val="00150058"/>
    <w:rsid w:val="00150120"/>
    <w:rsid w:val="00150CF4"/>
    <w:rsid w:val="00151281"/>
    <w:rsid w:val="0015340A"/>
    <w:rsid w:val="001539E5"/>
    <w:rsid w:val="00153C2B"/>
    <w:rsid w:val="001547AB"/>
    <w:rsid w:val="00154B0E"/>
    <w:rsid w:val="00155B8F"/>
    <w:rsid w:val="00156C93"/>
    <w:rsid w:val="00156F8F"/>
    <w:rsid w:val="00157130"/>
    <w:rsid w:val="001576B1"/>
    <w:rsid w:val="00157C31"/>
    <w:rsid w:val="00160424"/>
    <w:rsid w:val="0016047B"/>
    <w:rsid w:val="001607B0"/>
    <w:rsid w:val="00160A4C"/>
    <w:rsid w:val="001611F0"/>
    <w:rsid w:val="00161B2F"/>
    <w:rsid w:val="00162723"/>
    <w:rsid w:val="00162913"/>
    <w:rsid w:val="00162A8A"/>
    <w:rsid w:val="00162F55"/>
    <w:rsid w:val="00163EFF"/>
    <w:rsid w:val="00163F66"/>
    <w:rsid w:val="00163FD7"/>
    <w:rsid w:val="0016478E"/>
    <w:rsid w:val="00164F0B"/>
    <w:rsid w:val="001651C7"/>
    <w:rsid w:val="00165CE2"/>
    <w:rsid w:val="00165EC4"/>
    <w:rsid w:val="001661FB"/>
    <w:rsid w:val="00166305"/>
    <w:rsid w:val="001663B6"/>
    <w:rsid w:val="001664DE"/>
    <w:rsid w:val="00166678"/>
    <w:rsid w:val="001668E1"/>
    <w:rsid w:val="00167023"/>
    <w:rsid w:val="001671A0"/>
    <w:rsid w:val="00167266"/>
    <w:rsid w:val="0016767F"/>
    <w:rsid w:val="00167C8B"/>
    <w:rsid w:val="00170480"/>
    <w:rsid w:val="0017053C"/>
    <w:rsid w:val="0017071B"/>
    <w:rsid w:val="0017135D"/>
    <w:rsid w:val="001714D0"/>
    <w:rsid w:val="00172832"/>
    <w:rsid w:val="00173360"/>
    <w:rsid w:val="00173565"/>
    <w:rsid w:val="00173A4C"/>
    <w:rsid w:val="00173B07"/>
    <w:rsid w:val="00173C21"/>
    <w:rsid w:val="00174287"/>
    <w:rsid w:val="00174B6C"/>
    <w:rsid w:val="00174F65"/>
    <w:rsid w:val="001751FA"/>
    <w:rsid w:val="00175C5D"/>
    <w:rsid w:val="00176DF3"/>
    <w:rsid w:val="0017750F"/>
    <w:rsid w:val="00180A4E"/>
    <w:rsid w:val="001815C6"/>
    <w:rsid w:val="00181C10"/>
    <w:rsid w:val="00181D9C"/>
    <w:rsid w:val="00182862"/>
    <w:rsid w:val="001837FF"/>
    <w:rsid w:val="00184ACE"/>
    <w:rsid w:val="00184B0E"/>
    <w:rsid w:val="001852DB"/>
    <w:rsid w:val="00185A81"/>
    <w:rsid w:val="00186028"/>
    <w:rsid w:val="00186293"/>
    <w:rsid w:val="00186582"/>
    <w:rsid w:val="0018752F"/>
    <w:rsid w:val="00187F2C"/>
    <w:rsid w:val="00190DA7"/>
    <w:rsid w:val="00191AC4"/>
    <w:rsid w:val="00192BD9"/>
    <w:rsid w:val="00192DC1"/>
    <w:rsid w:val="00193547"/>
    <w:rsid w:val="00193838"/>
    <w:rsid w:val="00194AD8"/>
    <w:rsid w:val="00195222"/>
    <w:rsid w:val="00195452"/>
    <w:rsid w:val="00196230"/>
    <w:rsid w:val="00196EBE"/>
    <w:rsid w:val="001975D8"/>
    <w:rsid w:val="00197A49"/>
    <w:rsid w:val="00197EA5"/>
    <w:rsid w:val="001A0738"/>
    <w:rsid w:val="001A0F4D"/>
    <w:rsid w:val="001A113D"/>
    <w:rsid w:val="001A16F2"/>
    <w:rsid w:val="001A178E"/>
    <w:rsid w:val="001A30BD"/>
    <w:rsid w:val="001A3EF3"/>
    <w:rsid w:val="001A43FA"/>
    <w:rsid w:val="001A46EB"/>
    <w:rsid w:val="001A47C5"/>
    <w:rsid w:val="001A5636"/>
    <w:rsid w:val="001A59FB"/>
    <w:rsid w:val="001A5E9E"/>
    <w:rsid w:val="001A6354"/>
    <w:rsid w:val="001A6366"/>
    <w:rsid w:val="001A63CA"/>
    <w:rsid w:val="001A66E4"/>
    <w:rsid w:val="001A7A17"/>
    <w:rsid w:val="001A7AE8"/>
    <w:rsid w:val="001B0D1E"/>
    <w:rsid w:val="001B12EF"/>
    <w:rsid w:val="001B1494"/>
    <w:rsid w:val="001B151A"/>
    <w:rsid w:val="001B1619"/>
    <w:rsid w:val="001B1753"/>
    <w:rsid w:val="001B194E"/>
    <w:rsid w:val="001B204E"/>
    <w:rsid w:val="001B2372"/>
    <w:rsid w:val="001B3094"/>
    <w:rsid w:val="001B3443"/>
    <w:rsid w:val="001B35D9"/>
    <w:rsid w:val="001B46CA"/>
    <w:rsid w:val="001B4D20"/>
    <w:rsid w:val="001B68CA"/>
    <w:rsid w:val="001B6ABD"/>
    <w:rsid w:val="001B7F84"/>
    <w:rsid w:val="001C0EA5"/>
    <w:rsid w:val="001C0F47"/>
    <w:rsid w:val="001C14E3"/>
    <w:rsid w:val="001C1746"/>
    <w:rsid w:val="001C1884"/>
    <w:rsid w:val="001C28C6"/>
    <w:rsid w:val="001C291E"/>
    <w:rsid w:val="001C2A9B"/>
    <w:rsid w:val="001C2D16"/>
    <w:rsid w:val="001C3029"/>
    <w:rsid w:val="001C304D"/>
    <w:rsid w:val="001C3084"/>
    <w:rsid w:val="001C3DD6"/>
    <w:rsid w:val="001C3EB1"/>
    <w:rsid w:val="001C417D"/>
    <w:rsid w:val="001C4299"/>
    <w:rsid w:val="001C4435"/>
    <w:rsid w:val="001C46D3"/>
    <w:rsid w:val="001C47C2"/>
    <w:rsid w:val="001C4874"/>
    <w:rsid w:val="001C502B"/>
    <w:rsid w:val="001C5CEE"/>
    <w:rsid w:val="001C5F94"/>
    <w:rsid w:val="001C6886"/>
    <w:rsid w:val="001C6E66"/>
    <w:rsid w:val="001D1100"/>
    <w:rsid w:val="001D1391"/>
    <w:rsid w:val="001D1418"/>
    <w:rsid w:val="001D1525"/>
    <w:rsid w:val="001D1A4A"/>
    <w:rsid w:val="001D1A7D"/>
    <w:rsid w:val="001D2169"/>
    <w:rsid w:val="001D237C"/>
    <w:rsid w:val="001D25D7"/>
    <w:rsid w:val="001D33BF"/>
    <w:rsid w:val="001D401A"/>
    <w:rsid w:val="001D4382"/>
    <w:rsid w:val="001D50B2"/>
    <w:rsid w:val="001D531A"/>
    <w:rsid w:val="001D5828"/>
    <w:rsid w:val="001D5BBC"/>
    <w:rsid w:val="001D5E70"/>
    <w:rsid w:val="001D660D"/>
    <w:rsid w:val="001D6ECF"/>
    <w:rsid w:val="001D71F4"/>
    <w:rsid w:val="001D7645"/>
    <w:rsid w:val="001D7D28"/>
    <w:rsid w:val="001E055D"/>
    <w:rsid w:val="001E0A57"/>
    <w:rsid w:val="001E1E4E"/>
    <w:rsid w:val="001E1E86"/>
    <w:rsid w:val="001E1EDA"/>
    <w:rsid w:val="001E238E"/>
    <w:rsid w:val="001E2483"/>
    <w:rsid w:val="001E2B1E"/>
    <w:rsid w:val="001E2CFF"/>
    <w:rsid w:val="001E2F24"/>
    <w:rsid w:val="001E30D4"/>
    <w:rsid w:val="001E34DF"/>
    <w:rsid w:val="001E4BC1"/>
    <w:rsid w:val="001E52EB"/>
    <w:rsid w:val="001E58C7"/>
    <w:rsid w:val="001E5E51"/>
    <w:rsid w:val="001E61D2"/>
    <w:rsid w:val="001E66A8"/>
    <w:rsid w:val="001E6C0A"/>
    <w:rsid w:val="001E740C"/>
    <w:rsid w:val="001E75C2"/>
    <w:rsid w:val="001F1235"/>
    <w:rsid w:val="001F182C"/>
    <w:rsid w:val="001F1927"/>
    <w:rsid w:val="001F1CB3"/>
    <w:rsid w:val="001F24CB"/>
    <w:rsid w:val="001F38B5"/>
    <w:rsid w:val="001F4081"/>
    <w:rsid w:val="001F7361"/>
    <w:rsid w:val="001F76C2"/>
    <w:rsid w:val="001F7938"/>
    <w:rsid w:val="001F7A84"/>
    <w:rsid w:val="001F7DB9"/>
    <w:rsid w:val="00200607"/>
    <w:rsid w:val="002011B0"/>
    <w:rsid w:val="00201A1B"/>
    <w:rsid w:val="00203181"/>
    <w:rsid w:val="00203783"/>
    <w:rsid w:val="0020385F"/>
    <w:rsid w:val="00204078"/>
    <w:rsid w:val="0020440B"/>
    <w:rsid w:val="0020457D"/>
    <w:rsid w:val="00204E1B"/>
    <w:rsid w:val="0020571F"/>
    <w:rsid w:val="00205E68"/>
    <w:rsid w:val="002068A0"/>
    <w:rsid w:val="00206B36"/>
    <w:rsid w:val="00207021"/>
    <w:rsid w:val="00207135"/>
    <w:rsid w:val="0020732F"/>
    <w:rsid w:val="00207D00"/>
    <w:rsid w:val="002105C1"/>
    <w:rsid w:val="002116FD"/>
    <w:rsid w:val="00212893"/>
    <w:rsid w:val="00213442"/>
    <w:rsid w:val="00213AF1"/>
    <w:rsid w:val="00213EF5"/>
    <w:rsid w:val="00213F62"/>
    <w:rsid w:val="00213FD0"/>
    <w:rsid w:val="00214801"/>
    <w:rsid w:val="002163C8"/>
    <w:rsid w:val="00216B90"/>
    <w:rsid w:val="00216BF5"/>
    <w:rsid w:val="00217446"/>
    <w:rsid w:val="00217F1D"/>
    <w:rsid w:val="00220F59"/>
    <w:rsid w:val="0022338F"/>
    <w:rsid w:val="0022361E"/>
    <w:rsid w:val="00223B49"/>
    <w:rsid w:val="00223D5A"/>
    <w:rsid w:val="002249AD"/>
    <w:rsid w:val="00224DD4"/>
    <w:rsid w:val="0022572D"/>
    <w:rsid w:val="00225AE9"/>
    <w:rsid w:val="002278A0"/>
    <w:rsid w:val="002309CC"/>
    <w:rsid w:val="0023145C"/>
    <w:rsid w:val="002317FC"/>
    <w:rsid w:val="0023191B"/>
    <w:rsid w:val="00231AE7"/>
    <w:rsid w:val="00231BA9"/>
    <w:rsid w:val="0023209F"/>
    <w:rsid w:val="002324E6"/>
    <w:rsid w:val="002328B9"/>
    <w:rsid w:val="00233348"/>
    <w:rsid w:val="00233C01"/>
    <w:rsid w:val="00233D40"/>
    <w:rsid w:val="0023413C"/>
    <w:rsid w:val="002346F0"/>
    <w:rsid w:val="00234849"/>
    <w:rsid w:val="00235132"/>
    <w:rsid w:val="00235251"/>
    <w:rsid w:val="002361B5"/>
    <w:rsid w:val="0023629D"/>
    <w:rsid w:val="002363F0"/>
    <w:rsid w:val="00237255"/>
    <w:rsid w:val="0023758F"/>
    <w:rsid w:val="002375BE"/>
    <w:rsid w:val="002408B1"/>
    <w:rsid w:val="0024154A"/>
    <w:rsid w:val="00241751"/>
    <w:rsid w:val="00242023"/>
    <w:rsid w:val="002424AF"/>
    <w:rsid w:val="002439DC"/>
    <w:rsid w:val="00243B54"/>
    <w:rsid w:val="00243DB1"/>
    <w:rsid w:val="00244014"/>
    <w:rsid w:val="002441D2"/>
    <w:rsid w:val="002448EC"/>
    <w:rsid w:val="00244D75"/>
    <w:rsid w:val="00244DC8"/>
    <w:rsid w:val="00244EAA"/>
    <w:rsid w:val="00244ED7"/>
    <w:rsid w:val="00244FD2"/>
    <w:rsid w:val="002458BA"/>
    <w:rsid w:val="00245CE9"/>
    <w:rsid w:val="0024636C"/>
    <w:rsid w:val="00246F77"/>
    <w:rsid w:val="00247925"/>
    <w:rsid w:val="002503F4"/>
    <w:rsid w:val="00251006"/>
    <w:rsid w:val="00252025"/>
    <w:rsid w:val="0025220C"/>
    <w:rsid w:val="002524D5"/>
    <w:rsid w:val="002526C8"/>
    <w:rsid w:val="00253517"/>
    <w:rsid w:val="00253B1D"/>
    <w:rsid w:val="00253C16"/>
    <w:rsid w:val="00254DCF"/>
    <w:rsid w:val="0025534B"/>
    <w:rsid w:val="002554F8"/>
    <w:rsid w:val="00255505"/>
    <w:rsid w:val="00255BB7"/>
    <w:rsid w:val="00256140"/>
    <w:rsid w:val="00256DFE"/>
    <w:rsid w:val="00257541"/>
    <w:rsid w:val="00257A39"/>
    <w:rsid w:val="00257AC4"/>
    <w:rsid w:val="00257BBE"/>
    <w:rsid w:val="002607B7"/>
    <w:rsid w:val="00260F7C"/>
    <w:rsid w:val="00261A09"/>
    <w:rsid w:val="00261EEF"/>
    <w:rsid w:val="00262A1A"/>
    <w:rsid w:val="00262A87"/>
    <w:rsid w:val="002644AC"/>
    <w:rsid w:val="00264BBA"/>
    <w:rsid w:val="00264D26"/>
    <w:rsid w:val="00265DE8"/>
    <w:rsid w:val="00267642"/>
    <w:rsid w:val="00267AEA"/>
    <w:rsid w:val="00267B08"/>
    <w:rsid w:val="002700E6"/>
    <w:rsid w:val="002709A5"/>
    <w:rsid w:val="002712C8"/>
    <w:rsid w:val="0027294B"/>
    <w:rsid w:val="002730F4"/>
    <w:rsid w:val="00273460"/>
    <w:rsid w:val="00273EB4"/>
    <w:rsid w:val="0027420D"/>
    <w:rsid w:val="00274682"/>
    <w:rsid w:val="002746D5"/>
    <w:rsid w:val="00274D87"/>
    <w:rsid w:val="00275118"/>
    <w:rsid w:val="00275158"/>
    <w:rsid w:val="00275C5A"/>
    <w:rsid w:val="002767E9"/>
    <w:rsid w:val="00276E69"/>
    <w:rsid w:val="00277CCB"/>
    <w:rsid w:val="00280321"/>
    <w:rsid w:val="00281014"/>
    <w:rsid w:val="00281053"/>
    <w:rsid w:val="002815F8"/>
    <w:rsid w:val="00282462"/>
    <w:rsid w:val="00282E3B"/>
    <w:rsid w:val="002831C6"/>
    <w:rsid w:val="002833EF"/>
    <w:rsid w:val="002837C9"/>
    <w:rsid w:val="002839AC"/>
    <w:rsid w:val="00284A51"/>
    <w:rsid w:val="00284B1D"/>
    <w:rsid w:val="0028541A"/>
    <w:rsid w:val="00285BCE"/>
    <w:rsid w:val="00285F43"/>
    <w:rsid w:val="0028665D"/>
    <w:rsid w:val="002878EC"/>
    <w:rsid w:val="00287F5F"/>
    <w:rsid w:val="002938F3"/>
    <w:rsid w:val="002945D6"/>
    <w:rsid w:val="00294B96"/>
    <w:rsid w:val="00295829"/>
    <w:rsid w:val="002959E3"/>
    <w:rsid w:val="00296513"/>
    <w:rsid w:val="002965F9"/>
    <w:rsid w:val="002A06E6"/>
    <w:rsid w:val="002A14AB"/>
    <w:rsid w:val="002A14B7"/>
    <w:rsid w:val="002A163F"/>
    <w:rsid w:val="002A2ADE"/>
    <w:rsid w:val="002A2B70"/>
    <w:rsid w:val="002A2F50"/>
    <w:rsid w:val="002A309D"/>
    <w:rsid w:val="002A4DD8"/>
    <w:rsid w:val="002A55B9"/>
    <w:rsid w:val="002A5C0B"/>
    <w:rsid w:val="002A7073"/>
    <w:rsid w:val="002A7669"/>
    <w:rsid w:val="002A7943"/>
    <w:rsid w:val="002B05A1"/>
    <w:rsid w:val="002B09A4"/>
    <w:rsid w:val="002B09C6"/>
    <w:rsid w:val="002B11CC"/>
    <w:rsid w:val="002B1B66"/>
    <w:rsid w:val="002B1C1F"/>
    <w:rsid w:val="002B1DFF"/>
    <w:rsid w:val="002B1E4B"/>
    <w:rsid w:val="002B255C"/>
    <w:rsid w:val="002B2A73"/>
    <w:rsid w:val="002B3631"/>
    <w:rsid w:val="002B3D04"/>
    <w:rsid w:val="002B432F"/>
    <w:rsid w:val="002B4BED"/>
    <w:rsid w:val="002B57D0"/>
    <w:rsid w:val="002B62B3"/>
    <w:rsid w:val="002B6410"/>
    <w:rsid w:val="002B645C"/>
    <w:rsid w:val="002B6754"/>
    <w:rsid w:val="002B6CCE"/>
    <w:rsid w:val="002B7F33"/>
    <w:rsid w:val="002C045C"/>
    <w:rsid w:val="002C0F10"/>
    <w:rsid w:val="002C1A82"/>
    <w:rsid w:val="002C219F"/>
    <w:rsid w:val="002C2510"/>
    <w:rsid w:val="002C2775"/>
    <w:rsid w:val="002C27C1"/>
    <w:rsid w:val="002C2E4B"/>
    <w:rsid w:val="002C35AB"/>
    <w:rsid w:val="002C36E3"/>
    <w:rsid w:val="002C3B50"/>
    <w:rsid w:val="002C3FE1"/>
    <w:rsid w:val="002C4084"/>
    <w:rsid w:val="002C44CA"/>
    <w:rsid w:val="002C47D2"/>
    <w:rsid w:val="002C4DC1"/>
    <w:rsid w:val="002C5099"/>
    <w:rsid w:val="002C52B8"/>
    <w:rsid w:val="002C5379"/>
    <w:rsid w:val="002C5889"/>
    <w:rsid w:val="002C71CE"/>
    <w:rsid w:val="002C771F"/>
    <w:rsid w:val="002D08F8"/>
    <w:rsid w:val="002D1F66"/>
    <w:rsid w:val="002D25BC"/>
    <w:rsid w:val="002D330B"/>
    <w:rsid w:val="002D35E8"/>
    <w:rsid w:val="002D44CE"/>
    <w:rsid w:val="002D4AFF"/>
    <w:rsid w:val="002D577C"/>
    <w:rsid w:val="002D6703"/>
    <w:rsid w:val="002D7832"/>
    <w:rsid w:val="002D7D20"/>
    <w:rsid w:val="002E1071"/>
    <w:rsid w:val="002E119D"/>
    <w:rsid w:val="002E15B9"/>
    <w:rsid w:val="002E2158"/>
    <w:rsid w:val="002E22BE"/>
    <w:rsid w:val="002E2587"/>
    <w:rsid w:val="002E320B"/>
    <w:rsid w:val="002E3732"/>
    <w:rsid w:val="002E3A84"/>
    <w:rsid w:val="002E4E58"/>
    <w:rsid w:val="002E4F02"/>
    <w:rsid w:val="002E5088"/>
    <w:rsid w:val="002E5D71"/>
    <w:rsid w:val="002E73B4"/>
    <w:rsid w:val="002E75B4"/>
    <w:rsid w:val="002E760E"/>
    <w:rsid w:val="002E7722"/>
    <w:rsid w:val="002E7795"/>
    <w:rsid w:val="002F07BA"/>
    <w:rsid w:val="002F0DA9"/>
    <w:rsid w:val="002F1014"/>
    <w:rsid w:val="002F15DD"/>
    <w:rsid w:val="002F1646"/>
    <w:rsid w:val="002F1E3B"/>
    <w:rsid w:val="002F300C"/>
    <w:rsid w:val="002F3A90"/>
    <w:rsid w:val="002F3B9F"/>
    <w:rsid w:val="002F4CD6"/>
    <w:rsid w:val="002F4D77"/>
    <w:rsid w:val="002F5A92"/>
    <w:rsid w:val="002F6178"/>
    <w:rsid w:val="002F643C"/>
    <w:rsid w:val="002F71C0"/>
    <w:rsid w:val="002F7207"/>
    <w:rsid w:val="002F74F1"/>
    <w:rsid w:val="00300365"/>
    <w:rsid w:val="00301017"/>
    <w:rsid w:val="0030155F"/>
    <w:rsid w:val="00303087"/>
    <w:rsid w:val="00303898"/>
    <w:rsid w:val="00303DCE"/>
    <w:rsid w:val="00303F64"/>
    <w:rsid w:val="0030461A"/>
    <w:rsid w:val="00304A26"/>
    <w:rsid w:val="00304BAB"/>
    <w:rsid w:val="003054CB"/>
    <w:rsid w:val="00305593"/>
    <w:rsid w:val="0030587B"/>
    <w:rsid w:val="003066CB"/>
    <w:rsid w:val="00306D98"/>
    <w:rsid w:val="003077D0"/>
    <w:rsid w:val="0030786C"/>
    <w:rsid w:val="00307ACF"/>
    <w:rsid w:val="0031031A"/>
    <w:rsid w:val="00310981"/>
    <w:rsid w:val="00311336"/>
    <w:rsid w:val="003114F2"/>
    <w:rsid w:val="003115CF"/>
    <w:rsid w:val="00311D56"/>
    <w:rsid w:val="00311D9B"/>
    <w:rsid w:val="00311DD3"/>
    <w:rsid w:val="003120FE"/>
    <w:rsid w:val="003124D9"/>
    <w:rsid w:val="00312594"/>
    <w:rsid w:val="003127FD"/>
    <w:rsid w:val="00313A0A"/>
    <w:rsid w:val="0031476A"/>
    <w:rsid w:val="00314E58"/>
    <w:rsid w:val="0031513B"/>
    <w:rsid w:val="00315498"/>
    <w:rsid w:val="00316035"/>
    <w:rsid w:val="00316474"/>
    <w:rsid w:val="00316638"/>
    <w:rsid w:val="00316820"/>
    <w:rsid w:val="003169E7"/>
    <w:rsid w:val="003177CF"/>
    <w:rsid w:val="00317D77"/>
    <w:rsid w:val="00317ED3"/>
    <w:rsid w:val="003207CB"/>
    <w:rsid w:val="00322107"/>
    <w:rsid w:val="00322355"/>
    <w:rsid w:val="00322846"/>
    <w:rsid w:val="0032289B"/>
    <w:rsid w:val="00322B69"/>
    <w:rsid w:val="00322CB4"/>
    <w:rsid w:val="00323105"/>
    <w:rsid w:val="003231D2"/>
    <w:rsid w:val="00323EF8"/>
    <w:rsid w:val="003249BA"/>
    <w:rsid w:val="00324CAE"/>
    <w:rsid w:val="00325999"/>
    <w:rsid w:val="00325DC7"/>
    <w:rsid w:val="0032652E"/>
    <w:rsid w:val="00326DA7"/>
    <w:rsid w:val="003270E4"/>
    <w:rsid w:val="00327374"/>
    <w:rsid w:val="0032789F"/>
    <w:rsid w:val="003304DB"/>
    <w:rsid w:val="003306D7"/>
    <w:rsid w:val="00330B98"/>
    <w:rsid w:val="00330DAA"/>
    <w:rsid w:val="00330F5C"/>
    <w:rsid w:val="00331166"/>
    <w:rsid w:val="003316CA"/>
    <w:rsid w:val="00331969"/>
    <w:rsid w:val="00331A23"/>
    <w:rsid w:val="00332DA9"/>
    <w:rsid w:val="0033441E"/>
    <w:rsid w:val="003363A5"/>
    <w:rsid w:val="003366C9"/>
    <w:rsid w:val="003371B0"/>
    <w:rsid w:val="0034000A"/>
    <w:rsid w:val="0034038C"/>
    <w:rsid w:val="00340DF1"/>
    <w:rsid w:val="00340E60"/>
    <w:rsid w:val="00341AF7"/>
    <w:rsid w:val="003425D4"/>
    <w:rsid w:val="00342E15"/>
    <w:rsid w:val="0034388B"/>
    <w:rsid w:val="00343BE9"/>
    <w:rsid w:val="00344874"/>
    <w:rsid w:val="003450EF"/>
    <w:rsid w:val="003451F8"/>
    <w:rsid w:val="0034690C"/>
    <w:rsid w:val="00350086"/>
    <w:rsid w:val="00350087"/>
    <w:rsid w:val="0035009F"/>
    <w:rsid w:val="00350B88"/>
    <w:rsid w:val="003517F9"/>
    <w:rsid w:val="00351BA9"/>
    <w:rsid w:val="00351E31"/>
    <w:rsid w:val="00351E95"/>
    <w:rsid w:val="0035235E"/>
    <w:rsid w:val="00354F64"/>
    <w:rsid w:val="0035620E"/>
    <w:rsid w:val="00356CAD"/>
    <w:rsid w:val="00356EEC"/>
    <w:rsid w:val="003571AB"/>
    <w:rsid w:val="003575BE"/>
    <w:rsid w:val="00357E0A"/>
    <w:rsid w:val="00357E63"/>
    <w:rsid w:val="00357FAC"/>
    <w:rsid w:val="00360345"/>
    <w:rsid w:val="00360DDD"/>
    <w:rsid w:val="00361A05"/>
    <w:rsid w:val="00361F64"/>
    <w:rsid w:val="003624C4"/>
    <w:rsid w:val="0036383A"/>
    <w:rsid w:val="00363B00"/>
    <w:rsid w:val="003651D7"/>
    <w:rsid w:val="003654AC"/>
    <w:rsid w:val="00365AFF"/>
    <w:rsid w:val="0036737D"/>
    <w:rsid w:val="003709E6"/>
    <w:rsid w:val="00370F77"/>
    <w:rsid w:val="003710CF"/>
    <w:rsid w:val="003712B4"/>
    <w:rsid w:val="00371C95"/>
    <w:rsid w:val="0037217E"/>
    <w:rsid w:val="003722F1"/>
    <w:rsid w:val="00372ABE"/>
    <w:rsid w:val="0037328D"/>
    <w:rsid w:val="0037358A"/>
    <w:rsid w:val="003736FD"/>
    <w:rsid w:val="00373B66"/>
    <w:rsid w:val="00373C62"/>
    <w:rsid w:val="003750A7"/>
    <w:rsid w:val="003750F6"/>
    <w:rsid w:val="00375112"/>
    <w:rsid w:val="0037524A"/>
    <w:rsid w:val="003760FC"/>
    <w:rsid w:val="003766CC"/>
    <w:rsid w:val="00376872"/>
    <w:rsid w:val="00376E6A"/>
    <w:rsid w:val="00377D81"/>
    <w:rsid w:val="003805F9"/>
    <w:rsid w:val="00381E1A"/>
    <w:rsid w:val="0038365C"/>
    <w:rsid w:val="0038369B"/>
    <w:rsid w:val="00383B78"/>
    <w:rsid w:val="003844AC"/>
    <w:rsid w:val="00384708"/>
    <w:rsid w:val="003850EC"/>
    <w:rsid w:val="0038521D"/>
    <w:rsid w:val="00385A9D"/>
    <w:rsid w:val="00386003"/>
    <w:rsid w:val="00386CC7"/>
    <w:rsid w:val="00387121"/>
    <w:rsid w:val="00387F28"/>
    <w:rsid w:val="003902B1"/>
    <w:rsid w:val="00390732"/>
    <w:rsid w:val="0039141E"/>
    <w:rsid w:val="0039179C"/>
    <w:rsid w:val="00392763"/>
    <w:rsid w:val="003927BD"/>
    <w:rsid w:val="00395D21"/>
    <w:rsid w:val="00396896"/>
    <w:rsid w:val="00396FD0"/>
    <w:rsid w:val="003971AF"/>
    <w:rsid w:val="00397611"/>
    <w:rsid w:val="003978FB"/>
    <w:rsid w:val="00397946"/>
    <w:rsid w:val="00397FEA"/>
    <w:rsid w:val="003A0A73"/>
    <w:rsid w:val="003A1406"/>
    <w:rsid w:val="003A1A7A"/>
    <w:rsid w:val="003A1F9E"/>
    <w:rsid w:val="003A2392"/>
    <w:rsid w:val="003A23AF"/>
    <w:rsid w:val="003A2831"/>
    <w:rsid w:val="003A28AA"/>
    <w:rsid w:val="003A2BBB"/>
    <w:rsid w:val="003A325D"/>
    <w:rsid w:val="003A3CB6"/>
    <w:rsid w:val="003A3ECD"/>
    <w:rsid w:val="003A3ED1"/>
    <w:rsid w:val="003A44DB"/>
    <w:rsid w:val="003A47FC"/>
    <w:rsid w:val="003A4C14"/>
    <w:rsid w:val="003A5115"/>
    <w:rsid w:val="003A5621"/>
    <w:rsid w:val="003A5990"/>
    <w:rsid w:val="003A6DBF"/>
    <w:rsid w:val="003A7C69"/>
    <w:rsid w:val="003A7F17"/>
    <w:rsid w:val="003B0B5A"/>
    <w:rsid w:val="003B1FC4"/>
    <w:rsid w:val="003B27D7"/>
    <w:rsid w:val="003B3971"/>
    <w:rsid w:val="003B3B8F"/>
    <w:rsid w:val="003B4534"/>
    <w:rsid w:val="003B53E6"/>
    <w:rsid w:val="003B55D1"/>
    <w:rsid w:val="003B5B61"/>
    <w:rsid w:val="003B5DDE"/>
    <w:rsid w:val="003B65BF"/>
    <w:rsid w:val="003B7158"/>
    <w:rsid w:val="003B797C"/>
    <w:rsid w:val="003C0ACC"/>
    <w:rsid w:val="003C1654"/>
    <w:rsid w:val="003C2A47"/>
    <w:rsid w:val="003C2BAA"/>
    <w:rsid w:val="003C36C7"/>
    <w:rsid w:val="003C49A6"/>
    <w:rsid w:val="003C5542"/>
    <w:rsid w:val="003C74D6"/>
    <w:rsid w:val="003C780C"/>
    <w:rsid w:val="003C7C15"/>
    <w:rsid w:val="003C7D19"/>
    <w:rsid w:val="003C7D2F"/>
    <w:rsid w:val="003D07FA"/>
    <w:rsid w:val="003D0C5A"/>
    <w:rsid w:val="003D112F"/>
    <w:rsid w:val="003D1828"/>
    <w:rsid w:val="003D1DE4"/>
    <w:rsid w:val="003D1E9A"/>
    <w:rsid w:val="003D2422"/>
    <w:rsid w:val="003D27BC"/>
    <w:rsid w:val="003D3150"/>
    <w:rsid w:val="003D39A1"/>
    <w:rsid w:val="003D3FBF"/>
    <w:rsid w:val="003D433B"/>
    <w:rsid w:val="003D4A30"/>
    <w:rsid w:val="003D5359"/>
    <w:rsid w:val="003D5B30"/>
    <w:rsid w:val="003D7452"/>
    <w:rsid w:val="003D79BB"/>
    <w:rsid w:val="003D7C98"/>
    <w:rsid w:val="003D7CD4"/>
    <w:rsid w:val="003D7D9D"/>
    <w:rsid w:val="003E0543"/>
    <w:rsid w:val="003E07EA"/>
    <w:rsid w:val="003E0A9B"/>
    <w:rsid w:val="003E10C6"/>
    <w:rsid w:val="003E1D6D"/>
    <w:rsid w:val="003E3722"/>
    <w:rsid w:val="003E3FB2"/>
    <w:rsid w:val="003E437B"/>
    <w:rsid w:val="003E49CA"/>
    <w:rsid w:val="003E55D5"/>
    <w:rsid w:val="003E5603"/>
    <w:rsid w:val="003E5937"/>
    <w:rsid w:val="003E5F83"/>
    <w:rsid w:val="003E632E"/>
    <w:rsid w:val="003E64B8"/>
    <w:rsid w:val="003E7009"/>
    <w:rsid w:val="003E749E"/>
    <w:rsid w:val="003E765B"/>
    <w:rsid w:val="003E7D70"/>
    <w:rsid w:val="003F19B0"/>
    <w:rsid w:val="003F1C99"/>
    <w:rsid w:val="003F278E"/>
    <w:rsid w:val="003F2FE3"/>
    <w:rsid w:val="003F3213"/>
    <w:rsid w:val="003F4156"/>
    <w:rsid w:val="003F5271"/>
    <w:rsid w:val="003F59C1"/>
    <w:rsid w:val="003F5A08"/>
    <w:rsid w:val="003F5A4B"/>
    <w:rsid w:val="003F5ADF"/>
    <w:rsid w:val="003F67CB"/>
    <w:rsid w:val="003F696C"/>
    <w:rsid w:val="003F6D2F"/>
    <w:rsid w:val="003F72D8"/>
    <w:rsid w:val="003F7842"/>
    <w:rsid w:val="003F7CFF"/>
    <w:rsid w:val="003F7F5C"/>
    <w:rsid w:val="004009CE"/>
    <w:rsid w:val="00400B29"/>
    <w:rsid w:val="00401379"/>
    <w:rsid w:val="004015F7"/>
    <w:rsid w:val="00401AAE"/>
    <w:rsid w:val="00401BD0"/>
    <w:rsid w:val="00401D17"/>
    <w:rsid w:val="00401D90"/>
    <w:rsid w:val="00401E9C"/>
    <w:rsid w:val="00402560"/>
    <w:rsid w:val="00402812"/>
    <w:rsid w:val="0040384E"/>
    <w:rsid w:val="00404A7E"/>
    <w:rsid w:val="0040504B"/>
    <w:rsid w:val="0040532B"/>
    <w:rsid w:val="004059F4"/>
    <w:rsid w:val="004061D8"/>
    <w:rsid w:val="004062F4"/>
    <w:rsid w:val="0040677B"/>
    <w:rsid w:val="00406F6D"/>
    <w:rsid w:val="004071E6"/>
    <w:rsid w:val="00407856"/>
    <w:rsid w:val="00407DB3"/>
    <w:rsid w:val="00407FE5"/>
    <w:rsid w:val="004101B0"/>
    <w:rsid w:val="00410326"/>
    <w:rsid w:val="00410708"/>
    <w:rsid w:val="00410EC7"/>
    <w:rsid w:val="004111B5"/>
    <w:rsid w:val="0041122E"/>
    <w:rsid w:val="00411B39"/>
    <w:rsid w:val="004127A7"/>
    <w:rsid w:val="00413A1E"/>
    <w:rsid w:val="00414476"/>
    <w:rsid w:val="00414BCC"/>
    <w:rsid w:val="00414C2E"/>
    <w:rsid w:val="004151CF"/>
    <w:rsid w:val="00416364"/>
    <w:rsid w:val="00416D27"/>
    <w:rsid w:val="00417098"/>
    <w:rsid w:val="0042038E"/>
    <w:rsid w:val="0042047F"/>
    <w:rsid w:val="00420AA6"/>
    <w:rsid w:val="00420B9F"/>
    <w:rsid w:val="0042192C"/>
    <w:rsid w:val="00422260"/>
    <w:rsid w:val="004230C6"/>
    <w:rsid w:val="00423460"/>
    <w:rsid w:val="0042376E"/>
    <w:rsid w:val="00423C0C"/>
    <w:rsid w:val="00423CF5"/>
    <w:rsid w:val="004240FF"/>
    <w:rsid w:val="0042413F"/>
    <w:rsid w:val="00424487"/>
    <w:rsid w:val="0042542B"/>
    <w:rsid w:val="00425BEB"/>
    <w:rsid w:val="004267D9"/>
    <w:rsid w:val="00426997"/>
    <w:rsid w:val="00427658"/>
    <w:rsid w:val="004303F8"/>
    <w:rsid w:val="004319F8"/>
    <w:rsid w:val="00431E55"/>
    <w:rsid w:val="004321F6"/>
    <w:rsid w:val="00432AC5"/>
    <w:rsid w:val="00433044"/>
    <w:rsid w:val="00433764"/>
    <w:rsid w:val="00433C77"/>
    <w:rsid w:val="00434088"/>
    <w:rsid w:val="00434983"/>
    <w:rsid w:val="00434BA9"/>
    <w:rsid w:val="004351BD"/>
    <w:rsid w:val="004358FB"/>
    <w:rsid w:val="00435D6D"/>
    <w:rsid w:val="0043607E"/>
    <w:rsid w:val="00436B12"/>
    <w:rsid w:val="00436C6C"/>
    <w:rsid w:val="004375B9"/>
    <w:rsid w:val="00437726"/>
    <w:rsid w:val="00440323"/>
    <w:rsid w:val="00440EB9"/>
    <w:rsid w:val="004428D0"/>
    <w:rsid w:val="00442C7B"/>
    <w:rsid w:val="004430B6"/>
    <w:rsid w:val="00443E0D"/>
    <w:rsid w:val="00444185"/>
    <w:rsid w:val="004441DD"/>
    <w:rsid w:val="004443A7"/>
    <w:rsid w:val="0044442C"/>
    <w:rsid w:val="004447D0"/>
    <w:rsid w:val="004448AC"/>
    <w:rsid w:val="00445292"/>
    <w:rsid w:val="00445511"/>
    <w:rsid w:val="00445941"/>
    <w:rsid w:val="004464EB"/>
    <w:rsid w:val="0044738B"/>
    <w:rsid w:val="00447D26"/>
    <w:rsid w:val="00447DFC"/>
    <w:rsid w:val="00452382"/>
    <w:rsid w:val="004539A7"/>
    <w:rsid w:val="00453F3B"/>
    <w:rsid w:val="00455D45"/>
    <w:rsid w:val="00460619"/>
    <w:rsid w:val="004613C9"/>
    <w:rsid w:val="00461B91"/>
    <w:rsid w:val="00461D1B"/>
    <w:rsid w:val="00461D9D"/>
    <w:rsid w:val="0046229A"/>
    <w:rsid w:val="00462FAE"/>
    <w:rsid w:val="00463AC3"/>
    <w:rsid w:val="00464595"/>
    <w:rsid w:val="004658B5"/>
    <w:rsid w:val="00465BE2"/>
    <w:rsid w:val="00467A85"/>
    <w:rsid w:val="004705C3"/>
    <w:rsid w:val="00470681"/>
    <w:rsid w:val="00470AA4"/>
    <w:rsid w:val="00470F7A"/>
    <w:rsid w:val="00471EA5"/>
    <w:rsid w:val="00471EAB"/>
    <w:rsid w:val="00471EB9"/>
    <w:rsid w:val="00472471"/>
    <w:rsid w:val="00472A79"/>
    <w:rsid w:val="00473589"/>
    <w:rsid w:val="00473873"/>
    <w:rsid w:val="00473F19"/>
    <w:rsid w:val="00475238"/>
    <w:rsid w:val="004756AB"/>
    <w:rsid w:val="00475850"/>
    <w:rsid w:val="00475E22"/>
    <w:rsid w:val="00475E37"/>
    <w:rsid w:val="00476417"/>
    <w:rsid w:val="00477158"/>
    <w:rsid w:val="00480236"/>
    <w:rsid w:val="00480722"/>
    <w:rsid w:val="0048088E"/>
    <w:rsid w:val="00480F2B"/>
    <w:rsid w:val="00481EE1"/>
    <w:rsid w:val="00482720"/>
    <w:rsid w:val="00482B43"/>
    <w:rsid w:val="00482D26"/>
    <w:rsid w:val="00483125"/>
    <w:rsid w:val="004835E7"/>
    <w:rsid w:val="004843A6"/>
    <w:rsid w:val="004859E1"/>
    <w:rsid w:val="004867E2"/>
    <w:rsid w:val="004870CC"/>
    <w:rsid w:val="0048757F"/>
    <w:rsid w:val="00490B17"/>
    <w:rsid w:val="00490E27"/>
    <w:rsid w:val="00491216"/>
    <w:rsid w:val="00491B3A"/>
    <w:rsid w:val="0049273D"/>
    <w:rsid w:val="0049282E"/>
    <w:rsid w:val="00492CFD"/>
    <w:rsid w:val="004937D8"/>
    <w:rsid w:val="00493932"/>
    <w:rsid w:val="00494207"/>
    <w:rsid w:val="00494462"/>
    <w:rsid w:val="004947E6"/>
    <w:rsid w:val="00494DD5"/>
    <w:rsid w:val="004959AB"/>
    <w:rsid w:val="00495F5B"/>
    <w:rsid w:val="004962D2"/>
    <w:rsid w:val="00496485"/>
    <w:rsid w:val="00496C47"/>
    <w:rsid w:val="00497CDB"/>
    <w:rsid w:val="004A023D"/>
    <w:rsid w:val="004A0835"/>
    <w:rsid w:val="004A0DA1"/>
    <w:rsid w:val="004A13D6"/>
    <w:rsid w:val="004A29D1"/>
    <w:rsid w:val="004A3977"/>
    <w:rsid w:val="004A4C61"/>
    <w:rsid w:val="004A4D67"/>
    <w:rsid w:val="004A52E9"/>
    <w:rsid w:val="004A596E"/>
    <w:rsid w:val="004A5EA0"/>
    <w:rsid w:val="004A6040"/>
    <w:rsid w:val="004A6597"/>
    <w:rsid w:val="004A6BC1"/>
    <w:rsid w:val="004A7716"/>
    <w:rsid w:val="004A7848"/>
    <w:rsid w:val="004A793B"/>
    <w:rsid w:val="004A7BD6"/>
    <w:rsid w:val="004A7EE2"/>
    <w:rsid w:val="004B019B"/>
    <w:rsid w:val="004B0458"/>
    <w:rsid w:val="004B07D9"/>
    <w:rsid w:val="004B0AAA"/>
    <w:rsid w:val="004B1C56"/>
    <w:rsid w:val="004B1CB4"/>
    <w:rsid w:val="004B1CF6"/>
    <w:rsid w:val="004B1E2C"/>
    <w:rsid w:val="004B26D8"/>
    <w:rsid w:val="004B27A6"/>
    <w:rsid w:val="004B2849"/>
    <w:rsid w:val="004B2C89"/>
    <w:rsid w:val="004B2EA3"/>
    <w:rsid w:val="004B2F18"/>
    <w:rsid w:val="004B3923"/>
    <w:rsid w:val="004B3DDB"/>
    <w:rsid w:val="004B44FD"/>
    <w:rsid w:val="004B4999"/>
    <w:rsid w:val="004B5173"/>
    <w:rsid w:val="004B521F"/>
    <w:rsid w:val="004B569F"/>
    <w:rsid w:val="004B5CFC"/>
    <w:rsid w:val="004B5DC5"/>
    <w:rsid w:val="004B6417"/>
    <w:rsid w:val="004B6F79"/>
    <w:rsid w:val="004B774D"/>
    <w:rsid w:val="004C2AC2"/>
    <w:rsid w:val="004C391F"/>
    <w:rsid w:val="004C3B02"/>
    <w:rsid w:val="004C3F6E"/>
    <w:rsid w:val="004C4000"/>
    <w:rsid w:val="004C4955"/>
    <w:rsid w:val="004C4AED"/>
    <w:rsid w:val="004C5C1E"/>
    <w:rsid w:val="004C60A3"/>
    <w:rsid w:val="004C6DF4"/>
    <w:rsid w:val="004C6F35"/>
    <w:rsid w:val="004C7C87"/>
    <w:rsid w:val="004C7CE8"/>
    <w:rsid w:val="004D1125"/>
    <w:rsid w:val="004D1256"/>
    <w:rsid w:val="004D16E5"/>
    <w:rsid w:val="004D1AA2"/>
    <w:rsid w:val="004D2B74"/>
    <w:rsid w:val="004D2C2D"/>
    <w:rsid w:val="004D3311"/>
    <w:rsid w:val="004D3561"/>
    <w:rsid w:val="004D4133"/>
    <w:rsid w:val="004D4232"/>
    <w:rsid w:val="004D42AC"/>
    <w:rsid w:val="004D5C94"/>
    <w:rsid w:val="004D69B5"/>
    <w:rsid w:val="004D6EC9"/>
    <w:rsid w:val="004D7227"/>
    <w:rsid w:val="004D7AC5"/>
    <w:rsid w:val="004D7B5E"/>
    <w:rsid w:val="004E0190"/>
    <w:rsid w:val="004E0E7F"/>
    <w:rsid w:val="004E0EB8"/>
    <w:rsid w:val="004E1138"/>
    <w:rsid w:val="004E18E9"/>
    <w:rsid w:val="004E2070"/>
    <w:rsid w:val="004E2ADC"/>
    <w:rsid w:val="004E2C18"/>
    <w:rsid w:val="004E3810"/>
    <w:rsid w:val="004E3850"/>
    <w:rsid w:val="004E3EAE"/>
    <w:rsid w:val="004E43B2"/>
    <w:rsid w:val="004E5D0E"/>
    <w:rsid w:val="004E5DA1"/>
    <w:rsid w:val="004E6336"/>
    <w:rsid w:val="004E6F5D"/>
    <w:rsid w:val="004E78FC"/>
    <w:rsid w:val="004F14F9"/>
    <w:rsid w:val="004F15B3"/>
    <w:rsid w:val="004F1D02"/>
    <w:rsid w:val="004F1D24"/>
    <w:rsid w:val="004F2679"/>
    <w:rsid w:val="004F2A00"/>
    <w:rsid w:val="004F2F21"/>
    <w:rsid w:val="004F31E0"/>
    <w:rsid w:val="004F3DE5"/>
    <w:rsid w:val="004F42DE"/>
    <w:rsid w:val="004F49A6"/>
    <w:rsid w:val="004F5437"/>
    <w:rsid w:val="004F5A14"/>
    <w:rsid w:val="004F6271"/>
    <w:rsid w:val="004F6913"/>
    <w:rsid w:val="004F6C2A"/>
    <w:rsid w:val="004F76BB"/>
    <w:rsid w:val="004F7865"/>
    <w:rsid w:val="00500411"/>
    <w:rsid w:val="005007A5"/>
    <w:rsid w:val="0050174E"/>
    <w:rsid w:val="00501854"/>
    <w:rsid w:val="00501F88"/>
    <w:rsid w:val="0050219B"/>
    <w:rsid w:val="00502465"/>
    <w:rsid w:val="005033A6"/>
    <w:rsid w:val="00503B53"/>
    <w:rsid w:val="00503D23"/>
    <w:rsid w:val="00503F17"/>
    <w:rsid w:val="00503F28"/>
    <w:rsid w:val="00503F3A"/>
    <w:rsid w:val="00504451"/>
    <w:rsid w:val="005048E2"/>
    <w:rsid w:val="00505340"/>
    <w:rsid w:val="00505B80"/>
    <w:rsid w:val="0050648F"/>
    <w:rsid w:val="005068F7"/>
    <w:rsid w:val="00506928"/>
    <w:rsid w:val="005077EF"/>
    <w:rsid w:val="00507F51"/>
    <w:rsid w:val="00510EEE"/>
    <w:rsid w:val="00511AD5"/>
    <w:rsid w:val="00511DC7"/>
    <w:rsid w:val="005124DE"/>
    <w:rsid w:val="00512515"/>
    <w:rsid w:val="005130C2"/>
    <w:rsid w:val="005133E5"/>
    <w:rsid w:val="00513CAF"/>
    <w:rsid w:val="005142C5"/>
    <w:rsid w:val="005143F4"/>
    <w:rsid w:val="00514E45"/>
    <w:rsid w:val="0051501B"/>
    <w:rsid w:val="005152B5"/>
    <w:rsid w:val="005154B3"/>
    <w:rsid w:val="00515886"/>
    <w:rsid w:val="00517F48"/>
    <w:rsid w:val="0052123C"/>
    <w:rsid w:val="00521319"/>
    <w:rsid w:val="0052148D"/>
    <w:rsid w:val="00522BC8"/>
    <w:rsid w:val="00522BFD"/>
    <w:rsid w:val="00523C28"/>
    <w:rsid w:val="00523CC6"/>
    <w:rsid w:val="00527856"/>
    <w:rsid w:val="00530893"/>
    <w:rsid w:val="00530E84"/>
    <w:rsid w:val="00531126"/>
    <w:rsid w:val="00531652"/>
    <w:rsid w:val="0053176B"/>
    <w:rsid w:val="0053179D"/>
    <w:rsid w:val="00532965"/>
    <w:rsid w:val="00533958"/>
    <w:rsid w:val="00533DE4"/>
    <w:rsid w:val="005340F8"/>
    <w:rsid w:val="005341B3"/>
    <w:rsid w:val="00534523"/>
    <w:rsid w:val="00534902"/>
    <w:rsid w:val="00536772"/>
    <w:rsid w:val="00536831"/>
    <w:rsid w:val="00536F42"/>
    <w:rsid w:val="00537182"/>
    <w:rsid w:val="005373C6"/>
    <w:rsid w:val="00537A02"/>
    <w:rsid w:val="00540ED2"/>
    <w:rsid w:val="0054152A"/>
    <w:rsid w:val="00541844"/>
    <w:rsid w:val="0054198F"/>
    <w:rsid w:val="00541EDD"/>
    <w:rsid w:val="00541F18"/>
    <w:rsid w:val="00542743"/>
    <w:rsid w:val="0054287B"/>
    <w:rsid w:val="00542C2D"/>
    <w:rsid w:val="005435F3"/>
    <w:rsid w:val="00544FD8"/>
    <w:rsid w:val="00545020"/>
    <w:rsid w:val="00545C6A"/>
    <w:rsid w:val="00545CE7"/>
    <w:rsid w:val="00547081"/>
    <w:rsid w:val="00547524"/>
    <w:rsid w:val="005478BD"/>
    <w:rsid w:val="005479E3"/>
    <w:rsid w:val="005503E3"/>
    <w:rsid w:val="00551985"/>
    <w:rsid w:val="00551FA3"/>
    <w:rsid w:val="005523DC"/>
    <w:rsid w:val="0055270C"/>
    <w:rsid w:val="00552BD3"/>
    <w:rsid w:val="005532A0"/>
    <w:rsid w:val="0055334C"/>
    <w:rsid w:val="00553B42"/>
    <w:rsid w:val="00553D1D"/>
    <w:rsid w:val="00554011"/>
    <w:rsid w:val="005546D7"/>
    <w:rsid w:val="00554D44"/>
    <w:rsid w:val="00555109"/>
    <w:rsid w:val="0055572B"/>
    <w:rsid w:val="005566B6"/>
    <w:rsid w:val="00556B35"/>
    <w:rsid w:val="00557066"/>
    <w:rsid w:val="0055741A"/>
    <w:rsid w:val="00557EC2"/>
    <w:rsid w:val="005611B7"/>
    <w:rsid w:val="005618D4"/>
    <w:rsid w:val="00561E43"/>
    <w:rsid w:val="00562599"/>
    <w:rsid w:val="00563467"/>
    <w:rsid w:val="00563EF2"/>
    <w:rsid w:val="00564121"/>
    <w:rsid w:val="00564867"/>
    <w:rsid w:val="005650EB"/>
    <w:rsid w:val="00565A35"/>
    <w:rsid w:val="00565C79"/>
    <w:rsid w:val="00565DF0"/>
    <w:rsid w:val="0056696F"/>
    <w:rsid w:val="00566A17"/>
    <w:rsid w:val="005673CC"/>
    <w:rsid w:val="005709B1"/>
    <w:rsid w:val="00572269"/>
    <w:rsid w:val="0057244A"/>
    <w:rsid w:val="00572BC5"/>
    <w:rsid w:val="00572E71"/>
    <w:rsid w:val="00572F26"/>
    <w:rsid w:val="005737D2"/>
    <w:rsid w:val="00573901"/>
    <w:rsid w:val="00573F21"/>
    <w:rsid w:val="00574425"/>
    <w:rsid w:val="005750C5"/>
    <w:rsid w:val="005752DE"/>
    <w:rsid w:val="00575B47"/>
    <w:rsid w:val="00575D60"/>
    <w:rsid w:val="00575D8D"/>
    <w:rsid w:val="00575FDD"/>
    <w:rsid w:val="00576972"/>
    <w:rsid w:val="00577248"/>
    <w:rsid w:val="00577C72"/>
    <w:rsid w:val="005806A5"/>
    <w:rsid w:val="00580C47"/>
    <w:rsid w:val="00581747"/>
    <w:rsid w:val="00583230"/>
    <w:rsid w:val="00583699"/>
    <w:rsid w:val="00583C6F"/>
    <w:rsid w:val="00584FFD"/>
    <w:rsid w:val="0058502E"/>
    <w:rsid w:val="00585CDD"/>
    <w:rsid w:val="00586755"/>
    <w:rsid w:val="0058689B"/>
    <w:rsid w:val="00586CCC"/>
    <w:rsid w:val="00587058"/>
    <w:rsid w:val="00587F9A"/>
    <w:rsid w:val="00590E93"/>
    <w:rsid w:val="00590EC2"/>
    <w:rsid w:val="005915AC"/>
    <w:rsid w:val="00591957"/>
    <w:rsid w:val="00591B00"/>
    <w:rsid w:val="0059288A"/>
    <w:rsid w:val="00592A17"/>
    <w:rsid w:val="00593F6F"/>
    <w:rsid w:val="00595E56"/>
    <w:rsid w:val="005961F8"/>
    <w:rsid w:val="0059649B"/>
    <w:rsid w:val="00596C01"/>
    <w:rsid w:val="00596F65"/>
    <w:rsid w:val="00597BF9"/>
    <w:rsid w:val="00597DC6"/>
    <w:rsid w:val="00597E63"/>
    <w:rsid w:val="005A0C11"/>
    <w:rsid w:val="005A1E3C"/>
    <w:rsid w:val="005A2437"/>
    <w:rsid w:val="005A2A84"/>
    <w:rsid w:val="005A309A"/>
    <w:rsid w:val="005A373D"/>
    <w:rsid w:val="005A4052"/>
    <w:rsid w:val="005A50CC"/>
    <w:rsid w:val="005A56EA"/>
    <w:rsid w:val="005A5EA1"/>
    <w:rsid w:val="005A5F12"/>
    <w:rsid w:val="005A5FFE"/>
    <w:rsid w:val="005A66FA"/>
    <w:rsid w:val="005A6D9A"/>
    <w:rsid w:val="005B0119"/>
    <w:rsid w:val="005B0B58"/>
    <w:rsid w:val="005B127A"/>
    <w:rsid w:val="005B2D75"/>
    <w:rsid w:val="005B2E89"/>
    <w:rsid w:val="005B335C"/>
    <w:rsid w:val="005B36EE"/>
    <w:rsid w:val="005B3932"/>
    <w:rsid w:val="005B4E53"/>
    <w:rsid w:val="005B5433"/>
    <w:rsid w:val="005B564C"/>
    <w:rsid w:val="005B5857"/>
    <w:rsid w:val="005C19C4"/>
    <w:rsid w:val="005C1B83"/>
    <w:rsid w:val="005C1F27"/>
    <w:rsid w:val="005C1FF0"/>
    <w:rsid w:val="005C25FF"/>
    <w:rsid w:val="005C2D55"/>
    <w:rsid w:val="005C346B"/>
    <w:rsid w:val="005C44DF"/>
    <w:rsid w:val="005C4B2F"/>
    <w:rsid w:val="005C5665"/>
    <w:rsid w:val="005C5727"/>
    <w:rsid w:val="005C5ABC"/>
    <w:rsid w:val="005C6244"/>
    <w:rsid w:val="005C6D86"/>
    <w:rsid w:val="005C776C"/>
    <w:rsid w:val="005D044D"/>
    <w:rsid w:val="005D0ABD"/>
    <w:rsid w:val="005D18AD"/>
    <w:rsid w:val="005D1B25"/>
    <w:rsid w:val="005D26B4"/>
    <w:rsid w:val="005D2E70"/>
    <w:rsid w:val="005D3116"/>
    <w:rsid w:val="005D3F1A"/>
    <w:rsid w:val="005D5766"/>
    <w:rsid w:val="005D5B8A"/>
    <w:rsid w:val="005D623C"/>
    <w:rsid w:val="005D7DE0"/>
    <w:rsid w:val="005E0105"/>
    <w:rsid w:val="005E0F31"/>
    <w:rsid w:val="005E1995"/>
    <w:rsid w:val="005E1D63"/>
    <w:rsid w:val="005E26B4"/>
    <w:rsid w:val="005E2BE3"/>
    <w:rsid w:val="005E2FF9"/>
    <w:rsid w:val="005E340B"/>
    <w:rsid w:val="005E48AE"/>
    <w:rsid w:val="005E4AA1"/>
    <w:rsid w:val="005E4B62"/>
    <w:rsid w:val="005E4D42"/>
    <w:rsid w:val="005E4F1A"/>
    <w:rsid w:val="005E4F20"/>
    <w:rsid w:val="005E5BB2"/>
    <w:rsid w:val="005E6590"/>
    <w:rsid w:val="005E6756"/>
    <w:rsid w:val="005E6CBC"/>
    <w:rsid w:val="005E72FF"/>
    <w:rsid w:val="005E73C0"/>
    <w:rsid w:val="005E74A9"/>
    <w:rsid w:val="005F07ED"/>
    <w:rsid w:val="005F081E"/>
    <w:rsid w:val="005F0852"/>
    <w:rsid w:val="005F096D"/>
    <w:rsid w:val="005F0B1C"/>
    <w:rsid w:val="005F0E61"/>
    <w:rsid w:val="005F0EE4"/>
    <w:rsid w:val="005F1173"/>
    <w:rsid w:val="005F23EB"/>
    <w:rsid w:val="005F2501"/>
    <w:rsid w:val="005F2706"/>
    <w:rsid w:val="005F2E0F"/>
    <w:rsid w:val="005F43AF"/>
    <w:rsid w:val="005F44E3"/>
    <w:rsid w:val="005F5B27"/>
    <w:rsid w:val="005F609D"/>
    <w:rsid w:val="005F6102"/>
    <w:rsid w:val="005F6308"/>
    <w:rsid w:val="005F6A8F"/>
    <w:rsid w:val="005F6BB7"/>
    <w:rsid w:val="005F7588"/>
    <w:rsid w:val="005F7B87"/>
    <w:rsid w:val="00600E04"/>
    <w:rsid w:val="0060102E"/>
    <w:rsid w:val="00601032"/>
    <w:rsid w:val="00602428"/>
    <w:rsid w:val="006028D3"/>
    <w:rsid w:val="00602B63"/>
    <w:rsid w:val="00602FBD"/>
    <w:rsid w:val="006030AD"/>
    <w:rsid w:val="006033C4"/>
    <w:rsid w:val="00603DB9"/>
    <w:rsid w:val="006041E4"/>
    <w:rsid w:val="006058ED"/>
    <w:rsid w:val="00606FBA"/>
    <w:rsid w:val="0060736A"/>
    <w:rsid w:val="006073CB"/>
    <w:rsid w:val="00607669"/>
    <w:rsid w:val="006076F4"/>
    <w:rsid w:val="00607AB7"/>
    <w:rsid w:val="00607AFD"/>
    <w:rsid w:val="006105A8"/>
    <w:rsid w:val="006105D5"/>
    <w:rsid w:val="00611B12"/>
    <w:rsid w:val="00612158"/>
    <w:rsid w:val="00612F18"/>
    <w:rsid w:val="00612F97"/>
    <w:rsid w:val="00613364"/>
    <w:rsid w:val="0061344C"/>
    <w:rsid w:val="0061345D"/>
    <w:rsid w:val="006139B4"/>
    <w:rsid w:val="00614253"/>
    <w:rsid w:val="006149C8"/>
    <w:rsid w:val="00614E3E"/>
    <w:rsid w:val="0061549B"/>
    <w:rsid w:val="006154DB"/>
    <w:rsid w:val="00616140"/>
    <w:rsid w:val="006161BE"/>
    <w:rsid w:val="00616802"/>
    <w:rsid w:val="00616982"/>
    <w:rsid w:val="00617E12"/>
    <w:rsid w:val="00620C25"/>
    <w:rsid w:val="00621477"/>
    <w:rsid w:val="0062191A"/>
    <w:rsid w:val="00621ADA"/>
    <w:rsid w:val="00623F7B"/>
    <w:rsid w:val="00624BD4"/>
    <w:rsid w:val="0062515B"/>
    <w:rsid w:val="00625FD6"/>
    <w:rsid w:val="006260D2"/>
    <w:rsid w:val="006269C5"/>
    <w:rsid w:val="00626EA3"/>
    <w:rsid w:val="006273F1"/>
    <w:rsid w:val="00627BC8"/>
    <w:rsid w:val="00630F61"/>
    <w:rsid w:val="0063158F"/>
    <w:rsid w:val="00631B73"/>
    <w:rsid w:val="00631CDB"/>
    <w:rsid w:val="00631D6B"/>
    <w:rsid w:val="00632183"/>
    <w:rsid w:val="00632287"/>
    <w:rsid w:val="006330A1"/>
    <w:rsid w:val="0063479F"/>
    <w:rsid w:val="00634FD5"/>
    <w:rsid w:val="006353F0"/>
    <w:rsid w:val="006357B5"/>
    <w:rsid w:val="006364A1"/>
    <w:rsid w:val="006364A5"/>
    <w:rsid w:val="0063678E"/>
    <w:rsid w:val="006368CA"/>
    <w:rsid w:val="00637BFD"/>
    <w:rsid w:val="00637C5C"/>
    <w:rsid w:val="00641C4E"/>
    <w:rsid w:val="00641FB3"/>
    <w:rsid w:val="00642E4A"/>
    <w:rsid w:val="00643E04"/>
    <w:rsid w:val="0064412A"/>
    <w:rsid w:val="0064434C"/>
    <w:rsid w:val="00644490"/>
    <w:rsid w:val="00644AF6"/>
    <w:rsid w:val="006453D9"/>
    <w:rsid w:val="006461A8"/>
    <w:rsid w:val="00646653"/>
    <w:rsid w:val="006471CC"/>
    <w:rsid w:val="006472FE"/>
    <w:rsid w:val="00647A29"/>
    <w:rsid w:val="006506A3"/>
    <w:rsid w:val="0065079F"/>
    <w:rsid w:val="00650D1C"/>
    <w:rsid w:val="00650DD7"/>
    <w:rsid w:val="00651B44"/>
    <w:rsid w:val="00651EC9"/>
    <w:rsid w:val="00651F5E"/>
    <w:rsid w:val="0065217F"/>
    <w:rsid w:val="00652198"/>
    <w:rsid w:val="00652A28"/>
    <w:rsid w:val="0065379F"/>
    <w:rsid w:val="00653B05"/>
    <w:rsid w:val="00653D2C"/>
    <w:rsid w:val="00653F10"/>
    <w:rsid w:val="00654199"/>
    <w:rsid w:val="00656188"/>
    <w:rsid w:val="00657149"/>
    <w:rsid w:val="0065715A"/>
    <w:rsid w:val="00660133"/>
    <w:rsid w:val="0066097C"/>
    <w:rsid w:val="006610F1"/>
    <w:rsid w:val="0066145A"/>
    <w:rsid w:val="00661787"/>
    <w:rsid w:val="00661C6B"/>
    <w:rsid w:val="00661F17"/>
    <w:rsid w:val="00662206"/>
    <w:rsid w:val="00662D3E"/>
    <w:rsid w:val="00663639"/>
    <w:rsid w:val="00664B79"/>
    <w:rsid w:val="00665219"/>
    <w:rsid w:val="0066697C"/>
    <w:rsid w:val="006676B1"/>
    <w:rsid w:val="00667BE3"/>
    <w:rsid w:val="00667DA2"/>
    <w:rsid w:val="0067031C"/>
    <w:rsid w:val="00671004"/>
    <w:rsid w:val="00671043"/>
    <w:rsid w:val="00671098"/>
    <w:rsid w:val="00671379"/>
    <w:rsid w:val="0067206C"/>
    <w:rsid w:val="00672646"/>
    <w:rsid w:val="00672D8B"/>
    <w:rsid w:val="00673B9F"/>
    <w:rsid w:val="00674E42"/>
    <w:rsid w:val="00675740"/>
    <w:rsid w:val="00676563"/>
    <w:rsid w:val="00676B36"/>
    <w:rsid w:val="00677538"/>
    <w:rsid w:val="006776BB"/>
    <w:rsid w:val="00677A59"/>
    <w:rsid w:val="00681036"/>
    <w:rsid w:val="00681234"/>
    <w:rsid w:val="0068126C"/>
    <w:rsid w:val="006813F8"/>
    <w:rsid w:val="0068181B"/>
    <w:rsid w:val="00682112"/>
    <w:rsid w:val="006822A2"/>
    <w:rsid w:val="006825EA"/>
    <w:rsid w:val="0068297F"/>
    <w:rsid w:val="00682980"/>
    <w:rsid w:val="00682BA6"/>
    <w:rsid w:val="00684653"/>
    <w:rsid w:val="00684E11"/>
    <w:rsid w:val="00686957"/>
    <w:rsid w:val="00686BFF"/>
    <w:rsid w:val="006872BA"/>
    <w:rsid w:val="00687555"/>
    <w:rsid w:val="0069022F"/>
    <w:rsid w:val="006902EE"/>
    <w:rsid w:val="00690795"/>
    <w:rsid w:val="00690BB2"/>
    <w:rsid w:val="00691648"/>
    <w:rsid w:val="006917D7"/>
    <w:rsid w:val="0069180B"/>
    <w:rsid w:val="00691BAE"/>
    <w:rsid w:val="0069421D"/>
    <w:rsid w:val="0069434C"/>
    <w:rsid w:val="00694F07"/>
    <w:rsid w:val="00694F44"/>
    <w:rsid w:val="00695780"/>
    <w:rsid w:val="0069695C"/>
    <w:rsid w:val="00696A6E"/>
    <w:rsid w:val="00696EF9"/>
    <w:rsid w:val="00696F51"/>
    <w:rsid w:val="006978DB"/>
    <w:rsid w:val="006979A5"/>
    <w:rsid w:val="006A016F"/>
    <w:rsid w:val="006A0DF7"/>
    <w:rsid w:val="006A1047"/>
    <w:rsid w:val="006A187F"/>
    <w:rsid w:val="006A1CA7"/>
    <w:rsid w:val="006A1DD9"/>
    <w:rsid w:val="006A31F2"/>
    <w:rsid w:val="006A35BD"/>
    <w:rsid w:val="006A3824"/>
    <w:rsid w:val="006A3A8C"/>
    <w:rsid w:val="006A3B43"/>
    <w:rsid w:val="006A3BB0"/>
    <w:rsid w:val="006A41AC"/>
    <w:rsid w:val="006A4321"/>
    <w:rsid w:val="006A43D9"/>
    <w:rsid w:val="006A47D9"/>
    <w:rsid w:val="006A4B4F"/>
    <w:rsid w:val="006A5178"/>
    <w:rsid w:val="006A6B99"/>
    <w:rsid w:val="006A7B40"/>
    <w:rsid w:val="006A7E5F"/>
    <w:rsid w:val="006B1812"/>
    <w:rsid w:val="006B18D7"/>
    <w:rsid w:val="006B21FC"/>
    <w:rsid w:val="006B2561"/>
    <w:rsid w:val="006B261B"/>
    <w:rsid w:val="006B29B4"/>
    <w:rsid w:val="006B2C90"/>
    <w:rsid w:val="006B2D81"/>
    <w:rsid w:val="006B35E6"/>
    <w:rsid w:val="006B3F6E"/>
    <w:rsid w:val="006B4229"/>
    <w:rsid w:val="006B423D"/>
    <w:rsid w:val="006B465A"/>
    <w:rsid w:val="006B493F"/>
    <w:rsid w:val="006B4A76"/>
    <w:rsid w:val="006B4C9B"/>
    <w:rsid w:val="006B5312"/>
    <w:rsid w:val="006B5592"/>
    <w:rsid w:val="006B6DD0"/>
    <w:rsid w:val="006C0399"/>
    <w:rsid w:val="006C14FB"/>
    <w:rsid w:val="006C2123"/>
    <w:rsid w:val="006C2177"/>
    <w:rsid w:val="006C2A8E"/>
    <w:rsid w:val="006C3255"/>
    <w:rsid w:val="006C35E0"/>
    <w:rsid w:val="006C3CC4"/>
    <w:rsid w:val="006C3F26"/>
    <w:rsid w:val="006C45AC"/>
    <w:rsid w:val="006C4712"/>
    <w:rsid w:val="006C49BA"/>
    <w:rsid w:val="006C4D18"/>
    <w:rsid w:val="006C6227"/>
    <w:rsid w:val="006C67C9"/>
    <w:rsid w:val="006C776D"/>
    <w:rsid w:val="006D0D17"/>
    <w:rsid w:val="006D1A00"/>
    <w:rsid w:val="006D3C7D"/>
    <w:rsid w:val="006D3CFF"/>
    <w:rsid w:val="006D45AE"/>
    <w:rsid w:val="006D4659"/>
    <w:rsid w:val="006D5615"/>
    <w:rsid w:val="006D5BC1"/>
    <w:rsid w:val="006D5D5F"/>
    <w:rsid w:val="006D60FB"/>
    <w:rsid w:val="006D645D"/>
    <w:rsid w:val="006D67F2"/>
    <w:rsid w:val="006D67FC"/>
    <w:rsid w:val="006D68FB"/>
    <w:rsid w:val="006D748C"/>
    <w:rsid w:val="006D7B5D"/>
    <w:rsid w:val="006E1510"/>
    <w:rsid w:val="006E1B0A"/>
    <w:rsid w:val="006E1DB4"/>
    <w:rsid w:val="006E20CF"/>
    <w:rsid w:val="006E20D7"/>
    <w:rsid w:val="006E26FC"/>
    <w:rsid w:val="006E2868"/>
    <w:rsid w:val="006E3069"/>
    <w:rsid w:val="006E3880"/>
    <w:rsid w:val="006E3985"/>
    <w:rsid w:val="006E3C1E"/>
    <w:rsid w:val="006E3CB0"/>
    <w:rsid w:val="006E45C4"/>
    <w:rsid w:val="006E5122"/>
    <w:rsid w:val="006E643A"/>
    <w:rsid w:val="006E6552"/>
    <w:rsid w:val="006E69E2"/>
    <w:rsid w:val="006E6CAC"/>
    <w:rsid w:val="006E760E"/>
    <w:rsid w:val="006E794E"/>
    <w:rsid w:val="006E7CAA"/>
    <w:rsid w:val="006E7CD9"/>
    <w:rsid w:val="006F0F3B"/>
    <w:rsid w:val="006F1E23"/>
    <w:rsid w:val="006F306C"/>
    <w:rsid w:val="006F353E"/>
    <w:rsid w:val="006F4300"/>
    <w:rsid w:val="006F5433"/>
    <w:rsid w:val="006F63A5"/>
    <w:rsid w:val="006F63ED"/>
    <w:rsid w:val="006F6AD4"/>
    <w:rsid w:val="006F6F3C"/>
    <w:rsid w:val="006F6F84"/>
    <w:rsid w:val="006F7D50"/>
    <w:rsid w:val="00700929"/>
    <w:rsid w:val="00701057"/>
    <w:rsid w:val="0070142B"/>
    <w:rsid w:val="00701CCE"/>
    <w:rsid w:val="00701F6F"/>
    <w:rsid w:val="00702129"/>
    <w:rsid w:val="0070232F"/>
    <w:rsid w:val="0070276E"/>
    <w:rsid w:val="00702F8F"/>
    <w:rsid w:val="00703A99"/>
    <w:rsid w:val="00703BA8"/>
    <w:rsid w:val="00705558"/>
    <w:rsid w:val="007057DB"/>
    <w:rsid w:val="007079FC"/>
    <w:rsid w:val="00707F6A"/>
    <w:rsid w:val="00710360"/>
    <w:rsid w:val="00711A36"/>
    <w:rsid w:val="007125D3"/>
    <w:rsid w:val="007141FA"/>
    <w:rsid w:val="007146AD"/>
    <w:rsid w:val="00714C26"/>
    <w:rsid w:val="0071529C"/>
    <w:rsid w:val="007170DA"/>
    <w:rsid w:val="00717246"/>
    <w:rsid w:val="007172AD"/>
    <w:rsid w:val="00717354"/>
    <w:rsid w:val="00717546"/>
    <w:rsid w:val="007178B9"/>
    <w:rsid w:val="00717A0F"/>
    <w:rsid w:val="00717B94"/>
    <w:rsid w:val="0072032B"/>
    <w:rsid w:val="00720801"/>
    <w:rsid w:val="007209FF"/>
    <w:rsid w:val="00720AD7"/>
    <w:rsid w:val="007212D3"/>
    <w:rsid w:val="0072133E"/>
    <w:rsid w:val="00722939"/>
    <w:rsid w:val="007229EE"/>
    <w:rsid w:val="00722B1B"/>
    <w:rsid w:val="0072416F"/>
    <w:rsid w:val="007246EB"/>
    <w:rsid w:val="00724CDA"/>
    <w:rsid w:val="00724D18"/>
    <w:rsid w:val="00726071"/>
    <w:rsid w:val="007278C7"/>
    <w:rsid w:val="00727C94"/>
    <w:rsid w:val="0073177E"/>
    <w:rsid w:val="00731B0A"/>
    <w:rsid w:val="00731B0B"/>
    <w:rsid w:val="00731EAE"/>
    <w:rsid w:val="007324DF"/>
    <w:rsid w:val="00733073"/>
    <w:rsid w:val="0073321C"/>
    <w:rsid w:val="00734E42"/>
    <w:rsid w:val="00735033"/>
    <w:rsid w:val="00735328"/>
    <w:rsid w:val="00735FEC"/>
    <w:rsid w:val="0073670A"/>
    <w:rsid w:val="0073685B"/>
    <w:rsid w:val="00737948"/>
    <w:rsid w:val="00740364"/>
    <w:rsid w:val="0074037C"/>
    <w:rsid w:val="0074097C"/>
    <w:rsid w:val="00741BB9"/>
    <w:rsid w:val="00742D70"/>
    <w:rsid w:val="00742F26"/>
    <w:rsid w:val="007433A8"/>
    <w:rsid w:val="0074422B"/>
    <w:rsid w:val="007447CC"/>
    <w:rsid w:val="007447F4"/>
    <w:rsid w:val="007449BF"/>
    <w:rsid w:val="00745ED7"/>
    <w:rsid w:val="007463FE"/>
    <w:rsid w:val="00746BC0"/>
    <w:rsid w:val="00746CE4"/>
    <w:rsid w:val="00750D4D"/>
    <w:rsid w:val="0075105D"/>
    <w:rsid w:val="007510B4"/>
    <w:rsid w:val="00752142"/>
    <w:rsid w:val="007523F9"/>
    <w:rsid w:val="00752647"/>
    <w:rsid w:val="00752FFB"/>
    <w:rsid w:val="00753513"/>
    <w:rsid w:val="0075357E"/>
    <w:rsid w:val="00753B29"/>
    <w:rsid w:val="007543B1"/>
    <w:rsid w:val="00754CE2"/>
    <w:rsid w:val="00754E9C"/>
    <w:rsid w:val="00755060"/>
    <w:rsid w:val="00756747"/>
    <w:rsid w:val="00756FBE"/>
    <w:rsid w:val="007573E8"/>
    <w:rsid w:val="00757E63"/>
    <w:rsid w:val="00760C4E"/>
    <w:rsid w:val="00760F9E"/>
    <w:rsid w:val="007611DF"/>
    <w:rsid w:val="007616E6"/>
    <w:rsid w:val="00761894"/>
    <w:rsid w:val="00762160"/>
    <w:rsid w:val="007627BE"/>
    <w:rsid w:val="0076457A"/>
    <w:rsid w:val="00764D36"/>
    <w:rsid w:val="00764F03"/>
    <w:rsid w:val="007651C5"/>
    <w:rsid w:val="00765B1A"/>
    <w:rsid w:val="00765DC1"/>
    <w:rsid w:val="00765FC8"/>
    <w:rsid w:val="00766745"/>
    <w:rsid w:val="00767185"/>
    <w:rsid w:val="00771DF6"/>
    <w:rsid w:val="00771F5A"/>
    <w:rsid w:val="007722A2"/>
    <w:rsid w:val="007732E5"/>
    <w:rsid w:val="0077399E"/>
    <w:rsid w:val="00774E8E"/>
    <w:rsid w:val="0077539B"/>
    <w:rsid w:val="00776364"/>
    <w:rsid w:val="007767C4"/>
    <w:rsid w:val="00776A29"/>
    <w:rsid w:val="00777335"/>
    <w:rsid w:val="007773F8"/>
    <w:rsid w:val="00777A4E"/>
    <w:rsid w:val="007821EB"/>
    <w:rsid w:val="00782E48"/>
    <w:rsid w:val="007843F2"/>
    <w:rsid w:val="007846FA"/>
    <w:rsid w:val="0078531C"/>
    <w:rsid w:val="00785588"/>
    <w:rsid w:val="0078587D"/>
    <w:rsid w:val="00785A9F"/>
    <w:rsid w:val="00787353"/>
    <w:rsid w:val="00787C94"/>
    <w:rsid w:val="007925DF"/>
    <w:rsid w:val="00792A72"/>
    <w:rsid w:val="00793459"/>
    <w:rsid w:val="007935B0"/>
    <w:rsid w:val="00793D3F"/>
    <w:rsid w:val="007953EB"/>
    <w:rsid w:val="00795543"/>
    <w:rsid w:val="007962D5"/>
    <w:rsid w:val="007A08AA"/>
    <w:rsid w:val="007A0A12"/>
    <w:rsid w:val="007A132D"/>
    <w:rsid w:val="007A1345"/>
    <w:rsid w:val="007A22BE"/>
    <w:rsid w:val="007A29B0"/>
    <w:rsid w:val="007A2DDB"/>
    <w:rsid w:val="007A44AA"/>
    <w:rsid w:val="007A487B"/>
    <w:rsid w:val="007A5AE4"/>
    <w:rsid w:val="007A5D1C"/>
    <w:rsid w:val="007A63D5"/>
    <w:rsid w:val="007A70BA"/>
    <w:rsid w:val="007A7700"/>
    <w:rsid w:val="007A7DEA"/>
    <w:rsid w:val="007B0D68"/>
    <w:rsid w:val="007B0FAF"/>
    <w:rsid w:val="007B1FBC"/>
    <w:rsid w:val="007B251D"/>
    <w:rsid w:val="007B2BD5"/>
    <w:rsid w:val="007B3533"/>
    <w:rsid w:val="007B3997"/>
    <w:rsid w:val="007B4F58"/>
    <w:rsid w:val="007B528D"/>
    <w:rsid w:val="007B63CA"/>
    <w:rsid w:val="007B6483"/>
    <w:rsid w:val="007B689E"/>
    <w:rsid w:val="007B6B47"/>
    <w:rsid w:val="007B77D1"/>
    <w:rsid w:val="007B7E1E"/>
    <w:rsid w:val="007C07C7"/>
    <w:rsid w:val="007C08B2"/>
    <w:rsid w:val="007C0E56"/>
    <w:rsid w:val="007C1CD9"/>
    <w:rsid w:val="007C21B9"/>
    <w:rsid w:val="007C24F1"/>
    <w:rsid w:val="007C25EA"/>
    <w:rsid w:val="007C2A91"/>
    <w:rsid w:val="007C2E9F"/>
    <w:rsid w:val="007C32EF"/>
    <w:rsid w:val="007C3375"/>
    <w:rsid w:val="007C361D"/>
    <w:rsid w:val="007C4B84"/>
    <w:rsid w:val="007C4D7C"/>
    <w:rsid w:val="007C549D"/>
    <w:rsid w:val="007C7098"/>
    <w:rsid w:val="007C70FF"/>
    <w:rsid w:val="007C740D"/>
    <w:rsid w:val="007C74D6"/>
    <w:rsid w:val="007C791A"/>
    <w:rsid w:val="007C7C25"/>
    <w:rsid w:val="007D004F"/>
    <w:rsid w:val="007D035F"/>
    <w:rsid w:val="007D06B2"/>
    <w:rsid w:val="007D0AF2"/>
    <w:rsid w:val="007D0B38"/>
    <w:rsid w:val="007D0CF5"/>
    <w:rsid w:val="007D17AB"/>
    <w:rsid w:val="007D2DF3"/>
    <w:rsid w:val="007D3C8C"/>
    <w:rsid w:val="007D4278"/>
    <w:rsid w:val="007D4554"/>
    <w:rsid w:val="007D5440"/>
    <w:rsid w:val="007D58FC"/>
    <w:rsid w:val="007D649B"/>
    <w:rsid w:val="007D69EB"/>
    <w:rsid w:val="007D7C5B"/>
    <w:rsid w:val="007E0705"/>
    <w:rsid w:val="007E0A17"/>
    <w:rsid w:val="007E0B20"/>
    <w:rsid w:val="007E128F"/>
    <w:rsid w:val="007E1C06"/>
    <w:rsid w:val="007E2715"/>
    <w:rsid w:val="007E2C69"/>
    <w:rsid w:val="007E4413"/>
    <w:rsid w:val="007E4CDC"/>
    <w:rsid w:val="007E4F04"/>
    <w:rsid w:val="007E517D"/>
    <w:rsid w:val="007E5A0E"/>
    <w:rsid w:val="007E5D37"/>
    <w:rsid w:val="007E6211"/>
    <w:rsid w:val="007E67AE"/>
    <w:rsid w:val="007E6EAD"/>
    <w:rsid w:val="007E7623"/>
    <w:rsid w:val="007E78EF"/>
    <w:rsid w:val="007F01F9"/>
    <w:rsid w:val="007F0716"/>
    <w:rsid w:val="007F1017"/>
    <w:rsid w:val="007F2262"/>
    <w:rsid w:val="007F26D0"/>
    <w:rsid w:val="007F2FFF"/>
    <w:rsid w:val="007F38D8"/>
    <w:rsid w:val="007F3FC4"/>
    <w:rsid w:val="007F4513"/>
    <w:rsid w:val="007F4577"/>
    <w:rsid w:val="007F4A3F"/>
    <w:rsid w:val="007F4A61"/>
    <w:rsid w:val="007F5255"/>
    <w:rsid w:val="007F54FA"/>
    <w:rsid w:val="007F5676"/>
    <w:rsid w:val="007F56CC"/>
    <w:rsid w:val="007F5FE3"/>
    <w:rsid w:val="007F61C2"/>
    <w:rsid w:val="007F6635"/>
    <w:rsid w:val="007F6785"/>
    <w:rsid w:val="007F7FBE"/>
    <w:rsid w:val="008001CC"/>
    <w:rsid w:val="008002E1"/>
    <w:rsid w:val="00800491"/>
    <w:rsid w:val="00800BC0"/>
    <w:rsid w:val="008011EA"/>
    <w:rsid w:val="00801821"/>
    <w:rsid w:val="00801B0B"/>
    <w:rsid w:val="00802A46"/>
    <w:rsid w:val="00803072"/>
    <w:rsid w:val="00803E62"/>
    <w:rsid w:val="00805142"/>
    <w:rsid w:val="0080526D"/>
    <w:rsid w:val="00805293"/>
    <w:rsid w:val="0080566B"/>
    <w:rsid w:val="00805FCE"/>
    <w:rsid w:val="008060AF"/>
    <w:rsid w:val="00807739"/>
    <w:rsid w:val="00807A8B"/>
    <w:rsid w:val="008108B9"/>
    <w:rsid w:val="00811244"/>
    <w:rsid w:val="00811383"/>
    <w:rsid w:val="00812149"/>
    <w:rsid w:val="008123A8"/>
    <w:rsid w:val="0081241A"/>
    <w:rsid w:val="00812CAC"/>
    <w:rsid w:val="00813A19"/>
    <w:rsid w:val="008143EE"/>
    <w:rsid w:val="008157AA"/>
    <w:rsid w:val="00816326"/>
    <w:rsid w:val="00816361"/>
    <w:rsid w:val="00816691"/>
    <w:rsid w:val="008166EF"/>
    <w:rsid w:val="00816FEF"/>
    <w:rsid w:val="00817D81"/>
    <w:rsid w:val="00820A8C"/>
    <w:rsid w:val="008215FB"/>
    <w:rsid w:val="008219A6"/>
    <w:rsid w:val="00821BF2"/>
    <w:rsid w:val="008220CC"/>
    <w:rsid w:val="00822548"/>
    <w:rsid w:val="00822779"/>
    <w:rsid w:val="00823174"/>
    <w:rsid w:val="008240D4"/>
    <w:rsid w:val="00824714"/>
    <w:rsid w:val="00825751"/>
    <w:rsid w:val="00825C18"/>
    <w:rsid w:val="00825E3E"/>
    <w:rsid w:val="008264EB"/>
    <w:rsid w:val="0082653A"/>
    <w:rsid w:val="008268CE"/>
    <w:rsid w:val="00827A29"/>
    <w:rsid w:val="00827AAA"/>
    <w:rsid w:val="00827C23"/>
    <w:rsid w:val="00827FAC"/>
    <w:rsid w:val="008302D1"/>
    <w:rsid w:val="00831FC4"/>
    <w:rsid w:val="00832784"/>
    <w:rsid w:val="00832CF9"/>
    <w:rsid w:val="008337BC"/>
    <w:rsid w:val="00833B05"/>
    <w:rsid w:val="00833EEF"/>
    <w:rsid w:val="00834190"/>
    <w:rsid w:val="00834B1E"/>
    <w:rsid w:val="00834D11"/>
    <w:rsid w:val="0083568C"/>
    <w:rsid w:val="00835B6D"/>
    <w:rsid w:val="00835EF6"/>
    <w:rsid w:val="00835F5B"/>
    <w:rsid w:val="008362B4"/>
    <w:rsid w:val="00840384"/>
    <w:rsid w:val="00840CA2"/>
    <w:rsid w:val="0084160B"/>
    <w:rsid w:val="00842422"/>
    <w:rsid w:val="00842505"/>
    <w:rsid w:val="0084374F"/>
    <w:rsid w:val="008442AC"/>
    <w:rsid w:val="00844A22"/>
    <w:rsid w:val="00845C66"/>
    <w:rsid w:val="00846722"/>
    <w:rsid w:val="008471D3"/>
    <w:rsid w:val="008474F2"/>
    <w:rsid w:val="00847703"/>
    <w:rsid w:val="00847DF5"/>
    <w:rsid w:val="00847F6F"/>
    <w:rsid w:val="008501DF"/>
    <w:rsid w:val="0085098F"/>
    <w:rsid w:val="00850E0F"/>
    <w:rsid w:val="008511BC"/>
    <w:rsid w:val="00851695"/>
    <w:rsid w:val="008518C5"/>
    <w:rsid w:val="00851ED0"/>
    <w:rsid w:val="0085309D"/>
    <w:rsid w:val="00853B6D"/>
    <w:rsid w:val="00854B8A"/>
    <w:rsid w:val="00855E58"/>
    <w:rsid w:val="00856897"/>
    <w:rsid w:val="00856E9A"/>
    <w:rsid w:val="008576F2"/>
    <w:rsid w:val="00857AA5"/>
    <w:rsid w:val="0086075D"/>
    <w:rsid w:val="00860D42"/>
    <w:rsid w:val="00862502"/>
    <w:rsid w:val="00862CC1"/>
    <w:rsid w:val="00862FD0"/>
    <w:rsid w:val="008642A7"/>
    <w:rsid w:val="0086445B"/>
    <w:rsid w:val="00864B3B"/>
    <w:rsid w:val="00864B6E"/>
    <w:rsid w:val="00865042"/>
    <w:rsid w:val="0086548A"/>
    <w:rsid w:val="008660D4"/>
    <w:rsid w:val="008661F0"/>
    <w:rsid w:val="008670CA"/>
    <w:rsid w:val="008676CF"/>
    <w:rsid w:val="00867863"/>
    <w:rsid w:val="00870171"/>
    <w:rsid w:val="00870816"/>
    <w:rsid w:val="00870FBA"/>
    <w:rsid w:val="00871FA9"/>
    <w:rsid w:val="008728E9"/>
    <w:rsid w:val="00873941"/>
    <w:rsid w:val="0087445B"/>
    <w:rsid w:val="00874575"/>
    <w:rsid w:val="0088158A"/>
    <w:rsid w:val="00881967"/>
    <w:rsid w:val="00881A79"/>
    <w:rsid w:val="00881BAA"/>
    <w:rsid w:val="00882297"/>
    <w:rsid w:val="00882874"/>
    <w:rsid w:val="008829BA"/>
    <w:rsid w:val="00882DB9"/>
    <w:rsid w:val="00882E3C"/>
    <w:rsid w:val="00882F69"/>
    <w:rsid w:val="0088307A"/>
    <w:rsid w:val="0088308A"/>
    <w:rsid w:val="00883787"/>
    <w:rsid w:val="008842FB"/>
    <w:rsid w:val="00884750"/>
    <w:rsid w:val="00884DF3"/>
    <w:rsid w:val="00885065"/>
    <w:rsid w:val="008855E4"/>
    <w:rsid w:val="00886A19"/>
    <w:rsid w:val="00886CD2"/>
    <w:rsid w:val="00890A72"/>
    <w:rsid w:val="00891907"/>
    <w:rsid w:val="00891E6F"/>
    <w:rsid w:val="00891F8B"/>
    <w:rsid w:val="008921B6"/>
    <w:rsid w:val="0089275D"/>
    <w:rsid w:val="00892A36"/>
    <w:rsid w:val="00892F64"/>
    <w:rsid w:val="00893157"/>
    <w:rsid w:val="0089319D"/>
    <w:rsid w:val="00893239"/>
    <w:rsid w:val="0089368D"/>
    <w:rsid w:val="0089420E"/>
    <w:rsid w:val="00894489"/>
    <w:rsid w:val="00894CD6"/>
    <w:rsid w:val="00894DDA"/>
    <w:rsid w:val="00894FAD"/>
    <w:rsid w:val="00895662"/>
    <w:rsid w:val="00896149"/>
    <w:rsid w:val="008963A5"/>
    <w:rsid w:val="00896C9F"/>
    <w:rsid w:val="00896D5D"/>
    <w:rsid w:val="00897359"/>
    <w:rsid w:val="008977FC"/>
    <w:rsid w:val="00897EC2"/>
    <w:rsid w:val="008A03BB"/>
    <w:rsid w:val="008A08AC"/>
    <w:rsid w:val="008A11C2"/>
    <w:rsid w:val="008A14B6"/>
    <w:rsid w:val="008A1E6C"/>
    <w:rsid w:val="008A2558"/>
    <w:rsid w:val="008A29DD"/>
    <w:rsid w:val="008A3158"/>
    <w:rsid w:val="008A3363"/>
    <w:rsid w:val="008A3371"/>
    <w:rsid w:val="008A3502"/>
    <w:rsid w:val="008A39C6"/>
    <w:rsid w:val="008A3BC7"/>
    <w:rsid w:val="008A3C3E"/>
    <w:rsid w:val="008A439E"/>
    <w:rsid w:val="008A4C7A"/>
    <w:rsid w:val="008A62CC"/>
    <w:rsid w:val="008A6539"/>
    <w:rsid w:val="008A79DE"/>
    <w:rsid w:val="008A7CAE"/>
    <w:rsid w:val="008A7D33"/>
    <w:rsid w:val="008B1757"/>
    <w:rsid w:val="008B1C33"/>
    <w:rsid w:val="008B2546"/>
    <w:rsid w:val="008B3D11"/>
    <w:rsid w:val="008B4B6F"/>
    <w:rsid w:val="008B5619"/>
    <w:rsid w:val="008B645F"/>
    <w:rsid w:val="008B6AAC"/>
    <w:rsid w:val="008B6BF1"/>
    <w:rsid w:val="008B7992"/>
    <w:rsid w:val="008B7D7E"/>
    <w:rsid w:val="008B7E0D"/>
    <w:rsid w:val="008C0FFC"/>
    <w:rsid w:val="008C4209"/>
    <w:rsid w:val="008C4717"/>
    <w:rsid w:val="008C4C47"/>
    <w:rsid w:val="008C5610"/>
    <w:rsid w:val="008C5739"/>
    <w:rsid w:val="008C7282"/>
    <w:rsid w:val="008C7BBD"/>
    <w:rsid w:val="008C7D16"/>
    <w:rsid w:val="008C7ECB"/>
    <w:rsid w:val="008D1768"/>
    <w:rsid w:val="008D237C"/>
    <w:rsid w:val="008D25B6"/>
    <w:rsid w:val="008D310C"/>
    <w:rsid w:val="008D32B5"/>
    <w:rsid w:val="008D3858"/>
    <w:rsid w:val="008D3B86"/>
    <w:rsid w:val="008D43FD"/>
    <w:rsid w:val="008D4571"/>
    <w:rsid w:val="008D4722"/>
    <w:rsid w:val="008D4755"/>
    <w:rsid w:val="008D4C3D"/>
    <w:rsid w:val="008D5968"/>
    <w:rsid w:val="008D7332"/>
    <w:rsid w:val="008D743C"/>
    <w:rsid w:val="008D75C6"/>
    <w:rsid w:val="008E034E"/>
    <w:rsid w:val="008E03FA"/>
    <w:rsid w:val="008E057F"/>
    <w:rsid w:val="008E0D3C"/>
    <w:rsid w:val="008E1B9E"/>
    <w:rsid w:val="008E2ED8"/>
    <w:rsid w:val="008E3A0B"/>
    <w:rsid w:val="008E3B21"/>
    <w:rsid w:val="008E55AB"/>
    <w:rsid w:val="008E5A44"/>
    <w:rsid w:val="008E5A82"/>
    <w:rsid w:val="008E6742"/>
    <w:rsid w:val="008F0F73"/>
    <w:rsid w:val="008F120A"/>
    <w:rsid w:val="008F1407"/>
    <w:rsid w:val="008F1838"/>
    <w:rsid w:val="008F1CEC"/>
    <w:rsid w:val="008F1D19"/>
    <w:rsid w:val="008F26D4"/>
    <w:rsid w:val="008F27E0"/>
    <w:rsid w:val="008F2A3C"/>
    <w:rsid w:val="008F2DA7"/>
    <w:rsid w:val="008F48EB"/>
    <w:rsid w:val="008F4F0B"/>
    <w:rsid w:val="008F50D5"/>
    <w:rsid w:val="008F54DE"/>
    <w:rsid w:val="008F5530"/>
    <w:rsid w:val="008F57BD"/>
    <w:rsid w:val="008F68E5"/>
    <w:rsid w:val="008F739F"/>
    <w:rsid w:val="008F7FE3"/>
    <w:rsid w:val="00900960"/>
    <w:rsid w:val="00900C33"/>
    <w:rsid w:val="00900F11"/>
    <w:rsid w:val="009017AF"/>
    <w:rsid w:val="00901DA1"/>
    <w:rsid w:val="00902001"/>
    <w:rsid w:val="00902B89"/>
    <w:rsid w:val="00902C16"/>
    <w:rsid w:val="009046C4"/>
    <w:rsid w:val="00904781"/>
    <w:rsid w:val="00904DF7"/>
    <w:rsid w:val="009058A0"/>
    <w:rsid w:val="009062A5"/>
    <w:rsid w:val="009072AE"/>
    <w:rsid w:val="009075D7"/>
    <w:rsid w:val="00907699"/>
    <w:rsid w:val="00907887"/>
    <w:rsid w:val="00910FA7"/>
    <w:rsid w:val="00911272"/>
    <w:rsid w:val="00911339"/>
    <w:rsid w:val="009115F2"/>
    <w:rsid w:val="009118B7"/>
    <w:rsid w:val="009119B1"/>
    <w:rsid w:val="00912564"/>
    <w:rsid w:val="0091309D"/>
    <w:rsid w:val="0091339F"/>
    <w:rsid w:val="009135D6"/>
    <w:rsid w:val="0091385C"/>
    <w:rsid w:val="0091441D"/>
    <w:rsid w:val="00914AFB"/>
    <w:rsid w:val="00914C31"/>
    <w:rsid w:val="00914C77"/>
    <w:rsid w:val="00915548"/>
    <w:rsid w:val="00917319"/>
    <w:rsid w:val="00920C2D"/>
    <w:rsid w:val="00921301"/>
    <w:rsid w:val="00921ACB"/>
    <w:rsid w:val="00921BC4"/>
    <w:rsid w:val="00921C30"/>
    <w:rsid w:val="00922706"/>
    <w:rsid w:val="0092369B"/>
    <w:rsid w:val="009253A4"/>
    <w:rsid w:val="00926734"/>
    <w:rsid w:val="00926A7F"/>
    <w:rsid w:val="0092761E"/>
    <w:rsid w:val="0092785C"/>
    <w:rsid w:val="00930908"/>
    <w:rsid w:val="00931B7C"/>
    <w:rsid w:val="009327A3"/>
    <w:rsid w:val="00932A6B"/>
    <w:rsid w:val="00934988"/>
    <w:rsid w:val="00934E9C"/>
    <w:rsid w:val="00935068"/>
    <w:rsid w:val="009351A2"/>
    <w:rsid w:val="00935233"/>
    <w:rsid w:val="009356D5"/>
    <w:rsid w:val="00936DFE"/>
    <w:rsid w:val="00937089"/>
    <w:rsid w:val="00937567"/>
    <w:rsid w:val="00937714"/>
    <w:rsid w:val="009404B9"/>
    <w:rsid w:val="00940C2E"/>
    <w:rsid w:val="009413F0"/>
    <w:rsid w:val="00942830"/>
    <w:rsid w:val="00942896"/>
    <w:rsid w:val="00943D53"/>
    <w:rsid w:val="0094472C"/>
    <w:rsid w:val="00944F7C"/>
    <w:rsid w:val="00944F8A"/>
    <w:rsid w:val="00945238"/>
    <w:rsid w:val="00946135"/>
    <w:rsid w:val="00947618"/>
    <w:rsid w:val="009478DE"/>
    <w:rsid w:val="009507D5"/>
    <w:rsid w:val="009510A2"/>
    <w:rsid w:val="00951618"/>
    <w:rsid w:val="00953257"/>
    <w:rsid w:val="009539BD"/>
    <w:rsid w:val="00953A22"/>
    <w:rsid w:val="0095474C"/>
    <w:rsid w:val="0095559D"/>
    <w:rsid w:val="00955A50"/>
    <w:rsid w:val="00956357"/>
    <w:rsid w:val="00956722"/>
    <w:rsid w:val="00956EA3"/>
    <w:rsid w:val="00957D92"/>
    <w:rsid w:val="00960809"/>
    <w:rsid w:val="00961822"/>
    <w:rsid w:val="00962425"/>
    <w:rsid w:val="00962CB9"/>
    <w:rsid w:val="00964312"/>
    <w:rsid w:val="009645C4"/>
    <w:rsid w:val="00965426"/>
    <w:rsid w:val="00965AD6"/>
    <w:rsid w:val="00965B8A"/>
    <w:rsid w:val="00965BE2"/>
    <w:rsid w:val="00965FB6"/>
    <w:rsid w:val="00966A5C"/>
    <w:rsid w:val="009673BD"/>
    <w:rsid w:val="0096774F"/>
    <w:rsid w:val="00967C4B"/>
    <w:rsid w:val="00967E52"/>
    <w:rsid w:val="0097018C"/>
    <w:rsid w:val="0097071F"/>
    <w:rsid w:val="00970FAA"/>
    <w:rsid w:val="009714CD"/>
    <w:rsid w:val="009715C8"/>
    <w:rsid w:val="009716EB"/>
    <w:rsid w:val="00971780"/>
    <w:rsid w:val="009717AC"/>
    <w:rsid w:val="0097373A"/>
    <w:rsid w:val="00973B94"/>
    <w:rsid w:val="00974020"/>
    <w:rsid w:val="009742F5"/>
    <w:rsid w:val="00974C77"/>
    <w:rsid w:val="009751C1"/>
    <w:rsid w:val="00975D62"/>
    <w:rsid w:val="00977C46"/>
    <w:rsid w:val="00977D06"/>
    <w:rsid w:val="00981050"/>
    <w:rsid w:val="009811F1"/>
    <w:rsid w:val="00981A45"/>
    <w:rsid w:val="00981D53"/>
    <w:rsid w:val="00981EA6"/>
    <w:rsid w:val="00982247"/>
    <w:rsid w:val="0098262F"/>
    <w:rsid w:val="00982AC4"/>
    <w:rsid w:val="009832AB"/>
    <w:rsid w:val="00983E57"/>
    <w:rsid w:val="00983EDA"/>
    <w:rsid w:val="00984327"/>
    <w:rsid w:val="009844FF"/>
    <w:rsid w:val="009845EA"/>
    <w:rsid w:val="00985DE2"/>
    <w:rsid w:val="00985E3F"/>
    <w:rsid w:val="00985EDC"/>
    <w:rsid w:val="009863AA"/>
    <w:rsid w:val="0098675D"/>
    <w:rsid w:val="00986E5C"/>
    <w:rsid w:val="00987BA4"/>
    <w:rsid w:val="00990F88"/>
    <w:rsid w:val="0099153F"/>
    <w:rsid w:val="0099249D"/>
    <w:rsid w:val="009926E0"/>
    <w:rsid w:val="0099451E"/>
    <w:rsid w:val="00994733"/>
    <w:rsid w:val="00994AC7"/>
    <w:rsid w:val="00996B1A"/>
    <w:rsid w:val="009A18F6"/>
    <w:rsid w:val="009A1A29"/>
    <w:rsid w:val="009A2035"/>
    <w:rsid w:val="009A2102"/>
    <w:rsid w:val="009A21BB"/>
    <w:rsid w:val="009A2AAB"/>
    <w:rsid w:val="009A2DCC"/>
    <w:rsid w:val="009A4159"/>
    <w:rsid w:val="009A569F"/>
    <w:rsid w:val="009A59AA"/>
    <w:rsid w:val="009A5ABC"/>
    <w:rsid w:val="009A672B"/>
    <w:rsid w:val="009A6D6C"/>
    <w:rsid w:val="009A71B4"/>
    <w:rsid w:val="009A71C7"/>
    <w:rsid w:val="009A7A18"/>
    <w:rsid w:val="009A7DC5"/>
    <w:rsid w:val="009A7F10"/>
    <w:rsid w:val="009B0FEC"/>
    <w:rsid w:val="009B12B5"/>
    <w:rsid w:val="009B1AB0"/>
    <w:rsid w:val="009B202E"/>
    <w:rsid w:val="009B28DB"/>
    <w:rsid w:val="009B2ADD"/>
    <w:rsid w:val="009B32B4"/>
    <w:rsid w:val="009B3E26"/>
    <w:rsid w:val="009B4B28"/>
    <w:rsid w:val="009B4DDC"/>
    <w:rsid w:val="009B50A0"/>
    <w:rsid w:val="009B51A2"/>
    <w:rsid w:val="009B5277"/>
    <w:rsid w:val="009B5EFC"/>
    <w:rsid w:val="009B79E2"/>
    <w:rsid w:val="009C06BF"/>
    <w:rsid w:val="009C0ACD"/>
    <w:rsid w:val="009C1271"/>
    <w:rsid w:val="009C156F"/>
    <w:rsid w:val="009C2172"/>
    <w:rsid w:val="009C2999"/>
    <w:rsid w:val="009C33DA"/>
    <w:rsid w:val="009C3706"/>
    <w:rsid w:val="009C3A3A"/>
    <w:rsid w:val="009C3D42"/>
    <w:rsid w:val="009C40BD"/>
    <w:rsid w:val="009C419C"/>
    <w:rsid w:val="009C426B"/>
    <w:rsid w:val="009C4640"/>
    <w:rsid w:val="009C62D0"/>
    <w:rsid w:val="009C6CEA"/>
    <w:rsid w:val="009C725F"/>
    <w:rsid w:val="009C7B85"/>
    <w:rsid w:val="009D0030"/>
    <w:rsid w:val="009D0254"/>
    <w:rsid w:val="009D1A64"/>
    <w:rsid w:val="009D2453"/>
    <w:rsid w:val="009D2A73"/>
    <w:rsid w:val="009D381A"/>
    <w:rsid w:val="009D435C"/>
    <w:rsid w:val="009D45D5"/>
    <w:rsid w:val="009D4937"/>
    <w:rsid w:val="009D4E44"/>
    <w:rsid w:val="009D572F"/>
    <w:rsid w:val="009D58CE"/>
    <w:rsid w:val="009D5B91"/>
    <w:rsid w:val="009D5DDF"/>
    <w:rsid w:val="009D67AD"/>
    <w:rsid w:val="009D792E"/>
    <w:rsid w:val="009D7969"/>
    <w:rsid w:val="009D7A05"/>
    <w:rsid w:val="009E05CA"/>
    <w:rsid w:val="009E0DFE"/>
    <w:rsid w:val="009E11BE"/>
    <w:rsid w:val="009E1578"/>
    <w:rsid w:val="009E1D8B"/>
    <w:rsid w:val="009E1E65"/>
    <w:rsid w:val="009E2313"/>
    <w:rsid w:val="009E2B79"/>
    <w:rsid w:val="009E31F6"/>
    <w:rsid w:val="009E4487"/>
    <w:rsid w:val="009E4C07"/>
    <w:rsid w:val="009E5DCC"/>
    <w:rsid w:val="009E60C4"/>
    <w:rsid w:val="009E619E"/>
    <w:rsid w:val="009E6C44"/>
    <w:rsid w:val="009E777F"/>
    <w:rsid w:val="009F02B6"/>
    <w:rsid w:val="009F0755"/>
    <w:rsid w:val="009F07E4"/>
    <w:rsid w:val="009F0F64"/>
    <w:rsid w:val="009F1201"/>
    <w:rsid w:val="009F15D0"/>
    <w:rsid w:val="009F18BE"/>
    <w:rsid w:val="009F1E30"/>
    <w:rsid w:val="009F2416"/>
    <w:rsid w:val="009F319F"/>
    <w:rsid w:val="009F36CF"/>
    <w:rsid w:val="009F48E0"/>
    <w:rsid w:val="009F49B4"/>
    <w:rsid w:val="009F50D4"/>
    <w:rsid w:val="009F6120"/>
    <w:rsid w:val="009F71A8"/>
    <w:rsid w:val="009F721B"/>
    <w:rsid w:val="009F7309"/>
    <w:rsid w:val="009F792B"/>
    <w:rsid w:val="00A00D76"/>
    <w:rsid w:val="00A01184"/>
    <w:rsid w:val="00A0139E"/>
    <w:rsid w:val="00A01449"/>
    <w:rsid w:val="00A031C2"/>
    <w:rsid w:val="00A035A7"/>
    <w:rsid w:val="00A037C2"/>
    <w:rsid w:val="00A03D43"/>
    <w:rsid w:val="00A04380"/>
    <w:rsid w:val="00A0454D"/>
    <w:rsid w:val="00A04786"/>
    <w:rsid w:val="00A05472"/>
    <w:rsid w:val="00A05C32"/>
    <w:rsid w:val="00A0653F"/>
    <w:rsid w:val="00A068A7"/>
    <w:rsid w:val="00A06D93"/>
    <w:rsid w:val="00A10E35"/>
    <w:rsid w:val="00A1109D"/>
    <w:rsid w:val="00A11CD0"/>
    <w:rsid w:val="00A11DAB"/>
    <w:rsid w:val="00A1303F"/>
    <w:rsid w:val="00A13356"/>
    <w:rsid w:val="00A13539"/>
    <w:rsid w:val="00A13948"/>
    <w:rsid w:val="00A13BE4"/>
    <w:rsid w:val="00A14150"/>
    <w:rsid w:val="00A14162"/>
    <w:rsid w:val="00A14405"/>
    <w:rsid w:val="00A1535D"/>
    <w:rsid w:val="00A1555B"/>
    <w:rsid w:val="00A155C5"/>
    <w:rsid w:val="00A1602D"/>
    <w:rsid w:val="00A16AD8"/>
    <w:rsid w:val="00A17A62"/>
    <w:rsid w:val="00A17B0B"/>
    <w:rsid w:val="00A2021E"/>
    <w:rsid w:val="00A20E8A"/>
    <w:rsid w:val="00A21C95"/>
    <w:rsid w:val="00A21CF3"/>
    <w:rsid w:val="00A224C4"/>
    <w:rsid w:val="00A230DC"/>
    <w:rsid w:val="00A23994"/>
    <w:rsid w:val="00A23D15"/>
    <w:rsid w:val="00A243FB"/>
    <w:rsid w:val="00A24813"/>
    <w:rsid w:val="00A26AC4"/>
    <w:rsid w:val="00A26DDB"/>
    <w:rsid w:val="00A2768C"/>
    <w:rsid w:val="00A27AB4"/>
    <w:rsid w:val="00A27AEC"/>
    <w:rsid w:val="00A27F0E"/>
    <w:rsid w:val="00A30215"/>
    <w:rsid w:val="00A30368"/>
    <w:rsid w:val="00A309A5"/>
    <w:rsid w:val="00A320DB"/>
    <w:rsid w:val="00A3263A"/>
    <w:rsid w:val="00A32D05"/>
    <w:rsid w:val="00A331B5"/>
    <w:rsid w:val="00A3343C"/>
    <w:rsid w:val="00A33B1E"/>
    <w:rsid w:val="00A35D16"/>
    <w:rsid w:val="00A35DBD"/>
    <w:rsid w:val="00A365A7"/>
    <w:rsid w:val="00A36FF8"/>
    <w:rsid w:val="00A37A87"/>
    <w:rsid w:val="00A37BCD"/>
    <w:rsid w:val="00A37C76"/>
    <w:rsid w:val="00A41689"/>
    <w:rsid w:val="00A417B6"/>
    <w:rsid w:val="00A41AA5"/>
    <w:rsid w:val="00A42088"/>
    <w:rsid w:val="00A42592"/>
    <w:rsid w:val="00A42EEB"/>
    <w:rsid w:val="00A43C59"/>
    <w:rsid w:val="00A448BD"/>
    <w:rsid w:val="00A45268"/>
    <w:rsid w:val="00A45A6F"/>
    <w:rsid w:val="00A46372"/>
    <w:rsid w:val="00A466B3"/>
    <w:rsid w:val="00A50ECD"/>
    <w:rsid w:val="00A518F3"/>
    <w:rsid w:val="00A51AFA"/>
    <w:rsid w:val="00A51B2E"/>
    <w:rsid w:val="00A52729"/>
    <w:rsid w:val="00A529A6"/>
    <w:rsid w:val="00A53675"/>
    <w:rsid w:val="00A53EBB"/>
    <w:rsid w:val="00A54499"/>
    <w:rsid w:val="00A55AF1"/>
    <w:rsid w:val="00A55B2F"/>
    <w:rsid w:val="00A55EA0"/>
    <w:rsid w:val="00A564D7"/>
    <w:rsid w:val="00A56B6A"/>
    <w:rsid w:val="00A578DC"/>
    <w:rsid w:val="00A60382"/>
    <w:rsid w:val="00A618A8"/>
    <w:rsid w:val="00A61FA1"/>
    <w:rsid w:val="00A63F8E"/>
    <w:rsid w:val="00A640E2"/>
    <w:rsid w:val="00A64C38"/>
    <w:rsid w:val="00A64CAB"/>
    <w:rsid w:val="00A64CE7"/>
    <w:rsid w:val="00A64D65"/>
    <w:rsid w:val="00A6725B"/>
    <w:rsid w:val="00A67931"/>
    <w:rsid w:val="00A67959"/>
    <w:rsid w:val="00A70605"/>
    <w:rsid w:val="00A70FD8"/>
    <w:rsid w:val="00A71716"/>
    <w:rsid w:val="00A73134"/>
    <w:rsid w:val="00A7365A"/>
    <w:rsid w:val="00A7375D"/>
    <w:rsid w:val="00A73D94"/>
    <w:rsid w:val="00A740D3"/>
    <w:rsid w:val="00A747F6"/>
    <w:rsid w:val="00A751C2"/>
    <w:rsid w:val="00A76001"/>
    <w:rsid w:val="00A76F72"/>
    <w:rsid w:val="00A777B2"/>
    <w:rsid w:val="00A7789D"/>
    <w:rsid w:val="00A8088E"/>
    <w:rsid w:val="00A81375"/>
    <w:rsid w:val="00A81A14"/>
    <w:rsid w:val="00A81A80"/>
    <w:rsid w:val="00A81BF8"/>
    <w:rsid w:val="00A82329"/>
    <w:rsid w:val="00A824F0"/>
    <w:rsid w:val="00A825D4"/>
    <w:rsid w:val="00A828F6"/>
    <w:rsid w:val="00A82B73"/>
    <w:rsid w:val="00A83212"/>
    <w:rsid w:val="00A83A44"/>
    <w:rsid w:val="00A85245"/>
    <w:rsid w:val="00A859A4"/>
    <w:rsid w:val="00A85DB3"/>
    <w:rsid w:val="00A85E70"/>
    <w:rsid w:val="00A86E8B"/>
    <w:rsid w:val="00A870BB"/>
    <w:rsid w:val="00A87164"/>
    <w:rsid w:val="00A871A9"/>
    <w:rsid w:val="00A87253"/>
    <w:rsid w:val="00A87FD7"/>
    <w:rsid w:val="00A90289"/>
    <w:rsid w:val="00A90298"/>
    <w:rsid w:val="00A90716"/>
    <w:rsid w:val="00A90822"/>
    <w:rsid w:val="00A913C2"/>
    <w:rsid w:val="00A91993"/>
    <w:rsid w:val="00A93072"/>
    <w:rsid w:val="00A9312D"/>
    <w:rsid w:val="00A931FF"/>
    <w:rsid w:val="00A938BD"/>
    <w:rsid w:val="00A93953"/>
    <w:rsid w:val="00A940D5"/>
    <w:rsid w:val="00A9497D"/>
    <w:rsid w:val="00A94A9A"/>
    <w:rsid w:val="00A956E1"/>
    <w:rsid w:val="00A959D8"/>
    <w:rsid w:val="00A966E6"/>
    <w:rsid w:val="00A96925"/>
    <w:rsid w:val="00A969AB"/>
    <w:rsid w:val="00A97167"/>
    <w:rsid w:val="00A971DA"/>
    <w:rsid w:val="00A97E23"/>
    <w:rsid w:val="00AA016B"/>
    <w:rsid w:val="00AA0A60"/>
    <w:rsid w:val="00AA0ED5"/>
    <w:rsid w:val="00AA113D"/>
    <w:rsid w:val="00AA1170"/>
    <w:rsid w:val="00AA24B3"/>
    <w:rsid w:val="00AA392F"/>
    <w:rsid w:val="00AA44D2"/>
    <w:rsid w:val="00AA5319"/>
    <w:rsid w:val="00AA684F"/>
    <w:rsid w:val="00AA6BD5"/>
    <w:rsid w:val="00AA6BD8"/>
    <w:rsid w:val="00AA6C7D"/>
    <w:rsid w:val="00AA6F58"/>
    <w:rsid w:val="00AA7CFF"/>
    <w:rsid w:val="00AA7FD6"/>
    <w:rsid w:val="00AB042A"/>
    <w:rsid w:val="00AB11AD"/>
    <w:rsid w:val="00AB1345"/>
    <w:rsid w:val="00AB17F8"/>
    <w:rsid w:val="00AB19EF"/>
    <w:rsid w:val="00AB2495"/>
    <w:rsid w:val="00AB2D34"/>
    <w:rsid w:val="00AB3430"/>
    <w:rsid w:val="00AB37B9"/>
    <w:rsid w:val="00AB3A11"/>
    <w:rsid w:val="00AB3DD4"/>
    <w:rsid w:val="00AB40B4"/>
    <w:rsid w:val="00AB47C8"/>
    <w:rsid w:val="00AB48CE"/>
    <w:rsid w:val="00AB4AD1"/>
    <w:rsid w:val="00AB56D2"/>
    <w:rsid w:val="00AB5E07"/>
    <w:rsid w:val="00AB5E27"/>
    <w:rsid w:val="00AB616E"/>
    <w:rsid w:val="00AB64C0"/>
    <w:rsid w:val="00AB6552"/>
    <w:rsid w:val="00AB73A3"/>
    <w:rsid w:val="00AB7CFA"/>
    <w:rsid w:val="00AC2443"/>
    <w:rsid w:val="00AC2989"/>
    <w:rsid w:val="00AC2CF2"/>
    <w:rsid w:val="00AC3762"/>
    <w:rsid w:val="00AC3A23"/>
    <w:rsid w:val="00AC3EEF"/>
    <w:rsid w:val="00AC518B"/>
    <w:rsid w:val="00AC5B42"/>
    <w:rsid w:val="00AC5B48"/>
    <w:rsid w:val="00AC5BA2"/>
    <w:rsid w:val="00AC5D1B"/>
    <w:rsid w:val="00AC6442"/>
    <w:rsid w:val="00AC6D0E"/>
    <w:rsid w:val="00AC6D93"/>
    <w:rsid w:val="00AC6FD8"/>
    <w:rsid w:val="00AD09C1"/>
    <w:rsid w:val="00AD1450"/>
    <w:rsid w:val="00AD15E8"/>
    <w:rsid w:val="00AD225A"/>
    <w:rsid w:val="00AD30EE"/>
    <w:rsid w:val="00AD356D"/>
    <w:rsid w:val="00AD380E"/>
    <w:rsid w:val="00AD454A"/>
    <w:rsid w:val="00AD455E"/>
    <w:rsid w:val="00AD47CE"/>
    <w:rsid w:val="00AD4B40"/>
    <w:rsid w:val="00AD5A17"/>
    <w:rsid w:val="00AD61D7"/>
    <w:rsid w:val="00AD6502"/>
    <w:rsid w:val="00AD6715"/>
    <w:rsid w:val="00AE0695"/>
    <w:rsid w:val="00AE08EA"/>
    <w:rsid w:val="00AE2246"/>
    <w:rsid w:val="00AE249C"/>
    <w:rsid w:val="00AE2D31"/>
    <w:rsid w:val="00AE3E7E"/>
    <w:rsid w:val="00AE3F83"/>
    <w:rsid w:val="00AE5B78"/>
    <w:rsid w:val="00AE60D1"/>
    <w:rsid w:val="00AE6362"/>
    <w:rsid w:val="00AE652D"/>
    <w:rsid w:val="00AE76AA"/>
    <w:rsid w:val="00AE7E53"/>
    <w:rsid w:val="00AF06B0"/>
    <w:rsid w:val="00AF0D7A"/>
    <w:rsid w:val="00AF1315"/>
    <w:rsid w:val="00AF19BF"/>
    <w:rsid w:val="00AF1AE0"/>
    <w:rsid w:val="00AF1DD0"/>
    <w:rsid w:val="00AF2A27"/>
    <w:rsid w:val="00AF2A3E"/>
    <w:rsid w:val="00AF2DC3"/>
    <w:rsid w:val="00AF364B"/>
    <w:rsid w:val="00AF39C4"/>
    <w:rsid w:val="00AF50ED"/>
    <w:rsid w:val="00AF54EC"/>
    <w:rsid w:val="00AF6929"/>
    <w:rsid w:val="00AF7474"/>
    <w:rsid w:val="00AF7CB2"/>
    <w:rsid w:val="00AF7F33"/>
    <w:rsid w:val="00B0043D"/>
    <w:rsid w:val="00B00953"/>
    <w:rsid w:val="00B00F4A"/>
    <w:rsid w:val="00B0270C"/>
    <w:rsid w:val="00B033E5"/>
    <w:rsid w:val="00B03A63"/>
    <w:rsid w:val="00B04D77"/>
    <w:rsid w:val="00B05516"/>
    <w:rsid w:val="00B055B4"/>
    <w:rsid w:val="00B06533"/>
    <w:rsid w:val="00B06C22"/>
    <w:rsid w:val="00B06EC6"/>
    <w:rsid w:val="00B076D0"/>
    <w:rsid w:val="00B07BC8"/>
    <w:rsid w:val="00B1064D"/>
    <w:rsid w:val="00B1285D"/>
    <w:rsid w:val="00B129A4"/>
    <w:rsid w:val="00B12C34"/>
    <w:rsid w:val="00B147FE"/>
    <w:rsid w:val="00B14EDE"/>
    <w:rsid w:val="00B15467"/>
    <w:rsid w:val="00B15C80"/>
    <w:rsid w:val="00B17597"/>
    <w:rsid w:val="00B17A19"/>
    <w:rsid w:val="00B20044"/>
    <w:rsid w:val="00B201A4"/>
    <w:rsid w:val="00B201D1"/>
    <w:rsid w:val="00B20590"/>
    <w:rsid w:val="00B2091E"/>
    <w:rsid w:val="00B20A69"/>
    <w:rsid w:val="00B20BB5"/>
    <w:rsid w:val="00B213A6"/>
    <w:rsid w:val="00B229EB"/>
    <w:rsid w:val="00B23293"/>
    <w:rsid w:val="00B235B0"/>
    <w:rsid w:val="00B24C0C"/>
    <w:rsid w:val="00B24DF6"/>
    <w:rsid w:val="00B24EA5"/>
    <w:rsid w:val="00B258B1"/>
    <w:rsid w:val="00B25F75"/>
    <w:rsid w:val="00B27A61"/>
    <w:rsid w:val="00B302E2"/>
    <w:rsid w:val="00B306D8"/>
    <w:rsid w:val="00B30B5F"/>
    <w:rsid w:val="00B30EA5"/>
    <w:rsid w:val="00B30EC3"/>
    <w:rsid w:val="00B31737"/>
    <w:rsid w:val="00B319D4"/>
    <w:rsid w:val="00B32347"/>
    <w:rsid w:val="00B32521"/>
    <w:rsid w:val="00B32743"/>
    <w:rsid w:val="00B33884"/>
    <w:rsid w:val="00B33A96"/>
    <w:rsid w:val="00B33FE6"/>
    <w:rsid w:val="00B3495A"/>
    <w:rsid w:val="00B34E32"/>
    <w:rsid w:val="00B34FE2"/>
    <w:rsid w:val="00B3507C"/>
    <w:rsid w:val="00B35166"/>
    <w:rsid w:val="00B357D8"/>
    <w:rsid w:val="00B35895"/>
    <w:rsid w:val="00B360F4"/>
    <w:rsid w:val="00B361DD"/>
    <w:rsid w:val="00B36A00"/>
    <w:rsid w:val="00B374E3"/>
    <w:rsid w:val="00B3792B"/>
    <w:rsid w:val="00B37BFC"/>
    <w:rsid w:val="00B37FEF"/>
    <w:rsid w:val="00B40358"/>
    <w:rsid w:val="00B40960"/>
    <w:rsid w:val="00B40B1F"/>
    <w:rsid w:val="00B40D5A"/>
    <w:rsid w:val="00B414EC"/>
    <w:rsid w:val="00B41614"/>
    <w:rsid w:val="00B42785"/>
    <w:rsid w:val="00B42851"/>
    <w:rsid w:val="00B4288C"/>
    <w:rsid w:val="00B42F80"/>
    <w:rsid w:val="00B435CB"/>
    <w:rsid w:val="00B43A08"/>
    <w:rsid w:val="00B43F94"/>
    <w:rsid w:val="00B44F51"/>
    <w:rsid w:val="00B45042"/>
    <w:rsid w:val="00B450BF"/>
    <w:rsid w:val="00B45822"/>
    <w:rsid w:val="00B45D28"/>
    <w:rsid w:val="00B465EC"/>
    <w:rsid w:val="00B471A8"/>
    <w:rsid w:val="00B505C8"/>
    <w:rsid w:val="00B50DB8"/>
    <w:rsid w:val="00B53338"/>
    <w:rsid w:val="00B53654"/>
    <w:rsid w:val="00B53905"/>
    <w:rsid w:val="00B54093"/>
    <w:rsid w:val="00B543D9"/>
    <w:rsid w:val="00B546DB"/>
    <w:rsid w:val="00B54B5B"/>
    <w:rsid w:val="00B55507"/>
    <w:rsid w:val="00B5562E"/>
    <w:rsid w:val="00B55862"/>
    <w:rsid w:val="00B55A55"/>
    <w:rsid w:val="00B55D65"/>
    <w:rsid w:val="00B5604E"/>
    <w:rsid w:val="00B56305"/>
    <w:rsid w:val="00B5668A"/>
    <w:rsid w:val="00B56FAF"/>
    <w:rsid w:val="00B57000"/>
    <w:rsid w:val="00B5742F"/>
    <w:rsid w:val="00B57821"/>
    <w:rsid w:val="00B57C23"/>
    <w:rsid w:val="00B60939"/>
    <w:rsid w:val="00B60957"/>
    <w:rsid w:val="00B60AFD"/>
    <w:rsid w:val="00B62715"/>
    <w:rsid w:val="00B642A0"/>
    <w:rsid w:val="00B64338"/>
    <w:rsid w:val="00B64E7B"/>
    <w:rsid w:val="00B65217"/>
    <w:rsid w:val="00B65611"/>
    <w:rsid w:val="00B661A0"/>
    <w:rsid w:val="00B66841"/>
    <w:rsid w:val="00B66A59"/>
    <w:rsid w:val="00B70E8E"/>
    <w:rsid w:val="00B7111E"/>
    <w:rsid w:val="00B71CBB"/>
    <w:rsid w:val="00B720B2"/>
    <w:rsid w:val="00B724F4"/>
    <w:rsid w:val="00B73DE6"/>
    <w:rsid w:val="00B74FF3"/>
    <w:rsid w:val="00B75A22"/>
    <w:rsid w:val="00B76C92"/>
    <w:rsid w:val="00B80EFD"/>
    <w:rsid w:val="00B818A4"/>
    <w:rsid w:val="00B82E74"/>
    <w:rsid w:val="00B82F27"/>
    <w:rsid w:val="00B83739"/>
    <w:rsid w:val="00B83A3A"/>
    <w:rsid w:val="00B84117"/>
    <w:rsid w:val="00B8445D"/>
    <w:rsid w:val="00B85273"/>
    <w:rsid w:val="00B858F0"/>
    <w:rsid w:val="00B85A8A"/>
    <w:rsid w:val="00B85AA2"/>
    <w:rsid w:val="00B8649C"/>
    <w:rsid w:val="00B8695D"/>
    <w:rsid w:val="00B8781B"/>
    <w:rsid w:val="00B87F0A"/>
    <w:rsid w:val="00B91403"/>
    <w:rsid w:val="00B91643"/>
    <w:rsid w:val="00B92C05"/>
    <w:rsid w:val="00B92D0B"/>
    <w:rsid w:val="00B93ECC"/>
    <w:rsid w:val="00B94927"/>
    <w:rsid w:val="00B94945"/>
    <w:rsid w:val="00B94DD6"/>
    <w:rsid w:val="00B956C7"/>
    <w:rsid w:val="00B973FB"/>
    <w:rsid w:val="00BA0260"/>
    <w:rsid w:val="00BA0344"/>
    <w:rsid w:val="00BA098C"/>
    <w:rsid w:val="00BA121F"/>
    <w:rsid w:val="00BA1440"/>
    <w:rsid w:val="00BA1A36"/>
    <w:rsid w:val="00BA294E"/>
    <w:rsid w:val="00BA297F"/>
    <w:rsid w:val="00BA2AAE"/>
    <w:rsid w:val="00BA2B4A"/>
    <w:rsid w:val="00BA322D"/>
    <w:rsid w:val="00BA61C0"/>
    <w:rsid w:val="00BA63FA"/>
    <w:rsid w:val="00BA6D09"/>
    <w:rsid w:val="00BA7FF7"/>
    <w:rsid w:val="00BB00B3"/>
    <w:rsid w:val="00BB0BDD"/>
    <w:rsid w:val="00BB0E69"/>
    <w:rsid w:val="00BB176C"/>
    <w:rsid w:val="00BB19EA"/>
    <w:rsid w:val="00BB1BB6"/>
    <w:rsid w:val="00BB204E"/>
    <w:rsid w:val="00BB2674"/>
    <w:rsid w:val="00BB29F8"/>
    <w:rsid w:val="00BB2A73"/>
    <w:rsid w:val="00BB2CD6"/>
    <w:rsid w:val="00BB321C"/>
    <w:rsid w:val="00BB3439"/>
    <w:rsid w:val="00BB3A45"/>
    <w:rsid w:val="00BB4805"/>
    <w:rsid w:val="00BB4ACC"/>
    <w:rsid w:val="00BB51E5"/>
    <w:rsid w:val="00BB5389"/>
    <w:rsid w:val="00BB5618"/>
    <w:rsid w:val="00BB64EC"/>
    <w:rsid w:val="00BB703E"/>
    <w:rsid w:val="00BB732D"/>
    <w:rsid w:val="00BB7405"/>
    <w:rsid w:val="00BC027E"/>
    <w:rsid w:val="00BC183A"/>
    <w:rsid w:val="00BC3631"/>
    <w:rsid w:val="00BC3E62"/>
    <w:rsid w:val="00BC4D01"/>
    <w:rsid w:val="00BC591F"/>
    <w:rsid w:val="00BC5B00"/>
    <w:rsid w:val="00BC5B5A"/>
    <w:rsid w:val="00BC5DD1"/>
    <w:rsid w:val="00BC65F9"/>
    <w:rsid w:val="00BC6CFA"/>
    <w:rsid w:val="00BC72C1"/>
    <w:rsid w:val="00BC7D6D"/>
    <w:rsid w:val="00BD14F2"/>
    <w:rsid w:val="00BD2108"/>
    <w:rsid w:val="00BD2653"/>
    <w:rsid w:val="00BD4A2F"/>
    <w:rsid w:val="00BD4D89"/>
    <w:rsid w:val="00BD5B72"/>
    <w:rsid w:val="00BD6433"/>
    <w:rsid w:val="00BD68A3"/>
    <w:rsid w:val="00BD6938"/>
    <w:rsid w:val="00BD6CF3"/>
    <w:rsid w:val="00BD759E"/>
    <w:rsid w:val="00BD7F72"/>
    <w:rsid w:val="00BE00A0"/>
    <w:rsid w:val="00BE0ECA"/>
    <w:rsid w:val="00BE1858"/>
    <w:rsid w:val="00BE2180"/>
    <w:rsid w:val="00BE21F2"/>
    <w:rsid w:val="00BE2210"/>
    <w:rsid w:val="00BE28D2"/>
    <w:rsid w:val="00BE4275"/>
    <w:rsid w:val="00BE46B7"/>
    <w:rsid w:val="00BE46D3"/>
    <w:rsid w:val="00BE4823"/>
    <w:rsid w:val="00BE5174"/>
    <w:rsid w:val="00BE519D"/>
    <w:rsid w:val="00BE63DF"/>
    <w:rsid w:val="00BE68B3"/>
    <w:rsid w:val="00BE6BD2"/>
    <w:rsid w:val="00BF06AE"/>
    <w:rsid w:val="00BF0F95"/>
    <w:rsid w:val="00BF15A1"/>
    <w:rsid w:val="00BF2433"/>
    <w:rsid w:val="00BF2E6E"/>
    <w:rsid w:val="00BF30B3"/>
    <w:rsid w:val="00BF41AC"/>
    <w:rsid w:val="00BF44AF"/>
    <w:rsid w:val="00BF61C9"/>
    <w:rsid w:val="00BF61E5"/>
    <w:rsid w:val="00BF6B42"/>
    <w:rsid w:val="00BF6C94"/>
    <w:rsid w:val="00BF70D7"/>
    <w:rsid w:val="00BF7135"/>
    <w:rsid w:val="00BF7531"/>
    <w:rsid w:val="00C00424"/>
    <w:rsid w:val="00C009B8"/>
    <w:rsid w:val="00C00BB0"/>
    <w:rsid w:val="00C0524D"/>
    <w:rsid w:val="00C0568D"/>
    <w:rsid w:val="00C063D7"/>
    <w:rsid w:val="00C065EA"/>
    <w:rsid w:val="00C06CD6"/>
    <w:rsid w:val="00C06EDB"/>
    <w:rsid w:val="00C06EDE"/>
    <w:rsid w:val="00C07069"/>
    <w:rsid w:val="00C07D16"/>
    <w:rsid w:val="00C1179F"/>
    <w:rsid w:val="00C119A6"/>
    <w:rsid w:val="00C11F74"/>
    <w:rsid w:val="00C127B9"/>
    <w:rsid w:val="00C128FA"/>
    <w:rsid w:val="00C12C14"/>
    <w:rsid w:val="00C141CA"/>
    <w:rsid w:val="00C15F04"/>
    <w:rsid w:val="00C160CE"/>
    <w:rsid w:val="00C179B3"/>
    <w:rsid w:val="00C17E3F"/>
    <w:rsid w:val="00C200AA"/>
    <w:rsid w:val="00C21B1F"/>
    <w:rsid w:val="00C2261C"/>
    <w:rsid w:val="00C237ED"/>
    <w:rsid w:val="00C24632"/>
    <w:rsid w:val="00C24A50"/>
    <w:rsid w:val="00C2514B"/>
    <w:rsid w:val="00C25418"/>
    <w:rsid w:val="00C25D9C"/>
    <w:rsid w:val="00C26339"/>
    <w:rsid w:val="00C276AD"/>
    <w:rsid w:val="00C2778B"/>
    <w:rsid w:val="00C3064E"/>
    <w:rsid w:val="00C30983"/>
    <w:rsid w:val="00C31649"/>
    <w:rsid w:val="00C31BF0"/>
    <w:rsid w:val="00C32977"/>
    <w:rsid w:val="00C3434C"/>
    <w:rsid w:val="00C34460"/>
    <w:rsid w:val="00C357D8"/>
    <w:rsid w:val="00C359AF"/>
    <w:rsid w:val="00C35F23"/>
    <w:rsid w:val="00C36817"/>
    <w:rsid w:val="00C37360"/>
    <w:rsid w:val="00C37544"/>
    <w:rsid w:val="00C37571"/>
    <w:rsid w:val="00C37653"/>
    <w:rsid w:val="00C37DFC"/>
    <w:rsid w:val="00C37F31"/>
    <w:rsid w:val="00C40385"/>
    <w:rsid w:val="00C41768"/>
    <w:rsid w:val="00C42849"/>
    <w:rsid w:val="00C431F9"/>
    <w:rsid w:val="00C432B6"/>
    <w:rsid w:val="00C434BF"/>
    <w:rsid w:val="00C43CDF"/>
    <w:rsid w:val="00C452E7"/>
    <w:rsid w:val="00C45C7E"/>
    <w:rsid w:val="00C4621A"/>
    <w:rsid w:val="00C46506"/>
    <w:rsid w:val="00C46660"/>
    <w:rsid w:val="00C46976"/>
    <w:rsid w:val="00C475AA"/>
    <w:rsid w:val="00C51BC7"/>
    <w:rsid w:val="00C522D7"/>
    <w:rsid w:val="00C523C9"/>
    <w:rsid w:val="00C5242A"/>
    <w:rsid w:val="00C525CF"/>
    <w:rsid w:val="00C527C7"/>
    <w:rsid w:val="00C52D5A"/>
    <w:rsid w:val="00C53C98"/>
    <w:rsid w:val="00C560B8"/>
    <w:rsid w:val="00C56FCF"/>
    <w:rsid w:val="00C57123"/>
    <w:rsid w:val="00C572F6"/>
    <w:rsid w:val="00C57B6C"/>
    <w:rsid w:val="00C604D6"/>
    <w:rsid w:val="00C6147C"/>
    <w:rsid w:val="00C6189C"/>
    <w:rsid w:val="00C61A59"/>
    <w:rsid w:val="00C61B23"/>
    <w:rsid w:val="00C61E39"/>
    <w:rsid w:val="00C628A6"/>
    <w:rsid w:val="00C63292"/>
    <w:rsid w:val="00C63389"/>
    <w:rsid w:val="00C64344"/>
    <w:rsid w:val="00C64693"/>
    <w:rsid w:val="00C648C7"/>
    <w:rsid w:val="00C650DE"/>
    <w:rsid w:val="00C65108"/>
    <w:rsid w:val="00C65576"/>
    <w:rsid w:val="00C66165"/>
    <w:rsid w:val="00C66332"/>
    <w:rsid w:val="00C66960"/>
    <w:rsid w:val="00C66F3E"/>
    <w:rsid w:val="00C670F9"/>
    <w:rsid w:val="00C70442"/>
    <w:rsid w:val="00C70461"/>
    <w:rsid w:val="00C7060A"/>
    <w:rsid w:val="00C70DCA"/>
    <w:rsid w:val="00C7110B"/>
    <w:rsid w:val="00C7151A"/>
    <w:rsid w:val="00C717CB"/>
    <w:rsid w:val="00C717E3"/>
    <w:rsid w:val="00C719C0"/>
    <w:rsid w:val="00C71F60"/>
    <w:rsid w:val="00C72241"/>
    <w:rsid w:val="00C72653"/>
    <w:rsid w:val="00C73D38"/>
    <w:rsid w:val="00C74B31"/>
    <w:rsid w:val="00C750C8"/>
    <w:rsid w:val="00C7560F"/>
    <w:rsid w:val="00C75BFF"/>
    <w:rsid w:val="00C75E33"/>
    <w:rsid w:val="00C75E8C"/>
    <w:rsid w:val="00C76648"/>
    <w:rsid w:val="00C7680E"/>
    <w:rsid w:val="00C7680F"/>
    <w:rsid w:val="00C77F93"/>
    <w:rsid w:val="00C80935"/>
    <w:rsid w:val="00C80A0E"/>
    <w:rsid w:val="00C81694"/>
    <w:rsid w:val="00C81DDA"/>
    <w:rsid w:val="00C8213F"/>
    <w:rsid w:val="00C82167"/>
    <w:rsid w:val="00C825FB"/>
    <w:rsid w:val="00C8303F"/>
    <w:rsid w:val="00C85154"/>
    <w:rsid w:val="00C85A70"/>
    <w:rsid w:val="00C863F9"/>
    <w:rsid w:val="00C86736"/>
    <w:rsid w:val="00C86E22"/>
    <w:rsid w:val="00C877CD"/>
    <w:rsid w:val="00C8797A"/>
    <w:rsid w:val="00C87BEC"/>
    <w:rsid w:val="00C87D73"/>
    <w:rsid w:val="00C900B8"/>
    <w:rsid w:val="00C90197"/>
    <w:rsid w:val="00C90B63"/>
    <w:rsid w:val="00C90C71"/>
    <w:rsid w:val="00C91D1B"/>
    <w:rsid w:val="00C91FD1"/>
    <w:rsid w:val="00C922BE"/>
    <w:rsid w:val="00C9231E"/>
    <w:rsid w:val="00C92B12"/>
    <w:rsid w:val="00C931CF"/>
    <w:rsid w:val="00C93841"/>
    <w:rsid w:val="00C938CF"/>
    <w:rsid w:val="00C94053"/>
    <w:rsid w:val="00C945F3"/>
    <w:rsid w:val="00C95FE6"/>
    <w:rsid w:val="00C9624D"/>
    <w:rsid w:val="00C969DA"/>
    <w:rsid w:val="00CA1000"/>
    <w:rsid w:val="00CA2379"/>
    <w:rsid w:val="00CA2C77"/>
    <w:rsid w:val="00CA2C82"/>
    <w:rsid w:val="00CA2F1A"/>
    <w:rsid w:val="00CA36C4"/>
    <w:rsid w:val="00CA429D"/>
    <w:rsid w:val="00CA444F"/>
    <w:rsid w:val="00CA4EC9"/>
    <w:rsid w:val="00CA5123"/>
    <w:rsid w:val="00CA5245"/>
    <w:rsid w:val="00CA57EB"/>
    <w:rsid w:val="00CA713C"/>
    <w:rsid w:val="00CA71F4"/>
    <w:rsid w:val="00CA7648"/>
    <w:rsid w:val="00CA7B09"/>
    <w:rsid w:val="00CA7F0A"/>
    <w:rsid w:val="00CB0103"/>
    <w:rsid w:val="00CB02A9"/>
    <w:rsid w:val="00CB0382"/>
    <w:rsid w:val="00CB03D0"/>
    <w:rsid w:val="00CB0A69"/>
    <w:rsid w:val="00CB0B76"/>
    <w:rsid w:val="00CB1125"/>
    <w:rsid w:val="00CB12A5"/>
    <w:rsid w:val="00CB1CAC"/>
    <w:rsid w:val="00CB2B6E"/>
    <w:rsid w:val="00CB2F2A"/>
    <w:rsid w:val="00CB4267"/>
    <w:rsid w:val="00CB427E"/>
    <w:rsid w:val="00CB48F9"/>
    <w:rsid w:val="00CB4A51"/>
    <w:rsid w:val="00CB4C0E"/>
    <w:rsid w:val="00CB547E"/>
    <w:rsid w:val="00CB5673"/>
    <w:rsid w:val="00CB5701"/>
    <w:rsid w:val="00CB5B1A"/>
    <w:rsid w:val="00CB6375"/>
    <w:rsid w:val="00CB6666"/>
    <w:rsid w:val="00CB6B22"/>
    <w:rsid w:val="00CB7F5F"/>
    <w:rsid w:val="00CC10BF"/>
    <w:rsid w:val="00CC1B39"/>
    <w:rsid w:val="00CC1BFA"/>
    <w:rsid w:val="00CC1FD5"/>
    <w:rsid w:val="00CC1FD9"/>
    <w:rsid w:val="00CC2334"/>
    <w:rsid w:val="00CC24BD"/>
    <w:rsid w:val="00CC2AD2"/>
    <w:rsid w:val="00CC2E9F"/>
    <w:rsid w:val="00CC30FF"/>
    <w:rsid w:val="00CC35EA"/>
    <w:rsid w:val="00CC3848"/>
    <w:rsid w:val="00CC4F2A"/>
    <w:rsid w:val="00CC5FAD"/>
    <w:rsid w:val="00CC6D5E"/>
    <w:rsid w:val="00CD0200"/>
    <w:rsid w:val="00CD0A1A"/>
    <w:rsid w:val="00CD0C1D"/>
    <w:rsid w:val="00CD104E"/>
    <w:rsid w:val="00CD1162"/>
    <w:rsid w:val="00CD1841"/>
    <w:rsid w:val="00CD2454"/>
    <w:rsid w:val="00CD2622"/>
    <w:rsid w:val="00CD29D2"/>
    <w:rsid w:val="00CD357F"/>
    <w:rsid w:val="00CD3F77"/>
    <w:rsid w:val="00CD5086"/>
    <w:rsid w:val="00CD5B4A"/>
    <w:rsid w:val="00CD60F7"/>
    <w:rsid w:val="00CD6ADC"/>
    <w:rsid w:val="00CD6C76"/>
    <w:rsid w:val="00CD70AF"/>
    <w:rsid w:val="00CD70E0"/>
    <w:rsid w:val="00CD7193"/>
    <w:rsid w:val="00CD7413"/>
    <w:rsid w:val="00CE06CE"/>
    <w:rsid w:val="00CE0F45"/>
    <w:rsid w:val="00CE2026"/>
    <w:rsid w:val="00CE20A3"/>
    <w:rsid w:val="00CE2342"/>
    <w:rsid w:val="00CE2F85"/>
    <w:rsid w:val="00CE38C8"/>
    <w:rsid w:val="00CE39AE"/>
    <w:rsid w:val="00CE524F"/>
    <w:rsid w:val="00CE53A0"/>
    <w:rsid w:val="00CE58CC"/>
    <w:rsid w:val="00CE599E"/>
    <w:rsid w:val="00CE6274"/>
    <w:rsid w:val="00CE77B6"/>
    <w:rsid w:val="00CE7908"/>
    <w:rsid w:val="00CE79AA"/>
    <w:rsid w:val="00CE79B8"/>
    <w:rsid w:val="00CF0052"/>
    <w:rsid w:val="00CF061D"/>
    <w:rsid w:val="00CF2292"/>
    <w:rsid w:val="00CF2A1C"/>
    <w:rsid w:val="00CF2B8D"/>
    <w:rsid w:val="00CF3328"/>
    <w:rsid w:val="00CF356D"/>
    <w:rsid w:val="00CF3A1B"/>
    <w:rsid w:val="00CF3C66"/>
    <w:rsid w:val="00CF456B"/>
    <w:rsid w:val="00CF55FD"/>
    <w:rsid w:val="00CF5A22"/>
    <w:rsid w:val="00CF6FD0"/>
    <w:rsid w:val="00CF71AC"/>
    <w:rsid w:val="00CF75E1"/>
    <w:rsid w:val="00D00114"/>
    <w:rsid w:val="00D00475"/>
    <w:rsid w:val="00D005C6"/>
    <w:rsid w:val="00D0181E"/>
    <w:rsid w:val="00D01F88"/>
    <w:rsid w:val="00D0262E"/>
    <w:rsid w:val="00D03679"/>
    <w:rsid w:val="00D0502E"/>
    <w:rsid w:val="00D05E3D"/>
    <w:rsid w:val="00D06139"/>
    <w:rsid w:val="00D0699F"/>
    <w:rsid w:val="00D06AEB"/>
    <w:rsid w:val="00D07275"/>
    <w:rsid w:val="00D07A32"/>
    <w:rsid w:val="00D10DA0"/>
    <w:rsid w:val="00D10E12"/>
    <w:rsid w:val="00D10F2A"/>
    <w:rsid w:val="00D110BD"/>
    <w:rsid w:val="00D114D7"/>
    <w:rsid w:val="00D11C0D"/>
    <w:rsid w:val="00D134A3"/>
    <w:rsid w:val="00D13675"/>
    <w:rsid w:val="00D139FB"/>
    <w:rsid w:val="00D13F21"/>
    <w:rsid w:val="00D141E1"/>
    <w:rsid w:val="00D143B5"/>
    <w:rsid w:val="00D1522B"/>
    <w:rsid w:val="00D15314"/>
    <w:rsid w:val="00D15B48"/>
    <w:rsid w:val="00D1676D"/>
    <w:rsid w:val="00D16D25"/>
    <w:rsid w:val="00D17D6C"/>
    <w:rsid w:val="00D214D6"/>
    <w:rsid w:val="00D2155B"/>
    <w:rsid w:val="00D22F4D"/>
    <w:rsid w:val="00D23D11"/>
    <w:rsid w:val="00D242AE"/>
    <w:rsid w:val="00D243F7"/>
    <w:rsid w:val="00D244B6"/>
    <w:rsid w:val="00D245D9"/>
    <w:rsid w:val="00D2543B"/>
    <w:rsid w:val="00D25926"/>
    <w:rsid w:val="00D25EAF"/>
    <w:rsid w:val="00D268D9"/>
    <w:rsid w:val="00D26997"/>
    <w:rsid w:val="00D2754D"/>
    <w:rsid w:val="00D2797D"/>
    <w:rsid w:val="00D27B27"/>
    <w:rsid w:val="00D30127"/>
    <w:rsid w:val="00D30D5B"/>
    <w:rsid w:val="00D31D69"/>
    <w:rsid w:val="00D326D4"/>
    <w:rsid w:val="00D33BE9"/>
    <w:rsid w:val="00D33F93"/>
    <w:rsid w:val="00D3464E"/>
    <w:rsid w:val="00D346AD"/>
    <w:rsid w:val="00D35039"/>
    <w:rsid w:val="00D357FF"/>
    <w:rsid w:val="00D37751"/>
    <w:rsid w:val="00D377D2"/>
    <w:rsid w:val="00D37930"/>
    <w:rsid w:val="00D409C8"/>
    <w:rsid w:val="00D409F0"/>
    <w:rsid w:val="00D41470"/>
    <w:rsid w:val="00D424C7"/>
    <w:rsid w:val="00D43B2A"/>
    <w:rsid w:val="00D43B59"/>
    <w:rsid w:val="00D43CF1"/>
    <w:rsid w:val="00D43D83"/>
    <w:rsid w:val="00D44997"/>
    <w:rsid w:val="00D44EEB"/>
    <w:rsid w:val="00D455A6"/>
    <w:rsid w:val="00D47575"/>
    <w:rsid w:val="00D47F02"/>
    <w:rsid w:val="00D5065F"/>
    <w:rsid w:val="00D50B85"/>
    <w:rsid w:val="00D51B55"/>
    <w:rsid w:val="00D51E99"/>
    <w:rsid w:val="00D5215D"/>
    <w:rsid w:val="00D5243B"/>
    <w:rsid w:val="00D53295"/>
    <w:rsid w:val="00D533EC"/>
    <w:rsid w:val="00D535EC"/>
    <w:rsid w:val="00D53A07"/>
    <w:rsid w:val="00D54B6C"/>
    <w:rsid w:val="00D5678A"/>
    <w:rsid w:val="00D56A95"/>
    <w:rsid w:val="00D56DA3"/>
    <w:rsid w:val="00D5770C"/>
    <w:rsid w:val="00D57DC1"/>
    <w:rsid w:val="00D6076E"/>
    <w:rsid w:val="00D60BF8"/>
    <w:rsid w:val="00D610CA"/>
    <w:rsid w:val="00D61DA0"/>
    <w:rsid w:val="00D6216E"/>
    <w:rsid w:val="00D631A1"/>
    <w:rsid w:val="00D63674"/>
    <w:rsid w:val="00D63B16"/>
    <w:rsid w:val="00D64304"/>
    <w:rsid w:val="00D652E3"/>
    <w:rsid w:val="00D655DF"/>
    <w:rsid w:val="00D6588A"/>
    <w:rsid w:val="00D6769A"/>
    <w:rsid w:val="00D67DE4"/>
    <w:rsid w:val="00D70E50"/>
    <w:rsid w:val="00D70F16"/>
    <w:rsid w:val="00D71FB2"/>
    <w:rsid w:val="00D72617"/>
    <w:rsid w:val="00D727A4"/>
    <w:rsid w:val="00D72B04"/>
    <w:rsid w:val="00D72F57"/>
    <w:rsid w:val="00D740C8"/>
    <w:rsid w:val="00D76402"/>
    <w:rsid w:val="00D76A44"/>
    <w:rsid w:val="00D778D5"/>
    <w:rsid w:val="00D8130F"/>
    <w:rsid w:val="00D815EF"/>
    <w:rsid w:val="00D818BC"/>
    <w:rsid w:val="00D81949"/>
    <w:rsid w:val="00D81F26"/>
    <w:rsid w:val="00D822E2"/>
    <w:rsid w:val="00D827F5"/>
    <w:rsid w:val="00D843F2"/>
    <w:rsid w:val="00D84667"/>
    <w:rsid w:val="00D8491C"/>
    <w:rsid w:val="00D84EE3"/>
    <w:rsid w:val="00D856D2"/>
    <w:rsid w:val="00D86231"/>
    <w:rsid w:val="00D86E1B"/>
    <w:rsid w:val="00D87DF6"/>
    <w:rsid w:val="00D90948"/>
    <w:rsid w:val="00D90B04"/>
    <w:rsid w:val="00D912AB"/>
    <w:rsid w:val="00D91923"/>
    <w:rsid w:val="00D9218E"/>
    <w:rsid w:val="00D923A6"/>
    <w:rsid w:val="00D924BE"/>
    <w:rsid w:val="00D92B3B"/>
    <w:rsid w:val="00D92D9D"/>
    <w:rsid w:val="00D93753"/>
    <w:rsid w:val="00D947F2"/>
    <w:rsid w:val="00D94A1D"/>
    <w:rsid w:val="00D95961"/>
    <w:rsid w:val="00D9611C"/>
    <w:rsid w:val="00D96563"/>
    <w:rsid w:val="00D96D14"/>
    <w:rsid w:val="00D96FAB"/>
    <w:rsid w:val="00DA09E1"/>
    <w:rsid w:val="00DA1798"/>
    <w:rsid w:val="00DA1815"/>
    <w:rsid w:val="00DA2067"/>
    <w:rsid w:val="00DA2079"/>
    <w:rsid w:val="00DA3167"/>
    <w:rsid w:val="00DA3F8A"/>
    <w:rsid w:val="00DA4070"/>
    <w:rsid w:val="00DA47F9"/>
    <w:rsid w:val="00DA4DC3"/>
    <w:rsid w:val="00DA511A"/>
    <w:rsid w:val="00DA5506"/>
    <w:rsid w:val="00DA60FE"/>
    <w:rsid w:val="00DA6C03"/>
    <w:rsid w:val="00DA6E11"/>
    <w:rsid w:val="00DA7464"/>
    <w:rsid w:val="00DA77A5"/>
    <w:rsid w:val="00DB03F4"/>
    <w:rsid w:val="00DB0E36"/>
    <w:rsid w:val="00DB11B3"/>
    <w:rsid w:val="00DB1564"/>
    <w:rsid w:val="00DB19F6"/>
    <w:rsid w:val="00DB26E9"/>
    <w:rsid w:val="00DB2723"/>
    <w:rsid w:val="00DB2DEA"/>
    <w:rsid w:val="00DB3DBF"/>
    <w:rsid w:val="00DB4067"/>
    <w:rsid w:val="00DB484F"/>
    <w:rsid w:val="00DB4B3E"/>
    <w:rsid w:val="00DB4CAA"/>
    <w:rsid w:val="00DB504D"/>
    <w:rsid w:val="00DB5FE7"/>
    <w:rsid w:val="00DB61A1"/>
    <w:rsid w:val="00DB6C1C"/>
    <w:rsid w:val="00DB6C3C"/>
    <w:rsid w:val="00DB6D97"/>
    <w:rsid w:val="00DB70A7"/>
    <w:rsid w:val="00DC04F6"/>
    <w:rsid w:val="00DC0690"/>
    <w:rsid w:val="00DC0E88"/>
    <w:rsid w:val="00DC0EF1"/>
    <w:rsid w:val="00DC1A1A"/>
    <w:rsid w:val="00DC1D65"/>
    <w:rsid w:val="00DC1D7D"/>
    <w:rsid w:val="00DC1EC0"/>
    <w:rsid w:val="00DC36C7"/>
    <w:rsid w:val="00DC3A5E"/>
    <w:rsid w:val="00DC3C57"/>
    <w:rsid w:val="00DC46A7"/>
    <w:rsid w:val="00DC4A1E"/>
    <w:rsid w:val="00DC5501"/>
    <w:rsid w:val="00DC596E"/>
    <w:rsid w:val="00DC5C14"/>
    <w:rsid w:val="00DC5C7A"/>
    <w:rsid w:val="00DC5DE4"/>
    <w:rsid w:val="00DC6A39"/>
    <w:rsid w:val="00DC7154"/>
    <w:rsid w:val="00DC7E8A"/>
    <w:rsid w:val="00DD0992"/>
    <w:rsid w:val="00DD0F78"/>
    <w:rsid w:val="00DD1BEC"/>
    <w:rsid w:val="00DD273C"/>
    <w:rsid w:val="00DD3162"/>
    <w:rsid w:val="00DD332D"/>
    <w:rsid w:val="00DD3F28"/>
    <w:rsid w:val="00DD4446"/>
    <w:rsid w:val="00DD4537"/>
    <w:rsid w:val="00DD4E15"/>
    <w:rsid w:val="00DD4E5B"/>
    <w:rsid w:val="00DD51F4"/>
    <w:rsid w:val="00DD66D4"/>
    <w:rsid w:val="00DD68F5"/>
    <w:rsid w:val="00DD6C01"/>
    <w:rsid w:val="00DE03F4"/>
    <w:rsid w:val="00DE0AFE"/>
    <w:rsid w:val="00DE13E8"/>
    <w:rsid w:val="00DE149B"/>
    <w:rsid w:val="00DE2304"/>
    <w:rsid w:val="00DE2956"/>
    <w:rsid w:val="00DE2B1E"/>
    <w:rsid w:val="00DE2CDC"/>
    <w:rsid w:val="00DE3138"/>
    <w:rsid w:val="00DE37F8"/>
    <w:rsid w:val="00DE3A99"/>
    <w:rsid w:val="00DE410A"/>
    <w:rsid w:val="00DE4273"/>
    <w:rsid w:val="00DE47D3"/>
    <w:rsid w:val="00DE482F"/>
    <w:rsid w:val="00DE4C30"/>
    <w:rsid w:val="00DE4F0D"/>
    <w:rsid w:val="00DE4FCB"/>
    <w:rsid w:val="00DE57B5"/>
    <w:rsid w:val="00DE5D07"/>
    <w:rsid w:val="00DE6233"/>
    <w:rsid w:val="00DE6265"/>
    <w:rsid w:val="00DE659F"/>
    <w:rsid w:val="00DE71E8"/>
    <w:rsid w:val="00DE72A7"/>
    <w:rsid w:val="00DE77FF"/>
    <w:rsid w:val="00DE7832"/>
    <w:rsid w:val="00DF0257"/>
    <w:rsid w:val="00DF089E"/>
    <w:rsid w:val="00DF0F7C"/>
    <w:rsid w:val="00DF1128"/>
    <w:rsid w:val="00DF18FC"/>
    <w:rsid w:val="00DF1D0C"/>
    <w:rsid w:val="00DF21BA"/>
    <w:rsid w:val="00DF2224"/>
    <w:rsid w:val="00DF3162"/>
    <w:rsid w:val="00DF386B"/>
    <w:rsid w:val="00DF3B26"/>
    <w:rsid w:val="00DF498F"/>
    <w:rsid w:val="00DF503A"/>
    <w:rsid w:val="00DF55F2"/>
    <w:rsid w:val="00DF5730"/>
    <w:rsid w:val="00DF5D2B"/>
    <w:rsid w:val="00DF6341"/>
    <w:rsid w:val="00DF68C0"/>
    <w:rsid w:val="00DF6DB8"/>
    <w:rsid w:val="00DF74CD"/>
    <w:rsid w:val="00E00E8E"/>
    <w:rsid w:val="00E01369"/>
    <w:rsid w:val="00E02DD3"/>
    <w:rsid w:val="00E04365"/>
    <w:rsid w:val="00E04A7B"/>
    <w:rsid w:val="00E04EC2"/>
    <w:rsid w:val="00E04EEA"/>
    <w:rsid w:val="00E05630"/>
    <w:rsid w:val="00E05B35"/>
    <w:rsid w:val="00E06638"/>
    <w:rsid w:val="00E06DBB"/>
    <w:rsid w:val="00E07C4F"/>
    <w:rsid w:val="00E10149"/>
    <w:rsid w:val="00E102CE"/>
    <w:rsid w:val="00E10443"/>
    <w:rsid w:val="00E105FA"/>
    <w:rsid w:val="00E10880"/>
    <w:rsid w:val="00E108EA"/>
    <w:rsid w:val="00E11340"/>
    <w:rsid w:val="00E122A1"/>
    <w:rsid w:val="00E1239D"/>
    <w:rsid w:val="00E12FFA"/>
    <w:rsid w:val="00E13797"/>
    <w:rsid w:val="00E138B1"/>
    <w:rsid w:val="00E13FAB"/>
    <w:rsid w:val="00E16033"/>
    <w:rsid w:val="00E16372"/>
    <w:rsid w:val="00E16AD8"/>
    <w:rsid w:val="00E16FB0"/>
    <w:rsid w:val="00E17040"/>
    <w:rsid w:val="00E172BD"/>
    <w:rsid w:val="00E17FFA"/>
    <w:rsid w:val="00E20742"/>
    <w:rsid w:val="00E20D9A"/>
    <w:rsid w:val="00E20E4D"/>
    <w:rsid w:val="00E20EB7"/>
    <w:rsid w:val="00E20ED6"/>
    <w:rsid w:val="00E212C0"/>
    <w:rsid w:val="00E21358"/>
    <w:rsid w:val="00E2135E"/>
    <w:rsid w:val="00E21A23"/>
    <w:rsid w:val="00E2249B"/>
    <w:rsid w:val="00E227F8"/>
    <w:rsid w:val="00E22A0D"/>
    <w:rsid w:val="00E22F07"/>
    <w:rsid w:val="00E22F14"/>
    <w:rsid w:val="00E23A28"/>
    <w:rsid w:val="00E23C56"/>
    <w:rsid w:val="00E244F6"/>
    <w:rsid w:val="00E2585A"/>
    <w:rsid w:val="00E258DB"/>
    <w:rsid w:val="00E25CB1"/>
    <w:rsid w:val="00E26C9F"/>
    <w:rsid w:val="00E2771E"/>
    <w:rsid w:val="00E27A22"/>
    <w:rsid w:val="00E27E94"/>
    <w:rsid w:val="00E306BA"/>
    <w:rsid w:val="00E311EF"/>
    <w:rsid w:val="00E3185E"/>
    <w:rsid w:val="00E32061"/>
    <w:rsid w:val="00E32180"/>
    <w:rsid w:val="00E3292F"/>
    <w:rsid w:val="00E331BF"/>
    <w:rsid w:val="00E333F4"/>
    <w:rsid w:val="00E335B1"/>
    <w:rsid w:val="00E336C9"/>
    <w:rsid w:val="00E339E6"/>
    <w:rsid w:val="00E34948"/>
    <w:rsid w:val="00E35787"/>
    <w:rsid w:val="00E36229"/>
    <w:rsid w:val="00E362BA"/>
    <w:rsid w:val="00E37569"/>
    <w:rsid w:val="00E37899"/>
    <w:rsid w:val="00E37AFF"/>
    <w:rsid w:val="00E401B2"/>
    <w:rsid w:val="00E40F60"/>
    <w:rsid w:val="00E40FDA"/>
    <w:rsid w:val="00E41E30"/>
    <w:rsid w:val="00E420BD"/>
    <w:rsid w:val="00E4229D"/>
    <w:rsid w:val="00E427B7"/>
    <w:rsid w:val="00E42B30"/>
    <w:rsid w:val="00E42C81"/>
    <w:rsid w:val="00E42D44"/>
    <w:rsid w:val="00E42F73"/>
    <w:rsid w:val="00E43B33"/>
    <w:rsid w:val="00E43D70"/>
    <w:rsid w:val="00E43DD9"/>
    <w:rsid w:val="00E4454D"/>
    <w:rsid w:val="00E4496A"/>
    <w:rsid w:val="00E462D2"/>
    <w:rsid w:val="00E466F3"/>
    <w:rsid w:val="00E4671A"/>
    <w:rsid w:val="00E47B2C"/>
    <w:rsid w:val="00E501C7"/>
    <w:rsid w:val="00E5072D"/>
    <w:rsid w:val="00E51560"/>
    <w:rsid w:val="00E51821"/>
    <w:rsid w:val="00E51D1F"/>
    <w:rsid w:val="00E523CA"/>
    <w:rsid w:val="00E534DA"/>
    <w:rsid w:val="00E539BF"/>
    <w:rsid w:val="00E53FC8"/>
    <w:rsid w:val="00E54347"/>
    <w:rsid w:val="00E55424"/>
    <w:rsid w:val="00E55915"/>
    <w:rsid w:val="00E55BB5"/>
    <w:rsid w:val="00E56513"/>
    <w:rsid w:val="00E611DF"/>
    <w:rsid w:val="00E6133E"/>
    <w:rsid w:val="00E61ED2"/>
    <w:rsid w:val="00E62094"/>
    <w:rsid w:val="00E62174"/>
    <w:rsid w:val="00E62FFC"/>
    <w:rsid w:val="00E65875"/>
    <w:rsid w:val="00E65CE7"/>
    <w:rsid w:val="00E65E79"/>
    <w:rsid w:val="00E66BA2"/>
    <w:rsid w:val="00E67416"/>
    <w:rsid w:val="00E704E7"/>
    <w:rsid w:val="00E70670"/>
    <w:rsid w:val="00E717CA"/>
    <w:rsid w:val="00E718B6"/>
    <w:rsid w:val="00E71DD2"/>
    <w:rsid w:val="00E723BA"/>
    <w:rsid w:val="00E73581"/>
    <w:rsid w:val="00E748A2"/>
    <w:rsid w:val="00E75C84"/>
    <w:rsid w:val="00E768C6"/>
    <w:rsid w:val="00E76AB4"/>
    <w:rsid w:val="00E774CE"/>
    <w:rsid w:val="00E806C7"/>
    <w:rsid w:val="00E81197"/>
    <w:rsid w:val="00E8151A"/>
    <w:rsid w:val="00E81C65"/>
    <w:rsid w:val="00E81DBB"/>
    <w:rsid w:val="00E82554"/>
    <w:rsid w:val="00E828A9"/>
    <w:rsid w:val="00E833F7"/>
    <w:rsid w:val="00E83474"/>
    <w:rsid w:val="00E83BDF"/>
    <w:rsid w:val="00E84153"/>
    <w:rsid w:val="00E8442F"/>
    <w:rsid w:val="00E84EE5"/>
    <w:rsid w:val="00E85749"/>
    <w:rsid w:val="00E85CF8"/>
    <w:rsid w:val="00E86672"/>
    <w:rsid w:val="00E86FCC"/>
    <w:rsid w:val="00E872BB"/>
    <w:rsid w:val="00E878FB"/>
    <w:rsid w:val="00E87A1D"/>
    <w:rsid w:val="00E90213"/>
    <w:rsid w:val="00E90262"/>
    <w:rsid w:val="00E90795"/>
    <w:rsid w:val="00E9094A"/>
    <w:rsid w:val="00E911A1"/>
    <w:rsid w:val="00E91D35"/>
    <w:rsid w:val="00E921B1"/>
    <w:rsid w:val="00E922B7"/>
    <w:rsid w:val="00E923E1"/>
    <w:rsid w:val="00E926A5"/>
    <w:rsid w:val="00E92721"/>
    <w:rsid w:val="00E9369F"/>
    <w:rsid w:val="00E94415"/>
    <w:rsid w:val="00E94694"/>
    <w:rsid w:val="00E95777"/>
    <w:rsid w:val="00E962CC"/>
    <w:rsid w:val="00E96E54"/>
    <w:rsid w:val="00EA13A2"/>
    <w:rsid w:val="00EA17C3"/>
    <w:rsid w:val="00EA22F6"/>
    <w:rsid w:val="00EA2CAA"/>
    <w:rsid w:val="00EA3864"/>
    <w:rsid w:val="00EA3A7D"/>
    <w:rsid w:val="00EA3BCA"/>
    <w:rsid w:val="00EA457B"/>
    <w:rsid w:val="00EA685E"/>
    <w:rsid w:val="00EA7F1C"/>
    <w:rsid w:val="00EA7F8B"/>
    <w:rsid w:val="00EB1404"/>
    <w:rsid w:val="00EB15B6"/>
    <w:rsid w:val="00EB164F"/>
    <w:rsid w:val="00EB1A45"/>
    <w:rsid w:val="00EB331F"/>
    <w:rsid w:val="00EB3BE2"/>
    <w:rsid w:val="00EB3D06"/>
    <w:rsid w:val="00EB4690"/>
    <w:rsid w:val="00EB4916"/>
    <w:rsid w:val="00EB4BA9"/>
    <w:rsid w:val="00EB4FBD"/>
    <w:rsid w:val="00EB54FD"/>
    <w:rsid w:val="00EB5953"/>
    <w:rsid w:val="00EB6AFB"/>
    <w:rsid w:val="00EB6E3D"/>
    <w:rsid w:val="00EB7CAB"/>
    <w:rsid w:val="00EC00C9"/>
    <w:rsid w:val="00EC0868"/>
    <w:rsid w:val="00EC0DD9"/>
    <w:rsid w:val="00EC1390"/>
    <w:rsid w:val="00EC1A92"/>
    <w:rsid w:val="00EC1EDA"/>
    <w:rsid w:val="00EC2496"/>
    <w:rsid w:val="00EC2649"/>
    <w:rsid w:val="00EC31ED"/>
    <w:rsid w:val="00EC3BED"/>
    <w:rsid w:val="00EC504B"/>
    <w:rsid w:val="00EC5836"/>
    <w:rsid w:val="00EC63C9"/>
    <w:rsid w:val="00EC67FE"/>
    <w:rsid w:val="00EC688C"/>
    <w:rsid w:val="00ED0CBB"/>
    <w:rsid w:val="00ED115B"/>
    <w:rsid w:val="00ED12E3"/>
    <w:rsid w:val="00ED18E0"/>
    <w:rsid w:val="00ED4085"/>
    <w:rsid w:val="00ED4B04"/>
    <w:rsid w:val="00ED57EA"/>
    <w:rsid w:val="00ED5BD4"/>
    <w:rsid w:val="00ED5DED"/>
    <w:rsid w:val="00ED5E8D"/>
    <w:rsid w:val="00ED5FFA"/>
    <w:rsid w:val="00ED74A6"/>
    <w:rsid w:val="00EE001B"/>
    <w:rsid w:val="00EE07D3"/>
    <w:rsid w:val="00EE1996"/>
    <w:rsid w:val="00EE1C01"/>
    <w:rsid w:val="00EE22AF"/>
    <w:rsid w:val="00EE5B55"/>
    <w:rsid w:val="00EF0171"/>
    <w:rsid w:val="00EF13AB"/>
    <w:rsid w:val="00EF1B25"/>
    <w:rsid w:val="00EF1DA0"/>
    <w:rsid w:val="00EF1DA9"/>
    <w:rsid w:val="00EF1F8C"/>
    <w:rsid w:val="00EF2711"/>
    <w:rsid w:val="00EF2CF5"/>
    <w:rsid w:val="00EF3058"/>
    <w:rsid w:val="00EF38E5"/>
    <w:rsid w:val="00EF4747"/>
    <w:rsid w:val="00EF4BF8"/>
    <w:rsid w:val="00EF4F13"/>
    <w:rsid w:val="00EF586D"/>
    <w:rsid w:val="00EF58EF"/>
    <w:rsid w:val="00EF61F7"/>
    <w:rsid w:val="00EF681F"/>
    <w:rsid w:val="00EF6EB4"/>
    <w:rsid w:val="00EF782F"/>
    <w:rsid w:val="00F0152A"/>
    <w:rsid w:val="00F0192E"/>
    <w:rsid w:val="00F0194D"/>
    <w:rsid w:val="00F01B5B"/>
    <w:rsid w:val="00F01C9D"/>
    <w:rsid w:val="00F021BB"/>
    <w:rsid w:val="00F0223F"/>
    <w:rsid w:val="00F02253"/>
    <w:rsid w:val="00F03C2E"/>
    <w:rsid w:val="00F044E8"/>
    <w:rsid w:val="00F04738"/>
    <w:rsid w:val="00F04A66"/>
    <w:rsid w:val="00F04B4B"/>
    <w:rsid w:val="00F0516C"/>
    <w:rsid w:val="00F067A2"/>
    <w:rsid w:val="00F06883"/>
    <w:rsid w:val="00F07B9E"/>
    <w:rsid w:val="00F07FA6"/>
    <w:rsid w:val="00F1042C"/>
    <w:rsid w:val="00F1116F"/>
    <w:rsid w:val="00F11913"/>
    <w:rsid w:val="00F11A9D"/>
    <w:rsid w:val="00F11EA2"/>
    <w:rsid w:val="00F1263A"/>
    <w:rsid w:val="00F127FD"/>
    <w:rsid w:val="00F12A92"/>
    <w:rsid w:val="00F133DC"/>
    <w:rsid w:val="00F139C5"/>
    <w:rsid w:val="00F15B77"/>
    <w:rsid w:val="00F20858"/>
    <w:rsid w:val="00F20C42"/>
    <w:rsid w:val="00F21236"/>
    <w:rsid w:val="00F22765"/>
    <w:rsid w:val="00F22AAC"/>
    <w:rsid w:val="00F230DF"/>
    <w:rsid w:val="00F239DF"/>
    <w:rsid w:val="00F24356"/>
    <w:rsid w:val="00F2457B"/>
    <w:rsid w:val="00F24837"/>
    <w:rsid w:val="00F24BA2"/>
    <w:rsid w:val="00F250B7"/>
    <w:rsid w:val="00F2575F"/>
    <w:rsid w:val="00F26DD2"/>
    <w:rsid w:val="00F27565"/>
    <w:rsid w:val="00F27D77"/>
    <w:rsid w:val="00F30A3B"/>
    <w:rsid w:val="00F30C45"/>
    <w:rsid w:val="00F310D4"/>
    <w:rsid w:val="00F31921"/>
    <w:rsid w:val="00F31D5A"/>
    <w:rsid w:val="00F32B0F"/>
    <w:rsid w:val="00F33975"/>
    <w:rsid w:val="00F33AF1"/>
    <w:rsid w:val="00F33DE9"/>
    <w:rsid w:val="00F34C8D"/>
    <w:rsid w:val="00F3590E"/>
    <w:rsid w:val="00F35E6D"/>
    <w:rsid w:val="00F3619A"/>
    <w:rsid w:val="00F37EFA"/>
    <w:rsid w:val="00F40AAA"/>
    <w:rsid w:val="00F40AB1"/>
    <w:rsid w:val="00F40BA7"/>
    <w:rsid w:val="00F40C37"/>
    <w:rsid w:val="00F40F9D"/>
    <w:rsid w:val="00F410E9"/>
    <w:rsid w:val="00F41430"/>
    <w:rsid w:val="00F41ACD"/>
    <w:rsid w:val="00F41C84"/>
    <w:rsid w:val="00F4320B"/>
    <w:rsid w:val="00F4398A"/>
    <w:rsid w:val="00F44C40"/>
    <w:rsid w:val="00F45088"/>
    <w:rsid w:val="00F451B2"/>
    <w:rsid w:val="00F45407"/>
    <w:rsid w:val="00F46CB6"/>
    <w:rsid w:val="00F4756D"/>
    <w:rsid w:val="00F47DE8"/>
    <w:rsid w:val="00F51F48"/>
    <w:rsid w:val="00F51FFB"/>
    <w:rsid w:val="00F5326E"/>
    <w:rsid w:val="00F542C1"/>
    <w:rsid w:val="00F54733"/>
    <w:rsid w:val="00F54B5D"/>
    <w:rsid w:val="00F550E3"/>
    <w:rsid w:val="00F553FB"/>
    <w:rsid w:val="00F5544E"/>
    <w:rsid w:val="00F558C5"/>
    <w:rsid w:val="00F55E73"/>
    <w:rsid w:val="00F55EDA"/>
    <w:rsid w:val="00F56C80"/>
    <w:rsid w:val="00F56EA5"/>
    <w:rsid w:val="00F60092"/>
    <w:rsid w:val="00F614E7"/>
    <w:rsid w:val="00F6191A"/>
    <w:rsid w:val="00F61C18"/>
    <w:rsid w:val="00F64342"/>
    <w:rsid w:val="00F65F4B"/>
    <w:rsid w:val="00F66079"/>
    <w:rsid w:val="00F6772E"/>
    <w:rsid w:val="00F678D0"/>
    <w:rsid w:val="00F67A69"/>
    <w:rsid w:val="00F67EAB"/>
    <w:rsid w:val="00F70874"/>
    <w:rsid w:val="00F70BFF"/>
    <w:rsid w:val="00F70C9D"/>
    <w:rsid w:val="00F71675"/>
    <w:rsid w:val="00F7175C"/>
    <w:rsid w:val="00F71BB0"/>
    <w:rsid w:val="00F735AC"/>
    <w:rsid w:val="00F7387A"/>
    <w:rsid w:val="00F73E08"/>
    <w:rsid w:val="00F74CD9"/>
    <w:rsid w:val="00F74FD3"/>
    <w:rsid w:val="00F75748"/>
    <w:rsid w:val="00F7590B"/>
    <w:rsid w:val="00F759B0"/>
    <w:rsid w:val="00F76BC0"/>
    <w:rsid w:val="00F770A3"/>
    <w:rsid w:val="00F77699"/>
    <w:rsid w:val="00F77CA8"/>
    <w:rsid w:val="00F77DB3"/>
    <w:rsid w:val="00F80A7B"/>
    <w:rsid w:val="00F80B92"/>
    <w:rsid w:val="00F80E5D"/>
    <w:rsid w:val="00F81A91"/>
    <w:rsid w:val="00F81E78"/>
    <w:rsid w:val="00F830E6"/>
    <w:rsid w:val="00F8312A"/>
    <w:rsid w:val="00F83916"/>
    <w:rsid w:val="00F83E43"/>
    <w:rsid w:val="00F841A7"/>
    <w:rsid w:val="00F851CE"/>
    <w:rsid w:val="00F85BA3"/>
    <w:rsid w:val="00F85E4A"/>
    <w:rsid w:val="00F87B8F"/>
    <w:rsid w:val="00F87BBA"/>
    <w:rsid w:val="00F91219"/>
    <w:rsid w:val="00F92444"/>
    <w:rsid w:val="00F92A57"/>
    <w:rsid w:val="00F9393E"/>
    <w:rsid w:val="00F94457"/>
    <w:rsid w:val="00F9496B"/>
    <w:rsid w:val="00F95CD4"/>
    <w:rsid w:val="00F95DDC"/>
    <w:rsid w:val="00F95E5C"/>
    <w:rsid w:val="00F96B9E"/>
    <w:rsid w:val="00F96D11"/>
    <w:rsid w:val="00F96FD0"/>
    <w:rsid w:val="00F97A78"/>
    <w:rsid w:val="00FA0325"/>
    <w:rsid w:val="00FA0B20"/>
    <w:rsid w:val="00FA1730"/>
    <w:rsid w:val="00FA24E7"/>
    <w:rsid w:val="00FA2683"/>
    <w:rsid w:val="00FA2717"/>
    <w:rsid w:val="00FA2EFE"/>
    <w:rsid w:val="00FA3CE6"/>
    <w:rsid w:val="00FA51A6"/>
    <w:rsid w:val="00FA5EE6"/>
    <w:rsid w:val="00FA7197"/>
    <w:rsid w:val="00FA736E"/>
    <w:rsid w:val="00FA76A7"/>
    <w:rsid w:val="00FA78AF"/>
    <w:rsid w:val="00FA7956"/>
    <w:rsid w:val="00FB04BA"/>
    <w:rsid w:val="00FB0824"/>
    <w:rsid w:val="00FB0977"/>
    <w:rsid w:val="00FB13FA"/>
    <w:rsid w:val="00FB2FCB"/>
    <w:rsid w:val="00FB36EB"/>
    <w:rsid w:val="00FB38D4"/>
    <w:rsid w:val="00FB3B27"/>
    <w:rsid w:val="00FB4612"/>
    <w:rsid w:val="00FB4C9C"/>
    <w:rsid w:val="00FB5F49"/>
    <w:rsid w:val="00FB60DB"/>
    <w:rsid w:val="00FB6103"/>
    <w:rsid w:val="00FB6809"/>
    <w:rsid w:val="00FB6ED6"/>
    <w:rsid w:val="00FB7557"/>
    <w:rsid w:val="00FB7767"/>
    <w:rsid w:val="00FB7B53"/>
    <w:rsid w:val="00FB7C55"/>
    <w:rsid w:val="00FC0029"/>
    <w:rsid w:val="00FC0ED5"/>
    <w:rsid w:val="00FC1074"/>
    <w:rsid w:val="00FC1884"/>
    <w:rsid w:val="00FC194E"/>
    <w:rsid w:val="00FC2037"/>
    <w:rsid w:val="00FC371D"/>
    <w:rsid w:val="00FC4117"/>
    <w:rsid w:val="00FC44C4"/>
    <w:rsid w:val="00FC4692"/>
    <w:rsid w:val="00FC5826"/>
    <w:rsid w:val="00FC5F0B"/>
    <w:rsid w:val="00FC7A9A"/>
    <w:rsid w:val="00FD1033"/>
    <w:rsid w:val="00FD166F"/>
    <w:rsid w:val="00FD2100"/>
    <w:rsid w:val="00FD2278"/>
    <w:rsid w:val="00FD23AF"/>
    <w:rsid w:val="00FD436C"/>
    <w:rsid w:val="00FD446D"/>
    <w:rsid w:val="00FD4826"/>
    <w:rsid w:val="00FD4B77"/>
    <w:rsid w:val="00FD4C90"/>
    <w:rsid w:val="00FD4F2C"/>
    <w:rsid w:val="00FD59FD"/>
    <w:rsid w:val="00FD5A54"/>
    <w:rsid w:val="00FD5AE8"/>
    <w:rsid w:val="00FD6063"/>
    <w:rsid w:val="00FD6394"/>
    <w:rsid w:val="00FD7044"/>
    <w:rsid w:val="00FD7C24"/>
    <w:rsid w:val="00FE000B"/>
    <w:rsid w:val="00FE01D4"/>
    <w:rsid w:val="00FE058D"/>
    <w:rsid w:val="00FE0E6C"/>
    <w:rsid w:val="00FE1CDC"/>
    <w:rsid w:val="00FE4680"/>
    <w:rsid w:val="00FE5330"/>
    <w:rsid w:val="00FE5EB7"/>
    <w:rsid w:val="00FE61B6"/>
    <w:rsid w:val="00FE627A"/>
    <w:rsid w:val="00FE70C3"/>
    <w:rsid w:val="00FE770C"/>
    <w:rsid w:val="00FE787A"/>
    <w:rsid w:val="00FF1168"/>
    <w:rsid w:val="00FF1445"/>
    <w:rsid w:val="00FF1A8B"/>
    <w:rsid w:val="00FF2AD9"/>
    <w:rsid w:val="00FF2C3F"/>
    <w:rsid w:val="00FF359F"/>
    <w:rsid w:val="00FF3A35"/>
    <w:rsid w:val="00FF3DCF"/>
    <w:rsid w:val="00FF492C"/>
    <w:rsid w:val="00FF4A21"/>
    <w:rsid w:val="00FF568B"/>
    <w:rsid w:val="00FF571A"/>
    <w:rsid w:val="00FF5AA3"/>
    <w:rsid w:val="00FF5AD8"/>
    <w:rsid w:val="00FF6963"/>
    <w:rsid w:val="00FF7373"/>
    <w:rsid w:val="00FF778F"/>
    <w:rsid w:val="010BA8DC"/>
    <w:rsid w:val="01D502C9"/>
    <w:rsid w:val="077583E8"/>
    <w:rsid w:val="07E690A4"/>
    <w:rsid w:val="0C20DA0F"/>
    <w:rsid w:val="0C9107BE"/>
    <w:rsid w:val="0EE35F4C"/>
    <w:rsid w:val="0FB58099"/>
    <w:rsid w:val="10FDAB2E"/>
    <w:rsid w:val="11242CE6"/>
    <w:rsid w:val="11AD9B2E"/>
    <w:rsid w:val="11E7FBED"/>
    <w:rsid w:val="12881C1A"/>
    <w:rsid w:val="12E8AFA2"/>
    <w:rsid w:val="198333B7"/>
    <w:rsid w:val="19ADC0FF"/>
    <w:rsid w:val="1A670B1D"/>
    <w:rsid w:val="1A99710D"/>
    <w:rsid w:val="1B937C20"/>
    <w:rsid w:val="1D04F123"/>
    <w:rsid w:val="20747C87"/>
    <w:rsid w:val="20AD11E7"/>
    <w:rsid w:val="252D181E"/>
    <w:rsid w:val="25AE46B5"/>
    <w:rsid w:val="27F83877"/>
    <w:rsid w:val="2A7B3307"/>
    <w:rsid w:val="2E812F11"/>
    <w:rsid w:val="30A1A59F"/>
    <w:rsid w:val="31ED0147"/>
    <w:rsid w:val="32EB9EC4"/>
    <w:rsid w:val="3360D0EB"/>
    <w:rsid w:val="34603B33"/>
    <w:rsid w:val="3A9AA4F6"/>
    <w:rsid w:val="3B5DA9B8"/>
    <w:rsid w:val="3CDA9228"/>
    <w:rsid w:val="400C19C9"/>
    <w:rsid w:val="40362B0A"/>
    <w:rsid w:val="40D74653"/>
    <w:rsid w:val="41E773D7"/>
    <w:rsid w:val="45D677A8"/>
    <w:rsid w:val="46D1CCD0"/>
    <w:rsid w:val="487A4EC9"/>
    <w:rsid w:val="4B427519"/>
    <w:rsid w:val="4B9F731B"/>
    <w:rsid w:val="4BFA82BA"/>
    <w:rsid w:val="50705FFC"/>
    <w:rsid w:val="508C3DAD"/>
    <w:rsid w:val="52924B98"/>
    <w:rsid w:val="52A75A62"/>
    <w:rsid w:val="536C5149"/>
    <w:rsid w:val="54BA6A12"/>
    <w:rsid w:val="560AC26A"/>
    <w:rsid w:val="566D4652"/>
    <w:rsid w:val="57A20E71"/>
    <w:rsid w:val="58B0D8E1"/>
    <w:rsid w:val="5AF44EC9"/>
    <w:rsid w:val="5EE25807"/>
    <w:rsid w:val="6387A6A3"/>
    <w:rsid w:val="63FB1270"/>
    <w:rsid w:val="678CC97D"/>
    <w:rsid w:val="6841C4E7"/>
    <w:rsid w:val="686D93F3"/>
    <w:rsid w:val="6AE8FDC4"/>
    <w:rsid w:val="6C3BB73D"/>
    <w:rsid w:val="6C8D02EE"/>
    <w:rsid w:val="70CA4CB4"/>
    <w:rsid w:val="71FC3B6A"/>
    <w:rsid w:val="778EFDF3"/>
    <w:rsid w:val="78713894"/>
    <w:rsid w:val="789A65A3"/>
    <w:rsid w:val="78A3BCF9"/>
    <w:rsid w:val="79449468"/>
    <w:rsid w:val="79B245C8"/>
    <w:rsid w:val="7BA98FC9"/>
    <w:rsid w:val="7C6651D1"/>
    <w:rsid w:val="7D01A0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EB9"/>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L,Bullet Point,Bulletr List Paragraph,FooterText"/>
    <w:link w:val="ListParagraphChar"/>
    <w:uiPriority w:val="34"/>
    <w:qFormat/>
    <w:rsid w:val="00AF1DD0"/>
    <w:pPr>
      <w:numPr>
        <w:numId w:val="4"/>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AF1DD0"/>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TAtableplain,Dossier table,Summary Table,Source table_,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5"/>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3"/>
      </w:numPr>
      <w:ind w:left="720"/>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character" w:customStyle="1" w:styleId="UnresolvedMention1">
    <w:name w:val="Unresolved Mention1"/>
    <w:basedOn w:val="DefaultParagraphFont"/>
    <w:uiPriority w:val="99"/>
    <w:semiHidden/>
    <w:unhideWhenUsed/>
    <w:rsid w:val="00785588"/>
    <w:rPr>
      <w:color w:val="605E5C"/>
      <w:shd w:val="clear" w:color="auto" w:fill="E1DFDD"/>
    </w:rPr>
  </w:style>
  <w:style w:type="paragraph" w:customStyle="1" w:styleId="Bodytextitalics">
    <w:name w:val="Body text italics"/>
    <w:basedOn w:val="BodyText"/>
    <w:qFormat/>
    <w:rsid w:val="00A55AF1"/>
    <w:pPr>
      <w:spacing w:after="120"/>
      <w:ind w:left="720" w:hanging="720"/>
    </w:pPr>
    <w:rPr>
      <w:rFonts w:asciiTheme="minorHAnsi" w:eastAsiaTheme="minorHAnsi" w:hAnsiTheme="minorHAnsi" w:cstheme="minorBidi"/>
      <w:i/>
      <w:szCs w:val="22"/>
    </w:rPr>
  </w:style>
  <w:style w:type="paragraph" w:styleId="FootnoteText">
    <w:name w:val="footnote text"/>
    <w:basedOn w:val="Normal"/>
    <w:link w:val="FootnoteTextChar"/>
    <w:semiHidden/>
    <w:unhideWhenUsed/>
    <w:rsid w:val="00317D77"/>
    <w:rPr>
      <w:sz w:val="20"/>
      <w:szCs w:val="20"/>
    </w:rPr>
  </w:style>
  <w:style w:type="character" w:customStyle="1" w:styleId="FootnoteTextChar">
    <w:name w:val="Footnote Text Char"/>
    <w:basedOn w:val="DefaultParagraphFont"/>
    <w:link w:val="FootnoteText"/>
    <w:semiHidden/>
    <w:rsid w:val="00317D77"/>
    <w:rPr>
      <w:rFonts w:ascii="Calibri" w:hAnsi="Calibri" w:cs="Arial"/>
    </w:rPr>
  </w:style>
  <w:style w:type="character" w:styleId="FootnoteReference">
    <w:name w:val="footnote reference"/>
    <w:basedOn w:val="DefaultParagraphFont"/>
    <w:semiHidden/>
    <w:unhideWhenUsed/>
    <w:rsid w:val="00317D77"/>
    <w:rPr>
      <w:vertAlign w:val="superscript"/>
    </w:rPr>
  </w:style>
  <w:style w:type="paragraph" w:customStyle="1" w:styleId="TableText1">
    <w:name w:val="TableText"/>
    <w:basedOn w:val="Normal"/>
    <w:link w:val="TableTextChar1"/>
    <w:uiPriority w:val="3"/>
    <w:qFormat/>
    <w:rsid w:val="00541844"/>
    <w:pPr>
      <w:spacing w:before="20" w:after="120"/>
      <w:jc w:val="left"/>
    </w:pPr>
    <w:rPr>
      <w:rFonts w:cs="Calibri"/>
      <w:bCs/>
      <w:sz w:val="20"/>
      <w:szCs w:val="20"/>
      <w:lang w:eastAsia="zh-CN"/>
    </w:rPr>
  </w:style>
  <w:style w:type="character" w:customStyle="1" w:styleId="TableTextChar1">
    <w:name w:val="TableText Char"/>
    <w:basedOn w:val="DefaultParagraphFont"/>
    <w:link w:val="TableText1"/>
    <w:uiPriority w:val="3"/>
    <w:rsid w:val="00541844"/>
    <w:rPr>
      <w:rFonts w:ascii="Calibri" w:hAnsi="Calibri" w:cs="Calibri"/>
      <w:bCs/>
      <w:lang w:eastAsia="zh-CN"/>
    </w:rPr>
  </w:style>
  <w:style w:type="paragraph" w:customStyle="1" w:styleId="TableNotes">
    <w:name w:val="TableNotes"/>
    <w:basedOn w:val="Normal"/>
    <w:next w:val="Normal"/>
    <w:link w:val="TableNotesChar"/>
    <w:uiPriority w:val="3"/>
    <w:rsid w:val="00541844"/>
    <w:pPr>
      <w:tabs>
        <w:tab w:val="left" w:pos="1134"/>
      </w:tabs>
      <w:ind w:left="1134" w:hanging="1134"/>
    </w:pPr>
    <w:rPr>
      <w:rFonts w:eastAsiaTheme="minorEastAsia" w:cstheme="minorBidi"/>
      <w:sz w:val="18"/>
      <w:szCs w:val="18"/>
      <w:lang w:eastAsia="zh-CN"/>
    </w:rPr>
  </w:style>
  <w:style w:type="character" w:customStyle="1" w:styleId="TableNotesChar">
    <w:name w:val="TableNotes Char"/>
    <w:basedOn w:val="DefaultParagraphFont"/>
    <w:link w:val="TableNotes"/>
    <w:uiPriority w:val="3"/>
    <w:rsid w:val="00541844"/>
    <w:rPr>
      <w:rFonts w:ascii="Calibri" w:eastAsiaTheme="minorEastAsia" w:hAnsi="Calibri" w:cstheme="minorBidi"/>
      <w:sz w:val="18"/>
      <w:szCs w:val="18"/>
      <w:lang w:eastAsia="zh-CN"/>
    </w:rPr>
  </w:style>
  <w:style w:type="paragraph" w:styleId="EndnoteText">
    <w:name w:val="endnote text"/>
    <w:basedOn w:val="Normal"/>
    <w:link w:val="EndnoteTextChar"/>
    <w:semiHidden/>
    <w:unhideWhenUsed/>
    <w:rsid w:val="000812BD"/>
    <w:rPr>
      <w:sz w:val="20"/>
      <w:szCs w:val="20"/>
    </w:rPr>
  </w:style>
  <w:style w:type="character" w:customStyle="1" w:styleId="EndnoteTextChar">
    <w:name w:val="Endnote Text Char"/>
    <w:basedOn w:val="DefaultParagraphFont"/>
    <w:link w:val="EndnoteText"/>
    <w:semiHidden/>
    <w:rsid w:val="000812BD"/>
    <w:rPr>
      <w:rFonts w:ascii="Calibri" w:hAnsi="Calibri" w:cs="Arial"/>
    </w:rPr>
  </w:style>
  <w:style w:type="character" w:styleId="EndnoteReference">
    <w:name w:val="endnote reference"/>
    <w:basedOn w:val="DefaultParagraphFont"/>
    <w:semiHidden/>
    <w:unhideWhenUsed/>
    <w:rsid w:val="000812BD"/>
    <w:rPr>
      <w:vertAlign w:val="superscript"/>
    </w:rPr>
  </w:style>
  <w:style w:type="table" w:customStyle="1" w:styleId="TableGrid5">
    <w:name w:val="Table Grid5"/>
    <w:basedOn w:val="TableNormal"/>
    <w:next w:val="TableGrid"/>
    <w:rsid w:val="004C7C87"/>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BulletsChar">
    <w:name w:val="TableBullets Char"/>
    <w:basedOn w:val="TableTextChar0"/>
    <w:link w:val="TableBullets"/>
    <w:uiPriority w:val="99"/>
    <w:locked/>
    <w:rsid w:val="004C7C87"/>
    <w:rPr>
      <w:rFonts w:ascii="Arial Narrow" w:eastAsiaTheme="majorEastAsia" w:hAnsi="Arial Narrow" w:cstheme="majorBidi"/>
      <w:bCs w:val="0"/>
      <w:szCs w:val="24"/>
      <w:lang w:eastAsia="en-US"/>
    </w:rPr>
  </w:style>
  <w:style w:type="paragraph" w:customStyle="1" w:styleId="TableBullets">
    <w:name w:val="TableBullets"/>
    <w:basedOn w:val="TableText0"/>
    <w:link w:val="TableBulletsChar"/>
    <w:uiPriority w:val="99"/>
    <w:qFormat/>
    <w:rsid w:val="004C7C87"/>
    <w:pPr>
      <w:keepNext w:val="0"/>
      <w:keepLines w:val="0"/>
      <w:numPr>
        <w:numId w:val="12"/>
      </w:numPr>
      <w:snapToGrid w:val="0"/>
      <w:spacing w:before="20" w:after="20"/>
    </w:pPr>
    <w:rPr>
      <w:bCs w:val="0"/>
      <w:lang w:eastAsia="en-US"/>
    </w:rPr>
  </w:style>
  <w:style w:type="table" w:customStyle="1" w:styleId="CMATableTemplate1">
    <w:name w:val="CMA Table Template1"/>
    <w:basedOn w:val="TableNormal"/>
    <w:next w:val="TableGrid"/>
    <w:uiPriority w:val="39"/>
    <w:rsid w:val="00A2768C"/>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Row">
    <w:name w:val="TableHeadingRow"/>
    <w:basedOn w:val="TableText1"/>
    <w:uiPriority w:val="3"/>
    <w:rsid w:val="00A2768C"/>
    <w:pPr>
      <w:keepNext/>
      <w:spacing w:before="40" w:after="40"/>
      <w:jc w:val="center"/>
    </w:pPr>
    <w:rPr>
      <w:b/>
      <w:bCs w:val="0"/>
    </w:rPr>
  </w:style>
  <w:style w:type="paragraph" w:customStyle="1" w:styleId="TableHeading0">
    <w:name w:val="Table Heading"/>
    <w:basedOn w:val="Normal"/>
    <w:rsid w:val="00A2768C"/>
    <w:pPr>
      <w:keepNext/>
      <w:jc w:val="left"/>
    </w:pPr>
    <w:rPr>
      <w:rFonts w:ascii="Arial Narrow" w:eastAsiaTheme="minorHAnsi" w:hAnsi="Arial Narrow" w:cstheme="minorBidi"/>
      <w:b/>
      <w:bCs/>
      <w:sz w:val="20"/>
      <w:szCs w:val="22"/>
      <w:lang w:eastAsia="en-US"/>
    </w:rPr>
  </w:style>
  <w:style w:type="table" w:customStyle="1" w:styleId="TableGrid1">
    <w:name w:val="Table Grid1"/>
    <w:basedOn w:val="TableNormal"/>
    <w:next w:val="TableGrid"/>
    <w:uiPriority w:val="59"/>
    <w:rsid w:val="00A2768C"/>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D5B30"/>
    <w:rPr>
      <w:color w:val="666666"/>
    </w:rPr>
  </w:style>
  <w:style w:type="character" w:styleId="Strong">
    <w:name w:val="Strong"/>
    <w:basedOn w:val="DefaultParagraphFont"/>
    <w:uiPriority w:val="22"/>
    <w:qFormat/>
    <w:rsid w:val="00417098"/>
    <w:rPr>
      <w:b/>
      <w:bCs/>
    </w:rPr>
  </w:style>
  <w:style w:type="paragraph" w:customStyle="1" w:styleId="3-SubsectionHeading">
    <w:name w:val="3-Subsection Heading"/>
    <w:basedOn w:val="Heading2"/>
    <w:next w:val="Normal"/>
    <w:link w:val="3-SubsectionHeadingChar"/>
    <w:qFormat/>
    <w:rsid w:val="00FF696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F6963"/>
    <w:rPr>
      <w:rFonts w:asciiTheme="minorHAnsi" w:eastAsiaTheme="majorEastAsia" w:hAnsiTheme="minorHAnsi" w:cstheme="majorBidi"/>
      <w:b/>
      <w:i/>
      <w:snapToGrid/>
      <w:spacing w:val="5"/>
      <w:kern w:val="28"/>
      <w:sz w:val="28"/>
      <w:szCs w:val="36"/>
      <w:lang w:eastAsia="en-US"/>
    </w:rPr>
  </w:style>
  <w:style w:type="character" w:customStyle="1" w:styleId="Mention1">
    <w:name w:val="Mention1"/>
    <w:basedOn w:val="DefaultParagraphFont"/>
    <w:uiPriority w:val="99"/>
    <w:unhideWhenUsed/>
    <w:rsid w:val="007D42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5636327">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8208194">
      <w:bodyDiv w:val="1"/>
      <w:marLeft w:val="0"/>
      <w:marRight w:val="0"/>
      <w:marTop w:val="0"/>
      <w:marBottom w:val="0"/>
      <w:divBdr>
        <w:top w:val="none" w:sz="0" w:space="0" w:color="auto"/>
        <w:left w:val="none" w:sz="0" w:space="0" w:color="auto"/>
        <w:bottom w:val="none" w:sz="0" w:space="0" w:color="auto"/>
        <w:right w:val="none" w:sz="0" w:space="0" w:color="auto"/>
      </w:divBdr>
    </w:div>
    <w:div w:id="208496344">
      <w:bodyDiv w:val="1"/>
      <w:marLeft w:val="0"/>
      <w:marRight w:val="0"/>
      <w:marTop w:val="0"/>
      <w:marBottom w:val="0"/>
      <w:divBdr>
        <w:top w:val="none" w:sz="0" w:space="0" w:color="auto"/>
        <w:left w:val="none" w:sz="0" w:space="0" w:color="auto"/>
        <w:bottom w:val="none" w:sz="0" w:space="0" w:color="auto"/>
        <w:right w:val="none" w:sz="0" w:space="0" w:color="auto"/>
      </w:divBdr>
    </w:div>
    <w:div w:id="26268953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6741302">
      <w:bodyDiv w:val="1"/>
      <w:marLeft w:val="0"/>
      <w:marRight w:val="0"/>
      <w:marTop w:val="0"/>
      <w:marBottom w:val="0"/>
      <w:divBdr>
        <w:top w:val="none" w:sz="0" w:space="0" w:color="auto"/>
        <w:left w:val="none" w:sz="0" w:space="0" w:color="auto"/>
        <w:bottom w:val="none" w:sz="0" w:space="0" w:color="auto"/>
        <w:right w:val="none" w:sz="0" w:space="0" w:color="auto"/>
      </w:divBdr>
    </w:div>
    <w:div w:id="431823376">
      <w:bodyDiv w:val="1"/>
      <w:marLeft w:val="0"/>
      <w:marRight w:val="0"/>
      <w:marTop w:val="0"/>
      <w:marBottom w:val="0"/>
      <w:divBdr>
        <w:top w:val="none" w:sz="0" w:space="0" w:color="auto"/>
        <w:left w:val="none" w:sz="0" w:space="0" w:color="auto"/>
        <w:bottom w:val="none" w:sz="0" w:space="0" w:color="auto"/>
        <w:right w:val="none" w:sz="0" w:space="0" w:color="auto"/>
      </w:divBdr>
    </w:div>
    <w:div w:id="445277515">
      <w:bodyDiv w:val="1"/>
      <w:marLeft w:val="0"/>
      <w:marRight w:val="0"/>
      <w:marTop w:val="0"/>
      <w:marBottom w:val="0"/>
      <w:divBdr>
        <w:top w:val="none" w:sz="0" w:space="0" w:color="auto"/>
        <w:left w:val="none" w:sz="0" w:space="0" w:color="auto"/>
        <w:bottom w:val="none" w:sz="0" w:space="0" w:color="auto"/>
        <w:right w:val="none" w:sz="0" w:space="0" w:color="auto"/>
      </w:divBdr>
    </w:div>
    <w:div w:id="504977344">
      <w:bodyDiv w:val="1"/>
      <w:marLeft w:val="0"/>
      <w:marRight w:val="0"/>
      <w:marTop w:val="0"/>
      <w:marBottom w:val="0"/>
      <w:divBdr>
        <w:top w:val="none" w:sz="0" w:space="0" w:color="auto"/>
        <w:left w:val="none" w:sz="0" w:space="0" w:color="auto"/>
        <w:bottom w:val="none" w:sz="0" w:space="0" w:color="auto"/>
        <w:right w:val="none" w:sz="0" w:space="0" w:color="auto"/>
      </w:divBdr>
    </w:div>
    <w:div w:id="548955108">
      <w:bodyDiv w:val="1"/>
      <w:marLeft w:val="0"/>
      <w:marRight w:val="0"/>
      <w:marTop w:val="0"/>
      <w:marBottom w:val="0"/>
      <w:divBdr>
        <w:top w:val="none" w:sz="0" w:space="0" w:color="auto"/>
        <w:left w:val="none" w:sz="0" w:space="0" w:color="auto"/>
        <w:bottom w:val="none" w:sz="0" w:space="0" w:color="auto"/>
        <w:right w:val="none" w:sz="0" w:space="0" w:color="auto"/>
      </w:divBdr>
    </w:div>
    <w:div w:id="560478665">
      <w:bodyDiv w:val="1"/>
      <w:marLeft w:val="0"/>
      <w:marRight w:val="0"/>
      <w:marTop w:val="0"/>
      <w:marBottom w:val="0"/>
      <w:divBdr>
        <w:top w:val="none" w:sz="0" w:space="0" w:color="auto"/>
        <w:left w:val="none" w:sz="0" w:space="0" w:color="auto"/>
        <w:bottom w:val="none" w:sz="0" w:space="0" w:color="auto"/>
        <w:right w:val="none" w:sz="0" w:space="0" w:color="auto"/>
      </w:divBdr>
    </w:div>
    <w:div w:id="584997723">
      <w:bodyDiv w:val="1"/>
      <w:marLeft w:val="0"/>
      <w:marRight w:val="0"/>
      <w:marTop w:val="0"/>
      <w:marBottom w:val="0"/>
      <w:divBdr>
        <w:top w:val="none" w:sz="0" w:space="0" w:color="auto"/>
        <w:left w:val="none" w:sz="0" w:space="0" w:color="auto"/>
        <w:bottom w:val="none" w:sz="0" w:space="0" w:color="auto"/>
        <w:right w:val="none" w:sz="0" w:space="0" w:color="auto"/>
      </w:divBdr>
    </w:div>
    <w:div w:id="632710660">
      <w:bodyDiv w:val="1"/>
      <w:marLeft w:val="0"/>
      <w:marRight w:val="0"/>
      <w:marTop w:val="0"/>
      <w:marBottom w:val="0"/>
      <w:divBdr>
        <w:top w:val="none" w:sz="0" w:space="0" w:color="auto"/>
        <w:left w:val="none" w:sz="0" w:space="0" w:color="auto"/>
        <w:bottom w:val="none" w:sz="0" w:space="0" w:color="auto"/>
        <w:right w:val="none" w:sz="0" w:space="0" w:color="auto"/>
      </w:divBdr>
    </w:div>
    <w:div w:id="637757425">
      <w:bodyDiv w:val="1"/>
      <w:marLeft w:val="0"/>
      <w:marRight w:val="0"/>
      <w:marTop w:val="0"/>
      <w:marBottom w:val="0"/>
      <w:divBdr>
        <w:top w:val="none" w:sz="0" w:space="0" w:color="auto"/>
        <w:left w:val="none" w:sz="0" w:space="0" w:color="auto"/>
        <w:bottom w:val="none" w:sz="0" w:space="0" w:color="auto"/>
        <w:right w:val="none" w:sz="0" w:space="0" w:color="auto"/>
      </w:divBdr>
    </w:div>
    <w:div w:id="641158902">
      <w:bodyDiv w:val="1"/>
      <w:marLeft w:val="0"/>
      <w:marRight w:val="0"/>
      <w:marTop w:val="0"/>
      <w:marBottom w:val="0"/>
      <w:divBdr>
        <w:top w:val="none" w:sz="0" w:space="0" w:color="auto"/>
        <w:left w:val="none" w:sz="0" w:space="0" w:color="auto"/>
        <w:bottom w:val="none" w:sz="0" w:space="0" w:color="auto"/>
        <w:right w:val="none" w:sz="0" w:space="0" w:color="auto"/>
      </w:divBdr>
    </w:div>
    <w:div w:id="735203785">
      <w:bodyDiv w:val="1"/>
      <w:marLeft w:val="0"/>
      <w:marRight w:val="0"/>
      <w:marTop w:val="0"/>
      <w:marBottom w:val="0"/>
      <w:divBdr>
        <w:top w:val="none" w:sz="0" w:space="0" w:color="auto"/>
        <w:left w:val="none" w:sz="0" w:space="0" w:color="auto"/>
        <w:bottom w:val="none" w:sz="0" w:space="0" w:color="auto"/>
        <w:right w:val="none" w:sz="0" w:space="0" w:color="auto"/>
      </w:divBdr>
    </w:div>
    <w:div w:id="77990951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2035960">
      <w:bodyDiv w:val="1"/>
      <w:marLeft w:val="0"/>
      <w:marRight w:val="0"/>
      <w:marTop w:val="0"/>
      <w:marBottom w:val="0"/>
      <w:divBdr>
        <w:top w:val="none" w:sz="0" w:space="0" w:color="auto"/>
        <w:left w:val="none" w:sz="0" w:space="0" w:color="auto"/>
        <w:bottom w:val="none" w:sz="0" w:space="0" w:color="auto"/>
        <w:right w:val="none" w:sz="0" w:space="0" w:color="auto"/>
      </w:divBdr>
    </w:div>
    <w:div w:id="862481550">
      <w:bodyDiv w:val="1"/>
      <w:marLeft w:val="0"/>
      <w:marRight w:val="0"/>
      <w:marTop w:val="0"/>
      <w:marBottom w:val="0"/>
      <w:divBdr>
        <w:top w:val="none" w:sz="0" w:space="0" w:color="auto"/>
        <w:left w:val="none" w:sz="0" w:space="0" w:color="auto"/>
        <w:bottom w:val="none" w:sz="0" w:space="0" w:color="auto"/>
        <w:right w:val="none" w:sz="0" w:space="0" w:color="auto"/>
      </w:divBdr>
    </w:div>
    <w:div w:id="866018309">
      <w:bodyDiv w:val="1"/>
      <w:marLeft w:val="0"/>
      <w:marRight w:val="0"/>
      <w:marTop w:val="0"/>
      <w:marBottom w:val="0"/>
      <w:divBdr>
        <w:top w:val="none" w:sz="0" w:space="0" w:color="auto"/>
        <w:left w:val="none" w:sz="0" w:space="0" w:color="auto"/>
        <w:bottom w:val="none" w:sz="0" w:space="0" w:color="auto"/>
        <w:right w:val="none" w:sz="0" w:space="0" w:color="auto"/>
      </w:divBdr>
    </w:div>
    <w:div w:id="874854533">
      <w:bodyDiv w:val="1"/>
      <w:marLeft w:val="0"/>
      <w:marRight w:val="0"/>
      <w:marTop w:val="0"/>
      <w:marBottom w:val="0"/>
      <w:divBdr>
        <w:top w:val="none" w:sz="0" w:space="0" w:color="auto"/>
        <w:left w:val="none" w:sz="0" w:space="0" w:color="auto"/>
        <w:bottom w:val="none" w:sz="0" w:space="0" w:color="auto"/>
        <w:right w:val="none" w:sz="0" w:space="0" w:color="auto"/>
      </w:divBdr>
    </w:div>
    <w:div w:id="901721839">
      <w:bodyDiv w:val="1"/>
      <w:marLeft w:val="0"/>
      <w:marRight w:val="0"/>
      <w:marTop w:val="0"/>
      <w:marBottom w:val="0"/>
      <w:divBdr>
        <w:top w:val="none" w:sz="0" w:space="0" w:color="auto"/>
        <w:left w:val="none" w:sz="0" w:space="0" w:color="auto"/>
        <w:bottom w:val="none" w:sz="0" w:space="0" w:color="auto"/>
        <w:right w:val="none" w:sz="0" w:space="0" w:color="auto"/>
      </w:divBdr>
    </w:div>
    <w:div w:id="923148546">
      <w:bodyDiv w:val="1"/>
      <w:marLeft w:val="0"/>
      <w:marRight w:val="0"/>
      <w:marTop w:val="0"/>
      <w:marBottom w:val="0"/>
      <w:divBdr>
        <w:top w:val="none" w:sz="0" w:space="0" w:color="auto"/>
        <w:left w:val="none" w:sz="0" w:space="0" w:color="auto"/>
        <w:bottom w:val="none" w:sz="0" w:space="0" w:color="auto"/>
        <w:right w:val="none" w:sz="0" w:space="0" w:color="auto"/>
      </w:divBdr>
    </w:div>
    <w:div w:id="949362143">
      <w:bodyDiv w:val="1"/>
      <w:marLeft w:val="0"/>
      <w:marRight w:val="0"/>
      <w:marTop w:val="0"/>
      <w:marBottom w:val="0"/>
      <w:divBdr>
        <w:top w:val="none" w:sz="0" w:space="0" w:color="auto"/>
        <w:left w:val="none" w:sz="0" w:space="0" w:color="auto"/>
        <w:bottom w:val="none" w:sz="0" w:space="0" w:color="auto"/>
        <w:right w:val="none" w:sz="0" w:space="0" w:color="auto"/>
      </w:divBdr>
    </w:div>
    <w:div w:id="961308355">
      <w:bodyDiv w:val="1"/>
      <w:marLeft w:val="0"/>
      <w:marRight w:val="0"/>
      <w:marTop w:val="0"/>
      <w:marBottom w:val="0"/>
      <w:divBdr>
        <w:top w:val="none" w:sz="0" w:space="0" w:color="auto"/>
        <w:left w:val="none" w:sz="0" w:space="0" w:color="auto"/>
        <w:bottom w:val="none" w:sz="0" w:space="0" w:color="auto"/>
        <w:right w:val="none" w:sz="0" w:space="0" w:color="auto"/>
      </w:divBdr>
    </w:div>
    <w:div w:id="1003750949">
      <w:bodyDiv w:val="1"/>
      <w:marLeft w:val="0"/>
      <w:marRight w:val="0"/>
      <w:marTop w:val="0"/>
      <w:marBottom w:val="0"/>
      <w:divBdr>
        <w:top w:val="none" w:sz="0" w:space="0" w:color="auto"/>
        <w:left w:val="none" w:sz="0" w:space="0" w:color="auto"/>
        <w:bottom w:val="none" w:sz="0" w:space="0" w:color="auto"/>
        <w:right w:val="none" w:sz="0" w:space="0" w:color="auto"/>
      </w:divBdr>
    </w:div>
    <w:div w:id="1108543363">
      <w:bodyDiv w:val="1"/>
      <w:marLeft w:val="0"/>
      <w:marRight w:val="0"/>
      <w:marTop w:val="0"/>
      <w:marBottom w:val="0"/>
      <w:divBdr>
        <w:top w:val="none" w:sz="0" w:space="0" w:color="auto"/>
        <w:left w:val="none" w:sz="0" w:space="0" w:color="auto"/>
        <w:bottom w:val="none" w:sz="0" w:space="0" w:color="auto"/>
        <w:right w:val="none" w:sz="0" w:space="0" w:color="auto"/>
      </w:divBdr>
    </w:div>
    <w:div w:id="115903119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0900101">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30865961">
      <w:bodyDiv w:val="1"/>
      <w:marLeft w:val="0"/>
      <w:marRight w:val="0"/>
      <w:marTop w:val="0"/>
      <w:marBottom w:val="0"/>
      <w:divBdr>
        <w:top w:val="none" w:sz="0" w:space="0" w:color="auto"/>
        <w:left w:val="none" w:sz="0" w:space="0" w:color="auto"/>
        <w:bottom w:val="none" w:sz="0" w:space="0" w:color="auto"/>
        <w:right w:val="none" w:sz="0" w:space="0" w:color="auto"/>
      </w:divBdr>
    </w:div>
    <w:div w:id="1445346907">
      <w:bodyDiv w:val="1"/>
      <w:marLeft w:val="0"/>
      <w:marRight w:val="0"/>
      <w:marTop w:val="0"/>
      <w:marBottom w:val="0"/>
      <w:divBdr>
        <w:top w:val="none" w:sz="0" w:space="0" w:color="auto"/>
        <w:left w:val="none" w:sz="0" w:space="0" w:color="auto"/>
        <w:bottom w:val="none" w:sz="0" w:space="0" w:color="auto"/>
        <w:right w:val="none" w:sz="0" w:space="0" w:color="auto"/>
      </w:divBdr>
    </w:div>
    <w:div w:id="1575503574">
      <w:bodyDiv w:val="1"/>
      <w:marLeft w:val="0"/>
      <w:marRight w:val="0"/>
      <w:marTop w:val="0"/>
      <w:marBottom w:val="0"/>
      <w:divBdr>
        <w:top w:val="none" w:sz="0" w:space="0" w:color="auto"/>
        <w:left w:val="none" w:sz="0" w:space="0" w:color="auto"/>
        <w:bottom w:val="none" w:sz="0" w:space="0" w:color="auto"/>
        <w:right w:val="none" w:sz="0" w:space="0" w:color="auto"/>
      </w:divBdr>
    </w:div>
    <w:div w:id="1590234844">
      <w:bodyDiv w:val="1"/>
      <w:marLeft w:val="0"/>
      <w:marRight w:val="0"/>
      <w:marTop w:val="0"/>
      <w:marBottom w:val="0"/>
      <w:divBdr>
        <w:top w:val="none" w:sz="0" w:space="0" w:color="auto"/>
        <w:left w:val="none" w:sz="0" w:space="0" w:color="auto"/>
        <w:bottom w:val="none" w:sz="0" w:space="0" w:color="auto"/>
        <w:right w:val="none" w:sz="0" w:space="0" w:color="auto"/>
      </w:divBdr>
    </w:div>
    <w:div w:id="1765765504">
      <w:bodyDiv w:val="1"/>
      <w:marLeft w:val="0"/>
      <w:marRight w:val="0"/>
      <w:marTop w:val="0"/>
      <w:marBottom w:val="0"/>
      <w:divBdr>
        <w:top w:val="none" w:sz="0" w:space="0" w:color="auto"/>
        <w:left w:val="none" w:sz="0" w:space="0" w:color="auto"/>
        <w:bottom w:val="none" w:sz="0" w:space="0" w:color="auto"/>
        <w:right w:val="none" w:sz="0" w:space="0" w:color="auto"/>
      </w:divBdr>
    </w:div>
    <w:div w:id="1779526091">
      <w:bodyDiv w:val="1"/>
      <w:marLeft w:val="0"/>
      <w:marRight w:val="0"/>
      <w:marTop w:val="0"/>
      <w:marBottom w:val="0"/>
      <w:divBdr>
        <w:top w:val="none" w:sz="0" w:space="0" w:color="auto"/>
        <w:left w:val="none" w:sz="0" w:space="0" w:color="auto"/>
        <w:bottom w:val="none" w:sz="0" w:space="0" w:color="auto"/>
        <w:right w:val="none" w:sz="0" w:space="0" w:color="auto"/>
      </w:divBdr>
    </w:div>
    <w:div w:id="1883132567">
      <w:bodyDiv w:val="1"/>
      <w:marLeft w:val="0"/>
      <w:marRight w:val="0"/>
      <w:marTop w:val="0"/>
      <w:marBottom w:val="0"/>
      <w:divBdr>
        <w:top w:val="none" w:sz="0" w:space="0" w:color="auto"/>
        <w:left w:val="none" w:sz="0" w:space="0" w:color="auto"/>
        <w:bottom w:val="none" w:sz="0" w:space="0" w:color="auto"/>
        <w:right w:val="none" w:sz="0" w:space="0" w:color="auto"/>
      </w:divBdr>
    </w:div>
    <w:div w:id="193987091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3363781">
      <w:bodyDiv w:val="1"/>
      <w:marLeft w:val="0"/>
      <w:marRight w:val="0"/>
      <w:marTop w:val="0"/>
      <w:marBottom w:val="0"/>
      <w:divBdr>
        <w:top w:val="none" w:sz="0" w:space="0" w:color="auto"/>
        <w:left w:val="none" w:sz="0" w:space="0" w:color="auto"/>
        <w:bottom w:val="none" w:sz="0" w:space="0" w:color="auto"/>
        <w:right w:val="none" w:sz="0" w:space="0" w:color="auto"/>
      </w:divBdr>
    </w:div>
    <w:div w:id="1981690229">
      <w:bodyDiv w:val="1"/>
      <w:marLeft w:val="0"/>
      <w:marRight w:val="0"/>
      <w:marTop w:val="0"/>
      <w:marBottom w:val="0"/>
      <w:divBdr>
        <w:top w:val="none" w:sz="0" w:space="0" w:color="auto"/>
        <w:left w:val="none" w:sz="0" w:space="0" w:color="auto"/>
        <w:bottom w:val="none" w:sz="0" w:space="0" w:color="auto"/>
        <w:right w:val="none" w:sz="0" w:space="0" w:color="auto"/>
      </w:divBdr>
    </w:div>
    <w:div w:id="20765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resources/artg/196218" TargetMode="External"/><Relationship Id="rId2" Type="http://schemas.openxmlformats.org/officeDocument/2006/relationships/hyperlink" Target="https://www.tga.gov.au/resources/prescription-medicines-registrations/perjeta-roche-products-pty-ltd" TargetMode="External"/><Relationship Id="rId1" Type="http://schemas.openxmlformats.org/officeDocument/2006/relationships/hyperlink" Target="https://www.tga.gov.au/sites/default/files/auspar-pertuzumab-160616.pdf" TargetMode="External"/><Relationship Id="rId5" Type="http://schemas.openxmlformats.org/officeDocument/2006/relationships/hyperlink" Target="https://doi.org/10.1200/JCO.23.02505" TargetMode="External"/><Relationship Id="rId4" Type="http://schemas.openxmlformats.org/officeDocument/2006/relationships/hyperlink" Target="https://www.pbs.gov.au/info/industry/pricing/ex-manufacturer-pr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7692A22-7C9B-48A7-B7D6-06CD995C2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1D6CB-61F3-48D5-BDED-C6E49C9C9766}">
  <ds:schemaRefs>
    <ds:schemaRef ds:uri="http://schemas.openxmlformats.org/officeDocument/2006/bibliography"/>
  </ds:schemaRefs>
</ds:datastoreItem>
</file>

<file path=customXml/itemProps3.xml><?xml version="1.0" encoding="utf-8"?>
<ds:datastoreItem xmlns:ds="http://schemas.openxmlformats.org/officeDocument/2006/customXml" ds:itemID="{856ADDA4-703C-4919-BF44-6112515A5EA7}">
  <ds:schemaRefs>
    <ds:schemaRef ds:uri="http://schemas.microsoft.com/sharepoint/v3/contenttype/forms"/>
  </ds:schemaRefs>
</ds:datastoreItem>
</file>

<file path=customXml/itemProps4.xml><?xml version="1.0" encoding="utf-8"?>
<ds:datastoreItem xmlns:ds="http://schemas.openxmlformats.org/officeDocument/2006/customXml" ds:itemID="{992A2008-7DB2-4041-A12C-17DECF86ED42}">
  <ds:schemaRefs>
    <ds:schemaRef ds:uri="http://purl.org/dc/elements/1.1/"/>
    <ds:schemaRef ds:uri="http://schemas.microsoft.com/office/2006/metadata/properties"/>
    <ds:schemaRef ds:uri="7f856f8d-13b3-495a-9a4b-41f8182eda4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2f95629-adac-4ec1-8738-e1cec852b92b"/>
    <ds:schemaRef ds:uri="http://www.w3.org/XML/1998/namespace"/>
    <ds:schemaRef ds:uri="http://purl.org/dc/dcmitype/"/>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62</Pages>
  <Words>23790</Words>
  <Characters>136005</Characters>
  <Application>Microsoft Office Word</Application>
  <DocSecurity>0</DocSecurity>
  <Lines>1133</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159477</CharactersWithSpaces>
  <SharedDoc>false</SharedDoc>
  <HLinks>
    <vt:vector size="42" baseType="variant">
      <vt:variant>
        <vt:i4>6094915</vt:i4>
      </vt:variant>
      <vt:variant>
        <vt:i4>12</vt:i4>
      </vt:variant>
      <vt:variant>
        <vt:i4>0</vt:i4>
      </vt:variant>
      <vt:variant>
        <vt:i4>5</vt:i4>
      </vt:variant>
      <vt:variant>
        <vt:lpwstr>https://doi.org/10.1200/JCO.23.02505</vt:lpwstr>
      </vt:variant>
      <vt:variant>
        <vt:lpwstr/>
      </vt:variant>
      <vt:variant>
        <vt:i4>2359356</vt:i4>
      </vt:variant>
      <vt:variant>
        <vt:i4>9</vt:i4>
      </vt:variant>
      <vt:variant>
        <vt:i4>0</vt:i4>
      </vt:variant>
      <vt:variant>
        <vt:i4>5</vt:i4>
      </vt:variant>
      <vt:variant>
        <vt:lpwstr>https://www.pbs.gov.au/info/industry/pricing/ex-manufacturer-price</vt:lpwstr>
      </vt:variant>
      <vt:variant>
        <vt:lpwstr/>
      </vt:variant>
      <vt:variant>
        <vt:i4>5767195</vt:i4>
      </vt:variant>
      <vt:variant>
        <vt:i4>6</vt:i4>
      </vt:variant>
      <vt:variant>
        <vt:i4>0</vt:i4>
      </vt:variant>
      <vt:variant>
        <vt:i4>5</vt:i4>
      </vt:variant>
      <vt:variant>
        <vt:lpwstr>https://www.tga.gov.au/resources/artg/196218</vt:lpwstr>
      </vt:variant>
      <vt:variant>
        <vt:lpwstr/>
      </vt:variant>
      <vt:variant>
        <vt:i4>2031707</vt:i4>
      </vt:variant>
      <vt:variant>
        <vt:i4>3</vt:i4>
      </vt:variant>
      <vt:variant>
        <vt:i4>0</vt:i4>
      </vt:variant>
      <vt:variant>
        <vt:i4>5</vt:i4>
      </vt:variant>
      <vt:variant>
        <vt:lpwstr>https://www.tga.gov.au/resources/prescription-medicines-registrations/perjeta-roche-products-pty-ltd</vt:lpwstr>
      </vt:variant>
      <vt:variant>
        <vt:lpwstr/>
      </vt:variant>
      <vt:variant>
        <vt:i4>8060978</vt:i4>
      </vt:variant>
      <vt:variant>
        <vt:i4>0</vt:i4>
      </vt:variant>
      <vt:variant>
        <vt:i4>0</vt:i4>
      </vt:variant>
      <vt:variant>
        <vt:i4>5</vt:i4>
      </vt:variant>
      <vt:variant>
        <vt:lpwstr>https://www.tga.gov.au/sites/default/files/auspar-pertuzumab-160616.pdf</vt:lpwstr>
      </vt:variant>
      <vt:variant>
        <vt:lpwstr/>
      </vt:variant>
      <vt:variant>
        <vt:i4>7209038</vt:i4>
      </vt:variant>
      <vt:variant>
        <vt:i4>3</vt:i4>
      </vt:variant>
      <vt:variant>
        <vt:i4>0</vt:i4>
      </vt:variant>
      <vt:variant>
        <vt:i4>5</vt:i4>
      </vt:variant>
      <vt:variant>
        <vt:lpwstr>mailto:Julia.Carritt@health.gov.au</vt:lpwstr>
      </vt:variant>
      <vt:variant>
        <vt:lpwstr/>
      </vt:variant>
      <vt:variant>
        <vt:i4>7209038</vt:i4>
      </vt:variant>
      <vt:variant>
        <vt:i4>0</vt:i4>
      </vt:variant>
      <vt:variant>
        <vt:i4>0</vt:i4>
      </vt:variant>
      <vt:variant>
        <vt:i4>5</vt:i4>
      </vt:variant>
      <vt:variant>
        <vt:lpwstr>mailto:Julia.Carritt@health.gov.au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2025-07-15T00:09:00Z</dcterms:created>
  <dcterms:modified xsi:type="dcterms:W3CDTF">2025-07-16T11:28:00Z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37418800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