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4682" w14:textId="2E4FE45A" w:rsidR="0085546E" w:rsidRPr="0085546E" w:rsidRDefault="0085546E" w:rsidP="0085546E">
      <w:pPr>
        <w:rPr>
          <w:rFonts w:eastAsia="Times New Roman" w:cs="Calibri"/>
        </w:rPr>
      </w:pPr>
      <w:bookmarkStart w:id="0" w:name="_Toc187750751"/>
      <w:bookmarkStart w:id="1" w:name="_Toc188431834"/>
      <w:r w:rsidRPr="0085546E">
        <w:rPr>
          <w:rFonts w:eastAsia="Times New Roman"/>
          <w:color w:val="FF0000"/>
        </w:rPr>
        <w:t>An addendum has been included at the end of the minute</w:t>
      </w:r>
      <w:r w:rsidR="00E4584A">
        <w:rPr>
          <w:rFonts w:eastAsia="Times New Roman"/>
          <w:color w:val="FF0000"/>
        </w:rPr>
        <w:t>.</w:t>
      </w:r>
    </w:p>
    <w:p w14:paraId="51C6701A" w14:textId="2B0D0763" w:rsidR="00B60939" w:rsidRPr="007427EF" w:rsidRDefault="00306068" w:rsidP="00661810">
      <w:pPr>
        <w:pStyle w:val="1-MainHeading"/>
      </w:pPr>
      <w:r w:rsidRPr="007427EF">
        <w:t>7.0</w:t>
      </w:r>
      <w:r w:rsidR="00F310DB" w:rsidRPr="007427EF">
        <w:t>4</w:t>
      </w:r>
      <w:r w:rsidRPr="007427EF">
        <w:tab/>
      </w:r>
      <w:r w:rsidR="0081746F" w:rsidRPr="007427EF">
        <w:t>MOGAMULIZUMAB</w:t>
      </w:r>
      <w:r w:rsidR="00163F66" w:rsidRPr="007427EF">
        <w:t>,</w:t>
      </w:r>
      <w:r w:rsidRPr="007427EF">
        <w:br/>
      </w:r>
      <w:r w:rsidR="004973B3" w:rsidRPr="007427EF">
        <w:t>Solution concentrat</w:t>
      </w:r>
      <w:r w:rsidR="00AC550D" w:rsidRPr="007427EF">
        <w:t xml:space="preserve">e for I.V. </w:t>
      </w:r>
      <w:r w:rsidR="00620EA2" w:rsidRPr="007427EF">
        <w:t>infusion</w:t>
      </w:r>
      <w:r w:rsidR="006A6AD8" w:rsidRPr="007427EF">
        <w:t xml:space="preserve"> </w:t>
      </w:r>
      <w:r w:rsidR="00620EA2" w:rsidRPr="007427EF">
        <w:t>20 mg in 5 mL</w:t>
      </w:r>
      <w:r w:rsidR="00163F66" w:rsidRPr="007427EF">
        <w:t>,</w:t>
      </w:r>
      <w:r w:rsidRPr="007427EF">
        <w:br/>
      </w:r>
      <w:r w:rsidR="005A5C2B" w:rsidRPr="007427EF">
        <w:t>Poteligeo</w:t>
      </w:r>
      <w:r w:rsidR="00B60939" w:rsidRPr="007427EF">
        <w:rPr>
          <w:vertAlign w:val="superscript"/>
        </w:rPr>
        <w:t>®</w:t>
      </w:r>
      <w:r w:rsidR="004A6040" w:rsidRPr="007427EF">
        <w:t>,</w:t>
      </w:r>
      <w:r w:rsidRPr="007427EF">
        <w:br/>
      </w:r>
      <w:r w:rsidR="00403942" w:rsidRPr="007427EF">
        <w:t>K</w:t>
      </w:r>
      <w:r w:rsidR="009468AE">
        <w:t>yowa Kirin Australia Pty Ltd</w:t>
      </w:r>
      <w:r w:rsidR="00B60939" w:rsidRPr="007427EF">
        <w:t>.</w:t>
      </w:r>
      <w:bookmarkEnd w:id="0"/>
      <w:bookmarkEnd w:id="1"/>
      <w:r w:rsidR="00F73E08" w:rsidRPr="007427EF">
        <w:t xml:space="preserve"> </w:t>
      </w:r>
    </w:p>
    <w:p w14:paraId="11C00795" w14:textId="3DFB6D23" w:rsidR="00B50DB8" w:rsidRPr="007427EF" w:rsidRDefault="00B50DB8" w:rsidP="00661810">
      <w:pPr>
        <w:pStyle w:val="2-SectionHeading"/>
      </w:pPr>
      <w:bookmarkStart w:id="2" w:name="_Toc188431836"/>
      <w:bookmarkStart w:id="3" w:name="_Ref190960381"/>
      <w:bookmarkStart w:id="4" w:name="_Ref193553450"/>
      <w:r w:rsidRPr="007427EF">
        <w:t xml:space="preserve">Purpose of </w:t>
      </w:r>
      <w:r w:rsidR="00CD7193" w:rsidRPr="007427EF">
        <w:t>s</w:t>
      </w:r>
      <w:r w:rsidR="00BB3A45" w:rsidRPr="007427EF">
        <w:t>ubmission</w:t>
      </w:r>
      <w:bookmarkEnd w:id="2"/>
      <w:bookmarkEnd w:id="3"/>
      <w:bookmarkEnd w:id="4"/>
    </w:p>
    <w:p w14:paraId="65CFD4E4" w14:textId="5A7D701D" w:rsidR="00382B1C" w:rsidRPr="007427EF" w:rsidRDefault="007170DA" w:rsidP="00661810">
      <w:pPr>
        <w:pStyle w:val="3-BodyText"/>
      </w:pPr>
      <w:r w:rsidRPr="007427EF">
        <w:t xml:space="preserve">The </w:t>
      </w:r>
      <w:r w:rsidR="00DD118F" w:rsidRPr="007427EF">
        <w:t>s</w:t>
      </w:r>
      <w:r w:rsidR="000508C2" w:rsidRPr="007427EF">
        <w:t xml:space="preserve">tandard </w:t>
      </w:r>
      <w:r w:rsidR="00DD118F" w:rsidRPr="007427EF">
        <w:t>r</w:t>
      </w:r>
      <w:r w:rsidR="000508C2" w:rsidRPr="007427EF">
        <w:t>e-entry</w:t>
      </w:r>
      <w:r w:rsidR="003C7C15" w:rsidRPr="007427EF">
        <w:t xml:space="preserve"> </w:t>
      </w:r>
      <w:r w:rsidR="00DD118F" w:rsidRPr="007427EF">
        <w:t>re</w:t>
      </w:r>
      <w:r w:rsidRPr="007427EF">
        <w:t>submission requested</w:t>
      </w:r>
      <w:r w:rsidR="00382B1C" w:rsidRPr="007427EF">
        <w:t xml:space="preserve"> a Section 100 (Efficient Funding of Chemotherapy Program) listing for the treatment of relapsed or refractory </w:t>
      </w:r>
      <w:r w:rsidR="00E14C4C" w:rsidRPr="007427EF">
        <w:t xml:space="preserve">cutaneous </w:t>
      </w:r>
      <w:r w:rsidR="00382B1C" w:rsidRPr="007427EF">
        <w:t>T</w:t>
      </w:r>
      <w:r w:rsidR="00E14C4C" w:rsidRPr="007427EF">
        <w:t>-cell lymphoma (CT</w:t>
      </w:r>
      <w:r w:rsidR="00382B1C" w:rsidRPr="007427EF">
        <w:t>CL</w:t>
      </w:r>
      <w:r w:rsidR="00E14C4C" w:rsidRPr="007427EF">
        <w:t xml:space="preserve">; </w:t>
      </w:r>
      <w:r w:rsidR="00382B1C" w:rsidRPr="007427EF">
        <w:t>mycosis fungoides or Sezary syndrome) previously treated with at least one prior systemic therapy.</w:t>
      </w:r>
    </w:p>
    <w:p w14:paraId="4E9FBCB5" w14:textId="6DF52E09" w:rsidR="00C2778B" w:rsidRPr="007427EF" w:rsidRDefault="005750C5" w:rsidP="00661810">
      <w:pPr>
        <w:pStyle w:val="3-BodyText"/>
      </w:pPr>
      <w:r w:rsidRPr="007427EF">
        <w:t xml:space="preserve">Listing was requested </w:t>
      </w:r>
      <w:proofErr w:type="gramStart"/>
      <w:r w:rsidRPr="007427EF">
        <w:t>on the basis of</w:t>
      </w:r>
      <w:proofErr w:type="gramEnd"/>
      <w:r w:rsidRPr="007427EF">
        <w:t xml:space="preserve"> a cost-effectiveness analysis</w:t>
      </w:r>
      <w:r w:rsidR="00D66ED9" w:rsidRPr="007427EF">
        <w:t xml:space="preserve"> </w:t>
      </w:r>
      <w:r w:rsidRPr="007427EF">
        <w:t xml:space="preserve">versus </w:t>
      </w:r>
      <w:proofErr w:type="spellStart"/>
      <w:r w:rsidR="007A5E06" w:rsidRPr="007427EF">
        <w:t>vorinostat</w:t>
      </w:r>
      <w:proofErr w:type="spellEnd"/>
      <w:r w:rsidR="004A73D5" w:rsidRPr="007427EF">
        <w:t xml:space="preserve"> </w:t>
      </w:r>
      <w:r w:rsidR="004A73D5" w:rsidRPr="00A559A5">
        <w:rPr>
          <w:iCs/>
        </w:rPr>
        <w:t>(revised to a cost-minimisation approach (CMA) in the Pre-Sub-Committee Response (PSCR)</w:t>
      </w:r>
      <w:r w:rsidR="00E84D89" w:rsidRPr="00A559A5">
        <w:rPr>
          <w:iCs/>
        </w:rPr>
        <w:t>)</w:t>
      </w:r>
      <w:r w:rsidRPr="00A559A5">
        <w:rPr>
          <w:iCs/>
        </w:rPr>
        <w:t>.</w:t>
      </w:r>
      <w:r w:rsidRPr="007427EF">
        <w:t xml:space="preserve"> </w:t>
      </w:r>
      <w:r w:rsidR="00A10E82" w:rsidRPr="007427EF">
        <w:t>The key components of the resubmission are presented in Table 1.</w:t>
      </w:r>
    </w:p>
    <w:p w14:paraId="3718DE61" w14:textId="760308C6" w:rsidR="008B1757" w:rsidRPr="007427EF" w:rsidRDefault="00696EF9" w:rsidP="008252BB">
      <w:pPr>
        <w:pStyle w:val="TableFigureHeading"/>
        <w:keepLines/>
        <w:rPr>
          <w:rStyle w:val="CommentReference"/>
          <w:b/>
        </w:rPr>
      </w:pPr>
      <w:r w:rsidRPr="007427EF">
        <w:t xml:space="preserve">Table </w:t>
      </w:r>
      <w:r w:rsidR="00463985">
        <w:fldChar w:fldCharType="begin"/>
      </w:r>
      <w:r w:rsidR="00463985">
        <w:instrText xml:space="preserve"> SEQ Table \* ARABIC </w:instrText>
      </w:r>
      <w:r w:rsidR="00463985">
        <w:fldChar w:fldCharType="separate"/>
      </w:r>
      <w:r w:rsidR="00EF6B5D">
        <w:rPr>
          <w:noProof/>
        </w:rPr>
        <w:t>1</w:t>
      </w:r>
      <w:r w:rsidR="00463985">
        <w:fldChar w:fldCharType="end"/>
      </w:r>
      <w:r w:rsidRPr="007427EF">
        <w:t>:</w:t>
      </w:r>
      <w:r w:rsidR="00BC591F" w:rsidRPr="007427EF">
        <w:rPr>
          <w:rStyle w:val="CommentReference"/>
          <w:b/>
        </w:rPr>
        <w:t xml:space="preserve"> </w:t>
      </w:r>
      <w:r w:rsidR="008B1757" w:rsidRPr="007427EF">
        <w:rPr>
          <w:rStyle w:val="CommentReference"/>
          <w:b/>
        </w:rPr>
        <w:t xml:space="preserve">Key components of the clinical issue addressed by the </w:t>
      </w:r>
      <w:r w:rsidR="00F957FB" w:rsidRPr="007427EF">
        <w:rPr>
          <w:rStyle w:val="CommentReference"/>
          <w:b/>
        </w:rPr>
        <w:t>re</w:t>
      </w:r>
      <w:r w:rsidR="008B1757" w:rsidRPr="007427EF">
        <w:rPr>
          <w:rStyle w:val="CommentReference"/>
          <w:b/>
        </w:rPr>
        <w:t>submission</w:t>
      </w:r>
      <w:r w:rsidR="007170DA" w:rsidRPr="007427EF">
        <w:rPr>
          <w:rStyle w:val="CommentReference"/>
          <w:b/>
        </w:rPr>
        <w:t xml:space="preserve"> (as stated in the </w:t>
      </w:r>
      <w:r w:rsidR="00F957FB" w:rsidRPr="007427EF">
        <w:rPr>
          <w:rStyle w:val="CommentReference"/>
          <w:b/>
        </w:rPr>
        <w:t>re</w:t>
      </w:r>
      <w:r w:rsidR="007170DA" w:rsidRPr="007427EF">
        <w:rPr>
          <w:rStyle w:val="CommentReference"/>
          <w:b/>
        </w:rPr>
        <w:t>submission)</w:t>
      </w:r>
    </w:p>
    <w:tbl>
      <w:tblPr>
        <w:tblStyle w:val="TableGrid"/>
        <w:tblW w:w="9156" w:type="dxa"/>
        <w:shd w:val="clear" w:color="auto" w:fill="FFFFFF" w:themeFill="background1"/>
        <w:tblLook w:val="04A0" w:firstRow="1" w:lastRow="0" w:firstColumn="1" w:lastColumn="0" w:noHBand="0" w:noVBand="1"/>
        <w:tblCaption w:val="Table 1: Key components of the clinical issue addressed by the resubmission (as stated in the resubmission)"/>
      </w:tblPr>
      <w:tblGrid>
        <w:gridCol w:w="1668"/>
        <w:gridCol w:w="7488"/>
      </w:tblGrid>
      <w:tr w:rsidR="00523418" w:rsidRPr="007427EF" w14:paraId="21EEAD18" w14:textId="77777777" w:rsidTr="00880B7A">
        <w:tc>
          <w:tcPr>
            <w:tcW w:w="1668" w:type="dxa"/>
            <w:shd w:val="clear" w:color="auto" w:fill="FFFFFF" w:themeFill="background1"/>
          </w:tcPr>
          <w:p w14:paraId="7322080D" w14:textId="77777777" w:rsidR="00523418" w:rsidRPr="007427EF" w:rsidRDefault="00523418" w:rsidP="008252BB">
            <w:pPr>
              <w:pStyle w:val="In-tableHeading"/>
              <w:rPr>
                <w:bCs/>
                <w:szCs w:val="20"/>
                <w:lang w:val="en-AU"/>
              </w:rPr>
            </w:pPr>
            <w:r w:rsidRPr="007427EF">
              <w:rPr>
                <w:bCs/>
                <w:szCs w:val="20"/>
                <w:lang w:val="en-AU"/>
              </w:rPr>
              <w:t>Component</w:t>
            </w:r>
          </w:p>
        </w:tc>
        <w:tc>
          <w:tcPr>
            <w:tcW w:w="7488" w:type="dxa"/>
            <w:shd w:val="clear" w:color="auto" w:fill="FFFFFF" w:themeFill="background1"/>
          </w:tcPr>
          <w:p w14:paraId="7B9BC558" w14:textId="77777777" w:rsidR="00523418" w:rsidRPr="007427EF" w:rsidRDefault="00523418" w:rsidP="008252BB">
            <w:pPr>
              <w:pStyle w:val="In-tableHeading"/>
              <w:rPr>
                <w:bCs/>
                <w:szCs w:val="20"/>
                <w:lang w:val="en-AU"/>
              </w:rPr>
            </w:pPr>
            <w:r w:rsidRPr="007427EF">
              <w:rPr>
                <w:bCs/>
                <w:szCs w:val="20"/>
                <w:lang w:val="en-AU"/>
              </w:rPr>
              <w:t>Description</w:t>
            </w:r>
          </w:p>
        </w:tc>
      </w:tr>
    </w:tbl>
    <w:tbl>
      <w:tblPr>
        <w:tblStyle w:val="TableGrid"/>
        <w:tblW w:w="9156" w:type="dxa"/>
        <w:shd w:val="clear" w:color="auto" w:fill="FFFFFF" w:themeFill="background1"/>
        <w:tblLook w:val="04A0" w:firstRow="1" w:lastRow="0" w:firstColumn="1" w:lastColumn="0" w:noHBand="0" w:noVBand="1"/>
        <w:tblCaption w:val="Table 1: Key components of the clinical issue addressed by the resubmission (as stated in the resubmission)"/>
      </w:tblPr>
      <w:tblGrid>
        <w:gridCol w:w="1668"/>
        <w:gridCol w:w="7488"/>
      </w:tblGrid>
      <w:tr w:rsidR="00523418" w:rsidRPr="007427EF" w14:paraId="4867D502" w14:textId="77777777" w:rsidTr="6A98AE7B">
        <w:tc>
          <w:tcPr>
            <w:tcW w:w="1668" w:type="dxa"/>
            <w:shd w:val="clear" w:color="auto" w:fill="FFFFFF" w:themeFill="background1"/>
          </w:tcPr>
          <w:p w14:paraId="5C732964" w14:textId="77777777" w:rsidR="00523418" w:rsidRPr="007427EF" w:rsidRDefault="00523418" w:rsidP="008252BB">
            <w:pPr>
              <w:pStyle w:val="TableText0"/>
              <w:framePr w:wrap="around"/>
            </w:pPr>
            <w:r w:rsidRPr="007427EF">
              <w:t>Population</w:t>
            </w:r>
          </w:p>
        </w:tc>
        <w:tc>
          <w:tcPr>
            <w:tcW w:w="7488" w:type="dxa"/>
            <w:shd w:val="clear" w:color="auto" w:fill="C6D9F1" w:themeFill="text2" w:themeFillTint="33"/>
          </w:tcPr>
          <w:p w14:paraId="4907B998" w14:textId="77777777" w:rsidR="00523418" w:rsidRPr="007427EF" w:rsidRDefault="00523418" w:rsidP="008252BB">
            <w:pPr>
              <w:pStyle w:val="TableText0"/>
              <w:framePr w:wrap="around"/>
            </w:pPr>
            <w:r w:rsidRPr="007427EF">
              <w:t>CTCL patients with relapsed or refractory mycosis fungoides (MF) or Sezary syndrome (SS)</w:t>
            </w:r>
          </w:p>
        </w:tc>
      </w:tr>
      <w:tr w:rsidR="00523418" w:rsidRPr="007427EF" w14:paraId="53A0BF0E" w14:textId="77777777" w:rsidTr="6A98AE7B">
        <w:tc>
          <w:tcPr>
            <w:tcW w:w="1668" w:type="dxa"/>
            <w:shd w:val="clear" w:color="auto" w:fill="FFFFFF" w:themeFill="background1"/>
          </w:tcPr>
          <w:p w14:paraId="526390EE" w14:textId="77777777" w:rsidR="00523418" w:rsidRPr="007427EF" w:rsidRDefault="00523418" w:rsidP="008252BB">
            <w:pPr>
              <w:pStyle w:val="TableText0"/>
              <w:framePr w:wrap="around"/>
            </w:pPr>
            <w:r w:rsidRPr="007427EF">
              <w:t>Intervention</w:t>
            </w:r>
          </w:p>
        </w:tc>
        <w:tc>
          <w:tcPr>
            <w:tcW w:w="7488" w:type="dxa"/>
            <w:shd w:val="clear" w:color="auto" w:fill="C6D9F1" w:themeFill="text2" w:themeFillTint="33"/>
          </w:tcPr>
          <w:p w14:paraId="50BBE72E" w14:textId="77777777" w:rsidR="00523418" w:rsidRPr="007427EF" w:rsidRDefault="00523418" w:rsidP="008252BB">
            <w:pPr>
              <w:pStyle w:val="TableText0"/>
              <w:framePr w:wrap="around"/>
            </w:pPr>
            <w:r w:rsidRPr="007427EF">
              <w:t>Mogamulizumab 1.0 mg/kg IV weekly on days 1, 8, 15 and 22 of the first cycle, followed by every 2 weeks on days 1 and 15 of each subsequent 28-day cycle until disease progression or unacceptable toxicity.</w:t>
            </w:r>
          </w:p>
        </w:tc>
      </w:tr>
      <w:tr w:rsidR="00523418" w:rsidRPr="007427EF" w14:paraId="7B1A5A8E" w14:textId="77777777" w:rsidTr="6A98AE7B">
        <w:tc>
          <w:tcPr>
            <w:tcW w:w="1668" w:type="dxa"/>
            <w:shd w:val="clear" w:color="auto" w:fill="FFFFFF" w:themeFill="background1"/>
          </w:tcPr>
          <w:p w14:paraId="58CE52C7" w14:textId="77777777" w:rsidR="00523418" w:rsidRPr="007427EF" w:rsidRDefault="00523418" w:rsidP="008252BB">
            <w:pPr>
              <w:pStyle w:val="TableText0"/>
              <w:framePr w:wrap="around"/>
            </w:pPr>
            <w:r w:rsidRPr="007427EF">
              <w:t>Comparator</w:t>
            </w:r>
          </w:p>
        </w:tc>
        <w:tc>
          <w:tcPr>
            <w:tcW w:w="7488" w:type="dxa"/>
            <w:shd w:val="clear" w:color="auto" w:fill="FFFFFF" w:themeFill="background1"/>
          </w:tcPr>
          <w:p w14:paraId="7E4A7C33" w14:textId="77777777" w:rsidR="00523418" w:rsidRPr="005909CE" w:rsidRDefault="00523418" w:rsidP="008252BB">
            <w:pPr>
              <w:pStyle w:val="TableText0"/>
              <w:framePr w:wrap="around"/>
              <w:rPr>
                <w:shd w:val="clear" w:color="auto" w:fill="C6D9F1" w:themeFill="text2" w:themeFillTint="33"/>
              </w:rPr>
            </w:pPr>
            <w:r w:rsidRPr="005909CE">
              <w:rPr>
                <w:shd w:val="clear" w:color="auto" w:fill="C6D9F1" w:themeFill="text2" w:themeFillTint="33"/>
              </w:rPr>
              <w:t xml:space="preserve">Main: </w:t>
            </w:r>
            <w:proofErr w:type="spellStart"/>
            <w:r w:rsidRPr="005909CE">
              <w:rPr>
                <w:shd w:val="clear" w:color="auto" w:fill="C6D9F1" w:themeFill="text2" w:themeFillTint="33"/>
              </w:rPr>
              <w:t>Vorinostat</w:t>
            </w:r>
            <w:proofErr w:type="spellEnd"/>
            <w:r w:rsidRPr="005909CE">
              <w:rPr>
                <w:shd w:val="clear" w:color="auto" w:fill="C6D9F1" w:themeFill="text2" w:themeFillTint="33"/>
              </w:rPr>
              <w:t xml:space="preserve"> 400 mg orally daily, until disease progression or unacceptable toxicity</w:t>
            </w:r>
          </w:p>
          <w:p w14:paraId="0A8B9D8D" w14:textId="77777777" w:rsidR="00523418" w:rsidRPr="007427EF" w:rsidRDefault="00523418" w:rsidP="008252BB">
            <w:pPr>
              <w:pStyle w:val="TableText0"/>
              <w:framePr w:wrap="around"/>
            </w:pPr>
            <w:r w:rsidRPr="007427EF">
              <w:t xml:space="preserve">Secondary: Extracorporeal photopheresis (ECP) with </w:t>
            </w:r>
            <w:proofErr w:type="spellStart"/>
            <w:r w:rsidRPr="007427EF">
              <w:t>methoxsalen</w:t>
            </w:r>
            <w:proofErr w:type="spellEnd"/>
            <w:r w:rsidRPr="007427EF">
              <w:t xml:space="preserve"> 20 mcg/mL, at a recommended dose of 0.017 mL </w:t>
            </w:r>
            <w:proofErr w:type="spellStart"/>
            <w:r w:rsidRPr="007427EF">
              <w:t>methoxsalen</w:t>
            </w:r>
            <w:proofErr w:type="spellEnd"/>
            <w:r w:rsidRPr="007427EF">
              <w:t xml:space="preserve"> per mL of ECP treatment volume, on 2 consecutive days per month for 6 months and 1 treatment every 6 weeks thereafter</w:t>
            </w:r>
          </w:p>
          <w:p w14:paraId="2927E8CA" w14:textId="77777777" w:rsidR="00523418" w:rsidRPr="007427EF" w:rsidRDefault="00523418" w:rsidP="008252BB">
            <w:pPr>
              <w:pStyle w:val="TableText0"/>
              <w:framePr w:wrap="around"/>
            </w:pPr>
            <w:r w:rsidRPr="007427EF">
              <w:rPr>
                <w:shd w:val="clear" w:color="auto" w:fill="C6D9F1" w:themeFill="text2" w:themeFillTint="33"/>
              </w:rPr>
              <w:t>Tertiary: Brentuximab vedotin 1.8 mg/kg IV every 3 weeks, for up to 16 cycles.</w:t>
            </w:r>
          </w:p>
        </w:tc>
      </w:tr>
      <w:tr w:rsidR="00523418" w:rsidRPr="007427EF" w14:paraId="70F2B550" w14:textId="77777777" w:rsidTr="6A98AE7B">
        <w:tc>
          <w:tcPr>
            <w:tcW w:w="1668" w:type="dxa"/>
            <w:shd w:val="clear" w:color="auto" w:fill="FFFFFF" w:themeFill="background1"/>
          </w:tcPr>
          <w:p w14:paraId="3D10FD3C" w14:textId="77777777" w:rsidR="00523418" w:rsidRPr="007427EF" w:rsidRDefault="00523418" w:rsidP="008252BB">
            <w:pPr>
              <w:pStyle w:val="TableText0"/>
              <w:framePr w:wrap="around"/>
            </w:pPr>
            <w:r w:rsidRPr="007427EF">
              <w:t>Outcomes</w:t>
            </w:r>
          </w:p>
        </w:tc>
        <w:tc>
          <w:tcPr>
            <w:tcW w:w="7488" w:type="dxa"/>
            <w:shd w:val="clear" w:color="auto" w:fill="C6D9F1" w:themeFill="text2" w:themeFillTint="33"/>
          </w:tcPr>
          <w:p w14:paraId="4FCFC62E" w14:textId="77777777" w:rsidR="00523418" w:rsidRPr="007427EF" w:rsidRDefault="00523418" w:rsidP="008252BB">
            <w:pPr>
              <w:pStyle w:val="TableText0"/>
              <w:framePr w:wrap="around"/>
            </w:pPr>
            <w:r w:rsidRPr="007427EF">
              <w:t xml:space="preserve">PFS, ORR, TTR, DOR, TTNT, OS, </w:t>
            </w:r>
            <w:proofErr w:type="spellStart"/>
            <w:r w:rsidRPr="007427EF">
              <w:t>HRQoL</w:t>
            </w:r>
            <w:proofErr w:type="spellEnd"/>
            <w:r w:rsidRPr="007427EF">
              <w:t xml:space="preserve"> and safety</w:t>
            </w:r>
          </w:p>
        </w:tc>
      </w:tr>
      <w:tr w:rsidR="00523418" w:rsidRPr="007427EF" w14:paraId="7FC8C0DF" w14:textId="77777777" w:rsidTr="6A98AE7B">
        <w:tc>
          <w:tcPr>
            <w:tcW w:w="1668" w:type="dxa"/>
            <w:shd w:val="clear" w:color="auto" w:fill="FFFFFF" w:themeFill="background1"/>
          </w:tcPr>
          <w:p w14:paraId="2A22BFC4" w14:textId="77777777" w:rsidR="00523418" w:rsidRPr="007427EF" w:rsidRDefault="00523418" w:rsidP="008252BB">
            <w:pPr>
              <w:pStyle w:val="TableText0"/>
              <w:framePr w:wrap="around"/>
            </w:pPr>
            <w:r w:rsidRPr="007427EF">
              <w:t>Clinical claim</w:t>
            </w:r>
          </w:p>
        </w:tc>
        <w:tc>
          <w:tcPr>
            <w:tcW w:w="7488" w:type="dxa"/>
            <w:shd w:val="clear" w:color="auto" w:fill="FFFFFF" w:themeFill="background1"/>
          </w:tcPr>
          <w:p w14:paraId="122385DE" w14:textId="77777777" w:rsidR="00523418" w:rsidRPr="00650766" w:rsidRDefault="00523418" w:rsidP="008252BB">
            <w:pPr>
              <w:pStyle w:val="TableText0"/>
              <w:framePr w:wrap="around"/>
              <w:rPr>
                <w:shd w:val="clear" w:color="auto" w:fill="C6D9F1" w:themeFill="text2" w:themeFillTint="33"/>
              </w:rPr>
            </w:pPr>
            <w:r w:rsidRPr="00650766">
              <w:rPr>
                <w:shd w:val="clear" w:color="auto" w:fill="C6D9F1" w:themeFill="text2" w:themeFillTint="33"/>
              </w:rPr>
              <w:t xml:space="preserve">In patients with relapsed or refractory MF or SS, mogamulizumab provides significantly and importantly superior effectiveness with non-inferior safety to </w:t>
            </w:r>
            <w:proofErr w:type="spellStart"/>
            <w:r w:rsidRPr="00650766">
              <w:rPr>
                <w:shd w:val="clear" w:color="auto" w:fill="C6D9F1" w:themeFill="text2" w:themeFillTint="33"/>
              </w:rPr>
              <w:t>vorinostat</w:t>
            </w:r>
            <w:proofErr w:type="spellEnd"/>
            <w:r w:rsidRPr="00650766">
              <w:rPr>
                <w:shd w:val="clear" w:color="auto" w:fill="C6D9F1" w:themeFill="text2" w:themeFillTint="33"/>
              </w:rPr>
              <w:t>.</w:t>
            </w:r>
          </w:p>
          <w:p w14:paraId="77D349F2" w14:textId="3C155796" w:rsidR="00523418" w:rsidRPr="007427EF" w:rsidRDefault="00523418" w:rsidP="008252BB">
            <w:pPr>
              <w:pStyle w:val="TableText0"/>
              <w:framePr w:wrap="around"/>
              <w:rPr>
                <w:rStyle w:val="Small"/>
                <w:rFonts w:ascii="Arial Narrow" w:hAnsi="Arial Narrow"/>
              </w:rPr>
            </w:pPr>
            <w:r w:rsidRPr="007427EF">
              <w:t xml:space="preserve">No formal claim </w:t>
            </w:r>
            <w:r w:rsidR="00A94C51" w:rsidRPr="007427EF">
              <w:t>wa</w:t>
            </w:r>
            <w:r w:rsidRPr="007427EF">
              <w:t xml:space="preserve">s made in relation to the comparisons with </w:t>
            </w:r>
            <w:r w:rsidR="00EC7431" w:rsidRPr="007427EF">
              <w:t xml:space="preserve">ECP or </w:t>
            </w:r>
            <w:r w:rsidRPr="007427EF">
              <w:t>b</w:t>
            </w:r>
            <w:r w:rsidRPr="007427EF">
              <w:rPr>
                <w:rStyle w:val="Small"/>
                <w:rFonts w:ascii="Arial Narrow" w:hAnsi="Arial Narrow"/>
              </w:rPr>
              <w:t>rentuximab vedotin</w:t>
            </w:r>
          </w:p>
        </w:tc>
      </w:tr>
    </w:tbl>
    <w:p w14:paraId="539C23DF" w14:textId="29462184" w:rsidR="00523418" w:rsidRPr="007427EF" w:rsidRDefault="00523418" w:rsidP="008252BB">
      <w:pPr>
        <w:pStyle w:val="FooterTableFigure"/>
        <w:keepNext/>
        <w:keepLines/>
      </w:pPr>
      <w:r w:rsidRPr="007427EF">
        <w:t>Source: Table 1-1, p13 of the resubmission.</w:t>
      </w:r>
    </w:p>
    <w:p w14:paraId="2818FB67" w14:textId="6B5D35F0" w:rsidR="00523418" w:rsidRPr="007427EF" w:rsidRDefault="00523418" w:rsidP="008252BB">
      <w:pPr>
        <w:pStyle w:val="FooterTableFigure"/>
        <w:keepNext/>
        <w:keepLines/>
      </w:pPr>
      <w:r w:rsidRPr="007427EF">
        <w:t>CTCL = cutaneous T</w:t>
      </w:r>
      <w:r w:rsidR="00EA0381" w:rsidRPr="007427EF">
        <w:t>-</w:t>
      </w:r>
      <w:r w:rsidRPr="007427EF">
        <w:t xml:space="preserve">cell lymphoma; DOR = duration of response; ECP = extracorporeal photopheresis; </w:t>
      </w:r>
      <w:proofErr w:type="spellStart"/>
      <w:r w:rsidRPr="007427EF">
        <w:t>HRQoL</w:t>
      </w:r>
      <w:proofErr w:type="spellEnd"/>
      <w:r w:rsidRPr="007427EF">
        <w:t xml:space="preserve"> = health</w:t>
      </w:r>
      <w:r w:rsidR="005F6AA2" w:rsidRPr="007427EF">
        <w:t>-</w:t>
      </w:r>
      <w:r w:rsidRPr="007427EF">
        <w:t xml:space="preserve">related quality of life; IV = intravenous; </w:t>
      </w:r>
      <w:r w:rsidR="005F6AA2" w:rsidRPr="007427EF">
        <w:t xml:space="preserve">kg = kilogram; </w:t>
      </w:r>
      <w:r w:rsidRPr="007427EF">
        <w:t>MF = mycosis fungoides; ORR = overall response rate; OS = overall survival; PFS = progression free survival; SS = Sezary syndrome; TTNT = time to next treatment; TTR = time to response.</w:t>
      </w:r>
    </w:p>
    <w:p w14:paraId="61716CA4" w14:textId="79EC450E" w:rsidR="00523418" w:rsidRPr="007427EF" w:rsidRDefault="00D53360" w:rsidP="00523418">
      <w:pPr>
        <w:pStyle w:val="FooterTableFigure"/>
      </w:pPr>
      <w:r w:rsidRPr="007427EF">
        <w:t xml:space="preserve">Blue shading </w:t>
      </w:r>
      <w:r w:rsidR="3164908C" w:rsidRPr="007427EF">
        <w:t xml:space="preserve">indicates </w:t>
      </w:r>
      <w:r w:rsidRPr="007427EF">
        <w:t>data previously seen by the PBAC</w:t>
      </w:r>
      <w:r w:rsidR="3164908C" w:rsidRPr="007427EF">
        <w:t>.</w:t>
      </w:r>
    </w:p>
    <w:p w14:paraId="6B4AB6C2" w14:textId="7F01D731" w:rsidR="005C25FF" w:rsidRPr="007427EF" w:rsidRDefault="005C25FF" w:rsidP="00661810">
      <w:pPr>
        <w:pStyle w:val="2-SectionHeading"/>
      </w:pPr>
      <w:bookmarkStart w:id="5" w:name="_Toc188431837"/>
      <w:r w:rsidRPr="007427EF">
        <w:t>Background</w:t>
      </w:r>
      <w:bookmarkEnd w:id="5"/>
    </w:p>
    <w:p w14:paraId="2C521D6D" w14:textId="78CF03EE" w:rsidR="005C25FF" w:rsidRPr="007427EF" w:rsidRDefault="005C25FF" w:rsidP="00661810">
      <w:pPr>
        <w:pStyle w:val="4-SubsectionHeading"/>
      </w:pPr>
      <w:bookmarkStart w:id="6" w:name="_Toc22897638"/>
      <w:bookmarkStart w:id="7" w:name="_Toc188431838"/>
      <w:r w:rsidRPr="007427EF">
        <w:t>Registration status</w:t>
      </w:r>
      <w:bookmarkEnd w:id="6"/>
      <w:bookmarkEnd w:id="7"/>
    </w:p>
    <w:p w14:paraId="6A39E875" w14:textId="1AD46795" w:rsidR="00E85354" w:rsidRPr="007427EF" w:rsidRDefault="00071AB2" w:rsidP="00661810">
      <w:pPr>
        <w:pStyle w:val="3-BodyText"/>
      </w:pPr>
      <w:r w:rsidRPr="007427EF">
        <w:t>Mogamulizumab</w:t>
      </w:r>
      <w:r w:rsidR="005C25FF" w:rsidRPr="007427EF">
        <w:t xml:space="preserve"> was registered </w:t>
      </w:r>
      <w:r w:rsidR="00D53360" w:rsidRPr="007427EF">
        <w:t xml:space="preserve">by the Therapeutic Goods Administration (TGA) </w:t>
      </w:r>
      <w:r w:rsidR="005C25FF" w:rsidRPr="007427EF">
        <w:t xml:space="preserve">on </w:t>
      </w:r>
      <w:r w:rsidR="00E85354" w:rsidRPr="007427EF">
        <w:t>5</w:t>
      </w:r>
      <w:r w:rsidR="00D11237">
        <w:t> </w:t>
      </w:r>
      <w:r w:rsidR="00E85354" w:rsidRPr="007427EF">
        <w:t>February 2021 for the following indication: treatment of adult patients (18 years of age and above) with mycosis fungoides (MF) or Sezary syndrome (SS) who have received at least one prior systemic therapy.</w:t>
      </w:r>
    </w:p>
    <w:p w14:paraId="3E2A6EAB" w14:textId="469C8C0C" w:rsidR="005C25FF" w:rsidRPr="007427EF" w:rsidRDefault="005C25FF" w:rsidP="00661810">
      <w:pPr>
        <w:pStyle w:val="4-SubsectionHeading"/>
      </w:pPr>
      <w:bookmarkStart w:id="8" w:name="_Toc22897639"/>
      <w:bookmarkStart w:id="9" w:name="_Toc188431839"/>
      <w:r w:rsidRPr="007427EF">
        <w:lastRenderedPageBreak/>
        <w:t>Previous PBAC consideration</w:t>
      </w:r>
      <w:bookmarkEnd w:id="8"/>
      <w:bookmarkEnd w:id="9"/>
    </w:p>
    <w:p w14:paraId="68F6BC53" w14:textId="1C7F59DE" w:rsidR="009D1D85" w:rsidRPr="007427EF" w:rsidRDefault="00BD66A6" w:rsidP="00661810">
      <w:pPr>
        <w:pStyle w:val="3-BodyText"/>
      </w:pPr>
      <w:r w:rsidRPr="007427EF">
        <w:t>M</w:t>
      </w:r>
      <w:r w:rsidR="00B3620F" w:rsidRPr="007427EF">
        <w:t>ogamul</w:t>
      </w:r>
      <w:r w:rsidRPr="007427EF">
        <w:t>izumab</w:t>
      </w:r>
      <w:r w:rsidR="00B3620F" w:rsidRPr="007427EF">
        <w:t xml:space="preserve"> in the proposed population was considered, and not recommended for listing, by the Pharmaceutical Benefits Advisory Committee (PBAC) at its meeting</w:t>
      </w:r>
      <w:r w:rsidR="00915AF1" w:rsidRPr="007427EF">
        <w:t>s</w:t>
      </w:r>
      <w:r w:rsidR="00B3620F" w:rsidRPr="007427EF">
        <w:t xml:space="preserve"> in </w:t>
      </w:r>
      <w:r w:rsidR="00D53360" w:rsidRPr="007427EF">
        <w:t xml:space="preserve">July </w:t>
      </w:r>
      <w:r w:rsidR="00B3620F" w:rsidRPr="007427EF">
        <w:t>202</w:t>
      </w:r>
      <w:r w:rsidRPr="007427EF">
        <w:t>0</w:t>
      </w:r>
      <w:r w:rsidR="00D7795B" w:rsidRPr="007427EF">
        <w:t xml:space="preserve"> and November 2020.</w:t>
      </w:r>
      <w:r w:rsidR="00075A40" w:rsidRPr="007427EF">
        <w:t xml:space="preserve"> A summary of the key matters of concern from th</w:t>
      </w:r>
      <w:r w:rsidR="00444C37" w:rsidRPr="007427EF">
        <w:t>os</w:t>
      </w:r>
      <w:r w:rsidR="00075A40" w:rsidRPr="007427EF">
        <w:t>e previous consideration</w:t>
      </w:r>
      <w:r w:rsidR="00444C37" w:rsidRPr="007427EF">
        <w:t>s</w:t>
      </w:r>
      <w:r w:rsidR="00075A40" w:rsidRPr="007427EF">
        <w:t xml:space="preserve"> and how the</w:t>
      </w:r>
      <w:r w:rsidR="00444C37" w:rsidRPr="007427EF">
        <w:t>y</w:t>
      </w:r>
      <w:r w:rsidR="00075A40" w:rsidRPr="007427EF">
        <w:t xml:space="preserve"> </w:t>
      </w:r>
      <w:r w:rsidR="00444C37" w:rsidRPr="007427EF">
        <w:t xml:space="preserve">were </w:t>
      </w:r>
      <w:r w:rsidR="00075A40" w:rsidRPr="007427EF">
        <w:t xml:space="preserve">addressed </w:t>
      </w:r>
      <w:r w:rsidR="00444C37" w:rsidRPr="007427EF">
        <w:t xml:space="preserve">in the </w:t>
      </w:r>
      <w:r w:rsidR="00264825" w:rsidRPr="007427EF">
        <w:t>current</w:t>
      </w:r>
      <w:r w:rsidR="00444C37" w:rsidRPr="007427EF">
        <w:t xml:space="preserve"> resubmission</w:t>
      </w:r>
      <w:r w:rsidR="00075A40" w:rsidRPr="007427EF">
        <w:t xml:space="preserve"> is presented in </w:t>
      </w:r>
      <w:r w:rsidRPr="007427EF">
        <w:fldChar w:fldCharType="begin"/>
      </w:r>
      <w:r w:rsidRPr="007427EF">
        <w:instrText xml:space="preserve"> REF _Ref185583335 \h </w:instrText>
      </w:r>
      <w:r w:rsidRPr="007427EF">
        <w:fldChar w:fldCharType="separate"/>
      </w:r>
      <w:r w:rsidR="00EF6B5D" w:rsidRPr="007427EF">
        <w:t xml:space="preserve">Table </w:t>
      </w:r>
      <w:r w:rsidR="00EF6B5D">
        <w:rPr>
          <w:noProof/>
        </w:rPr>
        <w:t>2</w:t>
      </w:r>
      <w:r w:rsidRPr="007427EF">
        <w:fldChar w:fldCharType="end"/>
      </w:r>
      <w:r w:rsidR="00075A40" w:rsidRPr="007427EF">
        <w:t>.</w:t>
      </w:r>
    </w:p>
    <w:p w14:paraId="2A23A49F" w14:textId="740CDE7C" w:rsidR="005C25FF" w:rsidRPr="007427EF" w:rsidRDefault="00696EF9" w:rsidP="00661810">
      <w:pPr>
        <w:pStyle w:val="TableFigureHeading"/>
        <w:rPr>
          <w:rStyle w:val="CommentReference"/>
          <w:b/>
          <w:szCs w:val="24"/>
        </w:rPr>
      </w:pPr>
      <w:bookmarkStart w:id="10" w:name="_Ref185583335"/>
      <w:r w:rsidRPr="007427EF">
        <w:t xml:space="preserve">Table </w:t>
      </w:r>
      <w:r w:rsidR="00463985">
        <w:fldChar w:fldCharType="begin"/>
      </w:r>
      <w:r w:rsidR="00463985">
        <w:instrText xml:space="preserve"> SEQ Table \* ARABIC </w:instrText>
      </w:r>
      <w:r w:rsidR="00463985">
        <w:fldChar w:fldCharType="separate"/>
      </w:r>
      <w:r w:rsidR="00EF6B5D">
        <w:rPr>
          <w:noProof/>
        </w:rPr>
        <w:t>2</w:t>
      </w:r>
      <w:r w:rsidR="00463985">
        <w:fldChar w:fldCharType="end"/>
      </w:r>
      <w:bookmarkEnd w:id="10"/>
      <w:r w:rsidRPr="007427EF">
        <w:t>:</w:t>
      </w:r>
      <w:r w:rsidR="005C25FF" w:rsidRPr="007427EF">
        <w:rPr>
          <w:rStyle w:val="CommentReference"/>
          <w:b/>
          <w:szCs w:val="24"/>
        </w:rPr>
        <w:t xml:space="preserve"> Summary of key matters of concern</w:t>
      </w:r>
    </w:p>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2372"/>
        <w:gridCol w:w="3860"/>
        <w:gridCol w:w="3003"/>
      </w:tblGrid>
      <w:tr w:rsidR="005C25FF" w:rsidRPr="007427EF" w14:paraId="6747F8E1" w14:textId="77777777" w:rsidTr="00D11237">
        <w:trPr>
          <w:cantSplit/>
          <w:tblHeader/>
        </w:trPr>
        <w:tc>
          <w:tcPr>
            <w:tcW w:w="1284" w:type="pct"/>
            <w:vAlign w:val="center"/>
          </w:tcPr>
          <w:p w14:paraId="346F438D" w14:textId="77777777" w:rsidR="005C25FF" w:rsidRPr="007427EF" w:rsidRDefault="005C25FF" w:rsidP="6A98AE7B">
            <w:pPr>
              <w:rPr>
                <w:rFonts w:ascii="Arial Narrow" w:hAnsi="Arial Narrow"/>
                <w:b/>
                <w:bCs/>
                <w:sz w:val="20"/>
                <w:szCs w:val="20"/>
              </w:rPr>
            </w:pPr>
            <w:r w:rsidRPr="007427EF">
              <w:rPr>
                <w:rFonts w:ascii="Arial Narrow" w:hAnsi="Arial Narrow"/>
                <w:b/>
                <w:bCs/>
                <w:sz w:val="20"/>
                <w:szCs w:val="20"/>
              </w:rPr>
              <w:t>Component</w:t>
            </w:r>
          </w:p>
        </w:tc>
        <w:tc>
          <w:tcPr>
            <w:tcW w:w="2090" w:type="pct"/>
            <w:vAlign w:val="center"/>
          </w:tcPr>
          <w:p w14:paraId="2B7F3F42" w14:textId="77777777" w:rsidR="005C25FF" w:rsidRPr="007427EF" w:rsidRDefault="005C25FF" w:rsidP="00AB4A36">
            <w:pPr>
              <w:rPr>
                <w:rFonts w:ascii="Arial Narrow" w:hAnsi="Arial Narrow"/>
                <w:b/>
                <w:bCs/>
                <w:sz w:val="20"/>
                <w:szCs w:val="20"/>
              </w:rPr>
            </w:pPr>
            <w:r w:rsidRPr="007427EF">
              <w:rPr>
                <w:rFonts w:ascii="Arial Narrow" w:hAnsi="Arial Narrow"/>
                <w:b/>
                <w:bCs/>
                <w:sz w:val="20"/>
                <w:szCs w:val="20"/>
              </w:rPr>
              <w:t>Matter of concern</w:t>
            </w:r>
          </w:p>
        </w:tc>
        <w:tc>
          <w:tcPr>
            <w:tcW w:w="1626" w:type="pct"/>
            <w:vAlign w:val="center"/>
          </w:tcPr>
          <w:p w14:paraId="4BAA81F2" w14:textId="77777777" w:rsidR="005C25FF" w:rsidRPr="007427EF" w:rsidRDefault="005C25FF" w:rsidP="00AB4A36">
            <w:pPr>
              <w:rPr>
                <w:rFonts w:ascii="Arial Narrow" w:hAnsi="Arial Narrow"/>
                <w:b/>
                <w:bCs/>
                <w:sz w:val="20"/>
                <w:szCs w:val="20"/>
              </w:rPr>
            </w:pPr>
            <w:r w:rsidRPr="007427EF">
              <w:rPr>
                <w:rFonts w:ascii="Arial Narrow" w:hAnsi="Arial Narrow"/>
                <w:b/>
                <w:bCs/>
                <w:sz w:val="20"/>
                <w:szCs w:val="20"/>
              </w:rPr>
              <w:t>How the resubmission addresses it</w:t>
            </w:r>
          </w:p>
        </w:tc>
      </w:tr>
      <w:tr w:rsidR="005C25FF" w:rsidRPr="007427EF" w14:paraId="4ADB50F9" w14:textId="77777777" w:rsidTr="008E031C">
        <w:trPr>
          <w:cantSplit/>
        </w:trPr>
        <w:tc>
          <w:tcPr>
            <w:tcW w:w="5000" w:type="pct"/>
            <w:gridSpan w:val="3"/>
            <w:vAlign w:val="center"/>
          </w:tcPr>
          <w:p w14:paraId="35564D2C" w14:textId="4ED00AB6" w:rsidR="005C25FF" w:rsidRPr="007427EF" w:rsidRDefault="006F62CF" w:rsidP="00AB4A36">
            <w:pPr>
              <w:rPr>
                <w:rFonts w:ascii="Arial Narrow" w:hAnsi="Arial Narrow"/>
                <w:b/>
                <w:bCs/>
                <w:sz w:val="20"/>
                <w:szCs w:val="20"/>
              </w:rPr>
            </w:pPr>
            <w:r w:rsidRPr="007427EF">
              <w:rPr>
                <w:rFonts w:ascii="Arial Narrow" w:hAnsi="Arial Narrow"/>
                <w:b/>
                <w:bCs/>
                <w:sz w:val="20"/>
                <w:szCs w:val="20"/>
              </w:rPr>
              <w:t>Clinical evidence</w:t>
            </w:r>
          </w:p>
        </w:tc>
      </w:tr>
      <w:tr w:rsidR="00C8291C" w:rsidRPr="007427EF" w14:paraId="4E7568B1" w14:textId="77777777" w:rsidTr="00D11237">
        <w:trPr>
          <w:cantSplit/>
        </w:trPr>
        <w:tc>
          <w:tcPr>
            <w:tcW w:w="1284" w:type="pct"/>
          </w:tcPr>
          <w:p w14:paraId="4252D0B9" w14:textId="468F7A0C" w:rsidR="00C8291C" w:rsidRPr="007427EF" w:rsidRDefault="00C8291C" w:rsidP="00C8291C">
            <w:pPr>
              <w:jc w:val="left"/>
              <w:rPr>
                <w:rFonts w:ascii="Arial Narrow" w:hAnsi="Arial Narrow"/>
                <w:sz w:val="20"/>
                <w:szCs w:val="20"/>
              </w:rPr>
            </w:pPr>
            <w:r w:rsidRPr="007427EF">
              <w:rPr>
                <w:rFonts w:ascii="Arial Narrow" w:hAnsi="Arial Narrow"/>
                <w:sz w:val="20"/>
                <w:szCs w:val="20"/>
              </w:rPr>
              <w:t>Open-label design and high crossover</w:t>
            </w:r>
            <w:r w:rsidR="004E0C11" w:rsidRPr="007427EF">
              <w:rPr>
                <w:rFonts w:ascii="Arial Narrow" w:hAnsi="Arial Narrow"/>
                <w:sz w:val="20"/>
                <w:szCs w:val="20"/>
              </w:rPr>
              <w:t xml:space="preserve"> for key trial (MAVORIC)</w:t>
            </w:r>
            <w:r w:rsidRPr="007427EF">
              <w:rPr>
                <w:rFonts w:ascii="Arial Narrow" w:hAnsi="Arial Narrow"/>
                <w:sz w:val="20"/>
                <w:szCs w:val="20"/>
              </w:rPr>
              <w:br/>
            </w:r>
          </w:p>
        </w:tc>
        <w:tc>
          <w:tcPr>
            <w:tcW w:w="2090" w:type="pct"/>
          </w:tcPr>
          <w:p w14:paraId="7E1E1302" w14:textId="08F9DDCA" w:rsidR="00C8291C" w:rsidRPr="007427EF" w:rsidRDefault="006E0593" w:rsidP="6A98AE7B">
            <w:pPr>
              <w:jc w:val="left"/>
              <w:rPr>
                <w:rFonts w:ascii="Arial Narrow" w:hAnsi="Arial Narrow"/>
                <w:snapToGrid w:val="0"/>
                <w:sz w:val="20"/>
                <w:szCs w:val="20"/>
              </w:rPr>
            </w:pPr>
            <w:r w:rsidRPr="007427EF">
              <w:rPr>
                <w:rFonts w:ascii="Arial Narrow" w:hAnsi="Arial Narrow"/>
                <w:sz w:val="20"/>
                <w:szCs w:val="20"/>
              </w:rPr>
              <w:t>High risk of</w:t>
            </w:r>
            <w:r w:rsidR="00C8291C" w:rsidRPr="007427EF">
              <w:rPr>
                <w:rFonts w:ascii="Arial Narrow" w:hAnsi="Arial Narrow"/>
                <w:sz w:val="20"/>
                <w:szCs w:val="20"/>
              </w:rPr>
              <w:t xml:space="preserve"> bias; </w:t>
            </w:r>
            <w:r w:rsidR="00121B16" w:rsidRPr="007427EF">
              <w:rPr>
                <w:rFonts w:ascii="Arial Narrow" w:hAnsi="Arial Narrow"/>
                <w:sz w:val="20"/>
                <w:szCs w:val="20"/>
              </w:rPr>
              <w:t xml:space="preserve">potentially </w:t>
            </w:r>
            <w:r w:rsidR="00C8291C" w:rsidRPr="007427EF">
              <w:rPr>
                <w:rFonts w:ascii="Arial Narrow" w:hAnsi="Arial Narrow"/>
                <w:sz w:val="20"/>
                <w:szCs w:val="20"/>
              </w:rPr>
              <w:t xml:space="preserve">subjective </w:t>
            </w:r>
            <w:proofErr w:type="spellStart"/>
            <w:r w:rsidR="00C8291C" w:rsidRPr="007427EF">
              <w:rPr>
                <w:rFonts w:ascii="Arial Narrow" w:hAnsi="Arial Narrow"/>
                <w:sz w:val="20"/>
                <w:szCs w:val="20"/>
              </w:rPr>
              <w:t>mSWAT</w:t>
            </w:r>
            <w:proofErr w:type="spellEnd"/>
            <w:r w:rsidR="00C8291C" w:rsidRPr="007427EF">
              <w:rPr>
                <w:rFonts w:ascii="Arial Narrow" w:hAnsi="Arial Narrow"/>
                <w:sz w:val="20"/>
                <w:szCs w:val="20"/>
              </w:rPr>
              <w:t>; uncertain reliability of comparative effectiveness for progression</w:t>
            </w:r>
            <w:r w:rsidR="00FD1274" w:rsidRPr="007427EF">
              <w:rPr>
                <w:rFonts w:ascii="Arial Narrow" w:hAnsi="Arial Narrow"/>
                <w:sz w:val="20"/>
                <w:szCs w:val="20"/>
              </w:rPr>
              <w:t xml:space="preserve"> (para 7.4, mogamulizumab, PSD, July 2020 PBAC meeting)</w:t>
            </w:r>
          </w:p>
        </w:tc>
        <w:tc>
          <w:tcPr>
            <w:tcW w:w="1626" w:type="pct"/>
            <w:vMerge w:val="restart"/>
          </w:tcPr>
          <w:p w14:paraId="62CC30B5" w14:textId="307754EE" w:rsidR="00C8291C" w:rsidRPr="007427EF" w:rsidRDefault="006E22D4" w:rsidP="6A98AE7B">
            <w:pPr>
              <w:jc w:val="left"/>
              <w:rPr>
                <w:rFonts w:ascii="Arial Narrow" w:hAnsi="Arial Narrow"/>
                <w:snapToGrid w:val="0"/>
                <w:sz w:val="20"/>
                <w:szCs w:val="20"/>
              </w:rPr>
            </w:pPr>
            <w:r w:rsidRPr="007427EF">
              <w:rPr>
                <w:rFonts w:ascii="Arial Narrow" w:hAnsi="Arial Narrow"/>
                <w:snapToGrid w:val="0"/>
                <w:sz w:val="20"/>
                <w:szCs w:val="20"/>
              </w:rPr>
              <w:t>Inadequately addressed</w:t>
            </w:r>
            <w:r w:rsidR="00C8291C" w:rsidRPr="007427EF">
              <w:rPr>
                <w:rFonts w:ascii="Arial Narrow" w:hAnsi="Arial Narrow"/>
                <w:snapToGrid w:val="0"/>
                <w:sz w:val="20"/>
                <w:szCs w:val="20"/>
              </w:rPr>
              <w:t>. The resubmission introduced a</w:t>
            </w:r>
            <w:r w:rsidR="00A5604F" w:rsidRPr="007427EF">
              <w:rPr>
                <w:rFonts w:ascii="Arial Narrow" w:hAnsi="Arial Narrow"/>
                <w:snapToGrid w:val="0"/>
                <w:sz w:val="20"/>
                <w:szCs w:val="20"/>
              </w:rPr>
              <w:t>n unanchored MAIC</w:t>
            </w:r>
            <w:r w:rsidR="000F7376" w:rsidRPr="007427EF">
              <w:rPr>
                <w:rFonts w:ascii="Arial Narrow" w:hAnsi="Arial Narrow"/>
                <w:snapToGrid w:val="0"/>
                <w:sz w:val="20"/>
                <w:szCs w:val="20"/>
              </w:rPr>
              <w:t xml:space="preserve"> examining survival outcome</w:t>
            </w:r>
            <w:r w:rsidR="00795AC3" w:rsidRPr="007427EF">
              <w:rPr>
                <w:rFonts w:ascii="Arial Narrow" w:hAnsi="Arial Narrow"/>
                <w:snapToGrid w:val="0"/>
                <w:sz w:val="20"/>
                <w:szCs w:val="20"/>
              </w:rPr>
              <w:t>s</w:t>
            </w:r>
            <w:r w:rsidR="000F7376" w:rsidRPr="007427EF">
              <w:rPr>
                <w:rFonts w:ascii="Arial Narrow" w:hAnsi="Arial Narrow"/>
                <w:snapToGrid w:val="0"/>
                <w:sz w:val="20"/>
                <w:szCs w:val="20"/>
              </w:rPr>
              <w:t xml:space="preserve"> betwee</w:t>
            </w:r>
            <w:r w:rsidR="00760CF8" w:rsidRPr="007427EF">
              <w:rPr>
                <w:rFonts w:ascii="Arial Narrow" w:hAnsi="Arial Narrow"/>
                <w:snapToGrid w:val="0"/>
                <w:sz w:val="20"/>
                <w:szCs w:val="20"/>
              </w:rPr>
              <w:t xml:space="preserve">n mogamulizumab </w:t>
            </w:r>
            <w:r w:rsidR="00343C0F" w:rsidRPr="007427EF">
              <w:rPr>
                <w:rFonts w:ascii="Arial Narrow" w:hAnsi="Arial Narrow"/>
                <w:snapToGrid w:val="0"/>
                <w:sz w:val="20"/>
                <w:szCs w:val="20"/>
              </w:rPr>
              <w:t>from</w:t>
            </w:r>
            <w:r w:rsidR="00A5604F" w:rsidRPr="007427EF">
              <w:rPr>
                <w:rFonts w:ascii="Arial Narrow" w:hAnsi="Arial Narrow"/>
                <w:snapToGrid w:val="0"/>
                <w:sz w:val="20"/>
                <w:szCs w:val="20"/>
              </w:rPr>
              <w:t xml:space="preserve"> MAVORIC versus </w:t>
            </w:r>
            <w:proofErr w:type="spellStart"/>
            <w:r w:rsidR="00A5604F" w:rsidRPr="007427EF">
              <w:rPr>
                <w:rFonts w:ascii="Arial Narrow" w:hAnsi="Arial Narrow"/>
                <w:snapToGrid w:val="0"/>
                <w:sz w:val="20"/>
                <w:szCs w:val="20"/>
              </w:rPr>
              <w:t>vorinostat</w:t>
            </w:r>
            <w:proofErr w:type="spellEnd"/>
            <w:r w:rsidR="00A5604F" w:rsidRPr="007427EF">
              <w:rPr>
                <w:rFonts w:ascii="Arial Narrow" w:hAnsi="Arial Narrow"/>
                <w:snapToGrid w:val="0"/>
                <w:sz w:val="20"/>
                <w:szCs w:val="20"/>
              </w:rPr>
              <w:t xml:space="preserve"> </w:t>
            </w:r>
            <w:r w:rsidR="00343C0F" w:rsidRPr="007427EF">
              <w:rPr>
                <w:rFonts w:ascii="Arial Narrow" w:hAnsi="Arial Narrow"/>
                <w:snapToGrid w:val="0"/>
                <w:sz w:val="20"/>
                <w:szCs w:val="20"/>
              </w:rPr>
              <w:t xml:space="preserve">from ANCLD. </w:t>
            </w:r>
          </w:p>
        </w:tc>
      </w:tr>
      <w:tr w:rsidR="00C8291C" w:rsidRPr="007427EF" w14:paraId="5B21935D" w14:textId="77777777" w:rsidTr="00D11237">
        <w:trPr>
          <w:cantSplit/>
        </w:trPr>
        <w:tc>
          <w:tcPr>
            <w:tcW w:w="1284" w:type="pct"/>
          </w:tcPr>
          <w:p w14:paraId="093E3F72" w14:textId="255939CB" w:rsidR="00C8291C" w:rsidRPr="007427EF" w:rsidRDefault="00C8291C" w:rsidP="00C8291C">
            <w:pPr>
              <w:jc w:val="left"/>
              <w:rPr>
                <w:rFonts w:ascii="Arial Narrow" w:hAnsi="Arial Narrow"/>
                <w:sz w:val="20"/>
                <w:szCs w:val="20"/>
              </w:rPr>
            </w:pPr>
            <w:r w:rsidRPr="007427EF">
              <w:rPr>
                <w:rFonts w:ascii="Arial Narrow" w:hAnsi="Arial Narrow"/>
                <w:sz w:val="20"/>
                <w:szCs w:val="20"/>
              </w:rPr>
              <w:t>Impact of crossover on PFS and OS</w:t>
            </w:r>
            <w:r w:rsidR="00004612" w:rsidRPr="007427EF">
              <w:rPr>
                <w:rFonts w:ascii="Arial Narrow" w:hAnsi="Arial Narrow"/>
                <w:sz w:val="20"/>
                <w:szCs w:val="20"/>
              </w:rPr>
              <w:t xml:space="preserve"> in MAVORIC</w:t>
            </w:r>
            <w:r w:rsidRPr="007427EF">
              <w:rPr>
                <w:rFonts w:ascii="Arial Narrow" w:hAnsi="Arial Narrow"/>
                <w:sz w:val="20"/>
                <w:szCs w:val="20"/>
              </w:rPr>
              <w:br/>
            </w:r>
          </w:p>
        </w:tc>
        <w:tc>
          <w:tcPr>
            <w:tcW w:w="2090" w:type="pct"/>
          </w:tcPr>
          <w:p w14:paraId="3414B688" w14:textId="11F67E2B" w:rsidR="00C8291C" w:rsidRPr="007427EF" w:rsidRDefault="00C8291C" w:rsidP="00C8291C">
            <w:pPr>
              <w:jc w:val="left"/>
              <w:rPr>
                <w:rFonts w:ascii="Arial Narrow" w:hAnsi="Arial Narrow"/>
                <w:snapToGrid w:val="0"/>
                <w:sz w:val="20"/>
                <w:szCs w:val="20"/>
              </w:rPr>
            </w:pPr>
            <w:r w:rsidRPr="007427EF">
              <w:rPr>
                <w:rFonts w:ascii="Arial Narrow" w:hAnsi="Arial Narrow"/>
                <w:sz w:val="20"/>
                <w:szCs w:val="20"/>
              </w:rPr>
              <w:t>High and early crossover confounding PFS and OS interpretation; uncertain treatment effect; median PFS for crossover group longer than either arm</w:t>
            </w:r>
            <w:r w:rsidR="00FD1274" w:rsidRPr="007427EF">
              <w:rPr>
                <w:rFonts w:ascii="Arial Narrow" w:hAnsi="Arial Narrow"/>
                <w:sz w:val="20"/>
                <w:szCs w:val="20"/>
              </w:rPr>
              <w:t xml:space="preserve"> </w:t>
            </w:r>
            <w:bookmarkStart w:id="11" w:name="_Hlk190350942"/>
            <w:r w:rsidR="00FD1274" w:rsidRPr="007427EF">
              <w:rPr>
                <w:rFonts w:ascii="Arial Narrow" w:hAnsi="Arial Narrow"/>
                <w:sz w:val="20"/>
                <w:szCs w:val="20"/>
              </w:rPr>
              <w:t>(para 7.5, mogamulizumab, PSD, July 2020 PBAC meeting)</w:t>
            </w:r>
            <w:bookmarkEnd w:id="11"/>
          </w:p>
        </w:tc>
        <w:tc>
          <w:tcPr>
            <w:tcW w:w="1626" w:type="pct"/>
            <w:vMerge/>
          </w:tcPr>
          <w:p w14:paraId="19AB4923" w14:textId="239A54B2" w:rsidR="00C8291C" w:rsidRPr="007427EF" w:rsidRDefault="00C8291C" w:rsidP="00C8291C">
            <w:pPr>
              <w:jc w:val="left"/>
              <w:rPr>
                <w:rFonts w:ascii="Arial Narrow" w:hAnsi="Arial Narrow"/>
                <w:snapToGrid w:val="0"/>
                <w:sz w:val="20"/>
                <w:szCs w:val="20"/>
              </w:rPr>
            </w:pPr>
          </w:p>
        </w:tc>
      </w:tr>
      <w:tr w:rsidR="00C8291C" w:rsidRPr="007427EF" w14:paraId="4E39C45C" w14:textId="77777777" w:rsidTr="00D11237">
        <w:trPr>
          <w:cantSplit/>
        </w:trPr>
        <w:tc>
          <w:tcPr>
            <w:tcW w:w="1284" w:type="pct"/>
          </w:tcPr>
          <w:p w14:paraId="2426402A" w14:textId="1D1FEE9E" w:rsidR="00C8291C" w:rsidRPr="007427EF" w:rsidRDefault="00C8291C" w:rsidP="00C8291C">
            <w:pPr>
              <w:jc w:val="left"/>
              <w:rPr>
                <w:rFonts w:ascii="Arial Narrow" w:hAnsi="Arial Narrow"/>
                <w:sz w:val="20"/>
                <w:szCs w:val="20"/>
              </w:rPr>
            </w:pPr>
            <w:r w:rsidRPr="007427EF">
              <w:rPr>
                <w:rFonts w:ascii="Arial Narrow" w:hAnsi="Arial Narrow"/>
                <w:sz w:val="20"/>
                <w:szCs w:val="20"/>
              </w:rPr>
              <w:t>Limitations in crossover adjustments</w:t>
            </w:r>
            <w:r w:rsidR="009604BD" w:rsidRPr="007427EF">
              <w:rPr>
                <w:rFonts w:ascii="Arial Narrow" w:hAnsi="Arial Narrow"/>
                <w:sz w:val="20"/>
                <w:szCs w:val="20"/>
              </w:rPr>
              <w:t xml:space="preserve"> </w:t>
            </w:r>
            <w:r w:rsidR="00FC22B8" w:rsidRPr="007427EF">
              <w:rPr>
                <w:rFonts w:ascii="Arial Narrow" w:hAnsi="Arial Narrow"/>
                <w:sz w:val="20"/>
                <w:szCs w:val="20"/>
              </w:rPr>
              <w:t>applied to adjust OS in</w:t>
            </w:r>
            <w:r w:rsidR="009604BD" w:rsidRPr="007427EF">
              <w:rPr>
                <w:rFonts w:ascii="Arial Narrow" w:hAnsi="Arial Narrow"/>
                <w:sz w:val="20"/>
                <w:szCs w:val="20"/>
              </w:rPr>
              <w:t xml:space="preserve"> MAVORIC</w:t>
            </w:r>
            <w:r w:rsidRPr="007427EF">
              <w:rPr>
                <w:rFonts w:ascii="Arial Narrow" w:hAnsi="Arial Narrow"/>
                <w:sz w:val="20"/>
                <w:szCs w:val="20"/>
              </w:rPr>
              <w:br/>
            </w:r>
          </w:p>
        </w:tc>
        <w:tc>
          <w:tcPr>
            <w:tcW w:w="2090" w:type="pct"/>
          </w:tcPr>
          <w:p w14:paraId="6A7842ED" w14:textId="017B49DB" w:rsidR="00C8291C" w:rsidRPr="007427EF" w:rsidRDefault="00C8291C" w:rsidP="6A98AE7B">
            <w:pPr>
              <w:jc w:val="left"/>
              <w:rPr>
                <w:rFonts w:ascii="Arial Narrow" w:hAnsi="Arial Narrow"/>
                <w:sz w:val="20"/>
                <w:szCs w:val="20"/>
              </w:rPr>
            </w:pPr>
            <w:r w:rsidRPr="007427EF">
              <w:rPr>
                <w:rFonts w:ascii="Arial Narrow" w:hAnsi="Arial Narrow"/>
                <w:sz w:val="20"/>
                <w:szCs w:val="20"/>
              </w:rPr>
              <w:t xml:space="preserve">None of the methods used for the crossover adjustments resulted in statistically significant hazard ratios for OS; 73.1% crossed over early; unlikely </w:t>
            </w:r>
            <w:r w:rsidR="00F5705F" w:rsidRPr="007427EF">
              <w:rPr>
                <w:rFonts w:ascii="Arial Narrow" w:hAnsi="Arial Narrow"/>
                <w:sz w:val="20"/>
                <w:szCs w:val="20"/>
              </w:rPr>
              <w:t xml:space="preserve">that any </w:t>
            </w:r>
            <w:r w:rsidR="00C355B9" w:rsidRPr="007427EF">
              <w:rPr>
                <w:rFonts w:ascii="Arial Narrow" w:hAnsi="Arial Narrow"/>
                <w:sz w:val="20"/>
                <w:szCs w:val="20"/>
              </w:rPr>
              <w:t>of the methods applied to adjust OS for treatment switching could</w:t>
            </w:r>
            <w:r w:rsidRPr="007427EF">
              <w:rPr>
                <w:rFonts w:ascii="Arial Narrow" w:hAnsi="Arial Narrow"/>
                <w:sz w:val="20"/>
                <w:szCs w:val="20"/>
              </w:rPr>
              <w:t xml:space="preserve"> obtain valid </w:t>
            </w:r>
            <w:r w:rsidR="00C355B9" w:rsidRPr="007427EF">
              <w:rPr>
                <w:rFonts w:ascii="Arial Narrow" w:hAnsi="Arial Narrow"/>
                <w:sz w:val="20"/>
                <w:szCs w:val="20"/>
              </w:rPr>
              <w:t xml:space="preserve">estimates for </w:t>
            </w:r>
            <w:r w:rsidR="00606746" w:rsidRPr="007427EF">
              <w:rPr>
                <w:rFonts w:ascii="Arial Narrow" w:hAnsi="Arial Narrow"/>
                <w:sz w:val="20"/>
                <w:szCs w:val="20"/>
              </w:rPr>
              <w:t xml:space="preserve">the </w:t>
            </w:r>
            <w:r w:rsidRPr="007427EF">
              <w:rPr>
                <w:rFonts w:ascii="Arial Narrow" w:hAnsi="Arial Narrow"/>
                <w:sz w:val="20"/>
                <w:szCs w:val="20"/>
              </w:rPr>
              <w:t xml:space="preserve">incremental benefit </w:t>
            </w:r>
            <w:r w:rsidR="00606746" w:rsidRPr="007427EF">
              <w:rPr>
                <w:rFonts w:ascii="Arial Narrow" w:hAnsi="Arial Narrow"/>
                <w:sz w:val="20"/>
                <w:szCs w:val="20"/>
              </w:rPr>
              <w:t>of</w:t>
            </w:r>
            <w:r w:rsidRPr="007427EF">
              <w:rPr>
                <w:rFonts w:ascii="Arial Narrow" w:hAnsi="Arial Narrow"/>
                <w:sz w:val="20"/>
                <w:szCs w:val="20"/>
              </w:rPr>
              <w:t xml:space="preserve"> mogamulizumab over </w:t>
            </w:r>
            <w:proofErr w:type="spellStart"/>
            <w:r w:rsidRPr="007427EF">
              <w:rPr>
                <w:rFonts w:ascii="Arial Narrow" w:hAnsi="Arial Narrow"/>
                <w:sz w:val="20"/>
                <w:szCs w:val="20"/>
              </w:rPr>
              <w:t>vorinostat</w:t>
            </w:r>
            <w:proofErr w:type="spellEnd"/>
            <w:r w:rsidR="00FD1274" w:rsidRPr="007427EF">
              <w:rPr>
                <w:rFonts w:ascii="Arial Narrow" w:hAnsi="Arial Narrow"/>
                <w:sz w:val="20"/>
                <w:szCs w:val="20"/>
              </w:rPr>
              <w:t xml:space="preserve"> (para 7.6, mogamulizumab, PSD, July 2020 PBAC meeting)</w:t>
            </w:r>
          </w:p>
        </w:tc>
        <w:tc>
          <w:tcPr>
            <w:tcW w:w="1626" w:type="pct"/>
            <w:vMerge/>
          </w:tcPr>
          <w:p w14:paraId="22AC7CBB" w14:textId="03B3D7BA" w:rsidR="00C8291C" w:rsidRPr="007427EF" w:rsidRDefault="00C8291C" w:rsidP="00C8291C">
            <w:pPr>
              <w:jc w:val="left"/>
              <w:rPr>
                <w:rFonts w:ascii="Arial Narrow" w:hAnsi="Arial Narrow"/>
                <w:snapToGrid w:val="0"/>
                <w:sz w:val="20"/>
                <w:szCs w:val="20"/>
              </w:rPr>
            </w:pPr>
          </w:p>
        </w:tc>
      </w:tr>
      <w:tr w:rsidR="00C8291C" w:rsidRPr="007427EF" w14:paraId="18BFF142" w14:textId="77777777" w:rsidTr="00D11237">
        <w:trPr>
          <w:cantSplit/>
        </w:trPr>
        <w:tc>
          <w:tcPr>
            <w:tcW w:w="1284" w:type="pct"/>
          </w:tcPr>
          <w:p w14:paraId="192EE0A1" w14:textId="70E8AF88" w:rsidR="00C8291C" w:rsidRPr="007427EF" w:rsidRDefault="00C8291C" w:rsidP="6A98AE7B">
            <w:pPr>
              <w:jc w:val="left"/>
              <w:rPr>
                <w:rFonts w:ascii="Arial Narrow" w:hAnsi="Arial Narrow"/>
                <w:sz w:val="20"/>
                <w:szCs w:val="20"/>
              </w:rPr>
            </w:pPr>
            <w:r w:rsidRPr="007427EF">
              <w:rPr>
                <w:rFonts w:ascii="Arial Narrow" w:hAnsi="Arial Narrow"/>
                <w:sz w:val="20"/>
                <w:szCs w:val="20"/>
              </w:rPr>
              <w:t xml:space="preserve">Inconsistent </w:t>
            </w:r>
            <w:proofErr w:type="spellStart"/>
            <w:r w:rsidRPr="007427EF">
              <w:rPr>
                <w:rFonts w:ascii="Arial Narrow" w:hAnsi="Arial Narrow"/>
                <w:sz w:val="20"/>
                <w:szCs w:val="20"/>
              </w:rPr>
              <w:t>vorinostat</w:t>
            </w:r>
            <w:proofErr w:type="spellEnd"/>
            <w:r w:rsidRPr="007427EF">
              <w:rPr>
                <w:rFonts w:ascii="Arial Narrow" w:hAnsi="Arial Narrow"/>
                <w:sz w:val="20"/>
                <w:szCs w:val="20"/>
              </w:rPr>
              <w:t xml:space="preserve"> ORR</w:t>
            </w:r>
            <w:r w:rsidRPr="007427EF">
              <w:br/>
            </w:r>
          </w:p>
        </w:tc>
        <w:tc>
          <w:tcPr>
            <w:tcW w:w="2090" w:type="pct"/>
          </w:tcPr>
          <w:p w14:paraId="366C46D9" w14:textId="7CAF5AF5" w:rsidR="00C8291C" w:rsidRPr="007427EF" w:rsidRDefault="00C8291C" w:rsidP="6A98AE7B">
            <w:pPr>
              <w:jc w:val="left"/>
              <w:rPr>
                <w:rFonts w:ascii="Arial Narrow" w:hAnsi="Arial Narrow"/>
                <w:snapToGrid w:val="0"/>
                <w:sz w:val="20"/>
                <w:szCs w:val="20"/>
              </w:rPr>
            </w:pPr>
            <w:r w:rsidRPr="007427EF">
              <w:rPr>
                <w:rFonts w:ascii="Arial Narrow" w:hAnsi="Arial Narrow"/>
                <w:sz w:val="20"/>
                <w:szCs w:val="20"/>
              </w:rPr>
              <w:t>Substantially lower ORR</w:t>
            </w:r>
            <w:r w:rsidR="00901812" w:rsidRPr="007427EF">
              <w:rPr>
                <w:rFonts w:ascii="Arial Narrow" w:hAnsi="Arial Narrow"/>
                <w:sz w:val="20"/>
                <w:szCs w:val="20"/>
              </w:rPr>
              <w:t xml:space="preserve"> of </w:t>
            </w:r>
            <w:proofErr w:type="spellStart"/>
            <w:r w:rsidR="00901812" w:rsidRPr="007427EF">
              <w:rPr>
                <w:rFonts w:ascii="Arial Narrow" w:hAnsi="Arial Narrow"/>
                <w:sz w:val="20"/>
                <w:szCs w:val="20"/>
              </w:rPr>
              <w:t>vorinostat</w:t>
            </w:r>
            <w:proofErr w:type="spellEnd"/>
            <w:r w:rsidRPr="007427EF">
              <w:rPr>
                <w:rFonts w:ascii="Arial Narrow" w:hAnsi="Arial Narrow"/>
                <w:sz w:val="20"/>
                <w:szCs w:val="20"/>
              </w:rPr>
              <w:t xml:space="preserve"> in MAVORIC vs.</w:t>
            </w:r>
            <w:r w:rsidR="00901812" w:rsidRPr="007427EF">
              <w:rPr>
                <w:rFonts w:ascii="Arial Narrow" w:hAnsi="Arial Narrow"/>
                <w:sz w:val="20"/>
                <w:szCs w:val="20"/>
              </w:rPr>
              <w:t xml:space="preserve"> its</w:t>
            </w:r>
            <w:r w:rsidRPr="007427EF">
              <w:rPr>
                <w:rFonts w:ascii="Arial Narrow" w:hAnsi="Arial Narrow"/>
                <w:sz w:val="20"/>
                <w:szCs w:val="20"/>
              </w:rPr>
              <w:t xml:space="preserve"> older trials; differences in response definitions and treatment duration; uncertain link to survival or QoL</w:t>
            </w:r>
            <w:r w:rsidR="00FD1274" w:rsidRPr="007427EF">
              <w:rPr>
                <w:rFonts w:ascii="Arial Narrow" w:hAnsi="Arial Narrow"/>
                <w:sz w:val="20"/>
                <w:szCs w:val="20"/>
              </w:rPr>
              <w:t xml:space="preserve"> (para 6.5, mogamulizumab, PSD, November 2020 PBAC meeting)</w:t>
            </w:r>
          </w:p>
        </w:tc>
        <w:tc>
          <w:tcPr>
            <w:tcW w:w="1626" w:type="pct"/>
          </w:tcPr>
          <w:p w14:paraId="72E6BBCF" w14:textId="4F636BDD" w:rsidR="00C8291C" w:rsidRPr="007427EF" w:rsidRDefault="00C8291C" w:rsidP="00C8291C">
            <w:pPr>
              <w:rPr>
                <w:rFonts w:ascii="Arial Narrow" w:hAnsi="Arial Narrow"/>
                <w:snapToGrid w:val="0"/>
                <w:sz w:val="20"/>
                <w:szCs w:val="20"/>
              </w:rPr>
            </w:pPr>
            <w:r w:rsidRPr="007427EF">
              <w:rPr>
                <w:rFonts w:ascii="Arial Narrow" w:hAnsi="Arial Narrow"/>
                <w:snapToGrid w:val="0"/>
                <w:sz w:val="20"/>
                <w:szCs w:val="20"/>
              </w:rPr>
              <w:t xml:space="preserve">Not addressed. </w:t>
            </w:r>
          </w:p>
        </w:tc>
      </w:tr>
      <w:tr w:rsidR="00021444" w:rsidRPr="007427EF" w14:paraId="228F2BA8" w14:textId="77777777" w:rsidTr="00D11237">
        <w:trPr>
          <w:cantSplit/>
        </w:trPr>
        <w:tc>
          <w:tcPr>
            <w:tcW w:w="1284" w:type="pct"/>
          </w:tcPr>
          <w:p w14:paraId="5ABE3EF1" w14:textId="3852E1F5" w:rsidR="00021444" w:rsidRPr="007427EF" w:rsidRDefault="00021444" w:rsidP="00021444">
            <w:pPr>
              <w:rPr>
                <w:rFonts w:ascii="Arial Narrow" w:hAnsi="Arial Narrow"/>
                <w:b/>
                <w:bCs/>
                <w:sz w:val="20"/>
                <w:szCs w:val="20"/>
              </w:rPr>
            </w:pPr>
            <w:r w:rsidRPr="007427EF">
              <w:rPr>
                <w:rFonts w:ascii="Arial Narrow" w:hAnsi="Arial Narrow"/>
                <w:b/>
                <w:bCs/>
                <w:sz w:val="20"/>
                <w:szCs w:val="20"/>
              </w:rPr>
              <w:t>Economic evaluation</w:t>
            </w:r>
          </w:p>
        </w:tc>
        <w:tc>
          <w:tcPr>
            <w:tcW w:w="2090" w:type="pct"/>
          </w:tcPr>
          <w:p w14:paraId="4F817F43" w14:textId="5EB33F88" w:rsidR="00021444" w:rsidRPr="007427EF" w:rsidRDefault="00021444" w:rsidP="00021444">
            <w:pPr>
              <w:rPr>
                <w:rFonts w:ascii="Arial Narrow" w:hAnsi="Arial Narrow"/>
                <w:snapToGrid w:val="0"/>
                <w:sz w:val="20"/>
                <w:szCs w:val="20"/>
              </w:rPr>
            </w:pPr>
          </w:p>
        </w:tc>
        <w:tc>
          <w:tcPr>
            <w:tcW w:w="1626" w:type="pct"/>
          </w:tcPr>
          <w:p w14:paraId="35FC13C5" w14:textId="1D9921D8" w:rsidR="00021444" w:rsidRPr="007427EF" w:rsidRDefault="00021444" w:rsidP="00021444">
            <w:pPr>
              <w:rPr>
                <w:rFonts w:ascii="Arial Narrow" w:hAnsi="Arial Narrow"/>
                <w:snapToGrid w:val="0"/>
                <w:sz w:val="20"/>
                <w:szCs w:val="20"/>
              </w:rPr>
            </w:pPr>
          </w:p>
        </w:tc>
      </w:tr>
      <w:tr w:rsidR="00021444" w:rsidRPr="007427EF" w14:paraId="7F544ADE" w14:textId="77777777" w:rsidTr="00D11237">
        <w:trPr>
          <w:cantSplit/>
        </w:trPr>
        <w:tc>
          <w:tcPr>
            <w:tcW w:w="1284" w:type="pct"/>
          </w:tcPr>
          <w:p w14:paraId="698AA39F" w14:textId="2E33CBB1" w:rsidR="00021444" w:rsidRPr="007427EF" w:rsidRDefault="00021444" w:rsidP="00021444">
            <w:pPr>
              <w:jc w:val="left"/>
              <w:rPr>
                <w:rFonts w:ascii="Arial Narrow" w:hAnsi="Arial Narrow"/>
                <w:sz w:val="20"/>
                <w:szCs w:val="20"/>
              </w:rPr>
            </w:pPr>
            <w:r w:rsidRPr="007427EF">
              <w:rPr>
                <w:rFonts w:ascii="Arial Narrow" w:hAnsi="Arial Narrow"/>
                <w:sz w:val="20"/>
                <w:szCs w:val="20"/>
              </w:rPr>
              <w:t xml:space="preserve">Time horizon </w:t>
            </w:r>
          </w:p>
        </w:tc>
        <w:tc>
          <w:tcPr>
            <w:tcW w:w="2090" w:type="pct"/>
          </w:tcPr>
          <w:p w14:paraId="06B3F191" w14:textId="4688D803" w:rsidR="00021444" w:rsidRPr="007427EF"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model horizon </w:t>
            </w:r>
            <w:r w:rsidRPr="007427EF">
              <w:rPr>
                <w:rFonts w:ascii="Arial Narrow" w:hAnsi="Arial Narrow"/>
                <w:sz w:val="20"/>
                <w:szCs w:val="20"/>
              </w:rPr>
              <w:t>of 20 years</w:t>
            </w:r>
            <w:r w:rsidRPr="007427EF">
              <w:rPr>
                <w:rFonts w:ascii="Arial Narrow" w:hAnsi="Arial Narrow"/>
                <w:color w:val="000000" w:themeColor="text1"/>
                <w:sz w:val="20"/>
                <w:szCs w:val="20"/>
              </w:rPr>
              <w:t xml:space="preserve"> was considered long (para 6.56, mogamulizumab PSD, July 2020 PBAC Meeting)</w:t>
            </w:r>
          </w:p>
        </w:tc>
        <w:tc>
          <w:tcPr>
            <w:tcW w:w="1626" w:type="pct"/>
          </w:tcPr>
          <w:p w14:paraId="4047033E" w14:textId="3FB86E19" w:rsidR="00021444" w:rsidRPr="007427EF"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time horizon </w:t>
            </w:r>
            <w:r w:rsidR="002D31BF" w:rsidRPr="007427EF">
              <w:rPr>
                <w:rFonts w:ascii="Arial Narrow" w:hAnsi="Arial Narrow"/>
                <w:color w:val="000000" w:themeColor="text1"/>
                <w:sz w:val="20"/>
                <w:szCs w:val="20"/>
              </w:rPr>
              <w:t>was reduced to 10 years</w:t>
            </w:r>
            <w:r w:rsidRPr="007427EF">
              <w:rPr>
                <w:rFonts w:ascii="Arial Narrow" w:hAnsi="Arial Narrow"/>
                <w:color w:val="000000" w:themeColor="text1"/>
                <w:sz w:val="20"/>
                <w:szCs w:val="20"/>
              </w:rPr>
              <w:t xml:space="preserve">. </w:t>
            </w:r>
          </w:p>
        </w:tc>
      </w:tr>
      <w:tr w:rsidR="00021444" w:rsidRPr="007427EF" w14:paraId="71E866AC" w14:textId="77777777" w:rsidTr="00D11237">
        <w:trPr>
          <w:cantSplit/>
        </w:trPr>
        <w:tc>
          <w:tcPr>
            <w:tcW w:w="1284" w:type="pct"/>
          </w:tcPr>
          <w:p w14:paraId="6043558C" w14:textId="386C8E7D" w:rsidR="00021444" w:rsidRPr="007427EF" w:rsidDel="00111AD4" w:rsidRDefault="00021444" w:rsidP="00021444">
            <w:pPr>
              <w:jc w:val="left"/>
              <w:rPr>
                <w:rFonts w:ascii="Arial Narrow" w:hAnsi="Arial Narrow"/>
                <w:sz w:val="20"/>
                <w:szCs w:val="20"/>
              </w:rPr>
            </w:pPr>
            <w:r w:rsidRPr="007427EF">
              <w:rPr>
                <w:rFonts w:ascii="Arial Narrow" w:hAnsi="Arial Narrow"/>
                <w:sz w:val="20"/>
                <w:szCs w:val="20"/>
              </w:rPr>
              <w:lastRenderedPageBreak/>
              <w:t>Clinical benefit</w:t>
            </w:r>
          </w:p>
        </w:tc>
        <w:tc>
          <w:tcPr>
            <w:tcW w:w="2090" w:type="pct"/>
          </w:tcPr>
          <w:p w14:paraId="1235C549" w14:textId="6F3B7681" w:rsidR="00021444" w:rsidRPr="007427EF" w:rsidDel="00111AD4" w:rsidRDefault="00021444" w:rsidP="6A98AE7B">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PBAC considered the extent of benefit for mogamulizumab versus </w:t>
            </w:r>
            <w:proofErr w:type="spellStart"/>
            <w:r w:rsidRPr="007427EF">
              <w:rPr>
                <w:rFonts w:ascii="Arial Narrow" w:hAnsi="Arial Narrow"/>
                <w:color w:val="000000" w:themeColor="text1"/>
                <w:sz w:val="20"/>
                <w:szCs w:val="20"/>
              </w:rPr>
              <w:t>vorinostat</w:t>
            </w:r>
            <w:proofErr w:type="spellEnd"/>
            <w:r w:rsidRPr="007427EF">
              <w:rPr>
                <w:rFonts w:ascii="Arial Narrow" w:hAnsi="Arial Narrow"/>
                <w:color w:val="000000" w:themeColor="text1"/>
                <w:sz w:val="20"/>
                <w:szCs w:val="20"/>
              </w:rPr>
              <w:t xml:space="preserve"> could not be determined from the available evidence in MAVORIC (para 7.7, mogamulizumab PSD, July 2020 PBAC Meeting) and advised that a cost-utility analysis may not be an appropriate method to determine the cost effectiveness of mogamulizumab based on the data presented (para 7.10, mogamulizumab PSD, July 2020 PBAC Meeting). No additional clinical trial data were presented to inform the clinical claims of the minor submission</w:t>
            </w:r>
            <w:r w:rsidR="003A14C8" w:rsidRPr="007427EF">
              <w:rPr>
                <w:rFonts w:ascii="Arial Narrow" w:hAnsi="Arial Narrow"/>
                <w:color w:val="000000" w:themeColor="text1"/>
                <w:sz w:val="20"/>
                <w:szCs w:val="20"/>
              </w:rPr>
              <w:t xml:space="preserve"> </w:t>
            </w:r>
            <w:r w:rsidR="002F6061" w:rsidRPr="007427EF">
              <w:rPr>
                <w:rFonts w:ascii="Arial Narrow" w:hAnsi="Arial Narrow"/>
                <w:color w:val="000000" w:themeColor="text1"/>
                <w:sz w:val="20"/>
                <w:szCs w:val="20"/>
              </w:rPr>
              <w:t>in</w:t>
            </w:r>
            <w:r w:rsidRPr="007427EF">
              <w:rPr>
                <w:rFonts w:ascii="Arial Narrow" w:hAnsi="Arial Narrow"/>
                <w:color w:val="000000" w:themeColor="text1"/>
                <w:sz w:val="20"/>
                <w:szCs w:val="20"/>
              </w:rPr>
              <w:t xml:space="preserve"> November 2020. As such, the PBAC reaffirmed its July 2020 advice, that the extent of benefit, if any, for mogamulizumab versus </w:t>
            </w:r>
            <w:proofErr w:type="spellStart"/>
            <w:r w:rsidRPr="007427EF">
              <w:rPr>
                <w:rFonts w:ascii="Arial Narrow" w:hAnsi="Arial Narrow"/>
                <w:color w:val="000000" w:themeColor="text1"/>
                <w:sz w:val="20"/>
                <w:szCs w:val="20"/>
              </w:rPr>
              <w:t>vorinostat</w:t>
            </w:r>
            <w:proofErr w:type="spellEnd"/>
            <w:r w:rsidRPr="007427EF">
              <w:rPr>
                <w:rFonts w:ascii="Arial Narrow" w:hAnsi="Arial Narrow"/>
                <w:color w:val="000000" w:themeColor="text1"/>
                <w:sz w:val="20"/>
                <w:szCs w:val="20"/>
              </w:rPr>
              <w:t xml:space="preserve"> could not be determined from the available evidence (para 6.6, mogamulizumab PSD, November 2020 PBAC Meeting).</w:t>
            </w:r>
          </w:p>
        </w:tc>
        <w:tc>
          <w:tcPr>
            <w:tcW w:w="1626" w:type="pct"/>
          </w:tcPr>
          <w:p w14:paraId="33DE4ACD" w14:textId="04CA4C80" w:rsidR="00021444" w:rsidRPr="007427EF" w:rsidDel="00111AD4" w:rsidRDefault="00021444" w:rsidP="6A98AE7B">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additional evidence presented by the resubmission did not adequately support the claim of superior effectiveness of mogamulizumab versus </w:t>
            </w:r>
            <w:proofErr w:type="spellStart"/>
            <w:r w:rsidRPr="007427EF">
              <w:rPr>
                <w:rFonts w:ascii="Arial Narrow" w:hAnsi="Arial Narrow"/>
                <w:color w:val="000000" w:themeColor="text1"/>
                <w:sz w:val="20"/>
                <w:szCs w:val="20"/>
              </w:rPr>
              <w:t>vorinostat</w:t>
            </w:r>
            <w:proofErr w:type="spellEnd"/>
            <w:r w:rsidRPr="007427EF">
              <w:rPr>
                <w:rFonts w:ascii="Arial Narrow" w:hAnsi="Arial Narrow"/>
                <w:color w:val="000000" w:themeColor="text1"/>
                <w:sz w:val="20"/>
                <w:szCs w:val="20"/>
              </w:rPr>
              <w:t xml:space="preserve">. </w:t>
            </w:r>
          </w:p>
        </w:tc>
      </w:tr>
      <w:tr w:rsidR="00021444" w:rsidRPr="007427EF" w14:paraId="219136BA" w14:textId="77777777" w:rsidTr="00D11237">
        <w:trPr>
          <w:cantSplit/>
        </w:trPr>
        <w:tc>
          <w:tcPr>
            <w:tcW w:w="1284" w:type="pct"/>
          </w:tcPr>
          <w:p w14:paraId="7BB7CA45" w14:textId="692EC2D9" w:rsidR="00021444" w:rsidRPr="007427EF" w:rsidDel="00111AD4" w:rsidRDefault="00021444" w:rsidP="00021444">
            <w:pPr>
              <w:jc w:val="left"/>
              <w:rPr>
                <w:rFonts w:ascii="Arial Narrow" w:hAnsi="Arial Narrow"/>
                <w:sz w:val="20"/>
                <w:szCs w:val="20"/>
              </w:rPr>
            </w:pPr>
            <w:r w:rsidRPr="007427EF">
              <w:rPr>
                <w:rFonts w:ascii="Arial Narrow" w:hAnsi="Arial Narrow"/>
                <w:sz w:val="20"/>
                <w:szCs w:val="20"/>
              </w:rPr>
              <w:t xml:space="preserve">Quality of life </w:t>
            </w:r>
          </w:p>
        </w:tc>
        <w:tc>
          <w:tcPr>
            <w:tcW w:w="2090" w:type="pct"/>
          </w:tcPr>
          <w:p w14:paraId="54D7A796" w14:textId="11F2F43A" w:rsidR="00021444" w:rsidRPr="007427EF" w:rsidDel="00111AD4"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The ESC noted that the utility values from MAVORIC were estimated based on the UK tariffs rather than the Australian specific tariffs (para 6.62, mogamulizumab PSD, July 2020 PBAC Meeting). </w:t>
            </w:r>
          </w:p>
        </w:tc>
        <w:tc>
          <w:tcPr>
            <w:tcW w:w="1626" w:type="pct"/>
          </w:tcPr>
          <w:p w14:paraId="7044FC55" w14:textId="21647AEB" w:rsidR="00021444" w:rsidRPr="007427EF" w:rsidDel="00111AD4" w:rsidRDefault="00021444" w:rsidP="00021444">
            <w:pPr>
              <w:jc w:val="left"/>
              <w:rPr>
                <w:rFonts w:ascii="Arial Narrow" w:hAnsi="Arial Narrow"/>
                <w:snapToGrid w:val="0"/>
                <w:sz w:val="20"/>
                <w:szCs w:val="20"/>
              </w:rPr>
            </w:pPr>
            <w:r w:rsidRPr="007427EF">
              <w:rPr>
                <w:rFonts w:ascii="Arial Narrow" w:hAnsi="Arial Narrow"/>
                <w:color w:val="000000" w:themeColor="text1"/>
                <w:sz w:val="20"/>
                <w:szCs w:val="20"/>
              </w:rPr>
              <w:t xml:space="preserve">Unchanged. </w:t>
            </w:r>
          </w:p>
        </w:tc>
      </w:tr>
      <w:tr w:rsidR="00021444" w:rsidRPr="007427EF" w14:paraId="7BE7DCD8" w14:textId="77777777" w:rsidTr="00D11237">
        <w:trPr>
          <w:cantSplit/>
        </w:trPr>
        <w:tc>
          <w:tcPr>
            <w:tcW w:w="1284" w:type="pct"/>
            <w:vAlign w:val="center"/>
          </w:tcPr>
          <w:p w14:paraId="7A855F40" w14:textId="00445009" w:rsidR="00021444" w:rsidRPr="007427EF" w:rsidDel="00111AD4" w:rsidRDefault="00021444" w:rsidP="00021444">
            <w:pPr>
              <w:jc w:val="left"/>
              <w:rPr>
                <w:rFonts w:ascii="Arial Narrow" w:hAnsi="Arial Narrow"/>
                <w:sz w:val="20"/>
                <w:szCs w:val="20"/>
              </w:rPr>
            </w:pPr>
            <w:r w:rsidRPr="007427EF">
              <w:rPr>
                <w:rFonts w:ascii="Arial Narrow" w:hAnsi="Arial Narrow"/>
                <w:color w:val="000000" w:themeColor="text1"/>
                <w:sz w:val="20"/>
                <w:szCs w:val="20"/>
              </w:rPr>
              <w:t>Requested effective AEMP for one vial</w:t>
            </w:r>
          </w:p>
        </w:tc>
        <w:tc>
          <w:tcPr>
            <w:tcW w:w="2090" w:type="pct"/>
            <w:vAlign w:val="center"/>
          </w:tcPr>
          <w:p w14:paraId="69A40D6A" w14:textId="0C81F721" w:rsidR="00021444" w:rsidRPr="007427EF" w:rsidDel="00111AD4" w:rsidRDefault="00021444" w:rsidP="00021444">
            <w:pPr>
              <w:jc w:val="left"/>
              <w:rPr>
                <w:rFonts w:ascii="Arial Narrow" w:hAnsi="Arial Narrow"/>
                <w:snapToGrid w:val="0"/>
                <w:sz w:val="20"/>
                <w:szCs w:val="20"/>
              </w:rPr>
            </w:pPr>
            <w:r w:rsidRPr="007427EF">
              <w:rPr>
                <w:rFonts w:ascii="Arial Narrow" w:hAnsi="Arial Narrow"/>
                <w:snapToGrid w:val="0"/>
                <w:sz w:val="20"/>
                <w:szCs w:val="20"/>
              </w:rPr>
              <w:t>$</w:t>
            </w:r>
            <w:r w:rsidR="00A80A9D">
              <w:rPr>
                <w:rFonts w:ascii="Arial Narrow" w:hAnsi="Arial Narrow"/>
                <w:snapToGrid w:val="0"/>
                <w:color w:val="000000"/>
                <w:spacing w:val="52"/>
                <w:sz w:val="20"/>
                <w:szCs w:val="20"/>
                <w:shd w:val="solid" w:color="000000" w:fill="000000"/>
                <w:fitText w:val="330" w:id="-694963968"/>
                <w14:textFill>
                  <w14:solidFill>
                    <w14:srgbClr w14:val="000000">
                      <w14:alpha w14:val="100000"/>
                    </w14:srgbClr>
                  </w14:solidFill>
                </w14:textFill>
              </w:rPr>
              <w:t>|||</w:t>
            </w:r>
            <w:r w:rsidR="00A80A9D">
              <w:rPr>
                <w:rFonts w:ascii="Arial Narrow" w:hAnsi="Arial Narrow"/>
                <w:snapToGrid w:val="0"/>
                <w:color w:val="000000"/>
                <w:spacing w:val="2"/>
                <w:sz w:val="20"/>
                <w:szCs w:val="20"/>
                <w:shd w:val="solid" w:color="000000" w:fill="000000"/>
                <w:fitText w:val="330" w:id="-694963968"/>
                <w14:textFill>
                  <w14:solidFill>
                    <w14:srgbClr w14:val="000000">
                      <w14:alpha w14:val="100000"/>
                    </w14:srgbClr>
                  </w14:solidFill>
                </w14:textFill>
              </w:rPr>
              <w:t>|</w:t>
            </w:r>
            <w:r w:rsidRPr="007427EF">
              <w:rPr>
                <w:rFonts w:ascii="Arial Narrow" w:hAnsi="Arial Narrow"/>
                <w:snapToGrid w:val="0"/>
                <w:sz w:val="20"/>
                <w:szCs w:val="20"/>
              </w:rPr>
              <w:t xml:space="preserve"> in July 2020 and $</w:t>
            </w:r>
            <w:r w:rsidR="00A80A9D">
              <w:rPr>
                <w:rFonts w:ascii="Arial Narrow" w:hAnsi="Arial Narrow"/>
                <w:snapToGrid w:val="0"/>
                <w:color w:val="000000"/>
                <w:spacing w:val="52"/>
                <w:sz w:val="20"/>
                <w:szCs w:val="20"/>
                <w:shd w:val="solid" w:color="000000" w:fill="000000"/>
                <w:fitText w:val="330" w:id="-694963967"/>
                <w14:textFill>
                  <w14:solidFill>
                    <w14:srgbClr w14:val="000000">
                      <w14:alpha w14:val="100000"/>
                    </w14:srgbClr>
                  </w14:solidFill>
                </w14:textFill>
              </w:rPr>
              <w:t>|||</w:t>
            </w:r>
            <w:r w:rsidR="00A80A9D">
              <w:rPr>
                <w:rFonts w:ascii="Arial Narrow" w:hAnsi="Arial Narrow"/>
                <w:snapToGrid w:val="0"/>
                <w:color w:val="000000"/>
                <w:spacing w:val="2"/>
                <w:sz w:val="20"/>
                <w:szCs w:val="20"/>
                <w:shd w:val="solid" w:color="000000" w:fill="000000"/>
                <w:fitText w:val="330" w:id="-694963967"/>
                <w14:textFill>
                  <w14:solidFill>
                    <w14:srgbClr w14:val="000000">
                      <w14:alpha w14:val="100000"/>
                    </w14:srgbClr>
                  </w14:solidFill>
                </w14:textFill>
              </w:rPr>
              <w:t>|</w:t>
            </w:r>
            <w:r w:rsidRPr="007427EF">
              <w:rPr>
                <w:rFonts w:ascii="Arial Narrow" w:hAnsi="Arial Narrow"/>
                <w:snapToGrid w:val="0"/>
                <w:sz w:val="20"/>
                <w:szCs w:val="20"/>
              </w:rPr>
              <w:t xml:space="preserve"> in November 2020.</w:t>
            </w:r>
          </w:p>
        </w:tc>
        <w:tc>
          <w:tcPr>
            <w:tcW w:w="1626" w:type="pct"/>
          </w:tcPr>
          <w:p w14:paraId="55A37C64" w14:textId="3CCF5BDF" w:rsidR="00021444" w:rsidRPr="007427EF" w:rsidDel="00111AD4" w:rsidRDefault="002D1518" w:rsidP="00021444">
            <w:pPr>
              <w:jc w:val="left"/>
              <w:rPr>
                <w:rFonts w:ascii="Arial Narrow" w:hAnsi="Arial Narrow"/>
                <w:snapToGrid w:val="0"/>
                <w:sz w:val="20"/>
                <w:szCs w:val="20"/>
              </w:rPr>
            </w:pPr>
            <w:r w:rsidRPr="007427EF">
              <w:rPr>
                <w:rFonts w:ascii="Arial Narrow" w:hAnsi="Arial Narrow"/>
                <w:color w:val="000000" w:themeColor="text1"/>
                <w:sz w:val="20"/>
                <w:szCs w:val="20"/>
              </w:rPr>
              <w:t>$</w:t>
            </w:r>
            <w:r w:rsidR="00A80A9D">
              <w:rPr>
                <w:rFonts w:ascii="Arial Narrow" w:hAnsi="Arial Narrow"/>
                <w:color w:val="000000" w:themeColor="text1"/>
                <w:spacing w:val="52"/>
                <w:sz w:val="20"/>
                <w:szCs w:val="20"/>
                <w:shd w:val="solid" w:color="000000" w:fill="000000"/>
                <w:fitText w:val="330" w:id="-694963966"/>
                <w14:textFill>
                  <w14:solidFill>
                    <w14:schemeClr w14:val="tx1">
                      <w14:alpha w14:val="100000"/>
                    </w14:schemeClr>
                  </w14:solidFill>
                </w14:textFill>
              </w:rPr>
              <w:t>|||</w:t>
            </w:r>
            <w:r w:rsidR="00A80A9D">
              <w:rPr>
                <w:rFonts w:ascii="Arial Narrow" w:hAnsi="Arial Narrow"/>
                <w:color w:val="000000" w:themeColor="text1"/>
                <w:spacing w:val="2"/>
                <w:sz w:val="20"/>
                <w:szCs w:val="20"/>
                <w:shd w:val="solid" w:color="000000" w:fill="000000"/>
                <w:fitText w:val="330" w:id="-694963966"/>
                <w14:textFill>
                  <w14:solidFill>
                    <w14:schemeClr w14:val="tx1">
                      <w14:alpha w14:val="100000"/>
                    </w14:schemeClr>
                  </w14:solidFill>
                </w14:textFill>
              </w:rPr>
              <w:t>|</w:t>
            </w:r>
            <w:r w:rsidR="00061508">
              <w:rPr>
                <w:rFonts w:ascii="Arial Narrow" w:hAnsi="Arial Narrow"/>
                <w:color w:val="000000" w:themeColor="text1"/>
                <w:sz w:val="20"/>
                <w:szCs w:val="20"/>
              </w:rPr>
              <w:t>.</w:t>
            </w:r>
            <w:r w:rsidR="00021444" w:rsidRPr="007427EF">
              <w:rPr>
                <w:rFonts w:ascii="Arial Narrow" w:hAnsi="Arial Narrow"/>
                <w:color w:val="000000" w:themeColor="text1"/>
                <w:sz w:val="20"/>
                <w:szCs w:val="20"/>
              </w:rPr>
              <w:t xml:space="preserve">  </w:t>
            </w:r>
          </w:p>
        </w:tc>
      </w:tr>
      <w:tr w:rsidR="00021444" w:rsidRPr="007427EF" w14:paraId="0F2DEF80" w14:textId="77777777" w:rsidTr="00D11237">
        <w:trPr>
          <w:cantSplit/>
        </w:trPr>
        <w:tc>
          <w:tcPr>
            <w:tcW w:w="1284" w:type="pct"/>
          </w:tcPr>
          <w:p w14:paraId="0910467B" w14:textId="4784F86E" w:rsidR="00021444" w:rsidRPr="007427EF" w:rsidDel="00111AD4" w:rsidRDefault="00021444" w:rsidP="00021444">
            <w:pPr>
              <w:jc w:val="left"/>
              <w:rPr>
                <w:rFonts w:ascii="Arial Narrow" w:hAnsi="Arial Narrow"/>
                <w:sz w:val="20"/>
                <w:szCs w:val="20"/>
              </w:rPr>
            </w:pPr>
            <w:r w:rsidRPr="007427EF">
              <w:rPr>
                <w:rFonts w:ascii="Arial Narrow" w:hAnsi="Arial Narrow"/>
                <w:sz w:val="20"/>
                <w:szCs w:val="20"/>
              </w:rPr>
              <w:t xml:space="preserve">ICER </w:t>
            </w:r>
          </w:p>
        </w:tc>
        <w:tc>
          <w:tcPr>
            <w:tcW w:w="2090" w:type="pct"/>
          </w:tcPr>
          <w:p w14:paraId="2A631DF9" w14:textId="704E6223" w:rsidR="00021444" w:rsidRPr="007427EF" w:rsidRDefault="00021444" w:rsidP="00021444">
            <w:pPr>
              <w:pStyle w:val="Table"/>
              <w:jc w:val="both"/>
              <w:rPr>
                <w:rFonts w:ascii="Arial Narrow" w:hAnsi="Arial Narrow"/>
                <w:color w:val="000000" w:themeColor="text1"/>
                <w:szCs w:val="20"/>
              </w:rPr>
            </w:pPr>
            <w:r w:rsidRPr="007427EF">
              <w:rPr>
                <w:rFonts w:ascii="Arial Narrow" w:hAnsi="Arial Narrow"/>
                <w:color w:val="000000" w:themeColor="text1"/>
                <w:szCs w:val="20"/>
              </w:rPr>
              <w:t>$</w:t>
            </w:r>
            <w:r w:rsidR="00A80A9D" w:rsidRPr="00A80A9D">
              <w:rPr>
                <w:rFonts w:ascii="Arial Narrow" w:hAnsi="Arial Narrow"/>
                <w:color w:val="000000" w:themeColor="text1"/>
                <w:spacing w:val="9"/>
                <w:szCs w:val="20"/>
                <w:shd w:val="solid" w:color="000000" w:fill="000000"/>
                <w:fitText w:val="310" w:id="-694963965"/>
                <w14:textFill>
                  <w14:solidFill>
                    <w14:schemeClr w14:val="tx1">
                      <w14:alpha w14:val="100000"/>
                    </w14:schemeClr>
                  </w14:solidFill>
                </w14:textFill>
              </w:rPr>
              <w:t>|</w:t>
            </w:r>
            <w:proofErr w:type="gramStart"/>
            <w:r w:rsidR="00A80A9D" w:rsidRPr="00A80A9D">
              <w:rPr>
                <w:rFonts w:ascii="Arial Narrow" w:hAnsi="Arial Narrow"/>
                <w:color w:val="000000" w:themeColor="text1"/>
                <w:spacing w:val="9"/>
                <w:szCs w:val="20"/>
                <w:shd w:val="solid" w:color="000000" w:fill="000000"/>
                <w:fitText w:val="310" w:id="-694963965"/>
                <w14:textFill>
                  <w14:solidFill>
                    <w14:schemeClr w14:val="tx1">
                      <w14:alpha w14:val="100000"/>
                    </w14:schemeClr>
                  </w14:solidFill>
                </w14:textFill>
              </w:rPr>
              <w:t>|  |</w:t>
            </w:r>
            <w:proofErr w:type="gramEnd"/>
            <w:r w:rsidR="00A80A9D" w:rsidRPr="00A80A9D">
              <w:rPr>
                <w:rFonts w:ascii="Arial Narrow" w:hAnsi="Arial Narrow"/>
                <w:color w:val="000000" w:themeColor="text1"/>
                <w:spacing w:val="4"/>
                <w:szCs w:val="20"/>
                <w:shd w:val="solid" w:color="000000" w:fill="000000"/>
                <w:fitText w:val="310" w:id="-694963965"/>
                <w14:textFill>
                  <w14:solidFill>
                    <w14:schemeClr w14:val="tx1">
                      <w14:alpha w14:val="100000"/>
                    </w14:schemeClr>
                  </w14:solidFill>
                </w14:textFill>
              </w:rPr>
              <w:t>|</w:t>
            </w:r>
            <w:r w:rsidR="007279D9" w:rsidRPr="007279D9">
              <w:rPr>
                <w:rFonts w:ascii="Arial Narrow" w:hAnsi="Arial Narrow"/>
                <w:color w:val="000000" w:themeColor="text1"/>
                <w:szCs w:val="20"/>
                <w:vertAlign w:val="superscript"/>
              </w:rPr>
              <w:t>1</w:t>
            </w:r>
            <w:r w:rsidRPr="007427EF">
              <w:rPr>
                <w:rFonts w:ascii="Arial Narrow" w:hAnsi="Arial Narrow"/>
                <w:color w:val="000000" w:themeColor="text1"/>
                <w:szCs w:val="20"/>
              </w:rPr>
              <w:t xml:space="preserve">/QALY in July 2020 submission. The PBAC considered the ICER unacceptably high and uncertain (para 7.10, mogamulizumab PSD, July 2020 PBAC Meeting). </w:t>
            </w:r>
          </w:p>
          <w:p w14:paraId="506C8179" w14:textId="74C37179" w:rsidR="00021444" w:rsidRPr="007427EF" w:rsidDel="00111AD4" w:rsidRDefault="00021444" w:rsidP="00021444">
            <w:pPr>
              <w:pStyle w:val="Table"/>
              <w:rPr>
                <w:rFonts w:ascii="Arial Narrow" w:hAnsi="Arial Narrow"/>
                <w:color w:val="000000" w:themeColor="text1"/>
                <w:szCs w:val="20"/>
              </w:rPr>
            </w:pPr>
            <w:r w:rsidRPr="007427EF">
              <w:rPr>
                <w:rFonts w:ascii="Arial Narrow" w:hAnsi="Arial Narrow"/>
                <w:color w:val="000000" w:themeColor="text1"/>
                <w:szCs w:val="20"/>
              </w:rPr>
              <w:t>$</w:t>
            </w:r>
            <w:r w:rsidR="00A80A9D">
              <w:rPr>
                <w:rFonts w:ascii="Arial Narrow" w:hAnsi="Arial Narrow"/>
                <w:color w:val="000000" w:themeColor="text1"/>
                <w:spacing w:val="52"/>
                <w:szCs w:val="20"/>
                <w:shd w:val="solid" w:color="000000" w:fill="000000"/>
                <w:fitText w:val="330" w:id="-694963964"/>
                <w14:textFill>
                  <w14:solidFill>
                    <w14:schemeClr w14:val="tx1">
                      <w14:alpha w14:val="100000"/>
                    </w14:schemeClr>
                  </w14:solidFill>
                </w14:textFill>
              </w:rPr>
              <w:t>|||</w:t>
            </w:r>
            <w:r w:rsidR="00A80A9D">
              <w:rPr>
                <w:rFonts w:ascii="Arial Narrow" w:hAnsi="Arial Narrow"/>
                <w:color w:val="000000" w:themeColor="text1"/>
                <w:spacing w:val="2"/>
                <w:szCs w:val="20"/>
                <w:shd w:val="solid" w:color="000000" w:fill="000000"/>
                <w:fitText w:val="330" w:id="-694963964"/>
                <w14:textFill>
                  <w14:solidFill>
                    <w14:schemeClr w14:val="tx1">
                      <w14:alpha w14:val="100000"/>
                    </w14:schemeClr>
                  </w14:solidFill>
                </w14:textFill>
              </w:rPr>
              <w:t>|</w:t>
            </w:r>
            <w:r w:rsidR="00247C79" w:rsidRPr="00247C79">
              <w:rPr>
                <w:rFonts w:ascii="Arial Narrow" w:hAnsi="Arial Narrow"/>
                <w:color w:val="000000" w:themeColor="text1"/>
                <w:szCs w:val="20"/>
                <w:vertAlign w:val="superscript"/>
              </w:rPr>
              <w:t>2</w:t>
            </w:r>
            <w:r w:rsidRPr="007427EF">
              <w:rPr>
                <w:rFonts w:ascii="Arial Narrow" w:hAnsi="Arial Narrow"/>
                <w:color w:val="000000" w:themeColor="text1"/>
                <w:szCs w:val="20"/>
              </w:rPr>
              <w:t>/responder in November 2020 submission</w:t>
            </w:r>
            <w:r w:rsidR="001844F6" w:rsidRPr="007427EF">
              <w:rPr>
                <w:rFonts w:ascii="Arial Narrow" w:hAnsi="Arial Narrow"/>
                <w:color w:val="000000" w:themeColor="text1"/>
                <w:szCs w:val="20"/>
              </w:rPr>
              <w:t xml:space="preserve"> (corrected to $</w:t>
            </w:r>
            <w:r w:rsidR="00A80A9D">
              <w:rPr>
                <w:rFonts w:ascii="Arial Narrow" w:hAnsi="Arial Narrow"/>
                <w:color w:val="000000" w:themeColor="text1"/>
                <w:spacing w:val="52"/>
                <w:szCs w:val="20"/>
                <w:shd w:val="solid" w:color="000000" w:fill="000000"/>
                <w:fitText w:val="330" w:id="-694963963"/>
                <w14:textFill>
                  <w14:solidFill>
                    <w14:schemeClr w14:val="tx1">
                      <w14:alpha w14:val="100000"/>
                    </w14:schemeClr>
                  </w14:solidFill>
                </w14:textFill>
              </w:rPr>
              <w:t>|||</w:t>
            </w:r>
            <w:r w:rsidR="00A80A9D">
              <w:rPr>
                <w:rFonts w:ascii="Arial Narrow" w:hAnsi="Arial Narrow"/>
                <w:color w:val="000000" w:themeColor="text1"/>
                <w:spacing w:val="2"/>
                <w:szCs w:val="20"/>
                <w:shd w:val="solid" w:color="000000" w:fill="000000"/>
                <w:fitText w:val="330" w:id="-694963963"/>
                <w14:textFill>
                  <w14:solidFill>
                    <w14:schemeClr w14:val="tx1">
                      <w14:alpha w14:val="100000"/>
                    </w14:schemeClr>
                  </w14:solidFill>
                </w14:textFill>
              </w:rPr>
              <w:t>|</w:t>
            </w:r>
            <w:r w:rsidR="00321B16" w:rsidRPr="004C0618">
              <w:rPr>
                <w:rFonts w:ascii="Arial Narrow" w:hAnsi="Arial Narrow"/>
                <w:color w:val="000000" w:themeColor="text1"/>
                <w:szCs w:val="20"/>
                <w:vertAlign w:val="superscript"/>
              </w:rPr>
              <w:t>3</w:t>
            </w:r>
            <w:r w:rsidR="001844F6" w:rsidRPr="007427EF">
              <w:rPr>
                <w:rFonts w:ascii="Arial Narrow" w:hAnsi="Arial Narrow"/>
                <w:color w:val="000000" w:themeColor="text1"/>
                <w:szCs w:val="20"/>
              </w:rPr>
              <w:t xml:space="preserve"> during the evaluation) </w:t>
            </w:r>
            <w:r w:rsidR="00C82BA9" w:rsidRPr="007427EF">
              <w:rPr>
                <w:rFonts w:ascii="Arial Narrow" w:hAnsi="Arial Narrow"/>
                <w:color w:val="000000" w:themeColor="text1"/>
                <w:szCs w:val="20"/>
              </w:rPr>
              <w:t>- t</w:t>
            </w:r>
            <w:r w:rsidRPr="007427EF">
              <w:rPr>
                <w:rFonts w:ascii="Arial Narrow" w:hAnsi="Arial Narrow"/>
                <w:color w:val="000000" w:themeColor="text1"/>
                <w:szCs w:val="20"/>
              </w:rPr>
              <w:t xml:space="preserve">he PBAC considered the ICER was unacceptably high (para 6.8, mogamulizumab PSD, November 2020 PBAC Meeting)  </w:t>
            </w:r>
          </w:p>
        </w:tc>
        <w:tc>
          <w:tcPr>
            <w:tcW w:w="1626" w:type="pct"/>
          </w:tcPr>
          <w:p w14:paraId="6DAFDFE9" w14:textId="451E0A93" w:rsidR="00021444" w:rsidRPr="007427EF" w:rsidDel="00111AD4" w:rsidRDefault="00021444" w:rsidP="6A98AE7B">
            <w:pPr>
              <w:jc w:val="left"/>
              <w:rPr>
                <w:rFonts w:ascii="Arial Narrow" w:hAnsi="Arial Narrow"/>
                <w:snapToGrid w:val="0"/>
                <w:sz w:val="20"/>
                <w:szCs w:val="20"/>
              </w:rPr>
            </w:pPr>
            <w:r w:rsidRPr="007427EF">
              <w:rPr>
                <w:rFonts w:ascii="Arial Narrow" w:hAnsi="Arial Narrow"/>
                <w:color w:val="000000" w:themeColor="text1"/>
                <w:sz w:val="20"/>
                <w:szCs w:val="20"/>
              </w:rPr>
              <w:t>The ICER ($</w:t>
            </w:r>
            <w:r w:rsidR="00A80A9D">
              <w:rPr>
                <w:rFonts w:ascii="Arial Narrow" w:hAnsi="Arial Narrow"/>
                <w:color w:val="000000" w:themeColor="text1"/>
                <w:spacing w:val="52"/>
                <w:sz w:val="20"/>
                <w:szCs w:val="20"/>
                <w:shd w:val="solid" w:color="000000" w:fill="000000"/>
                <w:fitText w:val="330" w:id="-694963962"/>
                <w14:textFill>
                  <w14:solidFill>
                    <w14:schemeClr w14:val="tx1">
                      <w14:alpha w14:val="100000"/>
                    </w14:schemeClr>
                  </w14:solidFill>
                </w14:textFill>
              </w:rPr>
              <w:t>|||</w:t>
            </w:r>
            <w:r w:rsidR="00A80A9D">
              <w:rPr>
                <w:rFonts w:ascii="Arial Narrow" w:hAnsi="Arial Narrow"/>
                <w:color w:val="000000" w:themeColor="text1"/>
                <w:spacing w:val="2"/>
                <w:sz w:val="20"/>
                <w:szCs w:val="20"/>
                <w:shd w:val="solid" w:color="000000" w:fill="000000"/>
                <w:fitText w:val="330" w:id="-694963962"/>
                <w14:textFill>
                  <w14:solidFill>
                    <w14:schemeClr w14:val="tx1">
                      <w14:alpha w14:val="100000"/>
                    </w14:schemeClr>
                  </w14:solidFill>
                </w14:textFill>
              </w:rPr>
              <w:t>|</w:t>
            </w:r>
            <w:r w:rsidR="00247C79" w:rsidRPr="00247C79">
              <w:rPr>
                <w:rFonts w:ascii="Arial Narrow" w:hAnsi="Arial Narrow"/>
                <w:color w:val="000000" w:themeColor="text1"/>
                <w:sz w:val="20"/>
                <w:szCs w:val="20"/>
                <w:vertAlign w:val="superscript"/>
              </w:rPr>
              <w:t>1</w:t>
            </w:r>
            <w:r w:rsidR="00F12F0F" w:rsidRPr="007427EF">
              <w:rPr>
                <w:rFonts w:ascii="Arial Narrow" w:hAnsi="Arial Narrow"/>
                <w:color w:val="000000" w:themeColor="text1"/>
                <w:sz w:val="20"/>
                <w:szCs w:val="20"/>
              </w:rPr>
              <w:t>/QALY</w:t>
            </w:r>
            <w:r w:rsidRPr="007427EF">
              <w:rPr>
                <w:rFonts w:ascii="Arial Narrow" w:hAnsi="Arial Narrow"/>
                <w:color w:val="000000" w:themeColor="text1"/>
                <w:sz w:val="20"/>
                <w:szCs w:val="20"/>
              </w:rPr>
              <w:t>) was somewhat lower than that in the July 2020 submission</w:t>
            </w:r>
            <w:r w:rsidR="004E7626" w:rsidRPr="007427EF">
              <w:rPr>
                <w:rFonts w:ascii="Arial Narrow" w:hAnsi="Arial Narrow"/>
                <w:color w:val="000000" w:themeColor="text1"/>
                <w:sz w:val="20"/>
                <w:szCs w:val="20"/>
              </w:rPr>
              <w:t xml:space="preserve">. </w:t>
            </w:r>
            <w:r w:rsidR="004E7626" w:rsidRPr="00A559A5">
              <w:rPr>
                <w:rFonts w:ascii="Arial Narrow" w:hAnsi="Arial Narrow"/>
                <w:iCs/>
                <w:color w:val="000000" w:themeColor="text1"/>
                <w:sz w:val="20"/>
                <w:szCs w:val="20"/>
              </w:rPr>
              <w:t>T</w:t>
            </w:r>
            <w:r w:rsidRPr="00A559A5">
              <w:rPr>
                <w:rFonts w:ascii="Arial Narrow" w:hAnsi="Arial Narrow"/>
                <w:iCs/>
                <w:color w:val="000000" w:themeColor="text1"/>
                <w:sz w:val="20"/>
                <w:szCs w:val="20"/>
              </w:rPr>
              <w:t xml:space="preserve">he </w:t>
            </w:r>
            <w:r w:rsidR="009B52F3" w:rsidRPr="00A559A5">
              <w:rPr>
                <w:rFonts w:ascii="Arial Narrow" w:hAnsi="Arial Narrow"/>
                <w:iCs/>
                <w:color w:val="000000" w:themeColor="text1"/>
                <w:sz w:val="20"/>
                <w:szCs w:val="20"/>
              </w:rPr>
              <w:t xml:space="preserve">PSCR (p1) proposed a </w:t>
            </w:r>
            <w:r w:rsidR="00007FEC" w:rsidRPr="00A559A5">
              <w:rPr>
                <w:rFonts w:ascii="Arial Narrow" w:hAnsi="Arial Narrow"/>
                <w:iCs/>
                <w:color w:val="000000" w:themeColor="text1"/>
                <w:sz w:val="20"/>
                <w:szCs w:val="20"/>
              </w:rPr>
              <w:t>CMA</w:t>
            </w:r>
            <w:r w:rsidR="00007FEC" w:rsidRPr="007427EF">
              <w:rPr>
                <w:rFonts w:ascii="Arial Narrow" w:hAnsi="Arial Narrow"/>
                <w:color w:val="000000" w:themeColor="text1"/>
                <w:sz w:val="20"/>
                <w:szCs w:val="20"/>
              </w:rPr>
              <w:t xml:space="preserve">. </w:t>
            </w:r>
          </w:p>
        </w:tc>
      </w:tr>
    </w:tbl>
    <w:p w14:paraId="366F9196" w14:textId="77777777" w:rsidR="007279D9" w:rsidRDefault="00486823" w:rsidP="007279D9">
      <w:pPr>
        <w:pStyle w:val="FooterTableFigure"/>
      </w:pPr>
      <w:r w:rsidRPr="007427EF">
        <w:t xml:space="preserve">AEMP = approved ex-manufacturer price; </w:t>
      </w:r>
      <w:r w:rsidR="004B6DDA" w:rsidRPr="007427EF">
        <w:t>ANCLD = Australian National Cutaneous Lymphoma Database;</w:t>
      </w:r>
      <w:r w:rsidR="00EE3C7A" w:rsidRPr="007427EF">
        <w:t xml:space="preserve"> </w:t>
      </w:r>
      <w:r w:rsidR="00474534" w:rsidRPr="007427EF">
        <w:t>CMA = cost</w:t>
      </w:r>
      <w:r w:rsidR="00E31215" w:rsidRPr="007427EF">
        <w:t xml:space="preserve">-minimisation approach; </w:t>
      </w:r>
      <w:r w:rsidR="00FE3FB1" w:rsidRPr="007427EF">
        <w:t xml:space="preserve">CUA = cost-utility analysis; </w:t>
      </w:r>
      <w:r w:rsidR="008C5D89" w:rsidRPr="007427EF">
        <w:t xml:space="preserve">DUSC = Drug Utilisation Sub Committee; </w:t>
      </w:r>
      <w:r w:rsidR="007C778D" w:rsidRPr="007427EF">
        <w:t xml:space="preserve">ICER = incremental cost effectiveness ratio; </w:t>
      </w:r>
      <w:r w:rsidR="00225934" w:rsidRPr="007427EF">
        <w:t xml:space="preserve">MAIC = matching-adjusted indirect comparison; </w:t>
      </w:r>
      <w:proofErr w:type="spellStart"/>
      <w:r w:rsidR="00FC25A2" w:rsidRPr="007427EF">
        <w:t>mSWAT</w:t>
      </w:r>
      <w:proofErr w:type="spellEnd"/>
      <w:r w:rsidR="00EE3C7A" w:rsidRPr="007427EF">
        <w:t xml:space="preserve"> </w:t>
      </w:r>
      <w:r w:rsidR="00FC25A2" w:rsidRPr="007427EF">
        <w:t xml:space="preserve">= Modified </w:t>
      </w:r>
      <w:r w:rsidR="00487E4E" w:rsidRPr="007427EF">
        <w:t>Severity-Weighted Assessment Tool</w:t>
      </w:r>
      <w:r w:rsidR="00FC25A2" w:rsidRPr="007427EF">
        <w:t xml:space="preserve">; </w:t>
      </w:r>
      <w:r w:rsidR="00A77D1E" w:rsidRPr="007427EF">
        <w:t xml:space="preserve">PBAC = Pharmaceutical Benefits Advisory Committee; PFS = progression-free survival; </w:t>
      </w:r>
      <w:r w:rsidR="00FC25A2" w:rsidRPr="007427EF">
        <w:t>PSD = Public Summary Document</w:t>
      </w:r>
      <w:r w:rsidR="004B6DDA" w:rsidRPr="007427EF">
        <w:t xml:space="preserve">; </w:t>
      </w:r>
      <w:r w:rsidR="00404760" w:rsidRPr="007427EF">
        <w:t xml:space="preserve">ORR = overall response rate; </w:t>
      </w:r>
      <w:r w:rsidR="004B6DDA" w:rsidRPr="007427EF">
        <w:t>OS = overall survival</w:t>
      </w:r>
      <w:r w:rsidR="00404760" w:rsidRPr="007427EF">
        <w:t xml:space="preserve">; </w:t>
      </w:r>
      <w:r w:rsidR="002776CA" w:rsidRPr="007427EF">
        <w:t xml:space="preserve">QALY = quality-adjusted life years; </w:t>
      </w:r>
      <w:r w:rsidR="00404760" w:rsidRPr="007427EF">
        <w:t xml:space="preserve">QoL = quality of life. </w:t>
      </w:r>
    </w:p>
    <w:p w14:paraId="48880388" w14:textId="485CC757" w:rsidR="007279D9" w:rsidRPr="00245250" w:rsidRDefault="007279D9" w:rsidP="007279D9">
      <w:pPr>
        <w:pStyle w:val="FooterTableFigure"/>
        <w:rPr>
          <w:i/>
          <w:iCs/>
        </w:rPr>
      </w:pPr>
      <w:r w:rsidRPr="00245250">
        <w:rPr>
          <w:i/>
          <w:iCs/>
        </w:rPr>
        <w:t>The redacted values correspond to the following ranges</w:t>
      </w:r>
      <w:r w:rsidR="00857703">
        <w:rPr>
          <w:i/>
          <w:iCs/>
        </w:rPr>
        <w:t>:</w:t>
      </w:r>
    </w:p>
    <w:p w14:paraId="4FC6CF7E" w14:textId="77777777" w:rsidR="00321B16" w:rsidRPr="00245250" w:rsidRDefault="00247C79" w:rsidP="00321B16">
      <w:pPr>
        <w:pStyle w:val="FooterTableFigure"/>
        <w:rPr>
          <w:i/>
          <w:iCs/>
        </w:rPr>
      </w:pPr>
      <w:r w:rsidRPr="00245250">
        <w:rPr>
          <w:i/>
          <w:iCs/>
          <w:vertAlign w:val="superscript"/>
        </w:rPr>
        <w:t>1</w:t>
      </w:r>
      <w:r w:rsidR="007279D9" w:rsidRPr="00245250">
        <w:rPr>
          <w:i/>
          <w:iCs/>
        </w:rPr>
        <w:t xml:space="preserve"> $55,000 to &lt; $75,000</w:t>
      </w:r>
      <w:r w:rsidR="00321B16" w:rsidRPr="00245250">
        <w:rPr>
          <w:i/>
          <w:iCs/>
        </w:rPr>
        <w:t xml:space="preserve"> </w:t>
      </w:r>
    </w:p>
    <w:p w14:paraId="3EAD9DFD" w14:textId="58A98794" w:rsidR="00321B16" w:rsidRPr="00245250" w:rsidRDefault="00321B16" w:rsidP="00321B16">
      <w:pPr>
        <w:pStyle w:val="FooterTableFigure"/>
        <w:rPr>
          <w:i/>
          <w:iCs/>
        </w:rPr>
      </w:pPr>
      <w:r w:rsidRPr="00245250">
        <w:rPr>
          <w:i/>
          <w:iCs/>
          <w:vertAlign w:val="superscript"/>
        </w:rPr>
        <w:t>2</w:t>
      </w:r>
      <w:r w:rsidRPr="00245250">
        <w:rPr>
          <w:i/>
          <w:iCs/>
        </w:rPr>
        <w:t xml:space="preserve"> $155,000 to &lt; $255,000</w:t>
      </w:r>
    </w:p>
    <w:p w14:paraId="566302F2" w14:textId="2D98C27C" w:rsidR="00214F69" w:rsidRPr="00245250" w:rsidRDefault="00362ADF" w:rsidP="00321B16">
      <w:pPr>
        <w:pStyle w:val="FooterTableFigure"/>
        <w:rPr>
          <w:i/>
          <w:iCs/>
        </w:rPr>
      </w:pPr>
      <w:r w:rsidRPr="00245250">
        <w:rPr>
          <w:i/>
          <w:iCs/>
          <w:vertAlign w:val="superscript"/>
        </w:rPr>
        <w:t>3</w:t>
      </w:r>
      <w:r w:rsidRPr="00245250">
        <w:rPr>
          <w:i/>
          <w:iCs/>
        </w:rPr>
        <w:t xml:space="preserve"> </w:t>
      </w:r>
      <w:r w:rsidR="00321B16" w:rsidRPr="00245250">
        <w:rPr>
          <w:i/>
          <w:iCs/>
        </w:rPr>
        <w:t>$255,000 to &lt; $355,000</w:t>
      </w:r>
    </w:p>
    <w:p w14:paraId="3A955795" w14:textId="7C2AE991" w:rsidR="00214F69" w:rsidRPr="007F6940" w:rsidRDefault="00214F69" w:rsidP="007F6940">
      <w:pPr>
        <w:spacing w:after="120"/>
        <w:ind w:firstLine="709"/>
        <w:rPr>
          <w:rFonts w:asciiTheme="minorHAnsi" w:hAnsiTheme="minorHAnsi" w:cs="Times New Roman"/>
          <w:i/>
          <w:lang w:eastAsia="en-US"/>
        </w:rPr>
      </w:pPr>
      <w:bookmarkStart w:id="12" w:name="_Hlk76375324"/>
      <w:r w:rsidRPr="00214F69">
        <w:rPr>
          <w:rFonts w:asciiTheme="minorHAnsi" w:hAnsiTheme="minorHAnsi" w:cs="Times New Roman"/>
          <w:i/>
          <w:lang w:eastAsia="en-US"/>
        </w:rPr>
        <w:t>For more detail on PBAC’s view, see section 7 PBAC outcome.</w:t>
      </w:r>
      <w:bookmarkEnd w:id="12"/>
    </w:p>
    <w:p w14:paraId="7A6362C8" w14:textId="1FE4044A" w:rsidR="008569AA" w:rsidRPr="007427EF" w:rsidRDefault="00B50DB8" w:rsidP="001E452B">
      <w:pPr>
        <w:pStyle w:val="2-SectionHeading"/>
        <w:rPr>
          <w:color w:val="000000" w:themeColor="text1"/>
        </w:rPr>
      </w:pPr>
      <w:bookmarkStart w:id="13" w:name="_Toc107902078"/>
      <w:bookmarkStart w:id="14" w:name="_Toc188431840"/>
      <w:bookmarkEnd w:id="13"/>
      <w:r w:rsidRPr="007427EF">
        <w:rPr>
          <w:color w:val="000000" w:themeColor="text1"/>
        </w:rPr>
        <w:lastRenderedPageBreak/>
        <w:t>Requested listing</w:t>
      </w:r>
      <w:bookmarkEnd w:id="14"/>
    </w:p>
    <w:tbl>
      <w:tblPr>
        <w:tblStyle w:val="PlainTable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121"/>
        <w:gridCol w:w="3403"/>
        <w:gridCol w:w="1975"/>
        <w:gridCol w:w="1428"/>
      </w:tblGrid>
      <w:tr w:rsidR="00961224" w:rsidRPr="007427EF" w14:paraId="38622BDE"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188" w:type="pct"/>
            <w:tcBorders>
              <w:top w:val="none" w:sz="0" w:space="0" w:color="auto"/>
              <w:left w:val="none" w:sz="0" w:space="0" w:color="auto"/>
              <w:bottom w:val="none" w:sz="0" w:space="0" w:color="auto"/>
              <w:right w:val="none" w:sz="0" w:space="0" w:color="auto"/>
            </w:tcBorders>
          </w:tcPr>
          <w:p w14:paraId="10D19734" w14:textId="77777777" w:rsidR="00D62556" w:rsidRPr="007427EF" w:rsidRDefault="00D62556" w:rsidP="00880B7A">
            <w:pPr>
              <w:pStyle w:val="In-tableHeading"/>
              <w:rPr>
                <w:lang w:val="en-AU"/>
              </w:rPr>
            </w:pPr>
            <w:r w:rsidRPr="007427EF">
              <w:rPr>
                <w:lang w:val="en-AU"/>
              </w:rPr>
              <w:t>MEDICINAL PRODUCT</w:t>
            </w:r>
          </w:p>
          <w:p w14:paraId="53A26E92" w14:textId="77777777" w:rsidR="00D62556" w:rsidRPr="007427EF" w:rsidRDefault="00D62556" w:rsidP="00880B7A">
            <w:pPr>
              <w:pStyle w:val="In-tableHeading"/>
              <w:rPr>
                <w:lang w:val="en-AU"/>
              </w:rPr>
            </w:pPr>
            <w:r w:rsidRPr="007427EF">
              <w:rPr>
                <w:lang w:val="en-AU"/>
              </w:rPr>
              <w:t>Form</w:t>
            </w:r>
          </w:p>
        </w:tc>
        <w:tc>
          <w:tcPr>
            <w:cnfStyle w:val="000001000000" w:firstRow="0" w:lastRow="0" w:firstColumn="0" w:lastColumn="0" w:oddVBand="0" w:evenVBand="1" w:oddHBand="0" w:evenHBand="0" w:firstRowFirstColumn="0" w:firstRowLastColumn="0" w:lastRowFirstColumn="0" w:lastRowLastColumn="0"/>
            <w:tcW w:w="1906" w:type="pct"/>
            <w:tcBorders>
              <w:top w:val="none" w:sz="0" w:space="0" w:color="auto"/>
              <w:left w:val="none" w:sz="0" w:space="0" w:color="auto"/>
              <w:bottom w:val="none" w:sz="0" w:space="0" w:color="auto"/>
              <w:right w:val="none" w:sz="0" w:space="0" w:color="auto"/>
            </w:tcBorders>
          </w:tcPr>
          <w:p w14:paraId="1978B839" w14:textId="77777777" w:rsidR="00D62556" w:rsidRPr="007427EF" w:rsidRDefault="00D62556" w:rsidP="00880B7A">
            <w:pPr>
              <w:pStyle w:val="In-tableHeading"/>
              <w:jc w:val="center"/>
              <w:rPr>
                <w:lang w:val="en-AU"/>
              </w:rPr>
            </w:pPr>
            <w:r w:rsidRPr="007427EF">
              <w:rPr>
                <w:lang w:val="en-AU"/>
              </w:rPr>
              <w:t>Dispensed Price Max Amt</w:t>
            </w:r>
          </w:p>
        </w:tc>
        <w:tc>
          <w:tcPr>
            <w:cnfStyle w:val="000010000000" w:firstRow="0" w:lastRow="0" w:firstColumn="0" w:lastColumn="0" w:oddVBand="1" w:evenVBand="0" w:oddHBand="0" w:evenHBand="0" w:firstRowFirstColumn="0" w:firstRowLastColumn="0" w:lastRowFirstColumn="0" w:lastRowLastColumn="0"/>
            <w:tcW w:w="1106" w:type="pct"/>
            <w:tcBorders>
              <w:top w:val="none" w:sz="0" w:space="0" w:color="auto"/>
              <w:left w:val="none" w:sz="0" w:space="0" w:color="auto"/>
              <w:bottom w:val="none" w:sz="0" w:space="0" w:color="auto"/>
              <w:right w:val="none" w:sz="0" w:space="0" w:color="auto"/>
            </w:tcBorders>
          </w:tcPr>
          <w:p w14:paraId="47402CBC" w14:textId="77777777" w:rsidR="00D62556" w:rsidRPr="007427EF" w:rsidRDefault="00D62556" w:rsidP="00880B7A">
            <w:pPr>
              <w:pStyle w:val="In-tableHeading"/>
              <w:jc w:val="center"/>
              <w:rPr>
                <w:lang w:val="en-AU"/>
              </w:rPr>
            </w:pPr>
            <w:r w:rsidRPr="007427EF">
              <w:rPr>
                <w:lang w:val="en-AU"/>
              </w:rPr>
              <w:t>Max. Amount</w:t>
            </w:r>
          </w:p>
        </w:tc>
        <w:tc>
          <w:tcPr>
            <w:cnfStyle w:val="000001000000" w:firstRow="0" w:lastRow="0" w:firstColumn="0" w:lastColumn="0" w:oddVBand="0" w:evenVBand="1" w:oddHBand="0" w:evenHBand="0" w:firstRowFirstColumn="0" w:firstRowLastColumn="0" w:lastRowFirstColumn="0" w:lastRowLastColumn="0"/>
            <w:tcW w:w="801" w:type="pct"/>
            <w:tcBorders>
              <w:top w:val="none" w:sz="0" w:space="0" w:color="auto"/>
              <w:left w:val="none" w:sz="0" w:space="0" w:color="auto"/>
              <w:bottom w:val="none" w:sz="0" w:space="0" w:color="auto"/>
              <w:right w:val="none" w:sz="0" w:space="0" w:color="auto"/>
            </w:tcBorders>
          </w:tcPr>
          <w:p w14:paraId="040113D3" w14:textId="77777777" w:rsidR="00D62556" w:rsidRPr="007427EF" w:rsidRDefault="00D62556" w:rsidP="00880B7A">
            <w:pPr>
              <w:pStyle w:val="In-tableHeading"/>
              <w:jc w:val="center"/>
              <w:rPr>
                <w:lang w:val="en-AU"/>
              </w:rPr>
            </w:pPr>
            <w:proofErr w:type="gramStart"/>
            <w:r w:rsidRPr="007427EF">
              <w:rPr>
                <w:lang w:val="en-AU"/>
              </w:rPr>
              <w:t>№.of</w:t>
            </w:r>
            <w:proofErr w:type="gramEnd"/>
            <w:r w:rsidRPr="007427EF">
              <w:rPr>
                <w:lang w:val="en-AU"/>
              </w:rPr>
              <w:t xml:space="preserve"> </w:t>
            </w:r>
            <w:proofErr w:type="spellStart"/>
            <w:r w:rsidRPr="007427EF">
              <w:rPr>
                <w:lang w:val="en-AU"/>
              </w:rPr>
              <w:t>Rpts</w:t>
            </w:r>
            <w:proofErr w:type="spellEnd"/>
          </w:p>
        </w:tc>
      </w:tr>
    </w:tbl>
    <w:tbl>
      <w:tblPr>
        <w:tblStyle w:val="PlainTable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121"/>
        <w:gridCol w:w="3403"/>
        <w:gridCol w:w="1975"/>
        <w:gridCol w:w="1428"/>
      </w:tblGrid>
      <w:tr w:rsidR="00D62556" w:rsidRPr="007427EF" w14:paraId="25108E23"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tcPr>
          <w:p w14:paraId="2939AF8D" w14:textId="77777777" w:rsidR="00D62556" w:rsidRPr="007427EF" w:rsidRDefault="00D62556" w:rsidP="00736226">
            <w:pPr>
              <w:pStyle w:val="TableText0"/>
              <w:framePr w:wrap="around"/>
            </w:pPr>
            <w:r w:rsidRPr="007427EF">
              <w:t>Initial treatment</w:t>
            </w:r>
          </w:p>
        </w:tc>
      </w:tr>
      <w:tr w:rsidR="00961224" w:rsidRPr="007427EF" w14:paraId="37FA1868" w14:textId="77777777" w:rsidTr="00932A89">
        <w:trPr>
          <w:trHeight w:val="20"/>
        </w:trPr>
        <w:tc>
          <w:tcPr>
            <w:cnfStyle w:val="000010000000" w:firstRow="0" w:lastRow="0" w:firstColumn="0" w:lastColumn="0" w:oddVBand="1" w:evenVBand="0" w:oddHBand="0" w:evenHBand="0" w:firstRowFirstColumn="0" w:firstRowLastColumn="0" w:lastRowFirstColumn="0" w:lastRowLastColumn="0"/>
            <w:tcW w:w="1188" w:type="pct"/>
            <w:tcBorders>
              <w:left w:val="none" w:sz="0" w:space="0" w:color="auto"/>
              <w:right w:val="none" w:sz="0" w:space="0" w:color="auto"/>
            </w:tcBorders>
          </w:tcPr>
          <w:p w14:paraId="0729AD5C" w14:textId="77777777" w:rsidR="00D62556" w:rsidRPr="007427EF" w:rsidRDefault="00D62556" w:rsidP="00736226">
            <w:pPr>
              <w:pStyle w:val="TableText0"/>
              <w:framePr w:wrap="around"/>
            </w:pPr>
            <w:r w:rsidRPr="007427EF">
              <w:t>MOGAMULIZUMAB</w:t>
            </w:r>
          </w:p>
        </w:tc>
        <w:tc>
          <w:tcPr>
            <w:cnfStyle w:val="000001000000" w:firstRow="0" w:lastRow="0" w:firstColumn="0" w:lastColumn="0" w:oddVBand="0" w:evenVBand="1" w:oddHBand="0" w:evenHBand="0" w:firstRowFirstColumn="0" w:firstRowLastColumn="0" w:lastRowFirstColumn="0" w:lastRowLastColumn="0"/>
            <w:tcW w:w="1906" w:type="pct"/>
            <w:tcBorders>
              <w:left w:val="none" w:sz="0" w:space="0" w:color="auto"/>
              <w:right w:val="none" w:sz="0" w:space="0" w:color="auto"/>
            </w:tcBorders>
          </w:tcPr>
          <w:p w14:paraId="64EC5153" w14:textId="388993E3" w:rsidR="00D62556" w:rsidRPr="007427EF" w:rsidRDefault="00D62556" w:rsidP="00880B7A">
            <w:pPr>
              <w:pStyle w:val="Table"/>
              <w:rPr>
                <w:rStyle w:val="Small"/>
                <w:rFonts w:ascii="Arial Narrow" w:hAnsi="Arial Narrow" w:cs="Arial"/>
              </w:rPr>
            </w:pPr>
            <w:r w:rsidRPr="007427EF">
              <w:rPr>
                <w:rStyle w:val="Small"/>
                <w:rFonts w:ascii="Arial Narrow" w:hAnsi="Arial Narrow" w:cs="Arial"/>
              </w:rPr>
              <w:t>PUBLISHED</w:t>
            </w:r>
          </w:p>
          <w:p w14:paraId="58F8D21D" w14:textId="29D5B29A" w:rsidR="00D62556" w:rsidRPr="007427EF" w:rsidRDefault="70125E4F" w:rsidP="00880B7A">
            <w:pPr>
              <w:pStyle w:val="Table"/>
              <w:rPr>
                <w:rStyle w:val="Small"/>
                <w:rFonts w:ascii="Arial Narrow" w:hAnsi="Arial Narrow" w:cs="Arial"/>
              </w:rPr>
            </w:pPr>
            <w:r w:rsidRPr="007427EF">
              <w:rPr>
                <w:rStyle w:val="Small"/>
                <w:rFonts w:ascii="Arial Narrow" w:hAnsi="Arial Narrow" w:cs="Arial"/>
              </w:rPr>
              <w:t>$15,060.13 (Public hospital)</w:t>
            </w:r>
          </w:p>
          <w:p w14:paraId="5CA19121" w14:textId="1FDDAB05" w:rsidR="00D62556" w:rsidRPr="007427EF" w:rsidRDefault="00D62556" w:rsidP="00736226">
            <w:pPr>
              <w:pStyle w:val="TableText0"/>
              <w:framePr w:wrap="around"/>
              <w:rPr>
                <w:rStyle w:val="Small"/>
                <w:rFonts w:ascii="Arial Narrow" w:hAnsi="Arial Narrow"/>
              </w:rPr>
            </w:pPr>
            <w:r w:rsidRPr="007427EF">
              <w:rPr>
                <w:rStyle w:val="Small"/>
                <w:rFonts w:ascii="Arial Narrow" w:hAnsi="Arial Narrow"/>
              </w:rPr>
              <w:t>$15,314.38 (Private hospital)</w:t>
            </w:r>
          </w:p>
          <w:p w14:paraId="3D497CB9" w14:textId="77777777" w:rsidR="00D62556" w:rsidRPr="007427EF" w:rsidRDefault="00D62556" w:rsidP="00736226">
            <w:pPr>
              <w:pStyle w:val="TableText0"/>
              <w:framePr w:wrap="around"/>
            </w:pPr>
            <w:r w:rsidRPr="007427EF">
              <w:t>EFFECTIVE PRICE</w:t>
            </w:r>
          </w:p>
          <w:p w14:paraId="4742A7F6" w14:textId="0778DEF7" w:rsidR="00D62556" w:rsidRPr="007427EF" w:rsidRDefault="00D62556" w:rsidP="00736226">
            <w:pPr>
              <w:pStyle w:val="TableText0"/>
              <w:framePr w:wrap="around"/>
            </w:pPr>
            <w:r w:rsidRPr="007427EF">
              <w:t>$</w:t>
            </w:r>
            <w:r w:rsidR="00A80A9D">
              <w:rPr>
                <w:color w:val="000000"/>
                <w:spacing w:val="52"/>
                <w:shd w:val="solid" w:color="000000" w:fill="000000"/>
                <w:fitText w:val="330" w:id="-694963961"/>
                <w14:textFill>
                  <w14:solidFill>
                    <w14:srgbClr w14:val="000000">
                      <w14:alpha w14:val="100000"/>
                    </w14:srgbClr>
                  </w14:solidFill>
                </w14:textFill>
              </w:rPr>
              <w:t>|||</w:t>
            </w:r>
            <w:r w:rsidR="00A80A9D">
              <w:rPr>
                <w:color w:val="000000"/>
                <w:spacing w:val="2"/>
                <w:shd w:val="solid" w:color="000000" w:fill="000000"/>
                <w:fitText w:val="330" w:id="-694963961"/>
                <w14:textFill>
                  <w14:solidFill>
                    <w14:srgbClr w14:val="000000">
                      <w14:alpha w14:val="100000"/>
                    </w14:srgbClr>
                  </w14:solidFill>
                </w14:textFill>
              </w:rPr>
              <w:t>|</w:t>
            </w:r>
            <w:r w:rsidRPr="007427EF">
              <w:t xml:space="preserve"> (Public hospital)</w:t>
            </w:r>
          </w:p>
          <w:p w14:paraId="633271A4" w14:textId="2A9FDEEC" w:rsidR="00D62556" w:rsidRPr="007427EF" w:rsidRDefault="00D62556" w:rsidP="00736226">
            <w:pPr>
              <w:pStyle w:val="TableText0"/>
              <w:framePr w:wrap="around"/>
            </w:pPr>
            <w:r w:rsidRPr="007427EF">
              <w:t>$</w:t>
            </w:r>
            <w:r w:rsidR="00A80A9D">
              <w:rPr>
                <w:color w:val="000000"/>
                <w:spacing w:val="52"/>
                <w:shd w:val="solid" w:color="000000" w:fill="000000"/>
                <w:fitText w:val="330" w:id="-694963960"/>
                <w14:textFill>
                  <w14:solidFill>
                    <w14:srgbClr w14:val="000000">
                      <w14:alpha w14:val="100000"/>
                    </w14:srgbClr>
                  </w14:solidFill>
                </w14:textFill>
              </w:rPr>
              <w:t>|||</w:t>
            </w:r>
            <w:r w:rsidR="00A80A9D">
              <w:rPr>
                <w:color w:val="000000"/>
                <w:spacing w:val="2"/>
                <w:shd w:val="solid" w:color="000000" w:fill="000000"/>
                <w:fitText w:val="330" w:id="-694963960"/>
                <w14:textFill>
                  <w14:solidFill>
                    <w14:srgbClr w14:val="000000">
                      <w14:alpha w14:val="100000"/>
                    </w14:srgbClr>
                  </w14:solidFill>
                </w14:textFill>
              </w:rPr>
              <w:t>|</w:t>
            </w:r>
            <w:r w:rsidRPr="007427EF">
              <w:t xml:space="preserve"> (Private hospital)</w:t>
            </w:r>
          </w:p>
        </w:tc>
        <w:tc>
          <w:tcPr>
            <w:cnfStyle w:val="000010000000" w:firstRow="0" w:lastRow="0" w:firstColumn="0" w:lastColumn="0" w:oddVBand="1" w:evenVBand="0" w:oddHBand="0" w:evenHBand="0" w:firstRowFirstColumn="0" w:firstRowLastColumn="0" w:lastRowFirstColumn="0" w:lastRowLastColumn="0"/>
            <w:tcW w:w="1106" w:type="pct"/>
            <w:tcBorders>
              <w:left w:val="none" w:sz="0" w:space="0" w:color="auto"/>
              <w:right w:val="none" w:sz="0" w:space="0" w:color="auto"/>
            </w:tcBorders>
          </w:tcPr>
          <w:p w14:paraId="213E8249" w14:textId="77777777" w:rsidR="00D62556" w:rsidRPr="007427EF" w:rsidRDefault="00D62556" w:rsidP="00736226">
            <w:pPr>
              <w:pStyle w:val="TableText0"/>
              <w:framePr w:wrap="around"/>
            </w:pPr>
            <w:r w:rsidRPr="007427EF">
              <w:t>120 mg</w:t>
            </w:r>
          </w:p>
        </w:tc>
        <w:tc>
          <w:tcPr>
            <w:cnfStyle w:val="000001000000" w:firstRow="0" w:lastRow="0" w:firstColumn="0" w:lastColumn="0" w:oddVBand="0" w:evenVBand="1" w:oddHBand="0" w:evenHBand="0" w:firstRowFirstColumn="0" w:firstRowLastColumn="0" w:lastRowFirstColumn="0" w:lastRowLastColumn="0"/>
            <w:tcW w:w="800" w:type="pct"/>
            <w:tcBorders>
              <w:left w:val="none" w:sz="0" w:space="0" w:color="auto"/>
              <w:right w:val="none" w:sz="0" w:space="0" w:color="auto"/>
            </w:tcBorders>
          </w:tcPr>
          <w:p w14:paraId="7618FEF6" w14:textId="77777777" w:rsidR="00D62556" w:rsidRPr="007427EF" w:rsidRDefault="00D62556" w:rsidP="00736226">
            <w:pPr>
              <w:pStyle w:val="TableText0"/>
              <w:framePr w:wrap="around"/>
            </w:pPr>
            <w:r w:rsidRPr="007427EF">
              <w:t>7</w:t>
            </w:r>
          </w:p>
        </w:tc>
      </w:tr>
      <w:tr w:rsidR="00D62556" w:rsidRPr="007427EF" w14:paraId="2A75628A"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tcPr>
          <w:p w14:paraId="10871D22" w14:textId="77777777" w:rsidR="00D62556" w:rsidRPr="007427EF" w:rsidRDefault="00D62556" w:rsidP="00736226">
            <w:pPr>
              <w:pStyle w:val="TableText0"/>
              <w:framePr w:wrap="around"/>
            </w:pPr>
            <w:r w:rsidRPr="007427EF">
              <w:t>Continuing treatment</w:t>
            </w:r>
          </w:p>
        </w:tc>
      </w:tr>
      <w:tr w:rsidR="00961224" w:rsidRPr="007427EF" w14:paraId="15DCF1EB" w14:textId="77777777" w:rsidTr="00932A89">
        <w:trPr>
          <w:trHeight w:val="20"/>
        </w:trPr>
        <w:tc>
          <w:tcPr>
            <w:cnfStyle w:val="000010000000" w:firstRow="0" w:lastRow="0" w:firstColumn="0" w:lastColumn="0" w:oddVBand="1" w:evenVBand="0" w:oddHBand="0" w:evenHBand="0" w:firstRowFirstColumn="0" w:firstRowLastColumn="0" w:lastRowFirstColumn="0" w:lastRowLastColumn="0"/>
            <w:tcW w:w="1188" w:type="pct"/>
            <w:tcBorders>
              <w:left w:val="none" w:sz="0" w:space="0" w:color="auto"/>
              <w:right w:val="none" w:sz="0" w:space="0" w:color="auto"/>
            </w:tcBorders>
          </w:tcPr>
          <w:p w14:paraId="74522305" w14:textId="77777777" w:rsidR="00D62556" w:rsidRPr="007427EF" w:rsidRDefault="00D62556" w:rsidP="00736226">
            <w:pPr>
              <w:pStyle w:val="TableText0"/>
              <w:framePr w:wrap="around"/>
            </w:pPr>
            <w:r w:rsidRPr="007427EF">
              <w:t>MOGAMULIZUMAB</w:t>
            </w:r>
          </w:p>
        </w:tc>
        <w:tc>
          <w:tcPr>
            <w:cnfStyle w:val="000001000000" w:firstRow="0" w:lastRow="0" w:firstColumn="0" w:lastColumn="0" w:oddVBand="0" w:evenVBand="1" w:oddHBand="0" w:evenHBand="0" w:firstRowFirstColumn="0" w:firstRowLastColumn="0" w:lastRowFirstColumn="0" w:lastRowLastColumn="0"/>
            <w:tcW w:w="1906" w:type="pct"/>
            <w:tcBorders>
              <w:left w:val="none" w:sz="0" w:space="0" w:color="auto"/>
              <w:right w:val="none" w:sz="0" w:space="0" w:color="auto"/>
            </w:tcBorders>
          </w:tcPr>
          <w:p w14:paraId="0E165D52" w14:textId="10FB42FC" w:rsidR="00D62556" w:rsidRPr="007427EF" w:rsidRDefault="00D62556" w:rsidP="00880B7A">
            <w:pPr>
              <w:pStyle w:val="Table"/>
              <w:rPr>
                <w:rStyle w:val="Small"/>
                <w:rFonts w:ascii="Arial Narrow" w:hAnsi="Arial Narrow" w:cs="Arial"/>
              </w:rPr>
            </w:pPr>
            <w:r w:rsidRPr="007427EF">
              <w:rPr>
                <w:rStyle w:val="Small"/>
                <w:rFonts w:ascii="Arial Narrow" w:hAnsi="Arial Narrow" w:cs="Arial"/>
              </w:rPr>
              <w:t>PUBLISHED</w:t>
            </w:r>
          </w:p>
          <w:p w14:paraId="0B06D8DA" w14:textId="6983EC58" w:rsidR="00D62556" w:rsidRPr="007427EF" w:rsidRDefault="00D62556" w:rsidP="00880B7A">
            <w:pPr>
              <w:pStyle w:val="Table"/>
              <w:rPr>
                <w:rStyle w:val="Small"/>
                <w:rFonts w:ascii="Arial Narrow" w:hAnsi="Arial Narrow" w:cs="Arial"/>
              </w:rPr>
            </w:pPr>
            <w:r w:rsidRPr="007427EF">
              <w:rPr>
                <w:rStyle w:val="Small"/>
                <w:rFonts w:ascii="Arial Narrow" w:hAnsi="Arial Narrow" w:cs="Arial"/>
              </w:rPr>
              <w:t>$15,060.13 (Public hospital)</w:t>
            </w:r>
          </w:p>
          <w:p w14:paraId="20B9D04E" w14:textId="78C29BAE" w:rsidR="00D62556" w:rsidRPr="007427EF" w:rsidRDefault="00D62556" w:rsidP="00736226">
            <w:pPr>
              <w:pStyle w:val="TableText0"/>
              <w:framePr w:wrap="around"/>
              <w:rPr>
                <w:rStyle w:val="Small"/>
                <w:rFonts w:ascii="Arial Narrow" w:hAnsi="Arial Narrow"/>
              </w:rPr>
            </w:pPr>
            <w:r w:rsidRPr="007427EF">
              <w:rPr>
                <w:rStyle w:val="Small"/>
                <w:rFonts w:ascii="Arial Narrow" w:hAnsi="Arial Narrow"/>
              </w:rPr>
              <w:t>$15,314.38 (Private hospital)</w:t>
            </w:r>
          </w:p>
          <w:p w14:paraId="13790127" w14:textId="12457705" w:rsidR="00D62556" w:rsidRPr="007427EF" w:rsidRDefault="00D62556" w:rsidP="00736226">
            <w:pPr>
              <w:pStyle w:val="TableText0"/>
              <w:framePr w:wrap="around"/>
            </w:pPr>
            <w:r w:rsidRPr="007427EF">
              <w:t>EFFECTIVE</w:t>
            </w:r>
          </w:p>
          <w:p w14:paraId="242DED37" w14:textId="28681607" w:rsidR="00D62556" w:rsidRPr="007427EF" w:rsidRDefault="00D62556" w:rsidP="00736226">
            <w:pPr>
              <w:pStyle w:val="TableText0"/>
              <w:framePr w:wrap="around"/>
            </w:pPr>
            <w:r w:rsidRPr="007427EF">
              <w:t>$</w:t>
            </w:r>
            <w:r w:rsidR="00A80A9D" w:rsidRPr="00A80A9D">
              <w:rPr>
                <w:color w:val="000000"/>
                <w:spacing w:val="53"/>
                <w:shd w:val="solid" w:color="000000" w:fill="000000"/>
                <w:fitText w:val="330" w:id="-694963959"/>
                <w14:textFill>
                  <w14:solidFill>
                    <w14:srgbClr w14:val="000000">
                      <w14:alpha w14:val="100000"/>
                    </w14:srgbClr>
                  </w14:solidFill>
                </w14:textFill>
              </w:rPr>
              <w:t>|||</w:t>
            </w:r>
            <w:r w:rsidR="00A80A9D" w:rsidRPr="00A80A9D">
              <w:rPr>
                <w:color w:val="000000"/>
                <w:spacing w:val="1"/>
                <w:shd w:val="solid" w:color="000000" w:fill="000000"/>
                <w:fitText w:val="330" w:id="-694963959"/>
                <w14:textFill>
                  <w14:solidFill>
                    <w14:srgbClr w14:val="000000">
                      <w14:alpha w14:val="100000"/>
                    </w14:srgbClr>
                  </w14:solidFill>
                </w14:textFill>
              </w:rPr>
              <w:t>|</w:t>
            </w:r>
            <w:r w:rsidRPr="007427EF">
              <w:t xml:space="preserve"> (Public hospital)</w:t>
            </w:r>
          </w:p>
          <w:p w14:paraId="10F22BBA" w14:textId="191C2F30" w:rsidR="00D62556" w:rsidRPr="007427EF" w:rsidRDefault="00D62556" w:rsidP="00880B7A">
            <w:pPr>
              <w:pStyle w:val="Table"/>
              <w:rPr>
                <w:rStyle w:val="Small"/>
                <w:rFonts w:ascii="Arial Narrow" w:hAnsi="Arial Narrow" w:cs="Arial"/>
              </w:rPr>
            </w:pPr>
            <w:r w:rsidRPr="007427EF">
              <w:rPr>
                <w:rFonts w:ascii="Arial Narrow" w:hAnsi="Arial Narrow"/>
              </w:rPr>
              <w:t>$</w:t>
            </w:r>
            <w:r w:rsidR="00A80A9D" w:rsidRPr="00A80A9D">
              <w:rPr>
                <w:rFonts w:ascii="Arial Narrow" w:hAnsi="Arial Narrow"/>
                <w:color w:val="000000"/>
                <w:spacing w:val="53"/>
                <w:shd w:val="solid" w:color="000000" w:fill="000000"/>
                <w:fitText w:val="330" w:id="-694963958"/>
                <w14:textFill>
                  <w14:solidFill>
                    <w14:srgbClr w14:val="000000">
                      <w14:alpha w14:val="100000"/>
                    </w14:srgbClr>
                  </w14:solidFill>
                </w14:textFill>
              </w:rPr>
              <w:t>|||</w:t>
            </w:r>
            <w:r w:rsidR="00A80A9D" w:rsidRPr="00A80A9D">
              <w:rPr>
                <w:rFonts w:ascii="Arial Narrow" w:hAnsi="Arial Narrow"/>
                <w:color w:val="000000"/>
                <w:spacing w:val="1"/>
                <w:shd w:val="solid" w:color="000000" w:fill="000000"/>
                <w:fitText w:val="330" w:id="-694963958"/>
                <w14:textFill>
                  <w14:solidFill>
                    <w14:srgbClr w14:val="000000">
                      <w14:alpha w14:val="100000"/>
                    </w14:srgbClr>
                  </w14:solidFill>
                </w14:textFill>
              </w:rPr>
              <w:t>|</w:t>
            </w:r>
            <w:r w:rsidRPr="007427EF">
              <w:rPr>
                <w:rFonts w:ascii="Arial Narrow" w:hAnsi="Arial Narrow"/>
              </w:rPr>
              <w:t xml:space="preserve"> (Private hospital)</w:t>
            </w:r>
          </w:p>
        </w:tc>
        <w:tc>
          <w:tcPr>
            <w:cnfStyle w:val="000010000000" w:firstRow="0" w:lastRow="0" w:firstColumn="0" w:lastColumn="0" w:oddVBand="1" w:evenVBand="0" w:oddHBand="0" w:evenHBand="0" w:firstRowFirstColumn="0" w:firstRowLastColumn="0" w:lastRowFirstColumn="0" w:lastRowLastColumn="0"/>
            <w:tcW w:w="1106" w:type="pct"/>
            <w:tcBorders>
              <w:left w:val="none" w:sz="0" w:space="0" w:color="auto"/>
              <w:right w:val="none" w:sz="0" w:space="0" w:color="auto"/>
            </w:tcBorders>
          </w:tcPr>
          <w:p w14:paraId="358442C2" w14:textId="77777777" w:rsidR="00D62556" w:rsidRPr="007427EF" w:rsidRDefault="00D62556" w:rsidP="00736226">
            <w:pPr>
              <w:pStyle w:val="TableText0"/>
              <w:framePr w:wrap="around"/>
            </w:pPr>
            <w:r w:rsidRPr="007427EF">
              <w:t>120 mg</w:t>
            </w:r>
          </w:p>
        </w:tc>
        <w:tc>
          <w:tcPr>
            <w:cnfStyle w:val="000001000000" w:firstRow="0" w:lastRow="0" w:firstColumn="0" w:lastColumn="0" w:oddVBand="0" w:evenVBand="1" w:oddHBand="0" w:evenHBand="0" w:firstRowFirstColumn="0" w:firstRowLastColumn="0" w:lastRowFirstColumn="0" w:lastRowLastColumn="0"/>
            <w:tcW w:w="800" w:type="pct"/>
            <w:tcBorders>
              <w:left w:val="none" w:sz="0" w:space="0" w:color="auto"/>
              <w:right w:val="none" w:sz="0" w:space="0" w:color="auto"/>
            </w:tcBorders>
          </w:tcPr>
          <w:p w14:paraId="2E01CB31" w14:textId="77777777" w:rsidR="00D62556" w:rsidRPr="007427EF" w:rsidRDefault="00D62556" w:rsidP="00736226">
            <w:pPr>
              <w:pStyle w:val="TableText0"/>
              <w:framePr w:wrap="around"/>
            </w:pPr>
            <w:r w:rsidRPr="007427EF">
              <w:t>5</w:t>
            </w:r>
          </w:p>
        </w:tc>
      </w:tr>
    </w:tbl>
    <w:tbl>
      <w:tblPr>
        <w:tblStyle w:val="PlainTable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8927"/>
      </w:tblGrid>
      <w:tr w:rsidR="00D62556" w:rsidRPr="007427EF" w14:paraId="2EFF99C8" w14:textId="77777777" w:rsidTr="00BC35B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5839730D" w14:textId="77777777" w:rsidR="00D62556" w:rsidRPr="007427EF" w:rsidRDefault="00D62556" w:rsidP="00880B7A">
            <w:pPr>
              <w:rPr>
                <w:b/>
              </w:rPr>
            </w:pPr>
            <w:r w:rsidRPr="007427EF">
              <w:rPr>
                <w:rFonts w:ascii="Arial Narrow" w:eastAsiaTheme="majorEastAsia" w:hAnsi="Arial Narrow" w:cs="Times New Roman"/>
                <w:b/>
                <w:sz w:val="20"/>
              </w:rPr>
              <w:t>Available brands</w:t>
            </w:r>
            <w:r w:rsidRPr="007427EF">
              <w:rPr>
                <w:b/>
              </w:rPr>
              <w:t xml:space="preserve"> </w:t>
            </w:r>
          </w:p>
        </w:tc>
      </w:tr>
      <w:tr w:rsidR="00D62556" w:rsidRPr="007427EF" w14:paraId="5DE19E3E" w14:textId="77777777" w:rsidTr="00BC35BF">
        <w:trPr>
          <w:trHeight w:val="20"/>
        </w:trPr>
        <w:tc>
          <w:tcPr>
            <w:cnfStyle w:val="000010000000" w:firstRow="0" w:lastRow="0" w:firstColumn="0" w:lastColumn="0" w:oddVBand="1" w:evenVBand="0" w:oddHBand="0" w:evenHBand="0" w:firstRowFirstColumn="0" w:firstRowLastColumn="0" w:lastRowFirstColumn="0" w:lastRowLastColumn="0"/>
            <w:tcW w:w="5000" w:type="pct"/>
            <w:tcBorders>
              <w:left w:val="none" w:sz="0" w:space="0" w:color="auto"/>
              <w:right w:val="none" w:sz="0" w:space="0" w:color="auto"/>
            </w:tcBorders>
          </w:tcPr>
          <w:p w14:paraId="1EBB6241" w14:textId="77777777" w:rsidR="00D62556" w:rsidRPr="007427EF" w:rsidRDefault="00D62556" w:rsidP="6A98AE7B">
            <w:pPr>
              <w:rPr>
                <w:rFonts w:ascii="Arial Narrow" w:hAnsi="Arial Narrow"/>
                <w:sz w:val="20"/>
                <w:szCs w:val="20"/>
              </w:rPr>
            </w:pPr>
            <w:r w:rsidRPr="007427EF">
              <w:rPr>
                <w:rFonts w:ascii="Arial Narrow" w:hAnsi="Arial Narrow"/>
                <w:sz w:val="20"/>
                <w:szCs w:val="20"/>
              </w:rPr>
              <w:t>Poteligeo</w:t>
            </w:r>
          </w:p>
          <w:p w14:paraId="15B50DDD" w14:textId="77777777" w:rsidR="00D62556" w:rsidRPr="007427EF" w:rsidRDefault="00D62556" w:rsidP="00736226">
            <w:pPr>
              <w:pStyle w:val="TableText0"/>
              <w:framePr w:wrap="around"/>
            </w:pPr>
            <w:r w:rsidRPr="007427EF">
              <w:t>(mogamulizumab 20 mg/5 mL injection, 5 mL vial)</w:t>
            </w:r>
          </w:p>
        </w:tc>
      </w:tr>
    </w:tbl>
    <w:p w14:paraId="33808AE3" w14:textId="02809A00" w:rsidR="00D62556" w:rsidRPr="007427EF" w:rsidRDefault="00D62556" w:rsidP="00D62556">
      <w:pPr>
        <w:pStyle w:val="TableFooter"/>
      </w:pPr>
      <w:r w:rsidRPr="007427EF">
        <w:t xml:space="preserve">Source: Table 1-3 and Table 1-4, p26 of the resubmission. </w:t>
      </w:r>
    </w:p>
    <w:p w14:paraId="321DF011" w14:textId="77777777" w:rsidR="00961224" w:rsidRPr="007427EF" w:rsidRDefault="00961224" w:rsidP="00D62556">
      <w:pPr>
        <w:pStyle w:val="TableFigureHeading"/>
        <w:rPr>
          <w:rStyle w:val="CommentReference"/>
          <w:b/>
          <w:szCs w:val="24"/>
        </w:rPr>
      </w:pPr>
    </w:p>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6D68EDA6" w14:textId="77777777" w:rsidTr="00880B7A">
        <w:trPr>
          <w:trHeight w:val="20"/>
        </w:trPr>
        <w:tc>
          <w:tcPr>
            <w:tcW w:w="5000" w:type="pct"/>
          </w:tcPr>
          <w:p w14:paraId="73E32E02" w14:textId="77777777" w:rsidR="00D62556" w:rsidRPr="007427EF" w:rsidRDefault="00D62556" w:rsidP="00736226">
            <w:pPr>
              <w:pStyle w:val="TableText0"/>
              <w:framePr w:wrap="around"/>
            </w:pPr>
            <w:r w:rsidRPr="007427EF">
              <w:rPr>
                <w:b/>
              </w:rPr>
              <w:t xml:space="preserve">Category / Program: </w:t>
            </w:r>
            <w:r w:rsidRPr="007427EF">
              <w:t>Section 100 – Efficient Funding of Chemotherapy (Public/Private hospital)</w:t>
            </w:r>
          </w:p>
        </w:tc>
      </w:tr>
      <w:tr w:rsidR="00D62556" w:rsidRPr="007427EF" w14:paraId="43E8F6BD" w14:textId="77777777" w:rsidTr="00880B7A">
        <w:trPr>
          <w:trHeight w:val="20"/>
        </w:trPr>
        <w:tc>
          <w:tcPr>
            <w:tcW w:w="5000" w:type="pct"/>
          </w:tcPr>
          <w:p w14:paraId="6D71DAEF" w14:textId="77777777" w:rsidR="00D62556" w:rsidRPr="007427EF" w:rsidRDefault="00D62556" w:rsidP="00736226">
            <w:pPr>
              <w:pStyle w:val="TableText0"/>
              <w:framePr w:wrap="around"/>
              <w:rPr>
                <w:b/>
              </w:rPr>
            </w:pPr>
            <w:r w:rsidRPr="007427EF">
              <w:rPr>
                <w:b/>
              </w:rPr>
              <w:t xml:space="preserve">Prescriber type: </w:t>
            </w:r>
            <w:r w:rsidRPr="007427EF">
              <w:fldChar w:fldCharType="begin">
                <w:ffData>
                  <w:name w:val="Check1"/>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Dental </w:t>
            </w:r>
            <w:r w:rsidRPr="007427EF">
              <w:fldChar w:fldCharType="begin">
                <w:ffData>
                  <w:name w:val=""/>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Medical Practitioners </w:t>
            </w:r>
            <w:r w:rsidRPr="007427EF">
              <w:fldChar w:fldCharType="begin">
                <w:ffData>
                  <w:name w:val="Check3"/>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Nurse practitioners </w:t>
            </w:r>
            <w:r w:rsidRPr="007427EF">
              <w:fldChar w:fldCharType="begin">
                <w:ffData>
                  <w:name w:val=""/>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Optometrists </w:t>
            </w:r>
            <w:r w:rsidRPr="007427EF">
              <w:fldChar w:fldCharType="begin">
                <w:ffData>
                  <w:name w:val="Check5"/>
                  <w:enabled/>
                  <w:calcOnExit w:val="0"/>
                  <w:checkBox>
                    <w:sizeAuto/>
                    <w:default w:val="0"/>
                  </w:checkBox>
                </w:ffData>
              </w:fldChar>
            </w:r>
            <w:r w:rsidRPr="007427EF">
              <w:instrText xml:space="preserve"> FORMCHECKBOX </w:instrText>
            </w:r>
            <w:r w:rsidRPr="007427EF">
              <w:fldChar w:fldCharType="separate"/>
            </w:r>
            <w:r w:rsidRPr="007427EF">
              <w:fldChar w:fldCharType="end"/>
            </w:r>
          </w:p>
        </w:tc>
      </w:tr>
      <w:tr w:rsidR="00D62556" w:rsidRPr="007427EF" w14:paraId="6F24222B" w14:textId="77777777" w:rsidTr="00880B7A">
        <w:trPr>
          <w:trHeight w:val="20"/>
        </w:trPr>
        <w:tc>
          <w:tcPr>
            <w:tcW w:w="5000" w:type="pct"/>
          </w:tcPr>
          <w:p w14:paraId="5B4E8A7F" w14:textId="77777777" w:rsidR="00D62556" w:rsidRPr="007427EF" w:rsidRDefault="00D62556" w:rsidP="00736226">
            <w:pPr>
              <w:pStyle w:val="TableText0"/>
              <w:framePr w:wrap="around"/>
            </w:pPr>
            <w:r w:rsidRPr="007427EF">
              <w:rPr>
                <w:b/>
                <w:bCs/>
              </w:rPr>
              <w:t>Restriction type:</w:t>
            </w:r>
            <w:r w:rsidRPr="007427EF">
              <w:t xml:space="preserve"> </w:t>
            </w:r>
            <w:r w:rsidRPr="007427EF">
              <w:fldChar w:fldCharType="begin">
                <w:ffData>
                  <w:name w:val="Check5"/>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 Authority Required – delayed/non-real time assessment by Services Australia (written application lodged by mail or electronic upload)</w:t>
            </w:r>
          </w:p>
        </w:tc>
      </w:tr>
      <w:tr w:rsidR="00D62556" w:rsidRPr="007427EF" w14:paraId="2269F02D" w14:textId="77777777" w:rsidTr="00880B7A">
        <w:trPr>
          <w:trHeight w:val="20"/>
        </w:trPr>
        <w:tc>
          <w:tcPr>
            <w:tcW w:w="5000" w:type="pct"/>
          </w:tcPr>
          <w:p w14:paraId="583FCB5F" w14:textId="77777777" w:rsidR="00D62556" w:rsidRPr="007427EF" w:rsidRDefault="00D62556" w:rsidP="00736226">
            <w:pPr>
              <w:pStyle w:val="TableText0"/>
              <w:framePr w:wrap="around"/>
              <w:rPr>
                <w:b/>
              </w:rPr>
            </w:pPr>
            <w:r w:rsidRPr="007427EF">
              <w:rPr>
                <w:b/>
              </w:rPr>
              <w:t xml:space="preserve">Condition: </w:t>
            </w:r>
            <w:r w:rsidRPr="007427EF">
              <w:t xml:space="preserve">Cutaneous T-cell lymphoma </w:t>
            </w:r>
          </w:p>
        </w:tc>
      </w:tr>
      <w:tr w:rsidR="00D62556" w:rsidRPr="007427EF" w14:paraId="240E9766" w14:textId="77777777" w:rsidTr="00880B7A">
        <w:trPr>
          <w:trHeight w:val="20"/>
        </w:trPr>
        <w:tc>
          <w:tcPr>
            <w:tcW w:w="5000" w:type="pct"/>
            <w:hideMark/>
          </w:tcPr>
          <w:p w14:paraId="552FC111" w14:textId="77777777" w:rsidR="00D62556" w:rsidRPr="007427EF" w:rsidRDefault="00D62556" w:rsidP="00736226">
            <w:pPr>
              <w:pStyle w:val="TableText0"/>
              <w:framePr w:wrap="around"/>
            </w:pPr>
            <w:r w:rsidRPr="007427EF">
              <w:rPr>
                <w:b/>
              </w:rPr>
              <w:t>Indication:</w:t>
            </w:r>
            <w:r w:rsidRPr="007427EF">
              <w:t xml:space="preserve"> Cutaneous T-cell lymphoma</w:t>
            </w:r>
          </w:p>
        </w:tc>
      </w:tr>
      <w:tr w:rsidR="00D62556" w:rsidRPr="007427EF" w14:paraId="5ABFE146" w14:textId="77777777" w:rsidTr="00880B7A">
        <w:trPr>
          <w:trHeight w:val="20"/>
        </w:trPr>
        <w:tc>
          <w:tcPr>
            <w:tcW w:w="5000" w:type="pct"/>
            <w:hideMark/>
          </w:tcPr>
          <w:p w14:paraId="5ED2DEF2" w14:textId="77777777" w:rsidR="00D62556" w:rsidRPr="007427EF" w:rsidRDefault="00D62556" w:rsidP="00736226">
            <w:pPr>
              <w:pStyle w:val="TableText0"/>
              <w:framePr w:wrap="around"/>
            </w:pPr>
            <w:r w:rsidRPr="007427EF">
              <w:rPr>
                <w:b/>
              </w:rPr>
              <w:t>Treatment Phase:</w:t>
            </w:r>
            <w:r w:rsidRPr="007427EF">
              <w:t xml:space="preserve"> Initial treatment</w:t>
            </w:r>
          </w:p>
        </w:tc>
      </w:tr>
      <w:tr w:rsidR="00D62556" w:rsidRPr="007427EF" w14:paraId="3448B555" w14:textId="77777777" w:rsidTr="00880B7A">
        <w:trPr>
          <w:trHeight w:val="20"/>
        </w:trPr>
        <w:tc>
          <w:tcPr>
            <w:tcW w:w="5000" w:type="pct"/>
            <w:hideMark/>
          </w:tcPr>
          <w:p w14:paraId="0E3221D6" w14:textId="77777777" w:rsidR="00D62556" w:rsidRPr="007427EF" w:rsidRDefault="00D62556" w:rsidP="00736226">
            <w:pPr>
              <w:pStyle w:val="TableText0"/>
              <w:framePr w:wrap="around"/>
            </w:pPr>
            <w:r w:rsidRPr="007427EF">
              <w:t>Clinical criteria:</w:t>
            </w:r>
          </w:p>
        </w:tc>
      </w:tr>
      <w:tr w:rsidR="00D62556" w:rsidRPr="007427EF" w14:paraId="02D13DA7" w14:textId="77777777" w:rsidTr="00880B7A">
        <w:trPr>
          <w:trHeight w:val="20"/>
        </w:trPr>
        <w:tc>
          <w:tcPr>
            <w:tcW w:w="5000" w:type="pct"/>
            <w:hideMark/>
          </w:tcPr>
          <w:p w14:paraId="64614642" w14:textId="77777777" w:rsidR="00D62556" w:rsidRPr="007427EF" w:rsidRDefault="00D62556" w:rsidP="00736226">
            <w:pPr>
              <w:pStyle w:val="TableText0"/>
              <w:framePr w:wrap="around"/>
            </w:pPr>
            <w:r w:rsidRPr="007427EF">
              <w:t>Patient must have a histologically confirmed diagnosis of mycosis fungoides; or</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44CEB2F4" w14:textId="77777777" w:rsidTr="00880B7A">
        <w:trPr>
          <w:trHeight w:val="20"/>
        </w:trPr>
        <w:tc>
          <w:tcPr>
            <w:tcW w:w="5000" w:type="pct"/>
          </w:tcPr>
          <w:p w14:paraId="3036E3D2" w14:textId="77777777" w:rsidR="00D62556" w:rsidRPr="007427EF" w:rsidRDefault="00D62556" w:rsidP="00880B7A">
            <w:pPr>
              <w:pStyle w:val="Table"/>
              <w:rPr>
                <w:rFonts w:ascii="Arial Narrow" w:hAnsi="Arial Narrow" w:cs="Arial"/>
                <w:szCs w:val="20"/>
              </w:rPr>
            </w:pPr>
            <w:r w:rsidRPr="007427EF">
              <w:rPr>
                <w:rFonts w:ascii="Arial Narrow" w:hAnsi="Arial Narrow" w:cs="Arial"/>
                <w:szCs w:val="20"/>
              </w:rPr>
              <w:t>Patient must have a histologically confirmed diagnosis of Sezary syndrome</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3D54DD72" w14:textId="77777777" w:rsidTr="6A98AE7B">
        <w:trPr>
          <w:trHeight w:val="20"/>
        </w:trPr>
        <w:tc>
          <w:tcPr>
            <w:tcW w:w="5000" w:type="pct"/>
            <w:hideMark/>
          </w:tcPr>
          <w:p w14:paraId="48B405F1" w14:textId="77777777" w:rsidR="00D62556" w:rsidRPr="007427EF" w:rsidRDefault="00D62556" w:rsidP="00736226">
            <w:pPr>
              <w:pStyle w:val="TableText0"/>
              <w:framePr w:wrap="around"/>
            </w:pPr>
            <w:r w:rsidRPr="007427EF">
              <w:t>AND</w:t>
            </w:r>
          </w:p>
        </w:tc>
      </w:tr>
      <w:tr w:rsidR="00D62556" w:rsidRPr="007427EF" w14:paraId="173DF2AB" w14:textId="77777777" w:rsidTr="6A98AE7B">
        <w:trPr>
          <w:trHeight w:val="20"/>
        </w:trPr>
        <w:tc>
          <w:tcPr>
            <w:tcW w:w="5000" w:type="pct"/>
            <w:hideMark/>
          </w:tcPr>
          <w:p w14:paraId="7BC031A8" w14:textId="77777777" w:rsidR="00D62556" w:rsidRPr="007427EF" w:rsidRDefault="00D62556" w:rsidP="00736226">
            <w:pPr>
              <w:pStyle w:val="TableText0"/>
              <w:framePr w:wrap="around"/>
            </w:pPr>
            <w:r w:rsidRPr="007427EF">
              <w:t>Clinical criteria:</w:t>
            </w:r>
          </w:p>
        </w:tc>
      </w:tr>
      <w:tr w:rsidR="00D62556" w:rsidRPr="007427EF" w14:paraId="343E4AC5" w14:textId="77777777" w:rsidTr="6A98AE7B">
        <w:trPr>
          <w:trHeight w:val="20"/>
        </w:trPr>
        <w:tc>
          <w:tcPr>
            <w:tcW w:w="5000" w:type="pct"/>
            <w:hideMark/>
          </w:tcPr>
          <w:p w14:paraId="3E934EAE" w14:textId="77777777" w:rsidR="00D62556" w:rsidRPr="007427EF" w:rsidRDefault="00D62556" w:rsidP="00736226">
            <w:pPr>
              <w:pStyle w:val="TableText0"/>
              <w:framePr w:wrap="around"/>
            </w:pPr>
            <w:r w:rsidRPr="007427EF">
              <w:t>Patient must have experienced a relapse or is refractory to a prior systemic therapy for this condition;</w:t>
            </w:r>
          </w:p>
        </w:tc>
      </w:tr>
      <w:tr w:rsidR="00D62556" w:rsidRPr="007427EF" w14:paraId="783F65D1" w14:textId="77777777" w:rsidTr="6A98AE7B">
        <w:trPr>
          <w:trHeight w:val="20"/>
        </w:trPr>
        <w:tc>
          <w:tcPr>
            <w:tcW w:w="5000" w:type="pct"/>
          </w:tcPr>
          <w:p w14:paraId="54C72E13" w14:textId="77777777" w:rsidR="00D62556" w:rsidRPr="007427EF" w:rsidRDefault="00D62556" w:rsidP="00736226">
            <w:pPr>
              <w:pStyle w:val="TableText0"/>
              <w:framePr w:wrap="around"/>
            </w:pPr>
            <w:r w:rsidRPr="007427EF">
              <w:t>AND</w:t>
            </w:r>
          </w:p>
        </w:tc>
      </w:tr>
      <w:tr w:rsidR="00D62556" w:rsidRPr="007427EF" w14:paraId="1EF9EE65" w14:textId="77777777" w:rsidTr="6A98AE7B">
        <w:trPr>
          <w:trHeight w:val="20"/>
        </w:trPr>
        <w:tc>
          <w:tcPr>
            <w:tcW w:w="5000" w:type="pct"/>
          </w:tcPr>
          <w:p w14:paraId="3331F7BD" w14:textId="77777777" w:rsidR="00D62556" w:rsidRPr="007427EF" w:rsidRDefault="00D62556" w:rsidP="00736226">
            <w:pPr>
              <w:pStyle w:val="TableText0"/>
              <w:framePr w:wrap="around"/>
            </w:pPr>
            <w:r w:rsidRPr="007427EF">
              <w:t>Clinical criteria:</w:t>
            </w:r>
          </w:p>
        </w:tc>
      </w:tr>
      <w:tr w:rsidR="00D62556" w:rsidRPr="007427EF" w14:paraId="01C2DE52" w14:textId="77777777" w:rsidTr="6A98AE7B">
        <w:trPr>
          <w:trHeight w:val="20"/>
        </w:trPr>
        <w:tc>
          <w:tcPr>
            <w:tcW w:w="5000" w:type="pct"/>
          </w:tcPr>
          <w:p w14:paraId="753B5F45" w14:textId="77777777" w:rsidR="00D62556" w:rsidRPr="007427EF" w:rsidRDefault="00D62556" w:rsidP="00736226">
            <w:pPr>
              <w:pStyle w:val="TableText0"/>
              <w:framePr w:wrap="around"/>
            </w:pPr>
            <w:r w:rsidRPr="007427EF">
              <w:t>The treatment must be the sole PBS-subsidised systemic anti-cancer therapy for this condition.</w:t>
            </w:r>
          </w:p>
        </w:tc>
      </w:tr>
      <w:tr w:rsidR="00D62556" w:rsidRPr="007427EF" w14:paraId="0194A3A3" w14:textId="77777777" w:rsidTr="6A98AE7B">
        <w:trPr>
          <w:trHeight w:val="20"/>
        </w:trPr>
        <w:tc>
          <w:tcPr>
            <w:tcW w:w="5000" w:type="pct"/>
            <w:hideMark/>
          </w:tcPr>
          <w:p w14:paraId="2BD793D5" w14:textId="77777777" w:rsidR="00D62556" w:rsidRPr="007427EF" w:rsidRDefault="00D62556" w:rsidP="00736226">
            <w:pPr>
              <w:pStyle w:val="TableText0"/>
              <w:framePr w:wrap="around"/>
            </w:pPr>
            <w:r w:rsidRPr="007427EF">
              <w:t xml:space="preserve">Prescribing Instructions: </w:t>
            </w:r>
          </w:p>
          <w:p w14:paraId="084F1406" w14:textId="77777777" w:rsidR="00D62556" w:rsidRPr="007427EF" w:rsidRDefault="00D62556" w:rsidP="00736226">
            <w:pPr>
              <w:pStyle w:val="TableText0"/>
              <w:framePr w:wrap="around"/>
            </w:pPr>
            <w:r w:rsidRPr="007427EF">
              <w:t>Applications for authorisation of initial treatment must be in writing and must include:</w:t>
            </w:r>
          </w:p>
          <w:p w14:paraId="5CBFD2CA" w14:textId="77777777" w:rsidR="00D62556" w:rsidRPr="007427EF" w:rsidRDefault="00D62556" w:rsidP="00736226">
            <w:pPr>
              <w:pStyle w:val="TableText0"/>
              <w:framePr w:wrap="around"/>
            </w:pPr>
            <w:r w:rsidRPr="007427EF">
              <w:t>(a) a completed authority prescription form; and</w:t>
            </w:r>
          </w:p>
          <w:p w14:paraId="46067A75" w14:textId="77777777" w:rsidR="00D62556" w:rsidRPr="007427EF" w:rsidRDefault="00D62556" w:rsidP="00736226">
            <w:pPr>
              <w:pStyle w:val="TableText0"/>
              <w:framePr w:wrap="around"/>
            </w:pPr>
            <w:r w:rsidRPr="007427EF">
              <w:t>(b) a completed cutaneous T-cell lymphoma (CTCL) initial PBS Authority Application - Supporting Information Form</w:t>
            </w:r>
          </w:p>
        </w:tc>
      </w:tr>
      <w:tr w:rsidR="00D62556" w:rsidRPr="007427EF" w14:paraId="78020AF2" w14:textId="77777777" w:rsidTr="6A98AE7B">
        <w:trPr>
          <w:trHeight w:val="20"/>
        </w:trPr>
        <w:tc>
          <w:tcPr>
            <w:tcW w:w="5000" w:type="pct"/>
            <w:hideMark/>
          </w:tcPr>
          <w:p w14:paraId="732F48A0" w14:textId="77777777" w:rsidR="00D62556" w:rsidRPr="007427EF" w:rsidRDefault="00D62556" w:rsidP="00736226">
            <w:pPr>
              <w:pStyle w:val="TableText0"/>
              <w:framePr w:wrap="around"/>
            </w:pPr>
            <w:r w:rsidRPr="007427EF">
              <w:t>Administrative Advice: Special Pricing Arrangements apply.</w:t>
            </w:r>
          </w:p>
        </w:tc>
      </w:tr>
    </w:tbl>
    <w:p w14:paraId="016AEA9E" w14:textId="77777777" w:rsidR="00D62556" w:rsidRPr="007427EF" w:rsidRDefault="00D62556" w:rsidP="000420E1">
      <w:pPr>
        <w:pStyle w:val="TableFigureHeading"/>
        <w:keepNext w:val="0"/>
        <w:rPr>
          <w:rStyle w:val="CommentReference"/>
          <w:b/>
          <w:szCs w:val="24"/>
        </w:rPr>
      </w:pPr>
    </w:p>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7D8D11BD" w14:textId="77777777" w:rsidTr="00880B7A">
        <w:trPr>
          <w:trHeight w:val="20"/>
        </w:trPr>
        <w:tc>
          <w:tcPr>
            <w:tcW w:w="5000" w:type="pct"/>
          </w:tcPr>
          <w:p w14:paraId="7DB756E2" w14:textId="77777777" w:rsidR="00D62556" w:rsidRPr="007427EF" w:rsidRDefault="00D62556" w:rsidP="000420E1">
            <w:pPr>
              <w:pStyle w:val="TableText0"/>
              <w:keepNext w:val="0"/>
              <w:keepLines w:val="0"/>
              <w:framePr w:wrap="around"/>
            </w:pPr>
            <w:r w:rsidRPr="007427EF">
              <w:rPr>
                <w:b/>
              </w:rPr>
              <w:lastRenderedPageBreak/>
              <w:t xml:space="preserve">Category / Program: </w:t>
            </w:r>
            <w:r w:rsidRPr="007427EF">
              <w:t>Section 100 – Efficient Funding of Chemotherapy (Public/Private hospital)</w:t>
            </w:r>
          </w:p>
        </w:tc>
      </w:tr>
      <w:tr w:rsidR="00D62556" w:rsidRPr="007427EF" w14:paraId="00A9B5B2" w14:textId="77777777" w:rsidTr="00880B7A">
        <w:trPr>
          <w:trHeight w:val="20"/>
        </w:trPr>
        <w:tc>
          <w:tcPr>
            <w:tcW w:w="5000" w:type="pct"/>
          </w:tcPr>
          <w:p w14:paraId="27EE6BC9" w14:textId="77777777" w:rsidR="00D62556" w:rsidRPr="007427EF" w:rsidRDefault="00D62556" w:rsidP="000420E1">
            <w:pPr>
              <w:pStyle w:val="TableText0"/>
              <w:keepNext w:val="0"/>
              <w:keepLines w:val="0"/>
              <w:framePr w:wrap="around"/>
              <w:rPr>
                <w:b/>
              </w:rPr>
            </w:pPr>
            <w:r w:rsidRPr="007427EF">
              <w:rPr>
                <w:b/>
              </w:rPr>
              <w:t xml:space="preserve">Prescriber type: </w:t>
            </w:r>
            <w:r w:rsidRPr="007427EF">
              <w:fldChar w:fldCharType="begin">
                <w:ffData>
                  <w:name w:val="Check1"/>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Dental </w:t>
            </w:r>
            <w:r w:rsidRPr="007427EF">
              <w:fldChar w:fldCharType="begin">
                <w:ffData>
                  <w:name w:val=""/>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Medical Practitioners </w:t>
            </w:r>
            <w:r w:rsidRPr="007427EF">
              <w:fldChar w:fldCharType="begin">
                <w:ffData>
                  <w:name w:val="Check3"/>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Nurse practitioners </w:t>
            </w:r>
            <w:r w:rsidRPr="007427EF">
              <w:fldChar w:fldCharType="begin">
                <w:ffData>
                  <w:name w:val=""/>
                  <w:enabled/>
                  <w:calcOnExit w:val="0"/>
                  <w:checkBox>
                    <w:sizeAuto/>
                    <w:default w:val="0"/>
                  </w:checkBox>
                </w:ffData>
              </w:fldChar>
            </w:r>
            <w:r w:rsidRPr="007427EF">
              <w:instrText xml:space="preserve"> FORMCHECKBOX </w:instrText>
            </w:r>
            <w:r w:rsidRPr="007427EF">
              <w:fldChar w:fldCharType="separate"/>
            </w:r>
            <w:r w:rsidRPr="007427EF">
              <w:fldChar w:fldCharType="end"/>
            </w:r>
            <w:r w:rsidRPr="007427EF">
              <w:t xml:space="preserve">Optometrists </w:t>
            </w:r>
            <w:r w:rsidRPr="007427EF">
              <w:fldChar w:fldCharType="begin">
                <w:ffData>
                  <w:name w:val="Check5"/>
                  <w:enabled/>
                  <w:calcOnExit w:val="0"/>
                  <w:checkBox>
                    <w:sizeAuto/>
                    <w:default w:val="0"/>
                  </w:checkBox>
                </w:ffData>
              </w:fldChar>
            </w:r>
            <w:r w:rsidRPr="007427EF">
              <w:instrText xml:space="preserve"> FORMCHECKBOX </w:instrText>
            </w:r>
            <w:r w:rsidRPr="007427EF">
              <w:fldChar w:fldCharType="separate"/>
            </w:r>
            <w:r w:rsidRPr="007427EF">
              <w:fldChar w:fldCharType="end"/>
            </w:r>
          </w:p>
        </w:tc>
      </w:tr>
      <w:tr w:rsidR="00D62556" w:rsidRPr="007427EF" w14:paraId="2B43D678" w14:textId="77777777" w:rsidTr="00880B7A">
        <w:trPr>
          <w:trHeight w:val="20"/>
        </w:trPr>
        <w:tc>
          <w:tcPr>
            <w:tcW w:w="5000" w:type="pct"/>
          </w:tcPr>
          <w:p w14:paraId="09AC1F92" w14:textId="77777777" w:rsidR="00D62556" w:rsidRPr="007427EF" w:rsidRDefault="00D62556" w:rsidP="000420E1">
            <w:pPr>
              <w:pStyle w:val="TableText0"/>
              <w:keepNext w:val="0"/>
              <w:keepLines w:val="0"/>
              <w:framePr w:wrap="around"/>
            </w:pPr>
            <w:r w:rsidRPr="007427EF">
              <w:rPr>
                <w:b/>
                <w:bCs/>
              </w:rPr>
              <w:t>Restriction type:</w:t>
            </w:r>
            <w:r w:rsidRPr="007427EF">
              <w:t xml:space="preserve"> </w:t>
            </w:r>
            <w:r w:rsidRPr="007427EF">
              <w:fldChar w:fldCharType="begin">
                <w:ffData>
                  <w:name w:val="Check5"/>
                  <w:enabled/>
                  <w:calcOnExit w:val="0"/>
                  <w:checkBox>
                    <w:sizeAuto/>
                    <w:default w:val="1"/>
                  </w:checkBox>
                </w:ffData>
              </w:fldChar>
            </w:r>
            <w:r w:rsidRPr="007427EF">
              <w:instrText xml:space="preserve"> FORMCHECKBOX </w:instrText>
            </w:r>
            <w:r w:rsidRPr="007427EF">
              <w:fldChar w:fldCharType="separate"/>
            </w:r>
            <w:r w:rsidRPr="007427EF">
              <w:fldChar w:fldCharType="end"/>
            </w:r>
            <w:r w:rsidRPr="007427EF">
              <w:t xml:space="preserve"> Authority Required - immediate/real-time assessment by Services Australia (telephone / online emergency)</w:t>
            </w:r>
          </w:p>
        </w:tc>
      </w:tr>
      <w:tr w:rsidR="00D62556" w:rsidRPr="007427EF" w14:paraId="3D90A932" w14:textId="77777777" w:rsidTr="00880B7A">
        <w:trPr>
          <w:trHeight w:val="20"/>
        </w:trPr>
        <w:tc>
          <w:tcPr>
            <w:tcW w:w="5000" w:type="pct"/>
          </w:tcPr>
          <w:p w14:paraId="648781EF" w14:textId="77777777" w:rsidR="00D62556" w:rsidRPr="007427EF" w:rsidRDefault="00D62556" w:rsidP="000420E1">
            <w:pPr>
              <w:pStyle w:val="TableText0"/>
              <w:keepNext w:val="0"/>
              <w:keepLines w:val="0"/>
              <w:framePr w:wrap="around"/>
              <w:rPr>
                <w:b/>
              </w:rPr>
            </w:pPr>
            <w:r w:rsidRPr="007427EF">
              <w:rPr>
                <w:b/>
              </w:rPr>
              <w:t xml:space="preserve">Condition: </w:t>
            </w:r>
            <w:r w:rsidRPr="007427EF">
              <w:t xml:space="preserve">Cutaneous T-cell lymphoma </w:t>
            </w:r>
          </w:p>
        </w:tc>
      </w:tr>
      <w:tr w:rsidR="00D62556" w:rsidRPr="007427EF" w14:paraId="2E651D5C" w14:textId="77777777" w:rsidTr="00880B7A">
        <w:trPr>
          <w:trHeight w:val="20"/>
        </w:trPr>
        <w:tc>
          <w:tcPr>
            <w:tcW w:w="5000" w:type="pct"/>
            <w:hideMark/>
          </w:tcPr>
          <w:p w14:paraId="71B7AC97" w14:textId="77777777" w:rsidR="00D62556" w:rsidRPr="007427EF" w:rsidRDefault="00D62556" w:rsidP="000420E1">
            <w:pPr>
              <w:pStyle w:val="TableText0"/>
              <w:keepNext w:val="0"/>
              <w:keepLines w:val="0"/>
              <w:framePr w:wrap="around"/>
            </w:pPr>
            <w:r w:rsidRPr="007427EF">
              <w:rPr>
                <w:b/>
              </w:rPr>
              <w:t>Indication:</w:t>
            </w:r>
            <w:r w:rsidRPr="007427EF">
              <w:t xml:space="preserve"> Cutaneous T-cell lymphoma</w:t>
            </w:r>
          </w:p>
        </w:tc>
      </w:tr>
      <w:tr w:rsidR="00D62556" w:rsidRPr="007427EF" w14:paraId="1BF9F816" w14:textId="77777777" w:rsidTr="00880B7A">
        <w:trPr>
          <w:trHeight w:val="20"/>
        </w:trPr>
        <w:tc>
          <w:tcPr>
            <w:tcW w:w="5000" w:type="pct"/>
            <w:hideMark/>
          </w:tcPr>
          <w:p w14:paraId="782419AD" w14:textId="77777777" w:rsidR="00D62556" w:rsidRPr="007427EF" w:rsidRDefault="00D62556" w:rsidP="000420E1">
            <w:pPr>
              <w:pStyle w:val="TableText0"/>
              <w:keepNext w:val="0"/>
              <w:keepLines w:val="0"/>
              <w:framePr w:wrap="around"/>
            </w:pPr>
            <w:r w:rsidRPr="007427EF">
              <w:rPr>
                <w:b/>
              </w:rPr>
              <w:t>Treatment Phase:</w:t>
            </w:r>
            <w:r w:rsidRPr="007427EF">
              <w:t xml:space="preserve"> Continuing treatment</w:t>
            </w:r>
          </w:p>
        </w:tc>
      </w:tr>
      <w:tr w:rsidR="00D62556" w:rsidRPr="007427EF" w14:paraId="5EC77E5D" w14:textId="77777777" w:rsidTr="00880B7A">
        <w:trPr>
          <w:trHeight w:val="20"/>
        </w:trPr>
        <w:tc>
          <w:tcPr>
            <w:tcW w:w="5000" w:type="pct"/>
          </w:tcPr>
          <w:p w14:paraId="5FAF2FBE" w14:textId="77777777" w:rsidR="00D62556" w:rsidRPr="007427EF" w:rsidRDefault="00D62556" w:rsidP="000420E1">
            <w:pPr>
              <w:pStyle w:val="TableText0"/>
              <w:keepNext w:val="0"/>
              <w:keepLines w:val="0"/>
              <w:framePr w:wrap="around"/>
            </w:pPr>
            <w:r w:rsidRPr="007427EF">
              <w:t>Clinical criteria:</w:t>
            </w:r>
          </w:p>
        </w:tc>
      </w:tr>
      <w:tr w:rsidR="00D62556" w:rsidRPr="007427EF" w14:paraId="236BF2A4" w14:textId="77777777" w:rsidTr="00880B7A">
        <w:trPr>
          <w:trHeight w:val="20"/>
        </w:trPr>
        <w:tc>
          <w:tcPr>
            <w:tcW w:w="5000" w:type="pct"/>
          </w:tcPr>
          <w:p w14:paraId="264796AB" w14:textId="77777777" w:rsidR="00D62556" w:rsidRPr="007427EF" w:rsidRDefault="00D62556" w:rsidP="000420E1">
            <w:pPr>
              <w:pStyle w:val="TableText0"/>
              <w:keepNext w:val="0"/>
              <w:keepLines w:val="0"/>
              <w:framePr w:wrap="around"/>
            </w:pPr>
            <w:r w:rsidRPr="007427EF">
              <w:t>Patient must have previously received PBS-subsidised treatment with this drug for this condition.</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14AD7CCA" w14:textId="77777777" w:rsidTr="00880B7A">
        <w:trPr>
          <w:trHeight w:val="20"/>
        </w:trPr>
        <w:tc>
          <w:tcPr>
            <w:tcW w:w="5000" w:type="pct"/>
          </w:tcPr>
          <w:p w14:paraId="7F485338" w14:textId="77777777" w:rsidR="00D62556" w:rsidRPr="007427EF" w:rsidRDefault="00D62556" w:rsidP="000420E1">
            <w:pPr>
              <w:pStyle w:val="Table"/>
              <w:rPr>
                <w:rFonts w:ascii="Arial Narrow" w:hAnsi="Arial Narrow" w:cs="Arial"/>
                <w:b/>
                <w:bCs/>
                <w:szCs w:val="20"/>
              </w:rPr>
            </w:pPr>
            <w:r w:rsidRPr="007427EF">
              <w:rPr>
                <w:rFonts w:ascii="Arial Narrow" w:hAnsi="Arial Narrow"/>
                <w:b/>
                <w:bCs/>
                <w:color w:val="333333"/>
                <w:szCs w:val="20"/>
              </w:rPr>
              <w:t>AND</w:t>
            </w:r>
          </w:p>
        </w:tc>
      </w:tr>
    </w:tbl>
    <w:tbl>
      <w:tblPr>
        <w:tblStyle w:val="TableGrid"/>
        <w:tblW w:w="5000" w:type="pct"/>
        <w:tblLayout w:type="fixed"/>
        <w:tblLook w:val="04A0" w:firstRow="1" w:lastRow="0" w:firstColumn="1" w:lastColumn="0" w:noHBand="0" w:noVBand="1"/>
        <w:tblCaption w:val="Requested listing"/>
      </w:tblPr>
      <w:tblGrid>
        <w:gridCol w:w="9017"/>
      </w:tblGrid>
      <w:tr w:rsidR="00D62556" w:rsidRPr="007427EF" w14:paraId="2F67BD14" w14:textId="77777777" w:rsidTr="00880B7A">
        <w:trPr>
          <w:trHeight w:val="20"/>
        </w:trPr>
        <w:tc>
          <w:tcPr>
            <w:tcW w:w="5000" w:type="pct"/>
          </w:tcPr>
          <w:p w14:paraId="5E990528" w14:textId="77777777" w:rsidR="00D62556" w:rsidRPr="007427EF" w:rsidRDefault="00D62556" w:rsidP="000420E1">
            <w:pPr>
              <w:pStyle w:val="TableText0"/>
              <w:keepNext w:val="0"/>
              <w:keepLines w:val="0"/>
              <w:framePr w:wrap="around"/>
            </w:pPr>
            <w:r w:rsidRPr="007427EF">
              <w:t>Clinical criteria:</w:t>
            </w:r>
          </w:p>
        </w:tc>
      </w:tr>
      <w:tr w:rsidR="00D62556" w:rsidRPr="007427EF" w14:paraId="197B74B6" w14:textId="77777777" w:rsidTr="00880B7A">
        <w:trPr>
          <w:trHeight w:val="20"/>
        </w:trPr>
        <w:tc>
          <w:tcPr>
            <w:tcW w:w="5000" w:type="pct"/>
          </w:tcPr>
          <w:p w14:paraId="39CD712C" w14:textId="77777777" w:rsidR="00D62556" w:rsidRPr="007427EF" w:rsidRDefault="00D62556" w:rsidP="000420E1">
            <w:pPr>
              <w:pStyle w:val="TableText0"/>
              <w:keepNext w:val="0"/>
              <w:keepLines w:val="0"/>
              <w:framePr w:wrap="around"/>
            </w:pPr>
            <w:r w:rsidRPr="007427EF">
              <w:t>Patient must not have progressive disease while receiving PBS-subsidised treatment with this drug for this condition.</w:t>
            </w:r>
          </w:p>
        </w:tc>
      </w:tr>
      <w:tr w:rsidR="00D62556" w:rsidRPr="007427EF" w14:paraId="1BB8104E" w14:textId="77777777" w:rsidTr="00880B7A">
        <w:trPr>
          <w:trHeight w:val="20"/>
        </w:trPr>
        <w:tc>
          <w:tcPr>
            <w:tcW w:w="5000" w:type="pct"/>
          </w:tcPr>
          <w:p w14:paraId="303927C9" w14:textId="77777777" w:rsidR="00D62556" w:rsidRPr="007427EF" w:rsidRDefault="00D62556" w:rsidP="000420E1">
            <w:pPr>
              <w:pStyle w:val="TableText0"/>
              <w:keepNext w:val="0"/>
              <w:keepLines w:val="0"/>
              <w:framePr w:wrap="around"/>
            </w:pPr>
            <w:r w:rsidRPr="007427EF">
              <w:t>AND</w:t>
            </w:r>
          </w:p>
        </w:tc>
      </w:tr>
      <w:tr w:rsidR="00D62556" w:rsidRPr="007427EF" w14:paraId="2B3C2B26" w14:textId="77777777" w:rsidTr="00880B7A">
        <w:trPr>
          <w:trHeight w:val="20"/>
        </w:trPr>
        <w:tc>
          <w:tcPr>
            <w:tcW w:w="5000" w:type="pct"/>
          </w:tcPr>
          <w:p w14:paraId="7F564258" w14:textId="77777777" w:rsidR="00D62556" w:rsidRPr="007427EF" w:rsidRDefault="00D62556" w:rsidP="000420E1">
            <w:pPr>
              <w:pStyle w:val="TableText0"/>
              <w:keepNext w:val="0"/>
              <w:keepLines w:val="0"/>
              <w:framePr w:wrap="around"/>
            </w:pPr>
            <w:r w:rsidRPr="007427EF">
              <w:t>Clinical criteria:</w:t>
            </w:r>
          </w:p>
        </w:tc>
      </w:tr>
      <w:tr w:rsidR="00D62556" w:rsidRPr="007427EF" w14:paraId="1F9B8600" w14:textId="77777777" w:rsidTr="00880B7A">
        <w:trPr>
          <w:trHeight w:val="20"/>
        </w:trPr>
        <w:tc>
          <w:tcPr>
            <w:tcW w:w="5000" w:type="pct"/>
          </w:tcPr>
          <w:p w14:paraId="3E5009FA" w14:textId="77777777" w:rsidR="00D62556" w:rsidRPr="007427EF" w:rsidRDefault="00D62556" w:rsidP="000420E1">
            <w:pPr>
              <w:pStyle w:val="TableText0"/>
              <w:keepNext w:val="0"/>
              <w:keepLines w:val="0"/>
              <w:framePr w:wrap="around"/>
            </w:pPr>
            <w:r w:rsidRPr="007427EF">
              <w:t>The treatment must be the sole PBS-subsidised systemic anti-cancer therapy for this condition.</w:t>
            </w:r>
          </w:p>
        </w:tc>
      </w:tr>
      <w:tr w:rsidR="00D62556" w:rsidRPr="007427EF" w14:paraId="1620B587" w14:textId="77777777" w:rsidTr="00880B7A">
        <w:trPr>
          <w:trHeight w:val="20"/>
        </w:trPr>
        <w:tc>
          <w:tcPr>
            <w:tcW w:w="5000" w:type="pct"/>
            <w:hideMark/>
          </w:tcPr>
          <w:p w14:paraId="2C708119" w14:textId="77777777" w:rsidR="00D62556" w:rsidRPr="007427EF" w:rsidRDefault="00D62556" w:rsidP="000420E1">
            <w:pPr>
              <w:pStyle w:val="TableText0"/>
              <w:keepNext w:val="0"/>
              <w:keepLines w:val="0"/>
              <w:framePr w:wrap="around"/>
            </w:pPr>
            <w:r w:rsidRPr="007427EF">
              <w:t xml:space="preserve">Prescribing Instructions: </w:t>
            </w:r>
          </w:p>
          <w:p w14:paraId="7315606A" w14:textId="77777777" w:rsidR="00D62556" w:rsidRPr="007427EF" w:rsidRDefault="00D62556" w:rsidP="000420E1">
            <w:pPr>
              <w:pStyle w:val="TableText0"/>
              <w:keepNext w:val="0"/>
              <w:keepLines w:val="0"/>
              <w:framePr w:wrap="around"/>
            </w:pPr>
            <w:r w:rsidRPr="007427EF">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D62556" w:rsidRPr="007427EF" w14:paraId="5482B425" w14:textId="77777777" w:rsidTr="00880B7A">
        <w:trPr>
          <w:trHeight w:val="20"/>
        </w:trPr>
        <w:tc>
          <w:tcPr>
            <w:tcW w:w="5000" w:type="pct"/>
            <w:hideMark/>
          </w:tcPr>
          <w:p w14:paraId="13418B1E" w14:textId="77777777" w:rsidR="00D62556" w:rsidRPr="007427EF" w:rsidRDefault="00D62556" w:rsidP="000420E1">
            <w:pPr>
              <w:pStyle w:val="TableText0"/>
              <w:keepNext w:val="0"/>
              <w:keepLines w:val="0"/>
              <w:framePr w:wrap="around"/>
            </w:pPr>
            <w:r w:rsidRPr="007427EF">
              <w:rPr>
                <w:b/>
              </w:rPr>
              <w:t xml:space="preserve">Administrative Advice: </w:t>
            </w:r>
            <w:r w:rsidRPr="007427EF">
              <w:t>Special Pricing Arrangements apply.</w:t>
            </w:r>
          </w:p>
        </w:tc>
      </w:tr>
    </w:tbl>
    <w:p w14:paraId="005D7DDD" w14:textId="2ED9F664" w:rsidR="00F30879" w:rsidRPr="007427EF" w:rsidRDefault="00D62556" w:rsidP="000420E1">
      <w:pPr>
        <w:pStyle w:val="TableFooter"/>
      </w:pPr>
      <w:r w:rsidRPr="007427EF">
        <w:t>Source: Table 1-5, p2</w:t>
      </w:r>
      <w:r w:rsidR="00B27B4F" w:rsidRPr="007427EF">
        <w:t>6</w:t>
      </w:r>
      <w:r w:rsidRPr="007427EF">
        <w:t xml:space="preserve"> of the resubmission. </w:t>
      </w:r>
    </w:p>
    <w:p w14:paraId="78C68F27" w14:textId="686A07E5" w:rsidR="006C5EF7" w:rsidRPr="007427EF" w:rsidRDefault="006C5EF7" w:rsidP="00661810">
      <w:pPr>
        <w:pStyle w:val="3-BodyText"/>
      </w:pPr>
      <w:r w:rsidRPr="007427EF">
        <w:t xml:space="preserve">The resubmission proposed a special pricing arrangement (SPA) </w:t>
      </w:r>
      <w:r w:rsidR="002560DC" w:rsidRPr="007427EF">
        <w:t>with a</w:t>
      </w:r>
      <w:r w:rsidRPr="007427EF">
        <w:t xml:space="preserve"> published ex-manufacturer price (EMP) </w:t>
      </w:r>
      <w:r w:rsidR="00572958" w:rsidRPr="007427EF">
        <w:t>of $</w:t>
      </w:r>
      <w:r w:rsidR="00572958" w:rsidRPr="006E1C8B">
        <w:t>2,495</w:t>
      </w:r>
      <w:r w:rsidR="00572958" w:rsidRPr="007427EF">
        <w:t xml:space="preserve"> </w:t>
      </w:r>
      <w:r w:rsidR="0068579C" w:rsidRPr="007427EF">
        <w:t>per</w:t>
      </w:r>
      <w:r w:rsidR="00367119" w:rsidRPr="007427EF">
        <w:t xml:space="preserve"> vial</w:t>
      </w:r>
      <w:r w:rsidRPr="007427EF">
        <w:t xml:space="preserve"> </w:t>
      </w:r>
      <w:r w:rsidR="00367119" w:rsidRPr="007427EF">
        <w:t>and</w:t>
      </w:r>
      <w:r w:rsidRPr="007427EF">
        <w:t xml:space="preserve"> an effective </w:t>
      </w:r>
      <w:r w:rsidR="005D6970" w:rsidRPr="007427EF">
        <w:t>EMP</w:t>
      </w:r>
      <w:r w:rsidR="00267B83" w:rsidRPr="007427EF">
        <w:t xml:space="preserve"> </w:t>
      </w:r>
      <w:r w:rsidRPr="007427EF">
        <w:t>of $</w:t>
      </w:r>
      <w:proofErr w:type="gramStart"/>
      <w:r w:rsidR="00A80A9D" w:rsidRPr="00260D3C">
        <w:rPr>
          <w:color w:val="000000"/>
          <w:w w:val="15"/>
          <w:shd w:val="solid" w:color="000000" w:fill="000000"/>
          <w:fitText w:val="-20" w:id="-694963957"/>
          <w14:textFill>
            <w14:solidFill>
              <w14:srgbClr w14:val="000000">
                <w14:alpha w14:val="100000"/>
              </w14:srgbClr>
            </w14:solidFill>
          </w14:textFill>
        </w:rPr>
        <w:t xml:space="preserve">|  </w:t>
      </w:r>
      <w:r w:rsidR="00A80A9D" w:rsidRPr="00260D3C">
        <w:rPr>
          <w:color w:val="000000"/>
          <w:spacing w:val="-69"/>
          <w:w w:val="15"/>
          <w:shd w:val="solid" w:color="000000" w:fill="000000"/>
          <w:fitText w:val="-20" w:id="-694963957"/>
          <w14:textFill>
            <w14:solidFill>
              <w14:srgbClr w14:val="000000">
                <w14:alpha w14:val="100000"/>
              </w14:srgbClr>
            </w14:solidFill>
          </w14:textFill>
        </w:rPr>
        <w:t>|</w:t>
      </w:r>
      <w:proofErr w:type="gramEnd"/>
      <w:r w:rsidRPr="007427EF">
        <w:t xml:space="preserve"> per vial. Th</w:t>
      </w:r>
      <w:r w:rsidR="00267B83" w:rsidRPr="007427EF">
        <w:t>e</w:t>
      </w:r>
      <w:r w:rsidR="005A2094" w:rsidRPr="007427EF">
        <w:t xml:space="preserve"> propose</w:t>
      </w:r>
      <w:r w:rsidR="00DE04A8" w:rsidRPr="007427EF">
        <w:t>d</w:t>
      </w:r>
      <w:r w:rsidR="00625A57" w:rsidRPr="007427EF">
        <w:t xml:space="preserve"> price</w:t>
      </w:r>
      <w:r w:rsidRPr="007427EF">
        <w:t xml:space="preserve"> </w:t>
      </w:r>
      <w:r w:rsidR="00267B83" w:rsidRPr="007427EF">
        <w:t>wa</w:t>
      </w:r>
      <w:r w:rsidR="00BD25C4" w:rsidRPr="007427EF">
        <w:t xml:space="preserve">s </w:t>
      </w:r>
      <w:proofErr w:type="gramStart"/>
      <w:r w:rsidR="00A80A9D" w:rsidRPr="00260D3C">
        <w:rPr>
          <w:color w:val="000000"/>
          <w:w w:val="15"/>
          <w:shd w:val="solid" w:color="000000" w:fill="000000"/>
          <w:fitText w:val="-20" w:id="-694963956"/>
          <w14:textFill>
            <w14:solidFill>
              <w14:srgbClr w14:val="000000">
                <w14:alpha w14:val="100000"/>
              </w14:srgbClr>
            </w14:solidFill>
          </w14:textFill>
        </w:rPr>
        <w:t xml:space="preserve">|  </w:t>
      </w:r>
      <w:r w:rsidR="00A80A9D" w:rsidRPr="00260D3C">
        <w:rPr>
          <w:color w:val="000000"/>
          <w:spacing w:val="-69"/>
          <w:w w:val="15"/>
          <w:shd w:val="solid" w:color="000000" w:fill="000000"/>
          <w:fitText w:val="-20" w:id="-694963956"/>
          <w14:textFill>
            <w14:solidFill>
              <w14:srgbClr w14:val="000000">
                <w14:alpha w14:val="100000"/>
              </w14:srgbClr>
            </w14:solidFill>
          </w14:textFill>
        </w:rPr>
        <w:t>|</w:t>
      </w:r>
      <w:proofErr w:type="gramEnd"/>
      <w:r w:rsidR="00370BCD" w:rsidRPr="007427EF">
        <w:t xml:space="preserve">% </w:t>
      </w:r>
      <w:r w:rsidRPr="007427EF">
        <w:t xml:space="preserve">lower than </w:t>
      </w:r>
      <w:r w:rsidR="00267B83" w:rsidRPr="007427EF">
        <w:t>that</w:t>
      </w:r>
      <w:r w:rsidRPr="007427EF">
        <w:t xml:space="preserve"> </w:t>
      </w:r>
      <w:r w:rsidR="00267B83" w:rsidRPr="007427EF">
        <w:t>offered</w:t>
      </w:r>
      <w:r w:rsidRPr="007427EF">
        <w:t xml:space="preserve"> in the July 2020 submission</w:t>
      </w:r>
      <w:r w:rsidR="00D5674C" w:rsidRPr="007427EF">
        <w:t xml:space="preserve"> ($</w:t>
      </w:r>
      <w:proofErr w:type="gramStart"/>
      <w:r w:rsidR="00A80A9D" w:rsidRPr="00260D3C">
        <w:rPr>
          <w:color w:val="000000"/>
          <w:w w:val="15"/>
          <w:shd w:val="solid" w:color="000000" w:fill="000000"/>
          <w:fitText w:val="-20" w:id="-694963955"/>
          <w14:textFill>
            <w14:solidFill>
              <w14:srgbClr w14:val="000000">
                <w14:alpha w14:val="100000"/>
              </w14:srgbClr>
            </w14:solidFill>
          </w14:textFill>
        </w:rPr>
        <w:t xml:space="preserve">|  </w:t>
      </w:r>
      <w:r w:rsidR="00A80A9D" w:rsidRPr="00260D3C">
        <w:rPr>
          <w:color w:val="000000"/>
          <w:spacing w:val="-69"/>
          <w:w w:val="15"/>
          <w:shd w:val="solid" w:color="000000" w:fill="000000"/>
          <w:fitText w:val="-20" w:id="-694963955"/>
          <w14:textFill>
            <w14:solidFill>
              <w14:srgbClr w14:val="000000">
                <w14:alpha w14:val="100000"/>
              </w14:srgbClr>
            </w14:solidFill>
          </w14:textFill>
        </w:rPr>
        <w:t>|</w:t>
      </w:r>
      <w:proofErr w:type="gramEnd"/>
      <w:r w:rsidR="00D5674C" w:rsidRPr="007427EF">
        <w:t xml:space="preserve"> per vial)</w:t>
      </w:r>
      <w:r w:rsidRPr="007427EF">
        <w:t xml:space="preserve"> and </w:t>
      </w:r>
      <w:proofErr w:type="gramStart"/>
      <w:r w:rsidR="00A80A9D" w:rsidRPr="00260D3C">
        <w:rPr>
          <w:color w:val="000000"/>
          <w:w w:val="15"/>
          <w:shd w:val="solid" w:color="000000" w:fill="000000"/>
          <w:fitText w:val="-20" w:id="-694963954"/>
          <w14:textFill>
            <w14:solidFill>
              <w14:srgbClr w14:val="000000">
                <w14:alpha w14:val="100000"/>
              </w14:srgbClr>
            </w14:solidFill>
          </w14:textFill>
        </w:rPr>
        <w:t xml:space="preserve">|  </w:t>
      </w:r>
      <w:r w:rsidR="00A80A9D" w:rsidRPr="00260D3C">
        <w:rPr>
          <w:color w:val="000000"/>
          <w:spacing w:val="-69"/>
          <w:w w:val="15"/>
          <w:shd w:val="solid" w:color="000000" w:fill="000000"/>
          <w:fitText w:val="-20" w:id="-694963954"/>
          <w14:textFill>
            <w14:solidFill>
              <w14:srgbClr w14:val="000000">
                <w14:alpha w14:val="100000"/>
              </w14:srgbClr>
            </w14:solidFill>
          </w14:textFill>
        </w:rPr>
        <w:t>|</w:t>
      </w:r>
      <w:proofErr w:type="gramEnd"/>
      <w:r w:rsidR="00D5674C" w:rsidRPr="007427EF">
        <w:t xml:space="preserve">% lower than </w:t>
      </w:r>
      <w:r w:rsidRPr="007427EF">
        <w:t xml:space="preserve">in the November 2020 </w:t>
      </w:r>
      <w:r w:rsidR="00370BCD" w:rsidRPr="007427EF">
        <w:t xml:space="preserve">resubmission </w:t>
      </w:r>
      <w:r w:rsidR="00966043" w:rsidRPr="007427EF">
        <w:t>($</w:t>
      </w:r>
      <w:proofErr w:type="gramStart"/>
      <w:r w:rsidR="00A80A9D" w:rsidRPr="00260D3C">
        <w:rPr>
          <w:color w:val="000000"/>
          <w:w w:val="15"/>
          <w:shd w:val="solid" w:color="000000" w:fill="000000"/>
          <w:fitText w:val="-20" w:id="-694963953"/>
          <w14:textFill>
            <w14:solidFill>
              <w14:srgbClr w14:val="000000">
                <w14:alpha w14:val="100000"/>
              </w14:srgbClr>
            </w14:solidFill>
          </w14:textFill>
        </w:rPr>
        <w:t xml:space="preserve">|  </w:t>
      </w:r>
      <w:r w:rsidR="00A80A9D" w:rsidRPr="00260D3C">
        <w:rPr>
          <w:color w:val="000000"/>
          <w:spacing w:val="-69"/>
          <w:w w:val="15"/>
          <w:shd w:val="solid" w:color="000000" w:fill="000000"/>
          <w:fitText w:val="-20" w:id="-694963953"/>
          <w14:textFill>
            <w14:solidFill>
              <w14:srgbClr w14:val="000000">
                <w14:alpha w14:val="100000"/>
              </w14:srgbClr>
            </w14:solidFill>
          </w14:textFill>
        </w:rPr>
        <w:t>|</w:t>
      </w:r>
      <w:proofErr w:type="gramEnd"/>
      <w:r w:rsidR="00966043" w:rsidRPr="007427EF">
        <w:t xml:space="preserve"> per vial). </w:t>
      </w:r>
      <w:r w:rsidR="004755D7" w:rsidRPr="00A559A5">
        <w:rPr>
          <w:iCs/>
        </w:rPr>
        <w:t xml:space="preserve">The PSCR proposed a CMA which </w:t>
      </w:r>
      <w:r w:rsidR="00CF51A4" w:rsidRPr="00A559A5">
        <w:rPr>
          <w:iCs/>
        </w:rPr>
        <w:t xml:space="preserve">resulted in a </w:t>
      </w:r>
      <w:r w:rsidR="002174EA" w:rsidRPr="00A559A5">
        <w:rPr>
          <w:iCs/>
        </w:rPr>
        <w:t xml:space="preserve">revised </w:t>
      </w:r>
      <w:r w:rsidR="00CF51A4" w:rsidRPr="00A559A5">
        <w:rPr>
          <w:iCs/>
        </w:rPr>
        <w:t xml:space="preserve">EMP </w:t>
      </w:r>
      <w:r w:rsidR="00CF51A4" w:rsidRPr="005907D4">
        <w:rPr>
          <w:iCs/>
        </w:rPr>
        <w:t>of $</w:t>
      </w:r>
      <w:r w:rsidR="00DC414F" w:rsidRPr="00F021FD">
        <w:rPr>
          <w:iCs/>
          <w:color w:val="000000"/>
          <w:w w:val="60"/>
          <w:shd w:val="solid" w:color="000000" w:fill="000000"/>
          <w:fitText w:val="467" w:id="-629370624"/>
          <w14:textFill>
            <w14:solidFill>
              <w14:srgbClr w14:val="000000">
                <w14:alpha w14:val="100000"/>
              </w14:srgbClr>
            </w14:solidFill>
          </w14:textFill>
        </w:rPr>
        <w:t>||</w:t>
      </w:r>
      <w:proofErr w:type="gramStart"/>
      <w:r w:rsidR="00DC414F" w:rsidRPr="00F021FD">
        <w:rPr>
          <w:iCs/>
          <w:color w:val="000000"/>
          <w:w w:val="60"/>
          <w:shd w:val="solid" w:color="000000" w:fill="000000"/>
          <w:fitText w:val="467" w:id="-629370624"/>
          <w14:textFill>
            <w14:solidFill>
              <w14:srgbClr w14:val="000000">
                <w14:alpha w14:val="100000"/>
              </w14:srgbClr>
            </w14:solidFill>
          </w14:textFill>
        </w:rPr>
        <w:t>|  |</w:t>
      </w:r>
      <w:proofErr w:type="gramEnd"/>
      <w:r w:rsidR="00DC414F" w:rsidRPr="00F021FD">
        <w:rPr>
          <w:iCs/>
          <w:color w:val="000000"/>
          <w:w w:val="60"/>
          <w:shd w:val="solid" w:color="000000" w:fill="000000"/>
          <w:fitText w:val="467" w:id="-629370624"/>
          <w14:textFill>
            <w14:solidFill>
              <w14:srgbClr w14:val="000000">
                <w14:alpha w14:val="100000"/>
              </w14:srgbClr>
            </w14:solidFill>
          </w14:textFill>
        </w:rPr>
        <w:t>|</w:t>
      </w:r>
      <w:r w:rsidR="00DC414F" w:rsidRPr="00F021FD">
        <w:rPr>
          <w:iCs/>
          <w:color w:val="000000"/>
          <w:spacing w:val="3"/>
          <w:w w:val="60"/>
          <w:shd w:val="solid" w:color="000000" w:fill="000000"/>
          <w:fitText w:val="467" w:id="-629370624"/>
          <w14:textFill>
            <w14:solidFill>
              <w14:srgbClr w14:val="000000">
                <w14:alpha w14:val="100000"/>
              </w14:srgbClr>
            </w14:solidFill>
          </w14:textFill>
        </w:rPr>
        <w:t>|</w:t>
      </w:r>
      <w:r w:rsidR="00CF51A4" w:rsidRPr="005907D4">
        <w:rPr>
          <w:iCs/>
        </w:rPr>
        <w:t xml:space="preserve"> per</w:t>
      </w:r>
      <w:r w:rsidR="00CF51A4" w:rsidRPr="00A559A5">
        <w:rPr>
          <w:iCs/>
        </w:rPr>
        <w:t xml:space="preserve"> vial.</w:t>
      </w:r>
    </w:p>
    <w:p w14:paraId="2BAB56FE" w14:textId="352899F2" w:rsidR="00BA6DAF" w:rsidRPr="00A559A5" w:rsidRDefault="002F5D69" w:rsidP="6A98AE7B">
      <w:pPr>
        <w:pStyle w:val="3-BodyText"/>
        <w:rPr>
          <w:iCs/>
        </w:rPr>
      </w:pPr>
      <w:bookmarkStart w:id="15" w:name="_Ref190780995"/>
      <w:r w:rsidRPr="00A559A5">
        <w:rPr>
          <w:iCs/>
        </w:rPr>
        <w:t xml:space="preserve">The ESC </w:t>
      </w:r>
      <w:r w:rsidR="007A2E35" w:rsidRPr="00A559A5">
        <w:rPr>
          <w:iCs/>
        </w:rPr>
        <w:t xml:space="preserve">noted the PSCR proposed a CMA to </w:t>
      </w:r>
      <w:proofErr w:type="spellStart"/>
      <w:r w:rsidR="007A2E35" w:rsidRPr="00A559A5">
        <w:rPr>
          <w:iCs/>
        </w:rPr>
        <w:t>vorinostat</w:t>
      </w:r>
      <w:proofErr w:type="spellEnd"/>
      <w:r w:rsidR="007A2E35" w:rsidRPr="00A559A5">
        <w:rPr>
          <w:iCs/>
        </w:rPr>
        <w:t xml:space="preserve"> and </w:t>
      </w:r>
      <w:r w:rsidRPr="00A559A5">
        <w:rPr>
          <w:iCs/>
        </w:rPr>
        <w:t xml:space="preserve">considered it would be reasonable to align the restriction for mogamulizumab with the current </w:t>
      </w:r>
      <w:proofErr w:type="spellStart"/>
      <w:r w:rsidRPr="00A559A5">
        <w:rPr>
          <w:iCs/>
        </w:rPr>
        <w:t>vorinostat</w:t>
      </w:r>
      <w:proofErr w:type="spellEnd"/>
      <w:r w:rsidRPr="00A559A5">
        <w:rPr>
          <w:iCs/>
        </w:rPr>
        <w:t xml:space="preserve"> restriction for cutaneous T cell lymphoma, including</w:t>
      </w:r>
      <w:r w:rsidR="00BA6DAF" w:rsidRPr="00A559A5">
        <w:rPr>
          <w:iCs/>
        </w:rPr>
        <w:t>:</w:t>
      </w:r>
      <w:bookmarkEnd w:id="15"/>
    </w:p>
    <w:p w14:paraId="7C53BC78" w14:textId="4F61EE40" w:rsidR="0088067E" w:rsidRPr="00A559A5" w:rsidRDefault="00BB629D" w:rsidP="001F735E">
      <w:pPr>
        <w:pStyle w:val="3-BodyText"/>
        <w:numPr>
          <w:ilvl w:val="0"/>
          <w:numId w:val="13"/>
        </w:numPr>
        <w:rPr>
          <w:iCs/>
        </w:rPr>
      </w:pPr>
      <w:r w:rsidRPr="00A559A5">
        <w:rPr>
          <w:iCs/>
        </w:rPr>
        <w:t xml:space="preserve">Adding </w:t>
      </w:r>
      <w:r w:rsidR="002F5D69" w:rsidRPr="00A559A5">
        <w:rPr>
          <w:iCs/>
        </w:rPr>
        <w:t>the clinical criteria ‘Patient must be ineligible for stem cell transplant’</w:t>
      </w:r>
      <w:r w:rsidR="00C80DF8" w:rsidRPr="00A559A5">
        <w:rPr>
          <w:iCs/>
        </w:rPr>
        <w:t>. The</w:t>
      </w:r>
      <w:r w:rsidR="004764E5" w:rsidRPr="00A559A5">
        <w:rPr>
          <w:iCs/>
        </w:rPr>
        <w:t xml:space="preserve"> ESC acknowledged that this was not a require</w:t>
      </w:r>
      <w:r w:rsidR="009A251A" w:rsidRPr="00A559A5">
        <w:rPr>
          <w:iCs/>
        </w:rPr>
        <w:t>ment for the MAVORIC trial</w:t>
      </w:r>
      <w:r w:rsidR="00AE0E1C" w:rsidRPr="00A559A5">
        <w:rPr>
          <w:iCs/>
        </w:rPr>
        <w:t xml:space="preserve"> but advised that in clinical practice a stem cell transplant (SCT) would be used in preference to mogamulizumab if </w:t>
      </w:r>
      <w:proofErr w:type="gramStart"/>
      <w:r w:rsidR="00AE0E1C" w:rsidRPr="00A559A5">
        <w:rPr>
          <w:iCs/>
        </w:rPr>
        <w:t>indicated</w:t>
      </w:r>
      <w:r w:rsidR="0088067E" w:rsidRPr="00A559A5">
        <w:rPr>
          <w:iCs/>
        </w:rPr>
        <w:t>;</w:t>
      </w:r>
      <w:proofErr w:type="gramEnd"/>
      <w:r w:rsidR="0088067E" w:rsidRPr="00A559A5">
        <w:rPr>
          <w:iCs/>
        </w:rPr>
        <w:t xml:space="preserve"> </w:t>
      </w:r>
    </w:p>
    <w:p w14:paraId="173D7FCE" w14:textId="2451CAD8" w:rsidR="0088067E" w:rsidRPr="00A559A5" w:rsidRDefault="00A702F8" w:rsidP="001F735E">
      <w:pPr>
        <w:pStyle w:val="3-BodyText"/>
        <w:numPr>
          <w:ilvl w:val="0"/>
          <w:numId w:val="13"/>
        </w:numPr>
        <w:rPr>
          <w:iCs/>
        </w:rPr>
      </w:pPr>
      <w:r w:rsidRPr="00A559A5">
        <w:rPr>
          <w:iCs/>
        </w:rPr>
        <w:t>Removing</w:t>
      </w:r>
      <w:r w:rsidR="0088067E" w:rsidRPr="00A559A5">
        <w:rPr>
          <w:iCs/>
        </w:rPr>
        <w:t xml:space="preserve"> </w:t>
      </w:r>
      <w:r w:rsidR="00C93F1B" w:rsidRPr="00A559A5">
        <w:rPr>
          <w:iCs/>
        </w:rPr>
        <w:t xml:space="preserve">the </w:t>
      </w:r>
      <w:r w:rsidR="007A66AC" w:rsidRPr="00A559A5">
        <w:rPr>
          <w:iCs/>
        </w:rPr>
        <w:t xml:space="preserve">clinical criteria </w:t>
      </w:r>
      <w:r w:rsidRPr="00A559A5">
        <w:rPr>
          <w:iCs/>
        </w:rPr>
        <w:t>‘P</w:t>
      </w:r>
      <w:r w:rsidR="007A66AC" w:rsidRPr="00A559A5">
        <w:rPr>
          <w:iCs/>
        </w:rPr>
        <w:t>atient must have a histologically confirmed diagnosis of mycosis fungoides</w:t>
      </w:r>
      <w:r w:rsidR="00BB629D" w:rsidRPr="00A559A5">
        <w:rPr>
          <w:iCs/>
        </w:rPr>
        <w:t>’</w:t>
      </w:r>
      <w:r w:rsidR="00D11229" w:rsidRPr="00A559A5">
        <w:rPr>
          <w:iCs/>
        </w:rPr>
        <w:t xml:space="preserve"> or </w:t>
      </w:r>
      <w:r w:rsidR="00BB629D" w:rsidRPr="00A559A5">
        <w:rPr>
          <w:iCs/>
        </w:rPr>
        <w:t xml:space="preserve">‘Patient must have a histologically confirmed diagnosis of </w:t>
      </w:r>
      <w:r w:rsidR="00BA6DAF" w:rsidRPr="00A559A5">
        <w:rPr>
          <w:iCs/>
        </w:rPr>
        <w:t>S</w:t>
      </w:r>
      <w:r w:rsidR="00D11229" w:rsidRPr="00A559A5">
        <w:rPr>
          <w:iCs/>
        </w:rPr>
        <w:t>ezary syndrome</w:t>
      </w:r>
      <w:proofErr w:type="gramStart"/>
      <w:r w:rsidR="00BB629D" w:rsidRPr="00A559A5">
        <w:rPr>
          <w:iCs/>
        </w:rPr>
        <w:t>’</w:t>
      </w:r>
      <w:r w:rsidR="0088067E" w:rsidRPr="00A559A5">
        <w:rPr>
          <w:iCs/>
        </w:rPr>
        <w:t>;</w:t>
      </w:r>
      <w:proofErr w:type="gramEnd"/>
    </w:p>
    <w:p w14:paraId="3F9015E8" w14:textId="56D01C21" w:rsidR="005A2AB2" w:rsidRPr="00A559A5" w:rsidRDefault="006A6E0C" w:rsidP="001F735E">
      <w:pPr>
        <w:pStyle w:val="3-BodyText"/>
        <w:numPr>
          <w:ilvl w:val="0"/>
          <w:numId w:val="13"/>
        </w:numPr>
        <w:rPr>
          <w:iCs/>
        </w:rPr>
      </w:pPr>
      <w:r w:rsidRPr="00A559A5">
        <w:rPr>
          <w:iCs/>
        </w:rPr>
        <w:t xml:space="preserve">Replacing the clinical criteria </w:t>
      </w:r>
      <w:r w:rsidR="00CD459B" w:rsidRPr="00A559A5">
        <w:rPr>
          <w:iCs/>
        </w:rPr>
        <w:t>‘P</w:t>
      </w:r>
      <w:r w:rsidRPr="00A559A5">
        <w:rPr>
          <w:iCs/>
        </w:rPr>
        <w:t>atient must have experienced a relapse or is refractory to a prior systemic therapy for this condition</w:t>
      </w:r>
      <w:r w:rsidR="00CD459B" w:rsidRPr="00A559A5">
        <w:rPr>
          <w:iCs/>
        </w:rPr>
        <w:t>’</w:t>
      </w:r>
      <w:r w:rsidRPr="00A559A5">
        <w:rPr>
          <w:iCs/>
        </w:rPr>
        <w:t xml:space="preserve"> with </w:t>
      </w:r>
      <w:r w:rsidR="00A233CC" w:rsidRPr="00A559A5">
        <w:rPr>
          <w:iCs/>
        </w:rPr>
        <w:t xml:space="preserve">the </w:t>
      </w:r>
      <w:r w:rsidR="00EF2753" w:rsidRPr="00A559A5">
        <w:rPr>
          <w:iCs/>
        </w:rPr>
        <w:t xml:space="preserve">‘Patient </w:t>
      </w:r>
      <w:r w:rsidR="007D5A70" w:rsidRPr="00A559A5">
        <w:rPr>
          <w:iCs/>
        </w:rPr>
        <w:t xml:space="preserve">must have received systemic treatment with chemotherapy’ and </w:t>
      </w:r>
      <w:r w:rsidR="005A2AB2" w:rsidRPr="00A559A5">
        <w:rPr>
          <w:iCs/>
        </w:rPr>
        <w:t>‘Patient must demonstrate relapsed or chemotherapy-refractory disease; and</w:t>
      </w:r>
    </w:p>
    <w:p w14:paraId="750A8F6A" w14:textId="770DE7F4" w:rsidR="002F5D69" w:rsidRDefault="005A2AB2" w:rsidP="001F735E">
      <w:pPr>
        <w:pStyle w:val="3-BodyText"/>
        <w:numPr>
          <w:ilvl w:val="0"/>
          <w:numId w:val="13"/>
        </w:numPr>
        <w:rPr>
          <w:iCs/>
        </w:rPr>
      </w:pPr>
      <w:r w:rsidRPr="00A559A5">
        <w:rPr>
          <w:iCs/>
        </w:rPr>
        <w:t>Replacing th</w:t>
      </w:r>
      <w:r w:rsidR="00A702F8" w:rsidRPr="00A559A5">
        <w:rPr>
          <w:iCs/>
        </w:rPr>
        <w:t>e clinical criteria ‘The treatment must be the sole PBS-subsidised systemic anti-cancer therapy for this condition’ with ‘The treatment must be the sole PBS-subsidised therapy for this condition’</w:t>
      </w:r>
      <w:r w:rsidR="00D11229" w:rsidRPr="00A559A5">
        <w:rPr>
          <w:iCs/>
        </w:rPr>
        <w:t>.</w:t>
      </w:r>
      <w:r w:rsidR="00C93F1B" w:rsidRPr="00A559A5">
        <w:rPr>
          <w:iCs/>
        </w:rPr>
        <w:t xml:space="preserve"> </w:t>
      </w:r>
    </w:p>
    <w:p w14:paraId="6CE6AAE0" w14:textId="45D10672" w:rsidR="00214F69" w:rsidRPr="00214F69" w:rsidRDefault="00214F69" w:rsidP="00214F69">
      <w:pPr>
        <w:pStyle w:val="3-BodyText"/>
        <w:numPr>
          <w:ilvl w:val="0"/>
          <w:numId w:val="0"/>
        </w:numPr>
        <w:ind w:left="720"/>
        <w:rPr>
          <w:i/>
        </w:rPr>
      </w:pPr>
      <w:r w:rsidRPr="00214F69">
        <w:rPr>
          <w:i/>
        </w:rPr>
        <w:t>For more detail on PBAC’s view, see section 7 PBAC outcome.</w:t>
      </w:r>
    </w:p>
    <w:p w14:paraId="7075B85C" w14:textId="62A47B7B" w:rsidR="00B50DB8" w:rsidRPr="007427EF" w:rsidDel="00195452" w:rsidRDefault="00203181" w:rsidP="00661810">
      <w:pPr>
        <w:pStyle w:val="2-SectionHeading"/>
      </w:pPr>
      <w:bookmarkStart w:id="16" w:name="_Toc188431841"/>
      <w:r w:rsidRPr="007427EF" w:rsidDel="00195452">
        <w:lastRenderedPageBreak/>
        <w:t xml:space="preserve">Population and </w:t>
      </w:r>
      <w:r w:rsidR="008E0D3C" w:rsidRPr="007427EF" w:rsidDel="00195452">
        <w:t>d</w:t>
      </w:r>
      <w:r w:rsidRPr="007427EF" w:rsidDel="00195452">
        <w:t>isease</w:t>
      </w:r>
      <w:bookmarkEnd w:id="16"/>
    </w:p>
    <w:p w14:paraId="17689A5B" w14:textId="38F06533" w:rsidR="00C54719" w:rsidRPr="007427EF" w:rsidRDefault="00C54719" w:rsidP="6A98AE7B">
      <w:pPr>
        <w:pStyle w:val="3-BodyText"/>
        <w:rPr>
          <w:color w:val="0066FF"/>
        </w:rPr>
      </w:pPr>
      <w:r w:rsidRPr="007427EF">
        <w:t xml:space="preserve">CTCL is a rare subtype of non-Hodgkin lymphoma (2-3% of cases) that presents with skin manifestation at diagnosis and eventually involves the lymph nodes, blood and internal organs. The two most common forms of CTCL are MF or SS which comprise approximately two-thirds of CTCL cases, with MF representing the majority of these in most treatment settings. All CTCL subtypes are defined by abnormal clonal proliferations of mature T-cells that infiltrate the skin and eventually manifest into patches, plaques, tumours, and/or erythroderma. MF is characterised by an aggressive disease state and is associated with poor survival. SS is an advanced and severe disease state with </w:t>
      </w:r>
      <w:r w:rsidR="0092736E" w:rsidRPr="007427EF">
        <w:t xml:space="preserve">a </w:t>
      </w:r>
      <w:r w:rsidRPr="007427EF">
        <w:t xml:space="preserve">historical median survival of less than 3 years. In Australia, the incidence rate of MF is estimated at 0.30 per 100,000 persons per year, with 93 new cases reported in 2020. SS is much rarer, with only 8 cases reported in the same year (Australian Institute of Health and Welfare; AIHW). </w:t>
      </w:r>
      <w:r w:rsidR="004E539E" w:rsidRPr="007427EF">
        <w:t>The i</w:t>
      </w:r>
      <w:r w:rsidRPr="007427EF">
        <w:t xml:space="preserve">ncidence of CTCL increases significantly with age, with a median age at diagnosis </w:t>
      </w:r>
      <w:r w:rsidR="004E539E" w:rsidRPr="007427EF">
        <w:t xml:space="preserve">of </w:t>
      </w:r>
      <w:r w:rsidRPr="007427EF">
        <w:t>around 55 years and a 4-fold increase in incidence in patients over 70 years.</w:t>
      </w:r>
    </w:p>
    <w:p w14:paraId="619F4077" w14:textId="2FFD2EBF" w:rsidR="007725CE" w:rsidRDefault="008A4BE8" w:rsidP="00661810">
      <w:pPr>
        <w:pStyle w:val="3-BodyText"/>
      </w:pPr>
      <w:r w:rsidRPr="007427EF">
        <w:t xml:space="preserve">Mogamulizumab is a </w:t>
      </w:r>
      <w:proofErr w:type="spellStart"/>
      <w:r w:rsidRPr="007427EF">
        <w:t>defucosylated</w:t>
      </w:r>
      <w:proofErr w:type="spellEnd"/>
      <w:r w:rsidRPr="007427EF">
        <w:t>, humanised</w:t>
      </w:r>
      <w:r w:rsidR="00E71629" w:rsidRPr="007427EF">
        <w:t xml:space="preserve"> </w:t>
      </w:r>
      <w:r w:rsidR="00FD43DF" w:rsidRPr="007427EF">
        <w:t>immunoglobulin G</w:t>
      </w:r>
      <w:r w:rsidRPr="007427EF">
        <w:t xml:space="preserve"> </w:t>
      </w:r>
      <w:r w:rsidR="00FD43DF" w:rsidRPr="007427EF">
        <w:t>(</w:t>
      </w:r>
      <w:r w:rsidRPr="007427EF">
        <w:t>IgG1</w:t>
      </w:r>
      <w:r w:rsidR="00FD43DF" w:rsidRPr="007427EF">
        <w:t>)</w:t>
      </w:r>
      <w:r w:rsidRPr="007427EF">
        <w:t xml:space="preserve"> kappa immunoglobulin that selectively binds to</w:t>
      </w:r>
      <w:r w:rsidR="006910F0" w:rsidRPr="007427EF">
        <w:t xml:space="preserve"> C-C chemokine receptor 4</w:t>
      </w:r>
      <w:r w:rsidRPr="007427EF">
        <w:t xml:space="preserve"> </w:t>
      </w:r>
      <w:r w:rsidR="006910F0" w:rsidRPr="007427EF">
        <w:t>(</w:t>
      </w:r>
      <w:r w:rsidRPr="007427EF">
        <w:t>CCR4</w:t>
      </w:r>
      <w:r w:rsidR="006910F0" w:rsidRPr="007427EF">
        <w:t>)</w:t>
      </w:r>
      <w:r w:rsidRPr="007427EF">
        <w:t>, a G-protein-coupled receptor for CC chemokines that is involved in the trafficking of lymphocytes to various organs including the skin. CCR4 is expressed on the surface of some T cell malignancies, such as MF and SS as well as Type 2 T helper (Th2) T cells and regulatory T cells (Tregs). Binding of mogamulizumab to CCR4 induces antibody-dependent cellular cytotoxicity (ADCC), resulting in the depletion of target cells.</w:t>
      </w:r>
    </w:p>
    <w:p w14:paraId="4CE56E19" w14:textId="77777777" w:rsidR="00214F69" w:rsidRPr="00C33D30" w:rsidRDefault="00214F69" w:rsidP="00214F69">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7427EF" w:rsidRDefault="00B50DB8" w:rsidP="00661810">
      <w:pPr>
        <w:pStyle w:val="2-SectionHeading"/>
      </w:pPr>
      <w:bookmarkStart w:id="17" w:name="_Toc188431842"/>
      <w:r w:rsidRPr="007427EF">
        <w:t>Comparator</w:t>
      </w:r>
      <w:bookmarkEnd w:id="17"/>
    </w:p>
    <w:p w14:paraId="144ADFD7" w14:textId="068C2E43" w:rsidR="00ED6035" w:rsidRPr="00214F69" w:rsidRDefault="00ED6035" w:rsidP="00741123">
      <w:pPr>
        <w:pStyle w:val="3-BodyText"/>
      </w:pPr>
      <w:r w:rsidRPr="007427EF">
        <w:t xml:space="preserve">The resubmission nominated </w:t>
      </w:r>
      <w:proofErr w:type="spellStart"/>
      <w:r w:rsidRPr="007427EF">
        <w:t>vorinostat</w:t>
      </w:r>
      <w:proofErr w:type="spellEnd"/>
      <w:r w:rsidRPr="007427EF">
        <w:t xml:space="preserve"> as the main comparator, with extracorporeal photopheresis (ECP) combined with </w:t>
      </w:r>
      <w:proofErr w:type="spellStart"/>
      <w:r w:rsidRPr="007427EF">
        <w:t>methoxsalen</w:t>
      </w:r>
      <w:proofErr w:type="spellEnd"/>
      <w:r w:rsidRPr="007427EF">
        <w:t xml:space="preserve"> and brentuximab vedotin (brentuximab) as the secondary and tertiary comparators, respectively. The PBAC previously accepted </w:t>
      </w:r>
      <w:proofErr w:type="spellStart"/>
      <w:r w:rsidRPr="007427EF">
        <w:t>vorinostat</w:t>
      </w:r>
      <w:proofErr w:type="spellEnd"/>
      <w:r w:rsidRPr="007427EF">
        <w:t xml:space="preserve"> as the main comparator and brentuximab as the secondary comparator in its July 2020 consideration of mogamulizumab (para 7.3, mogamulizumab, </w:t>
      </w:r>
      <w:r w:rsidR="00D00937" w:rsidRPr="00D00937">
        <w:t xml:space="preserve">Public Summary Document </w:t>
      </w:r>
      <w:r w:rsidR="00D00937">
        <w:t>(</w:t>
      </w:r>
      <w:r w:rsidRPr="007427EF">
        <w:t>PSD</w:t>
      </w:r>
      <w:r w:rsidR="00D00937">
        <w:t>)</w:t>
      </w:r>
      <w:r w:rsidRPr="007427EF">
        <w:t xml:space="preserve">, July 2020 PBAC meeting). </w:t>
      </w:r>
      <w:r w:rsidR="004E439A" w:rsidRPr="007427EF">
        <w:t xml:space="preserve">The </w:t>
      </w:r>
      <w:r w:rsidR="00EA298C" w:rsidRPr="007427EF">
        <w:t>resubmission</w:t>
      </w:r>
      <w:r w:rsidR="004E439A" w:rsidRPr="007427EF">
        <w:t xml:space="preserve"> did not include evidence of cost-effectiveness for mogamulizumab against ECP or brentuximab but included both as cost-offsets in the financial estimates.</w:t>
      </w:r>
      <w:r w:rsidR="00B24312" w:rsidRPr="007427EF">
        <w:t xml:space="preserve"> </w:t>
      </w:r>
      <w:r w:rsidR="00A975C3" w:rsidRPr="00A559A5">
        <w:rPr>
          <w:iCs/>
        </w:rPr>
        <w:t xml:space="preserve">The ESC noted that ECP in combination with </w:t>
      </w:r>
      <w:proofErr w:type="spellStart"/>
      <w:r w:rsidR="00A975C3" w:rsidRPr="00A559A5">
        <w:rPr>
          <w:iCs/>
        </w:rPr>
        <w:t>methoxsalen</w:t>
      </w:r>
      <w:proofErr w:type="spellEnd"/>
      <w:r w:rsidR="00A975C3" w:rsidRPr="00A559A5">
        <w:rPr>
          <w:iCs/>
        </w:rPr>
        <w:t xml:space="preserve"> targets a different aspect of disease management to mogamulizumab. </w:t>
      </w:r>
      <w:r w:rsidR="00B24312" w:rsidRPr="00A559A5">
        <w:rPr>
          <w:iCs/>
        </w:rPr>
        <w:t xml:space="preserve">The ESC considered </w:t>
      </w:r>
      <w:r w:rsidR="00C04474" w:rsidRPr="00A559A5">
        <w:rPr>
          <w:iCs/>
        </w:rPr>
        <w:t xml:space="preserve">the nomination of </w:t>
      </w:r>
      <w:proofErr w:type="spellStart"/>
      <w:r w:rsidR="00B24312" w:rsidRPr="00A559A5">
        <w:rPr>
          <w:iCs/>
        </w:rPr>
        <w:t>vorinostat</w:t>
      </w:r>
      <w:proofErr w:type="spellEnd"/>
      <w:r w:rsidR="00B24312" w:rsidRPr="00A559A5">
        <w:rPr>
          <w:iCs/>
        </w:rPr>
        <w:t xml:space="preserve"> </w:t>
      </w:r>
      <w:r w:rsidR="00C04474" w:rsidRPr="00A559A5">
        <w:rPr>
          <w:iCs/>
        </w:rPr>
        <w:t xml:space="preserve">as the main </w:t>
      </w:r>
      <w:r w:rsidR="00B24312" w:rsidRPr="00A559A5">
        <w:rPr>
          <w:iCs/>
        </w:rPr>
        <w:t>comparator</w:t>
      </w:r>
      <w:r w:rsidR="00C04474" w:rsidRPr="00A559A5">
        <w:rPr>
          <w:iCs/>
        </w:rPr>
        <w:t xml:space="preserve"> </w:t>
      </w:r>
      <w:r w:rsidR="00C654B7" w:rsidRPr="00A559A5">
        <w:rPr>
          <w:iCs/>
        </w:rPr>
        <w:t xml:space="preserve">was </w:t>
      </w:r>
      <w:r w:rsidR="00C04474" w:rsidRPr="00A559A5">
        <w:rPr>
          <w:iCs/>
        </w:rPr>
        <w:t>appropriate</w:t>
      </w:r>
      <w:r w:rsidR="00B24312" w:rsidRPr="00A559A5">
        <w:rPr>
          <w:iCs/>
        </w:rPr>
        <w:t>.</w:t>
      </w:r>
    </w:p>
    <w:p w14:paraId="4FA7C90A" w14:textId="77777777" w:rsidR="00214F69" w:rsidRPr="00C33D30" w:rsidRDefault="00214F69" w:rsidP="0037369A">
      <w:pPr>
        <w:ind w:firstLine="720"/>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7427EF" w:rsidRDefault="00223D5A" w:rsidP="00661810">
      <w:pPr>
        <w:pStyle w:val="2-SectionHeading"/>
      </w:pPr>
      <w:bookmarkStart w:id="18" w:name="_Toc188431843"/>
      <w:bookmarkStart w:id="19" w:name="_Toc22897640"/>
      <w:r w:rsidRPr="007427EF">
        <w:lastRenderedPageBreak/>
        <w:t>Consideration of the evidence</w:t>
      </w:r>
      <w:bookmarkEnd w:id="18"/>
    </w:p>
    <w:p w14:paraId="4ED0FA85" w14:textId="77777777" w:rsidR="00A337D0" w:rsidRPr="006E1229" w:rsidRDefault="00A337D0" w:rsidP="00FA21C2">
      <w:pPr>
        <w:pStyle w:val="4-SubsectionHeading"/>
      </w:pPr>
      <w:bookmarkStart w:id="20" w:name="_Hlk76375935"/>
      <w:bookmarkStart w:id="21" w:name="_Toc188431844"/>
      <w:r w:rsidRPr="006E1229">
        <w:t>Sponsor hearing</w:t>
      </w:r>
    </w:p>
    <w:p w14:paraId="4227931D" w14:textId="3A4F8A33" w:rsidR="00A337D0" w:rsidRPr="006C597E" w:rsidRDefault="00A337D0" w:rsidP="00A337D0">
      <w:pPr>
        <w:widowControl w:val="0"/>
        <w:numPr>
          <w:ilvl w:val="1"/>
          <w:numId w:val="1"/>
        </w:numPr>
        <w:spacing w:after="120"/>
        <w:rPr>
          <w:rFonts w:asciiTheme="minorHAnsi" w:hAnsiTheme="minorHAnsi"/>
          <w:bCs/>
          <w:snapToGrid w:val="0"/>
        </w:rPr>
      </w:pPr>
      <w:bookmarkStart w:id="22" w:name="_Hlk76382586"/>
      <w:r w:rsidRPr="006C597E">
        <w:rPr>
          <w:rFonts w:asciiTheme="minorHAnsi" w:hAnsiTheme="minorHAnsi"/>
          <w:bCs/>
          <w:snapToGrid w:val="0"/>
        </w:rPr>
        <w:t>The sponsor requested a hearing for this item. The clinician</w:t>
      </w:r>
      <w:r w:rsidR="006C597E">
        <w:rPr>
          <w:rFonts w:asciiTheme="minorHAnsi" w:hAnsiTheme="minorHAnsi"/>
          <w:bCs/>
          <w:snapToGrid w:val="0"/>
        </w:rPr>
        <w:t>s</w:t>
      </w:r>
      <w:r w:rsidRPr="006C597E">
        <w:rPr>
          <w:rFonts w:asciiTheme="minorHAnsi" w:hAnsiTheme="minorHAnsi"/>
          <w:bCs/>
          <w:snapToGrid w:val="0"/>
        </w:rPr>
        <w:t xml:space="preserve"> presented </w:t>
      </w:r>
      <w:r w:rsidR="007F7EE8">
        <w:rPr>
          <w:rFonts w:asciiTheme="minorHAnsi" w:hAnsiTheme="minorHAnsi"/>
          <w:bCs/>
          <w:snapToGrid w:val="0"/>
        </w:rPr>
        <w:t xml:space="preserve">clinical case studies </w:t>
      </w:r>
      <w:r w:rsidR="00432891">
        <w:rPr>
          <w:rFonts w:asciiTheme="minorHAnsi" w:hAnsiTheme="minorHAnsi"/>
          <w:bCs/>
          <w:snapToGrid w:val="0"/>
        </w:rPr>
        <w:t>describing the impact of</w:t>
      </w:r>
      <w:r w:rsidR="00E43EFC">
        <w:rPr>
          <w:rFonts w:asciiTheme="minorHAnsi" w:hAnsiTheme="minorHAnsi"/>
          <w:bCs/>
          <w:snapToGrid w:val="0"/>
        </w:rPr>
        <w:t xml:space="preserve"> </w:t>
      </w:r>
      <w:r w:rsidR="00B01037">
        <w:rPr>
          <w:rFonts w:asciiTheme="minorHAnsi" w:hAnsiTheme="minorHAnsi"/>
          <w:bCs/>
          <w:snapToGrid w:val="0"/>
        </w:rPr>
        <w:t>CTCL on pati</w:t>
      </w:r>
      <w:r w:rsidR="007E7230">
        <w:rPr>
          <w:rFonts w:asciiTheme="minorHAnsi" w:hAnsiTheme="minorHAnsi"/>
          <w:bCs/>
          <w:snapToGrid w:val="0"/>
        </w:rPr>
        <w:t xml:space="preserve">ents. The clinicians noted that </w:t>
      </w:r>
      <w:r w:rsidR="00D238FB">
        <w:rPr>
          <w:rFonts w:asciiTheme="minorHAnsi" w:hAnsiTheme="minorHAnsi"/>
          <w:bCs/>
          <w:snapToGrid w:val="0"/>
        </w:rPr>
        <w:t xml:space="preserve">patients often had very poor quality of life due to </w:t>
      </w:r>
      <w:r w:rsidR="003B2C5B">
        <w:rPr>
          <w:rFonts w:asciiTheme="minorHAnsi" w:hAnsiTheme="minorHAnsi"/>
          <w:bCs/>
          <w:snapToGrid w:val="0"/>
        </w:rPr>
        <w:t xml:space="preserve">the burden of skin related symptoms </w:t>
      </w:r>
      <w:r w:rsidR="00B40314">
        <w:rPr>
          <w:rFonts w:asciiTheme="minorHAnsi" w:hAnsiTheme="minorHAnsi"/>
          <w:bCs/>
          <w:snapToGrid w:val="0"/>
        </w:rPr>
        <w:t xml:space="preserve">such as </w:t>
      </w:r>
      <w:r w:rsidR="009A7E47">
        <w:rPr>
          <w:rFonts w:asciiTheme="minorHAnsi" w:hAnsiTheme="minorHAnsi"/>
          <w:bCs/>
          <w:snapToGrid w:val="0"/>
        </w:rPr>
        <w:t xml:space="preserve">plaques, </w:t>
      </w:r>
      <w:r w:rsidR="008D634E">
        <w:rPr>
          <w:rFonts w:asciiTheme="minorHAnsi" w:hAnsiTheme="minorHAnsi"/>
          <w:bCs/>
          <w:snapToGrid w:val="0"/>
        </w:rPr>
        <w:t xml:space="preserve">tumours, erythroderma, </w:t>
      </w:r>
      <w:r w:rsidR="009A7E47">
        <w:rPr>
          <w:rFonts w:asciiTheme="minorHAnsi" w:hAnsiTheme="minorHAnsi"/>
          <w:bCs/>
          <w:snapToGrid w:val="0"/>
        </w:rPr>
        <w:t>scales</w:t>
      </w:r>
      <w:r w:rsidR="00DA57EB">
        <w:rPr>
          <w:rFonts w:asciiTheme="minorHAnsi" w:hAnsiTheme="minorHAnsi"/>
          <w:bCs/>
          <w:snapToGrid w:val="0"/>
        </w:rPr>
        <w:t>,</w:t>
      </w:r>
      <w:r w:rsidR="009A7E47">
        <w:rPr>
          <w:rFonts w:asciiTheme="minorHAnsi" w:hAnsiTheme="minorHAnsi"/>
          <w:bCs/>
          <w:snapToGrid w:val="0"/>
        </w:rPr>
        <w:t xml:space="preserve"> </w:t>
      </w:r>
      <w:r w:rsidR="002C2163">
        <w:rPr>
          <w:rFonts w:asciiTheme="minorHAnsi" w:hAnsiTheme="minorHAnsi"/>
          <w:bCs/>
          <w:snapToGrid w:val="0"/>
        </w:rPr>
        <w:t>extensive itching</w:t>
      </w:r>
      <w:r w:rsidR="009A7E47">
        <w:rPr>
          <w:rFonts w:asciiTheme="minorHAnsi" w:hAnsiTheme="minorHAnsi"/>
          <w:bCs/>
          <w:snapToGrid w:val="0"/>
        </w:rPr>
        <w:t xml:space="preserve"> and </w:t>
      </w:r>
      <w:r w:rsidR="002C2163">
        <w:rPr>
          <w:rFonts w:asciiTheme="minorHAnsi" w:hAnsiTheme="minorHAnsi"/>
          <w:bCs/>
          <w:snapToGrid w:val="0"/>
        </w:rPr>
        <w:t>skin pain</w:t>
      </w:r>
      <w:r w:rsidR="00B96644">
        <w:rPr>
          <w:rFonts w:asciiTheme="minorHAnsi" w:hAnsiTheme="minorHAnsi"/>
          <w:bCs/>
          <w:snapToGrid w:val="0"/>
        </w:rPr>
        <w:t xml:space="preserve">. </w:t>
      </w:r>
      <w:r w:rsidR="008B14DF">
        <w:rPr>
          <w:rFonts w:asciiTheme="minorHAnsi" w:hAnsiTheme="minorHAnsi"/>
          <w:bCs/>
          <w:snapToGrid w:val="0"/>
        </w:rPr>
        <w:t xml:space="preserve">Such symptoms often affect </w:t>
      </w:r>
      <w:proofErr w:type="gramStart"/>
      <w:r w:rsidR="008B14DF">
        <w:rPr>
          <w:rFonts w:asciiTheme="minorHAnsi" w:hAnsiTheme="minorHAnsi"/>
          <w:bCs/>
          <w:snapToGrid w:val="0"/>
        </w:rPr>
        <w:t>patients</w:t>
      </w:r>
      <w:proofErr w:type="gramEnd"/>
      <w:r w:rsidR="008B14DF">
        <w:rPr>
          <w:rFonts w:asciiTheme="minorHAnsi" w:hAnsiTheme="minorHAnsi"/>
          <w:bCs/>
          <w:snapToGrid w:val="0"/>
        </w:rPr>
        <w:t xml:space="preserve"> hands and feet making it difficult </w:t>
      </w:r>
      <w:r w:rsidR="0051532A">
        <w:rPr>
          <w:rFonts w:asciiTheme="minorHAnsi" w:hAnsiTheme="minorHAnsi"/>
          <w:bCs/>
          <w:snapToGrid w:val="0"/>
        </w:rPr>
        <w:t xml:space="preserve">for them </w:t>
      </w:r>
      <w:r w:rsidR="008B14DF">
        <w:rPr>
          <w:rFonts w:asciiTheme="minorHAnsi" w:hAnsiTheme="minorHAnsi"/>
          <w:bCs/>
          <w:snapToGrid w:val="0"/>
        </w:rPr>
        <w:t xml:space="preserve">to function. </w:t>
      </w:r>
      <w:r w:rsidR="003E343A">
        <w:rPr>
          <w:rFonts w:asciiTheme="minorHAnsi" w:hAnsiTheme="minorHAnsi"/>
          <w:bCs/>
          <w:snapToGrid w:val="0"/>
        </w:rPr>
        <w:t xml:space="preserve">The clinicians described </w:t>
      </w:r>
      <w:r w:rsidR="006078B5">
        <w:rPr>
          <w:rFonts w:asciiTheme="minorHAnsi" w:hAnsiTheme="minorHAnsi"/>
          <w:bCs/>
          <w:snapToGrid w:val="0"/>
        </w:rPr>
        <w:t xml:space="preserve">an unmet need for new treatments as remissions were short with no patients cured of the disease. </w:t>
      </w:r>
      <w:r w:rsidR="006D7719">
        <w:rPr>
          <w:rFonts w:asciiTheme="minorHAnsi" w:hAnsiTheme="minorHAnsi"/>
          <w:bCs/>
          <w:snapToGrid w:val="0"/>
        </w:rPr>
        <w:t xml:space="preserve">The clinicians </w:t>
      </w:r>
      <w:r w:rsidR="00BA27D6">
        <w:rPr>
          <w:rFonts w:asciiTheme="minorHAnsi" w:hAnsiTheme="minorHAnsi"/>
          <w:bCs/>
          <w:snapToGrid w:val="0"/>
        </w:rPr>
        <w:t>outlined the limitations associated with the treatment options currently av</w:t>
      </w:r>
      <w:r w:rsidR="00972807">
        <w:rPr>
          <w:rFonts w:asciiTheme="minorHAnsi" w:hAnsiTheme="minorHAnsi"/>
          <w:bCs/>
          <w:snapToGrid w:val="0"/>
        </w:rPr>
        <w:t>ailable</w:t>
      </w:r>
      <w:r w:rsidR="001F5B75">
        <w:rPr>
          <w:rFonts w:asciiTheme="minorHAnsi" w:hAnsiTheme="minorHAnsi"/>
          <w:bCs/>
          <w:snapToGrid w:val="0"/>
        </w:rPr>
        <w:t xml:space="preserve"> and highlighted the </w:t>
      </w:r>
      <w:r w:rsidR="00F51C68">
        <w:rPr>
          <w:rFonts w:asciiTheme="minorHAnsi" w:hAnsiTheme="minorHAnsi"/>
          <w:bCs/>
          <w:snapToGrid w:val="0"/>
        </w:rPr>
        <w:t>unique</w:t>
      </w:r>
      <w:r w:rsidR="001F5B75">
        <w:rPr>
          <w:rFonts w:asciiTheme="minorHAnsi" w:hAnsiTheme="minorHAnsi"/>
          <w:bCs/>
          <w:snapToGrid w:val="0"/>
        </w:rPr>
        <w:t xml:space="preserve"> mechanism of action of mogamulizumab</w:t>
      </w:r>
      <w:r w:rsidR="001B4495">
        <w:rPr>
          <w:rFonts w:asciiTheme="minorHAnsi" w:hAnsiTheme="minorHAnsi"/>
          <w:bCs/>
          <w:snapToGrid w:val="0"/>
        </w:rPr>
        <w:t xml:space="preserve">. </w:t>
      </w:r>
      <w:r w:rsidR="00A86A47">
        <w:rPr>
          <w:rFonts w:asciiTheme="minorHAnsi" w:hAnsiTheme="minorHAnsi"/>
          <w:bCs/>
          <w:snapToGrid w:val="0"/>
        </w:rPr>
        <w:t>M</w:t>
      </w:r>
      <w:r w:rsidR="00F37CE6">
        <w:rPr>
          <w:rFonts w:asciiTheme="minorHAnsi" w:hAnsiTheme="minorHAnsi"/>
          <w:bCs/>
          <w:snapToGrid w:val="0"/>
        </w:rPr>
        <w:t xml:space="preserve">ogamulizumab </w:t>
      </w:r>
      <w:proofErr w:type="gramStart"/>
      <w:r w:rsidR="00A86A47">
        <w:rPr>
          <w:rFonts w:asciiTheme="minorHAnsi" w:hAnsiTheme="minorHAnsi"/>
          <w:bCs/>
          <w:snapToGrid w:val="0"/>
        </w:rPr>
        <w:t xml:space="preserve">was described </w:t>
      </w:r>
      <w:r w:rsidR="00F37CE6">
        <w:rPr>
          <w:rFonts w:asciiTheme="minorHAnsi" w:hAnsiTheme="minorHAnsi"/>
          <w:bCs/>
          <w:snapToGrid w:val="0"/>
        </w:rPr>
        <w:t>as being</w:t>
      </w:r>
      <w:proofErr w:type="gramEnd"/>
      <w:r w:rsidR="00F37CE6">
        <w:rPr>
          <w:rFonts w:asciiTheme="minorHAnsi" w:hAnsiTheme="minorHAnsi"/>
          <w:bCs/>
          <w:snapToGrid w:val="0"/>
        </w:rPr>
        <w:t xml:space="preserve"> a </w:t>
      </w:r>
      <w:r w:rsidR="002353D4">
        <w:rPr>
          <w:rFonts w:asciiTheme="minorHAnsi" w:hAnsiTheme="minorHAnsi"/>
          <w:bCs/>
          <w:snapToGrid w:val="0"/>
        </w:rPr>
        <w:t>well-tolerated</w:t>
      </w:r>
      <w:r w:rsidR="00F37CE6">
        <w:rPr>
          <w:rFonts w:asciiTheme="minorHAnsi" w:hAnsiTheme="minorHAnsi"/>
          <w:bCs/>
          <w:snapToGrid w:val="0"/>
        </w:rPr>
        <w:t xml:space="preserve"> short infusion</w:t>
      </w:r>
      <w:r w:rsidR="00565F1D">
        <w:rPr>
          <w:rFonts w:asciiTheme="minorHAnsi" w:hAnsiTheme="minorHAnsi"/>
          <w:bCs/>
          <w:snapToGrid w:val="0"/>
        </w:rPr>
        <w:t xml:space="preserve">, with </w:t>
      </w:r>
      <w:r w:rsidR="00FA4ACD">
        <w:rPr>
          <w:rFonts w:asciiTheme="minorHAnsi" w:hAnsiTheme="minorHAnsi"/>
          <w:bCs/>
          <w:snapToGrid w:val="0"/>
        </w:rPr>
        <w:t xml:space="preserve">infusion reactions </w:t>
      </w:r>
      <w:r w:rsidR="00FF48A5">
        <w:rPr>
          <w:rFonts w:asciiTheme="minorHAnsi" w:hAnsiTheme="minorHAnsi"/>
          <w:bCs/>
          <w:snapToGrid w:val="0"/>
        </w:rPr>
        <w:t xml:space="preserve">rare </w:t>
      </w:r>
      <w:r w:rsidR="00FA4ACD">
        <w:rPr>
          <w:rFonts w:asciiTheme="minorHAnsi" w:hAnsiTheme="minorHAnsi"/>
          <w:bCs/>
          <w:snapToGrid w:val="0"/>
        </w:rPr>
        <w:t>(primarily skin r</w:t>
      </w:r>
      <w:r w:rsidR="0098297A">
        <w:rPr>
          <w:rFonts w:asciiTheme="minorHAnsi" w:hAnsiTheme="minorHAnsi"/>
          <w:bCs/>
          <w:snapToGrid w:val="0"/>
        </w:rPr>
        <w:t>ashes</w:t>
      </w:r>
      <w:r w:rsidR="00FA4ACD">
        <w:rPr>
          <w:rFonts w:asciiTheme="minorHAnsi" w:hAnsiTheme="minorHAnsi"/>
          <w:bCs/>
          <w:snapToGrid w:val="0"/>
        </w:rPr>
        <w:t>).</w:t>
      </w:r>
      <w:r w:rsidR="000941A7">
        <w:rPr>
          <w:rFonts w:asciiTheme="minorHAnsi" w:hAnsiTheme="minorHAnsi"/>
          <w:bCs/>
          <w:snapToGrid w:val="0"/>
        </w:rPr>
        <w:t xml:space="preserve"> </w:t>
      </w:r>
      <w:r w:rsidR="00861425">
        <w:rPr>
          <w:rFonts w:asciiTheme="minorHAnsi" w:hAnsiTheme="minorHAnsi"/>
          <w:bCs/>
          <w:snapToGrid w:val="0"/>
        </w:rPr>
        <w:t xml:space="preserve">The clinicians considered mogamulizumab </w:t>
      </w:r>
      <w:r w:rsidR="00240D41">
        <w:rPr>
          <w:rFonts w:asciiTheme="minorHAnsi" w:hAnsiTheme="minorHAnsi"/>
          <w:bCs/>
          <w:snapToGrid w:val="0"/>
        </w:rPr>
        <w:t>had</w:t>
      </w:r>
      <w:r w:rsidR="00861425">
        <w:rPr>
          <w:rFonts w:asciiTheme="minorHAnsi" w:hAnsiTheme="minorHAnsi"/>
          <w:bCs/>
          <w:snapToGrid w:val="0"/>
        </w:rPr>
        <w:t xml:space="preserve"> a high response rate and would be particularly useful in patients with blood compartment involvement. </w:t>
      </w:r>
      <w:r w:rsidR="00662D2A" w:rsidRPr="00C81C55">
        <w:rPr>
          <w:rFonts w:asciiTheme="minorHAnsi" w:hAnsiTheme="minorHAnsi"/>
          <w:bCs/>
          <w:snapToGrid w:val="0"/>
        </w:rPr>
        <w:t>The PBAC considered that the hearing was informative as it provided a clinical perspective on treating this uncommon disease.</w:t>
      </w:r>
    </w:p>
    <w:bookmarkEnd w:id="22"/>
    <w:p w14:paraId="4A550B53" w14:textId="77777777" w:rsidR="00A337D0" w:rsidRPr="006E1229" w:rsidRDefault="00A337D0" w:rsidP="00FA21C2">
      <w:pPr>
        <w:pStyle w:val="4-SubsectionHeading"/>
      </w:pPr>
      <w:r w:rsidRPr="006E1229">
        <w:t>Consumer comments</w:t>
      </w:r>
    </w:p>
    <w:p w14:paraId="3BA043AC" w14:textId="27B436A2" w:rsidR="00A337D0" w:rsidRPr="00427B3B" w:rsidRDefault="0023021D" w:rsidP="001B45D5">
      <w:pPr>
        <w:widowControl w:val="0"/>
        <w:numPr>
          <w:ilvl w:val="1"/>
          <w:numId w:val="1"/>
        </w:numPr>
        <w:spacing w:after="120"/>
        <w:rPr>
          <w:rFonts w:asciiTheme="minorHAnsi" w:hAnsiTheme="minorHAnsi"/>
          <w:bCs/>
          <w:snapToGrid w:val="0"/>
        </w:rPr>
      </w:pPr>
      <w:bookmarkStart w:id="23" w:name="_Hlk76382618"/>
      <w:r>
        <w:t>The PBAC noted and welcomed the input from individuals (15), health care professionals (7) and organisations (2) via the Consumer Comments facility on the PBS website. The comments from health care professionals described the high symptom burden often faced by patients with relapsed or refractory CTCL and highlighted that durable remissions are not attained with one line of treatment. Health care professionals emphasised the importance of treatments to improve disease control and quality of life and said that this was as important as survival outcomes which are difficult to assess in this condition. Health care professionals also highlighted the benefit for patients in rural or regional centres who could potentially be administered mogamulizumab at community-based hospitals with Telehealth services to access expert medical care in major city hospitals. The input from individuals with the condition and from those involved in directly caring for an individual with the condition described the debilitating nature of CTCL including fatigue and the significant impact of skin symptoms (such as red, angry and itchy skin) that causes great discomfort and anxiety, as well as social isolation. The comments from individuals with the condition described the side effects associated with current treatment options. The comments also noted cost as a barrier and the difficulty in accessing current treatments for those living in regional or remote areas. All comments, including those from the Leukaemia Foundation and Rare Cancers Australia highlighted the need for new treatment options in the management of this rare cancer.</w:t>
      </w:r>
    </w:p>
    <w:bookmarkEnd w:id="20"/>
    <w:bookmarkEnd w:id="23"/>
    <w:p w14:paraId="609C0765" w14:textId="6957172C" w:rsidR="00B60939" w:rsidRPr="007427EF" w:rsidRDefault="00B60939" w:rsidP="00661810">
      <w:pPr>
        <w:pStyle w:val="4-SubsectionHeading"/>
      </w:pPr>
      <w:r w:rsidRPr="007427EF">
        <w:lastRenderedPageBreak/>
        <w:t xml:space="preserve">Clinical </w:t>
      </w:r>
      <w:r w:rsidR="00D5243B" w:rsidRPr="007427EF">
        <w:t>studies</w:t>
      </w:r>
      <w:bookmarkEnd w:id="19"/>
      <w:bookmarkEnd w:id="21"/>
    </w:p>
    <w:p w14:paraId="65323B81" w14:textId="135EB13E" w:rsidR="00572958" w:rsidRPr="007427EF" w:rsidRDefault="00A73134" w:rsidP="6A98AE7B">
      <w:pPr>
        <w:pStyle w:val="3-BodyText"/>
        <w:rPr>
          <w:color w:val="0066FF"/>
        </w:rPr>
      </w:pPr>
      <w:r w:rsidRPr="007427EF">
        <w:t xml:space="preserve">The </w:t>
      </w:r>
      <w:r w:rsidR="00702DAE" w:rsidRPr="007427EF">
        <w:t>re</w:t>
      </w:r>
      <w:r w:rsidRPr="007427EF">
        <w:t xml:space="preserve">submission </w:t>
      </w:r>
      <w:r w:rsidR="00D5243B" w:rsidRPr="007427EF">
        <w:t>wa</w:t>
      </w:r>
      <w:r w:rsidRPr="007427EF">
        <w:t xml:space="preserve">s based on </w:t>
      </w:r>
      <w:r w:rsidR="00FD6148" w:rsidRPr="007427EF">
        <w:t xml:space="preserve">an </w:t>
      </w:r>
      <w:r w:rsidR="000E6223" w:rsidRPr="007427EF">
        <w:t xml:space="preserve">unanchored </w:t>
      </w:r>
      <w:bookmarkStart w:id="24" w:name="_Hlk185767234"/>
      <w:r w:rsidR="000E6223" w:rsidRPr="007427EF">
        <w:t>matching-adjusted indirect comparison</w:t>
      </w:r>
      <w:bookmarkEnd w:id="24"/>
      <w:r w:rsidR="000E6223" w:rsidRPr="007427EF">
        <w:t xml:space="preserve"> (MAIC)</w:t>
      </w:r>
      <w:r w:rsidR="008F5352" w:rsidRPr="007427EF">
        <w:t xml:space="preserve"> between mogamulizumab and </w:t>
      </w:r>
      <w:proofErr w:type="spellStart"/>
      <w:r w:rsidR="008F5352" w:rsidRPr="007427EF">
        <w:t>vorinostat</w:t>
      </w:r>
      <w:proofErr w:type="spellEnd"/>
      <w:r w:rsidR="008F5352" w:rsidRPr="007427EF">
        <w:t xml:space="preserve">. </w:t>
      </w:r>
      <w:r w:rsidR="00045478" w:rsidRPr="007427EF">
        <w:t xml:space="preserve">The unanchored MAIC </w:t>
      </w:r>
      <w:r w:rsidR="004D51E3" w:rsidRPr="007427EF">
        <w:t>examined overall survival</w:t>
      </w:r>
      <w:r w:rsidR="00045478" w:rsidRPr="007427EF">
        <w:t xml:space="preserve"> </w:t>
      </w:r>
      <w:r w:rsidR="004D51E3" w:rsidRPr="007427EF">
        <w:t>(</w:t>
      </w:r>
      <w:r w:rsidR="00045478" w:rsidRPr="007427EF">
        <w:t>OS</w:t>
      </w:r>
      <w:r w:rsidR="004D51E3" w:rsidRPr="007427EF">
        <w:t>)</w:t>
      </w:r>
      <w:r w:rsidR="00045478" w:rsidRPr="007427EF">
        <w:t xml:space="preserve"> outcome</w:t>
      </w:r>
      <w:r w:rsidR="00C8695F" w:rsidRPr="007427EF">
        <w:t>s</w:t>
      </w:r>
      <w:r w:rsidR="00045478" w:rsidRPr="007427EF">
        <w:t xml:space="preserve"> by utilising individual patient data from mogamulizumab in MAVORIC, matched to summary-level data </w:t>
      </w:r>
      <w:r w:rsidR="00D956B9" w:rsidRPr="007427EF">
        <w:t xml:space="preserve">for </w:t>
      </w:r>
      <w:proofErr w:type="spellStart"/>
      <w:r w:rsidR="00D956B9" w:rsidRPr="007427EF">
        <w:t>vorinostat</w:t>
      </w:r>
      <w:proofErr w:type="spellEnd"/>
      <w:r w:rsidR="00D956B9" w:rsidRPr="007427EF">
        <w:t xml:space="preserve"> </w:t>
      </w:r>
      <w:r w:rsidR="00045478" w:rsidRPr="007427EF">
        <w:t>from the ANCLD (</w:t>
      </w:r>
      <w:r w:rsidR="004D51E3" w:rsidRPr="007427EF">
        <w:t>Australian National Cutaneous Lymphoma Database</w:t>
      </w:r>
      <w:r w:rsidR="00045478" w:rsidRPr="007427EF">
        <w:t>)</w:t>
      </w:r>
      <w:r w:rsidR="004D51E3" w:rsidRPr="007427EF">
        <w:rPr>
          <w:color w:val="0066FF"/>
        </w:rPr>
        <w:t xml:space="preserve"> </w:t>
      </w:r>
      <w:r w:rsidR="00C8695F" w:rsidRPr="007427EF">
        <w:t xml:space="preserve">study. </w:t>
      </w:r>
    </w:p>
    <w:p w14:paraId="58878E37" w14:textId="6874EF02" w:rsidR="00A817FE" w:rsidRPr="007427EF" w:rsidRDefault="00B528C4" w:rsidP="6A98AE7B">
      <w:pPr>
        <w:pStyle w:val="3-BodyText"/>
        <w:rPr>
          <w:color w:val="0066FF"/>
        </w:rPr>
      </w:pPr>
      <w:r w:rsidRPr="007427EF">
        <w:t>MAVORIC</w:t>
      </w:r>
      <w:r w:rsidR="00591E91" w:rsidRPr="007427EF">
        <w:t xml:space="preserve"> (N = 372)</w:t>
      </w:r>
      <w:r w:rsidRPr="007427EF">
        <w:t xml:space="preserve"> </w:t>
      </w:r>
      <w:r w:rsidR="00EA40E8" w:rsidRPr="007427EF">
        <w:t>wa</w:t>
      </w:r>
      <w:r w:rsidR="00697D91" w:rsidRPr="007427EF">
        <w:t>s</w:t>
      </w:r>
      <w:r w:rsidRPr="007427EF">
        <w:t xml:space="preserve"> </w:t>
      </w:r>
      <w:r w:rsidR="00BC57A9" w:rsidRPr="007427EF">
        <w:t>the</w:t>
      </w:r>
      <w:r w:rsidRPr="007427EF">
        <w:t xml:space="preserve"> pivotal </w:t>
      </w:r>
      <w:r w:rsidR="00591E91" w:rsidRPr="007427EF">
        <w:t xml:space="preserve">trial </w:t>
      </w:r>
      <w:r w:rsidR="00BC57A9" w:rsidRPr="007427EF">
        <w:t xml:space="preserve">for mogamulizumab </w:t>
      </w:r>
      <w:r w:rsidR="00591E91" w:rsidRPr="007427EF">
        <w:t xml:space="preserve">presented in the </w:t>
      </w:r>
      <w:r w:rsidR="00572958" w:rsidRPr="007427EF">
        <w:t xml:space="preserve">July </w:t>
      </w:r>
      <w:r w:rsidR="00591E91" w:rsidRPr="007427EF">
        <w:t>2020</w:t>
      </w:r>
      <w:r w:rsidR="00984D57" w:rsidRPr="007427EF">
        <w:t xml:space="preserve">, November 2020 and </w:t>
      </w:r>
      <w:r w:rsidR="005F5B5F" w:rsidRPr="007427EF">
        <w:t xml:space="preserve">current </w:t>
      </w:r>
      <w:r w:rsidR="00984D57" w:rsidRPr="007427EF">
        <w:t>March 2025 (re)submissions.</w:t>
      </w:r>
      <w:r w:rsidR="00591E91" w:rsidRPr="007427EF">
        <w:t xml:space="preserve"> </w:t>
      </w:r>
      <w:r w:rsidR="00984D57" w:rsidRPr="007427EF">
        <w:t xml:space="preserve">The </w:t>
      </w:r>
      <w:r w:rsidR="00591E91" w:rsidRPr="007427EF">
        <w:t xml:space="preserve">ANCLD study </w:t>
      </w:r>
      <w:r w:rsidR="00F77677" w:rsidRPr="007427EF">
        <w:t xml:space="preserve">(N = 64) </w:t>
      </w:r>
      <w:r w:rsidR="00FF2918" w:rsidRPr="007427EF">
        <w:t>wa</w:t>
      </w:r>
      <w:r w:rsidR="005E705F" w:rsidRPr="007427EF">
        <w:t xml:space="preserve">s an analysis of patients receiving </w:t>
      </w:r>
      <w:proofErr w:type="spellStart"/>
      <w:r w:rsidR="003133D8" w:rsidRPr="007427EF">
        <w:t>vorinostat</w:t>
      </w:r>
      <w:proofErr w:type="spellEnd"/>
      <w:r w:rsidR="005E705F" w:rsidRPr="007427EF">
        <w:t xml:space="preserve"> at</w:t>
      </w:r>
      <w:r w:rsidR="006F2393" w:rsidRPr="007427EF">
        <w:t xml:space="preserve"> the</w:t>
      </w:r>
      <w:r w:rsidR="005E705F" w:rsidRPr="007427EF">
        <w:t xml:space="preserve"> Peter MacCallum Cancer Centre </w:t>
      </w:r>
      <w:r w:rsidR="00F77677" w:rsidRPr="007427EF">
        <w:t>in Melbourne Australia</w:t>
      </w:r>
      <w:r w:rsidR="00C71239" w:rsidRPr="007427EF">
        <w:t>,</w:t>
      </w:r>
      <w:r w:rsidR="00F77677" w:rsidRPr="007427EF">
        <w:t xml:space="preserve"> </w:t>
      </w:r>
      <w:r w:rsidR="005E705F" w:rsidRPr="007427EF">
        <w:t>conducted in August 2020</w:t>
      </w:r>
      <w:r w:rsidR="00F77677" w:rsidRPr="007427EF">
        <w:t xml:space="preserve">. </w:t>
      </w:r>
      <w:r w:rsidR="00572958" w:rsidRPr="007427EF">
        <w:t xml:space="preserve">This is the first time data from the ANCLD have been presented to the PBAC in support of a listing for mogamulizumab. </w:t>
      </w:r>
      <w:r w:rsidR="00A817FE" w:rsidRPr="007427EF">
        <w:t xml:space="preserve">The unanchored MAIC was performed by matching </w:t>
      </w:r>
      <w:r w:rsidR="00163340" w:rsidRPr="007427EF">
        <w:t xml:space="preserve">patients </w:t>
      </w:r>
      <w:r w:rsidR="00A817FE" w:rsidRPr="007427EF">
        <w:t>based on sex and CTCL subtype</w:t>
      </w:r>
      <w:r w:rsidR="00C61639" w:rsidRPr="007427EF">
        <w:t>s</w:t>
      </w:r>
      <w:r w:rsidR="00A817FE" w:rsidRPr="007427EF">
        <w:t xml:space="preserve">. </w:t>
      </w:r>
    </w:p>
    <w:p w14:paraId="1A45DEEB" w14:textId="09DA9EDC" w:rsidR="00580E94" w:rsidRPr="007427EF" w:rsidRDefault="00580E94" w:rsidP="006929B9">
      <w:pPr>
        <w:pStyle w:val="3-BodyText"/>
      </w:pPr>
      <w:r w:rsidRPr="007427EF">
        <w:t>The resubmission did not provide a clear justification for the choice of outcome (OS) and the source of data used for the comparator (ANCLD report)</w:t>
      </w:r>
      <w:r w:rsidR="009B029C" w:rsidRPr="007427EF">
        <w:t xml:space="preserve"> used in the MAIC</w:t>
      </w:r>
      <w:r w:rsidRPr="007427EF">
        <w:t xml:space="preserve">. Specifically, the resubmission noted that while the ANCLD report includes </w:t>
      </w:r>
      <w:r w:rsidR="00B777ED" w:rsidRPr="007427EF">
        <w:t>time to next treatment (</w:t>
      </w:r>
      <w:r w:rsidRPr="007427EF">
        <w:t>TTNT</w:t>
      </w:r>
      <w:r w:rsidR="00B777ED" w:rsidRPr="007427EF">
        <w:t>)</w:t>
      </w:r>
      <w:r w:rsidRPr="007427EF">
        <w:t xml:space="preserve"> outcomes, no comparison of TTNT was conducted in the MAIC, citing potential bias due to differential access to subsequent therapies between the respective clinical trial and real-world settings. However, no additional evidence was provided to justify excluding TTNT from the MAIC. TTNT could have been included as an additional endpoint in a sensitivity analysis. In addition, other sources such as Study P001 and Study P005 which formed the basis of the March 2017 recommendation for </w:t>
      </w:r>
      <w:proofErr w:type="spellStart"/>
      <w:r w:rsidRPr="007427EF">
        <w:t>vorinostat</w:t>
      </w:r>
      <w:proofErr w:type="spellEnd"/>
      <w:r w:rsidRPr="007427EF">
        <w:t xml:space="preserve"> listing on the PBS (para 6.12, brentuximab vedotin PSD, July 2018 PBAC Meeting) could have provided data for </w:t>
      </w:r>
      <w:r w:rsidR="00B0380A" w:rsidRPr="007427EF">
        <w:t>overall response rate (</w:t>
      </w:r>
      <w:r w:rsidRPr="007427EF">
        <w:t>ORR</w:t>
      </w:r>
      <w:r w:rsidR="00B0380A" w:rsidRPr="007427EF">
        <w:t>)</w:t>
      </w:r>
      <w:r w:rsidRPr="007427EF">
        <w:t xml:space="preserve"> and </w:t>
      </w:r>
      <w:r w:rsidR="00B0380A" w:rsidRPr="007427EF">
        <w:t>progression-free survival (</w:t>
      </w:r>
      <w:r w:rsidRPr="007427EF">
        <w:t>PFS</w:t>
      </w:r>
      <w:r w:rsidR="00B0380A" w:rsidRPr="007427EF">
        <w:t>)</w:t>
      </w:r>
      <w:r w:rsidRPr="007427EF">
        <w:t xml:space="preserve"> outcomes of </w:t>
      </w:r>
      <w:proofErr w:type="spellStart"/>
      <w:r w:rsidRPr="007427EF">
        <w:t>vorinostat</w:t>
      </w:r>
      <w:proofErr w:type="spellEnd"/>
      <w:r w:rsidRPr="007427EF">
        <w:t xml:space="preserve"> for an unanchored MAIC.</w:t>
      </w:r>
    </w:p>
    <w:p w14:paraId="2B59ABAC" w14:textId="1F467A54" w:rsidR="00862502" w:rsidRPr="007427EF" w:rsidRDefault="00A73134" w:rsidP="00661810">
      <w:pPr>
        <w:pStyle w:val="3-BodyText"/>
      </w:pPr>
      <w:r w:rsidRPr="007427EF">
        <w:t xml:space="preserve">Details of the </w:t>
      </w:r>
      <w:r w:rsidR="00D5243B" w:rsidRPr="007427EF">
        <w:t>studies</w:t>
      </w:r>
      <w:r w:rsidRPr="007427EF">
        <w:t xml:space="preserve"> presented in the </w:t>
      </w:r>
      <w:r w:rsidR="00145424" w:rsidRPr="007427EF">
        <w:t>re</w:t>
      </w:r>
      <w:r w:rsidRPr="007427EF">
        <w:t xml:space="preserve">submission are provided in </w:t>
      </w:r>
      <w:r w:rsidR="00696EF9" w:rsidRPr="007427EF">
        <w:fldChar w:fldCharType="begin"/>
      </w:r>
      <w:r w:rsidR="00696EF9" w:rsidRPr="007427EF">
        <w:instrText xml:space="preserve"> REF _Ref104803956 \h </w:instrText>
      </w:r>
      <w:r w:rsidR="00661810" w:rsidRPr="007427EF">
        <w:instrText xml:space="preserve"> \* MERGEFORMAT </w:instrText>
      </w:r>
      <w:r w:rsidR="00696EF9" w:rsidRPr="007427EF">
        <w:fldChar w:fldCharType="separate"/>
      </w:r>
      <w:r w:rsidR="00EF6B5D" w:rsidRPr="005D54D1">
        <w:t xml:space="preserve">Table </w:t>
      </w:r>
      <w:r w:rsidR="00EF6B5D">
        <w:t>3</w:t>
      </w:r>
      <w:r w:rsidR="00696EF9" w:rsidRPr="007427EF">
        <w:fldChar w:fldCharType="end"/>
      </w:r>
      <w:r w:rsidRPr="007427EF">
        <w:t>.</w:t>
      </w:r>
      <w:r w:rsidR="00BC591F" w:rsidRPr="007427EF">
        <w:t xml:space="preserve"> </w:t>
      </w:r>
    </w:p>
    <w:p w14:paraId="7DE3A286" w14:textId="33D8BBDF" w:rsidR="008E0D3C" w:rsidRPr="007427EF" w:rsidRDefault="00696EF9" w:rsidP="00527AAA">
      <w:pPr>
        <w:pStyle w:val="TableFigureHeading"/>
        <w:keepLines/>
        <w:rPr>
          <w:rStyle w:val="CommentReference"/>
          <w:b/>
          <w:szCs w:val="24"/>
        </w:rPr>
      </w:pPr>
      <w:bookmarkStart w:id="25" w:name="_Ref104803956"/>
      <w:r w:rsidRPr="005D54D1">
        <w:lastRenderedPageBreak/>
        <w:t xml:space="preserve">Table </w:t>
      </w:r>
      <w:r w:rsidR="00463985">
        <w:fldChar w:fldCharType="begin"/>
      </w:r>
      <w:r w:rsidR="00463985">
        <w:instrText xml:space="preserve"> SEQ Table \* ARABIC </w:instrText>
      </w:r>
      <w:r w:rsidR="00463985">
        <w:fldChar w:fldCharType="separate"/>
      </w:r>
      <w:r w:rsidR="00EF6B5D">
        <w:rPr>
          <w:noProof/>
        </w:rPr>
        <w:t>3</w:t>
      </w:r>
      <w:r w:rsidR="00463985">
        <w:fldChar w:fldCharType="end"/>
      </w:r>
      <w:bookmarkEnd w:id="25"/>
      <w:r w:rsidRPr="005D54D1">
        <w:t>:</w:t>
      </w:r>
      <w:r w:rsidR="00BC591F" w:rsidRPr="005D54D1">
        <w:rPr>
          <w:rStyle w:val="CommentReference"/>
          <w:b/>
          <w:szCs w:val="24"/>
        </w:rPr>
        <w:t xml:space="preserve"> </w:t>
      </w:r>
      <w:r w:rsidR="00C12AA6" w:rsidRPr="005D54D1">
        <w:rPr>
          <w:rStyle w:val="CommentReference"/>
          <w:b/>
          <w:szCs w:val="24"/>
        </w:rPr>
        <w:t>Key s</w:t>
      </w:r>
      <w:r w:rsidR="00D5243B" w:rsidRPr="005D54D1">
        <w:rPr>
          <w:rStyle w:val="CommentReference"/>
          <w:b/>
          <w:szCs w:val="24"/>
        </w:rPr>
        <w:t>tudies</w:t>
      </w:r>
      <w:r w:rsidR="008E0D3C" w:rsidRPr="005D54D1">
        <w:rPr>
          <w:rStyle w:val="CommentReference"/>
          <w:b/>
          <w:szCs w:val="24"/>
        </w:rPr>
        <w:t xml:space="preserve"> and associated reports presented in the </w:t>
      </w:r>
      <w:r w:rsidR="00EF086D" w:rsidRPr="005D54D1">
        <w:rPr>
          <w:rStyle w:val="CommentReference"/>
          <w:b/>
          <w:szCs w:val="24"/>
        </w:rPr>
        <w:t>re</w:t>
      </w:r>
      <w:r w:rsidR="008E0D3C" w:rsidRPr="005D54D1">
        <w:rPr>
          <w:rStyle w:val="CommentReference"/>
          <w:b/>
          <w:szCs w:val="24"/>
        </w:rPr>
        <w:t>submission</w:t>
      </w:r>
    </w:p>
    <w:tbl>
      <w:tblPr>
        <w:tblStyle w:val="TableGrid"/>
        <w:tblW w:w="9067" w:type="dxa"/>
        <w:tblLook w:val="04A0" w:firstRow="1" w:lastRow="0" w:firstColumn="1" w:lastColumn="0" w:noHBand="0" w:noVBand="1"/>
        <w:tblCaption w:val="Table 3: Key studies and associated reports presented in the resubmission"/>
      </w:tblPr>
      <w:tblGrid>
        <w:gridCol w:w="1838"/>
        <w:gridCol w:w="5245"/>
        <w:gridCol w:w="1984"/>
      </w:tblGrid>
      <w:tr w:rsidR="006B34BB" w:rsidRPr="007427EF" w14:paraId="62D485B1" w14:textId="77777777" w:rsidTr="006B34BB">
        <w:tc>
          <w:tcPr>
            <w:tcW w:w="1838" w:type="dxa"/>
          </w:tcPr>
          <w:p w14:paraId="2815A559" w14:textId="77777777" w:rsidR="006B34BB" w:rsidRPr="007427EF" w:rsidRDefault="006B34BB" w:rsidP="00527AAA">
            <w:pPr>
              <w:pStyle w:val="Table"/>
              <w:keepNext/>
              <w:keepLines/>
              <w:rPr>
                <w:rFonts w:ascii="Arial Narrow" w:hAnsi="Arial Narrow" w:cs="Arial"/>
                <w:b/>
                <w:bCs/>
                <w:szCs w:val="20"/>
              </w:rPr>
            </w:pPr>
            <w:r w:rsidRPr="007427EF">
              <w:rPr>
                <w:rFonts w:ascii="Arial Narrow" w:hAnsi="Arial Narrow" w:cs="Arial"/>
                <w:b/>
                <w:bCs/>
                <w:szCs w:val="20"/>
              </w:rPr>
              <w:t>Study identifier (ID)</w:t>
            </w:r>
          </w:p>
        </w:tc>
        <w:tc>
          <w:tcPr>
            <w:tcW w:w="5245" w:type="dxa"/>
          </w:tcPr>
          <w:p w14:paraId="2AE119EF" w14:textId="77777777" w:rsidR="006B34BB" w:rsidRPr="007427EF" w:rsidRDefault="006B34BB" w:rsidP="00527AAA">
            <w:pPr>
              <w:pStyle w:val="Table"/>
              <w:keepNext/>
              <w:keepLines/>
              <w:rPr>
                <w:rFonts w:ascii="Arial Narrow" w:hAnsi="Arial Narrow" w:cs="Arial"/>
                <w:b/>
                <w:bCs/>
                <w:szCs w:val="20"/>
              </w:rPr>
            </w:pPr>
            <w:r w:rsidRPr="007427EF">
              <w:rPr>
                <w:rFonts w:ascii="Arial Narrow" w:hAnsi="Arial Narrow" w:cs="Arial"/>
                <w:b/>
                <w:bCs/>
                <w:szCs w:val="20"/>
              </w:rPr>
              <w:t>Reports</w:t>
            </w:r>
          </w:p>
        </w:tc>
        <w:tc>
          <w:tcPr>
            <w:tcW w:w="1984" w:type="dxa"/>
          </w:tcPr>
          <w:p w14:paraId="61750F30" w14:textId="7E6DE77F" w:rsidR="006B34BB" w:rsidRPr="007427EF" w:rsidRDefault="00407635" w:rsidP="00527AAA">
            <w:pPr>
              <w:pStyle w:val="Table"/>
              <w:keepNext/>
              <w:keepLines/>
              <w:rPr>
                <w:rFonts w:ascii="Arial Narrow" w:hAnsi="Arial Narrow" w:cs="Arial"/>
                <w:b/>
                <w:bCs/>
                <w:szCs w:val="20"/>
              </w:rPr>
            </w:pPr>
            <w:r>
              <w:rPr>
                <w:rFonts w:ascii="Arial Narrow" w:hAnsi="Arial Narrow" w:cs="Arial"/>
                <w:b/>
                <w:bCs/>
                <w:szCs w:val="20"/>
              </w:rPr>
              <w:t>Publication citation</w:t>
            </w:r>
          </w:p>
        </w:tc>
      </w:tr>
      <w:tr w:rsidR="006B34BB" w:rsidRPr="007427EF" w14:paraId="4F110D7C" w14:textId="77777777" w:rsidTr="006B34BB">
        <w:tc>
          <w:tcPr>
            <w:tcW w:w="1838" w:type="dxa"/>
            <w:shd w:val="clear" w:color="auto" w:fill="C6D9F1" w:themeFill="text2" w:themeFillTint="33"/>
          </w:tcPr>
          <w:p w14:paraId="439EE09F" w14:textId="77777777"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MAVORIC</w:t>
            </w:r>
          </w:p>
          <w:p w14:paraId="411C1C49" w14:textId="77777777"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KW-0761-010</w:t>
            </w:r>
          </w:p>
          <w:p w14:paraId="6E760544" w14:textId="77777777"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 xml:space="preserve">NCT01728805 </w:t>
            </w:r>
          </w:p>
          <w:p w14:paraId="7AB5376C" w14:textId="1D58A87D" w:rsidR="006B34BB" w:rsidRPr="007427EF" w:rsidRDefault="006B34BB" w:rsidP="00527AAA">
            <w:pPr>
              <w:pStyle w:val="Table"/>
              <w:keepNext/>
              <w:keepLines/>
              <w:rPr>
                <w:rFonts w:ascii="Arial Narrow" w:hAnsi="Arial Narrow" w:cs="Arial"/>
                <w:szCs w:val="20"/>
              </w:rPr>
            </w:pPr>
          </w:p>
        </w:tc>
        <w:tc>
          <w:tcPr>
            <w:tcW w:w="5245" w:type="dxa"/>
            <w:shd w:val="clear" w:color="auto" w:fill="C6D9F1" w:themeFill="text2" w:themeFillTint="33"/>
          </w:tcPr>
          <w:p w14:paraId="151C239F" w14:textId="7393726C" w:rsidR="006B34BB" w:rsidRDefault="006B34BB" w:rsidP="6A98AE7B">
            <w:pPr>
              <w:pStyle w:val="Table"/>
              <w:keepNext/>
              <w:keepLines/>
              <w:rPr>
                <w:rFonts w:ascii="Arial Narrow" w:hAnsi="Arial Narrow" w:cs="Arial"/>
              </w:rPr>
            </w:pPr>
            <w:r w:rsidRPr="007427EF">
              <w:rPr>
                <w:rStyle w:val="SmallUnderline"/>
                <w:rFonts w:ascii="Arial Narrow" w:hAnsi="Arial Narrow" w:cs="Arial"/>
                <w:u w:val="none"/>
              </w:rPr>
              <w:t>Clinical Study Report</w:t>
            </w:r>
            <w:r w:rsidRPr="007427EF">
              <w:rPr>
                <w:rFonts w:ascii="Arial Narrow" w:hAnsi="Arial Narrow" w:cs="Arial"/>
              </w:rPr>
              <w:t>: Open-label, Multi-</w:t>
            </w:r>
            <w:proofErr w:type="spellStart"/>
            <w:r w:rsidRPr="007427EF">
              <w:rPr>
                <w:rFonts w:ascii="Arial Narrow" w:hAnsi="Arial Narrow" w:cs="Arial"/>
              </w:rPr>
              <w:t>center</w:t>
            </w:r>
            <w:proofErr w:type="spellEnd"/>
            <w:r w:rsidRPr="007427EF">
              <w:rPr>
                <w:rFonts w:ascii="Arial Narrow" w:hAnsi="Arial Narrow" w:cs="Arial"/>
              </w:rPr>
              <w:t xml:space="preserve">, Randomised Study of Anti-CCR4 Monoclonal Antibody KW-0761 (mogamulizumab) Versus </w:t>
            </w:r>
            <w:proofErr w:type="spellStart"/>
            <w:r w:rsidRPr="007427EF">
              <w:rPr>
                <w:rFonts w:ascii="Arial Narrow" w:hAnsi="Arial Narrow" w:cs="Arial"/>
              </w:rPr>
              <w:t>Vorinostat</w:t>
            </w:r>
            <w:proofErr w:type="spellEnd"/>
            <w:r w:rsidRPr="007427EF">
              <w:rPr>
                <w:rFonts w:ascii="Arial Narrow" w:hAnsi="Arial Narrow" w:cs="Arial"/>
              </w:rPr>
              <w:t xml:space="preserve"> in Subjects with Previously Treated Cutaneous T-cell Lymphoma (CTCL)</w:t>
            </w:r>
          </w:p>
          <w:p w14:paraId="72F27737" w14:textId="77777777" w:rsidR="007F2FC9" w:rsidRDefault="007F2FC9" w:rsidP="6A98AE7B">
            <w:pPr>
              <w:pStyle w:val="Table"/>
              <w:keepNext/>
              <w:keepLines/>
              <w:rPr>
                <w:rFonts w:ascii="Arial Narrow" w:hAnsi="Arial Narrow" w:cs="Arial"/>
              </w:rPr>
            </w:pPr>
          </w:p>
          <w:p w14:paraId="1FDE8400" w14:textId="367AC812" w:rsidR="007F2FC9" w:rsidRDefault="007F2FC9" w:rsidP="6A98AE7B">
            <w:pPr>
              <w:pStyle w:val="Table"/>
              <w:keepNext/>
              <w:keepLines/>
              <w:rPr>
                <w:rFonts w:ascii="Arial Narrow" w:hAnsi="Arial Narrow" w:cs="Arial"/>
              </w:rPr>
            </w:pPr>
            <w:r w:rsidRPr="007427EF">
              <w:rPr>
                <w:rFonts w:ascii="Arial Narrow" w:hAnsi="Arial Narrow" w:cs="Arial"/>
              </w:rPr>
              <w:t xml:space="preserve">Supplementary Report: Quality of Life Analysis in Subjects with Cutaneous T-Cell Lymphoma Treated with Anti-CCR4 Monoclonal Antibody KW-0761 (Mogamulizumab) Versus </w:t>
            </w:r>
            <w:proofErr w:type="spellStart"/>
            <w:r w:rsidRPr="007427EF">
              <w:rPr>
                <w:rFonts w:ascii="Arial Narrow" w:hAnsi="Arial Narrow" w:cs="Arial"/>
              </w:rPr>
              <w:t>Vorinostat</w:t>
            </w:r>
            <w:proofErr w:type="spellEnd"/>
            <w:r w:rsidRPr="007427EF">
              <w:rPr>
                <w:rFonts w:ascii="Arial Narrow" w:hAnsi="Arial Narrow" w:cs="Arial"/>
              </w:rPr>
              <w:t>; (1 August 2017).</w:t>
            </w:r>
          </w:p>
          <w:p w14:paraId="6B61BB8C" w14:textId="77777777" w:rsidR="00467EA2" w:rsidRDefault="00467EA2" w:rsidP="6A98AE7B">
            <w:pPr>
              <w:pStyle w:val="Table"/>
              <w:keepNext/>
              <w:keepLines/>
              <w:rPr>
                <w:rFonts w:ascii="Arial Narrow" w:hAnsi="Arial Narrow" w:cs="Arial"/>
              </w:rPr>
            </w:pPr>
          </w:p>
          <w:p w14:paraId="600EB618" w14:textId="686327A0" w:rsidR="006B34BB" w:rsidRPr="007427EF" w:rsidRDefault="00467EA2" w:rsidP="6A98AE7B">
            <w:pPr>
              <w:pStyle w:val="Table"/>
              <w:keepNext/>
              <w:keepLines/>
              <w:rPr>
                <w:rFonts w:ascii="Arial Narrow" w:hAnsi="Arial Narrow" w:cs="Arial"/>
              </w:rPr>
            </w:pPr>
            <w:r w:rsidRPr="007427EF">
              <w:rPr>
                <w:rFonts w:ascii="Arial Narrow" w:hAnsi="Arial Narrow" w:cs="Arial"/>
              </w:rPr>
              <w:t xml:space="preserve">Key publication: </w:t>
            </w:r>
            <w:r w:rsidR="00517E34" w:rsidRPr="00AC6C6F">
              <w:rPr>
                <w:rFonts w:ascii="Arial Narrow" w:hAnsi="Arial Narrow" w:cs="Helvetica"/>
                <w:color w:val="000000"/>
                <w:szCs w:val="20"/>
              </w:rPr>
              <w:t xml:space="preserve">Kim Y, Bagot M, Pinter-Brown L, al e. Mogamulizumab versus </w:t>
            </w:r>
            <w:proofErr w:type="spellStart"/>
            <w:r w:rsidR="00517E34" w:rsidRPr="00AC6C6F">
              <w:rPr>
                <w:rFonts w:ascii="Arial Narrow" w:hAnsi="Arial Narrow" w:cs="Helvetica"/>
                <w:color w:val="000000"/>
                <w:szCs w:val="20"/>
              </w:rPr>
              <w:t>vorinostat</w:t>
            </w:r>
            <w:proofErr w:type="spellEnd"/>
            <w:r w:rsidR="00517E34" w:rsidRPr="00AC6C6F">
              <w:rPr>
                <w:rFonts w:ascii="Arial Narrow" w:hAnsi="Arial Narrow" w:cs="Helvetica"/>
                <w:color w:val="000000"/>
                <w:szCs w:val="20"/>
              </w:rPr>
              <w:t xml:space="preserve"> in previously treated cutaneous T-cell lymphoma (MAVORIC): an international, open-label, randomised, controlled phase 3 trial.</w:t>
            </w:r>
            <w:r w:rsidR="008B068B">
              <w:rPr>
                <w:rFonts w:ascii="Arial Narrow" w:hAnsi="Arial Narrow" w:cs="Helvetica"/>
                <w:color w:val="000000"/>
                <w:szCs w:val="20"/>
              </w:rPr>
              <w:t xml:space="preserve"> </w:t>
            </w:r>
          </w:p>
        </w:tc>
        <w:tc>
          <w:tcPr>
            <w:tcW w:w="1984" w:type="dxa"/>
            <w:shd w:val="clear" w:color="auto" w:fill="C6D9F1" w:themeFill="text2" w:themeFillTint="33"/>
          </w:tcPr>
          <w:p w14:paraId="055A25A2" w14:textId="77777777" w:rsidR="006B34BB" w:rsidRDefault="007B3DD3" w:rsidP="6A98AE7B">
            <w:pPr>
              <w:pStyle w:val="Table"/>
              <w:keepNext/>
              <w:keepLines/>
              <w:rPr>
                <w:rFonts w:ascii="Arial Narrow" w:hAnsi="Arial Narrow" w:cs="Arial"/>
              </w:rPr>
            </w:pPr>
            <w:r>
              <w:rPr>
                <w:rFonts w:ascii="Arial Narrow" w:hAnsi="Arial Narrow" w:cs="Arial"/>
              </w:rPr>
              <w:t>August 2017</w:t>
            </w:r>
          </w:p>
          <w:p w14:paraId="4F2F9909" w14:textId="77777777" w:rsidR="007F2FC9" w:rsidRDefault="007F2FC9" w:rsidP="6A98AE7B">
            <w:pPr>
              <w:pStyle w:val="Table"/>
              <w:keepNext/>
              <w:keepLines/>
              <w:rPr>
                <w:rFonts w:ascii="Arial Narrow" w:hAnsi="Arial Narrow" w:cs="Arial"/>
              </w:rPr>
            </w:pPr>
          </w:p>
          <w:p w14:paraId="010BB843" w14:textId="77777777" w:rsidR="007F2FC9" w:rsidRDefault="007F2FC9" w:rsidP="6A98AE7B">
            <w:pPr>
              <w:pStyle w:val="Table"/>
              <w:keepNext/>
              <w:keepLines/>
              <w:rPr>
                <w:rFonts w:ascii="Arial Narrow" w:hAnsi="Arial Narrow" w:cs="Arial"/>
              </w:rPr>
            </w:pPr>
          </w:p>
          <w:p w14:paraId="1548B06D" w14:textId="77777777" w:rsidR="007F2FC9" w:rsidRDefault="007F2FC9" w:rsidP="6A98AE7B">
            <w:pPr>
              <w:pStyle w:val="Table"/>
              <w:keepNext/>
              <w:keepLines/>
              <w:rPr>
                <w:rFonts w:ascii="Arial Narrow" w:hAnsi="Arial Narrow" w:cs="Arial"/>
              </w:rPr>
            </w:pPr>
          </w:p>
          <w:p w14:paraId="76FF1C86" w14:textId="77777777" w:rsidR="007F2FC9" w:rsidRDefault="007F2FC9" w:rsidP="6A98AE7B">
            <w:pPr>
              <w:pStyle w:val="Table"/>
              <w:keepNext/>
              <w:keepLines/>
              <w:rPr>
                <w:rFonts w:ascii="Arial Narrow" w:hAnsi="Arial Narrow" w:cs="Arial"/>
              </w:rPr>
            </w:pPr>
          </w:p>
          <w:p w14:paraId="2A9A3A56" w14:textId="77777777" w:rsidR="007F2FC9" w:rsidRDefault="007F2FC9" w:rsidP="6A98AE7B">
            <w:pPr>
              <w:pStyle w:val="Table"/>
              <w:keepNext/>
              <w:keepLines/>
              <w:rPr>
                <w:rFonts w:ascii="Arial Narrow" w:hAnsi="Arial Narrow" w:cs="Helvetica"/>
                <w:i/>
                <w:iCs/>
                <w:color w:val="000000"/>
                <w:szCs w:val="20"/>
              </w:rPr>
            </w:pPr>
          </w:p>
          <w:p w14:paraId="61730C1A" w14:textId="50ECD222" w:rsidR="007F2FC9" w:rsidRPr="007F2FC9" w:rsidRDefault="007F2FC9" w:rsidP="6A98AE7B">
            <w:pPr>
              <w:pStyle w:val="Table"/>
              <w:keepNext/>
              <w:keepLines/>
              <w:rPr>
                <w:rFonts w:ascii="Arial Narrow" w:hAnsi="Arial Narrow" w:cs="Helvetica"/>
                <w:color w:val="000000"/>
                <w:szCs w:val="20"/>
              </w:rPr>
            </w:pPr>
            <w:r w:rsidRPr="007F2FC9">
              <w:rPr>
                <w:rFonts w:ascii="Arial Narrow" w:hAnsi="Arial Narrow" w:cs="Helvetica"/>
                <w:color w:val="000000"/>
                <w:szCs w:val="20"/>
              </w:rPr>
              <w:t>August 2017</w:t>
            </w:r>
          </w:p>
          <w:p w14:paraId="536714D0" w14:textId="77777777" w:rsidR="007F2FC9" w:rsidRDefault="007F2FC9" w:rsidP="6A98AE7B">
            <w:pPr>
              <w:pStyle w:val="Table"/>
              <w:keepNext/>
              <w:keepLines/>
              <w:rPr>
                <w:rFonts w:ascii="Arial Narrow" w:hAnsi="Arial Narrow" w:cs="Helvetica"/>
                <w:i/>
                <w:iCs/>
                <w:color w:val="000000"/>
                <w:szCs w:val="20"/>
              </w:rPr>
            </w:pPr>
          </w:p>
          <w:p w14:paraId="0485065A" w14:textId="77777777" w:rsidR="007F2FC9" w:rsidRDefault="007F2FC9" w:rsidP="6A98AE7B">
            <w:pPr>
              <w:pStyle w:val="Table"/>
              <w:keepNext/>
              <w:keepLines/>
              <w:rPr>
                <w:rFonts w:ascii="Arial Narrow" w:hAnsi="Arial Narrow" w:cs="Helvetica"/>
                <w:i/>
                <w:iCs/>
                <w:color w:val="000000"/>
                <w:szCs w:val="20"/>
              </w:rPr>
            </w:pPr>
          </w:p>
          <w:p w14:paraId="13C18236" w14:textId="77777777" w:rsidR="007F2FC9" w:rsidRDefault="007F2FC9" w:rsidP="6A98AE7B">
            <w:pPr>
              <w:pStyle w:val="Table"/>
              <w:keepNext/>
              <w:keepLines/>
              <w:rPr>
                <w:rFonts w:ascii="Arial Narrow" w:hAnsi="Arial Narrow" w:cs="Helvetica"/>
                <w:i/>
                <w:iCs/>
                <w:color w:val="000000"/>
                <w:szCs w:val="20"/>
              </w:rPr>
            </w:pPr>
          </w:p>
          <w:p w14:paraId="64A0C749" w14:textId="77777777" w:rsidR="007F2FC9" w:rsidRDefault="007F2FC9" w:rsidP="6A98AE7B">
            <w:pPr>
              <w:pStyle w:val="Table"/>
              <w:keepNext/>
              <w:keepLines/>
              <w:rPr>
                <w:rFonts w:ascii="Arial Narrow" w:hAnsi="Arial Narrow" w:cs="Helvetica"/>
                <w:i/>
                <w:iCs/>
                <w:color w:val="000000"/>
                <w:szCs w:val="20"/>
              </w:rPr>
            </w:pPr>
          </w:p>
          <w:p w14:paraId="166BB383" w14:textId="0A1EA500" w:rsidR="007F2FC9" w:rsidRDefault="007F2FC9" w:rsidP="6A98AE7B">
            <w:pPr>
              <w:pStyle w:val="Table"/>
              <w:keepNext/>
              <w:keepLines/>
              <w:rPr>
                <w:rFonts w:ascii="Arial Narrow" w:hAnsi="Arial Narrow" w:cs="Helvetica"/>
                <w:color w:val="000000"/>
                <w:szCs w:val="20"/>
              </w:rPr>
            </w:pPr>
            <w:r w:rsidRPr="00AC6C6F">
              <w:rPr>
                <w:rFonts w:ascii="Arial Narrow" w:hAnsi="Arial Narrow" w:cs="Helvetica"/>
                <w:i/>
                <w:iCs/>
                <w:color w:val="000000"/>
                <w:szCs w:val="20"/>
              </w:rPr>
              <w:t>Lancet Oncol</w:t>
            </w:r>
            <w:r w:rsidRPr="00AC6C6F">
              <w:rPr>
                <w:rFonts w:ascii="Arial Narrow" w:hAnsi="Arial Narrow" w:cs="Helvetica"/>
                <w:color w:val="000000"/>
                <w:szCs w:val="20"/>
              </w:rPr>
              <w:t>. 2018</w:t>
            </w:r>
            <w:r w:rsidR="008725BF">
              <w:rPr>
                <w:rFonts w:ascii="Arial Narrow" w:hAnsi="Arial Narrow" w:cs="Helvetica"/>
                <w:color w:val="000000"/>
                <w:szCs w:val="20"/>
              </w:rPr>
              <w:t>;19 (9):1192-1204</w:t>
            </w:r>
          </w:p>
          <w:p w14:paraId="6C0BF664" w14:textId="77777777" w:rsidR="007F2FC9" w:rsidRDefault="007F2FC9" w:rsidP="6A98AE7B">
            <w:pPr>
              <w:pStyle w:val="Table"/>
              <w:keepNext/>
              <w:keepLines/>
              <w:rPr>
                <w:rFonts w:ascii="Arial Narrow" w:hAnsi="Arial Narrow" w:cs="Arial"/>
              </w:rPr>
            </w:pPr>
          </w:p>
          <w:p w14:paraId="5ACEEAC2" w14:textId="79BCC57D" w:rsidR="007F2FC9" w:rsidRPr="007427EF" w:rsidRDefault="007F2FC9" w:rsidP="6A98AE7B">
            <w:pPr>
              <w:pStyle w:val="Table"/>
              <w:keepNext/>
              <w:keepLines/>
              <w:rPr>
                <w:rFonts w:ascii="Arial Narrow" w:hAnsi="Arial Narrow" w:cs="Arial"/>
              </w:rPr>
            </w:pPr>
          </w:p>
        </w:tc>
      </w:tr>
      <w:tr w:rsidR="006B34BB" w:rsidRPr="007427EF" w14:paraId="2B10AA6A" w14:textId="77777777" w:rsidTr="006B34BB">
        <w:tc>
          <w:tcPr>
            <w:tcW w:w="1838" w:type="dxa"/>
          </w:tcPr>
          <w:p w14:paraId="2FFF158D" w14:textId="06F214AD"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ANCLD study</w:t>
            </w:r>
          </w:p>
        </w:tc>
        <w:tc>
          <w:tcPr>
            <w:tcW w:w="5245" w:type="dxa"/>
          </w:tcPr>
          <w:p w14:paraId="340ED5CA" w14:textId="7DF10D12" w:rsidR="006B34BB" w:rsidRPr="007427EF" w:rsidRDefault="006B34BB" w:rsidP="6A98AE7B">
            <w:pPr>
              <w:pStyle w:val="Table"/>
              <w:keepNext/>
              <w:keepLines/>
              <w:rPr>
                <w:rFonts w:ascii="Arial Narrow" w:hAnsi="Arial Narrow" w:cs="Arial"/>
              </w:rPr>
            </w:pPr>
            <w:r w:rsidRPr="007427EF">
              <w:rPr>
                <w:rFonts w:ascii="Arial Narrow" w:hAnsi="Arial Narrow" w:cs="Arial"/>
              </w:rPr>
              <w:t xml:space="preserve">Unpublished report: </w:t>
            </w:r>
            <w:proofErr w:type="spellStart"/>
            <w:r w:rsidRPr="007427EF">
              <w:rPr>
                <w:rFonts w:ascii="Arial Narrow" w:hAnsi="Arial Narrow" w:cs="Arial"/>
              </w:rPr>
              <w:t>Vorinostat</w:t>
            </w:r>
            <w:proofErr w:type="spellEnd"/>
            <w:r w:rsidRPr="007427EF">
              <w:rPr>
                <w:rFonts w:ascii="Arial Narrow" w:hAnsi="Arial Narrow" w:cs="Arial"/>
              </w:rPr>
              <w:t xml:space="preserve"> analysis of Peter Mac Cutaneous Lymphoma database</w:t>
            </w:r>
          </w:p>
        </w:tc>
        <w:tc>
          <w:tcPr>
            <w:tcW w:w="1984" w:type="dxa"/>
          </w:tcPr>
          <w:p w14:paraId="67EA8582" w14:textId="3287BDC2" w:rsidR="006B34BB" w:rsidRPr="007427EF" w:rsidRDefault="00407635" w:rsidP="6A98AE7B">
            <w:pPr>
              <w:pStyle w:val="Table"/>
              <w:keepNext/>
              <w:keepLines/>
              <w:rPr>
                <w:rFonts w:ascii="Arial Narrow" w:hAnsi="Arial Narrow" w:cs="Arial"/>
              </w:rPr>
            </w:pPr>
            <w:r w:rsidRPr="007427EF">
              <w:rPr>
                <w:rFonts w:ascii="Arial Narrow" w:hAnsi="Arial Narrow" w:cs="Arial"/>
              </w:rPr>
              <w:t>August 2020</w:t>
            </w:r>
          </w:p>
        </w:tc>
      </w:tr>
      <w:tr w:rsidR="006B34BB" w:rsidRPr="007427EF" w14:paraId="76C9D71F" w14:textId="77777777" w:rsidTr="006B34BB">
        <w:tc>
          <w:tcPr>
            <w:tcW w:w="1838" w:type="dxa"/>
          </w:tcPr>
          <w:p w14:paraId="3A1FA163" w14:textId="67F2B226"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Unanchored matching-adjusted indirect comparison (unanchored MAIC) report/</w:t>
            </w:r>
          </w:p>
          <w:p w14:paraId="41AA4E8C" w14:textId="58C935BE" w:rsidR="006B34BB" w:rsidRPr="007427EF" w:rsidRDefault="006B34BB" w:rsidP="00527AAA">
            <w:pPr>
              <w:pStyle w:val="Table"/>
              <w:keepNext/>
              <w:keepLines/>
              <w:rPr>
                <w:rFonts w:ascii="Arial Narrow" w:hAnsi="Arial Narrow" w:cs="Arial"/>
                <w:szCs w:val="20"/>
              </w:rPr>
            </w:pPr>
            <w:r w:rsidRPr="007427EF">
              <w:rPr>
                <w:rFonts w:ascii="Arial Narrow" w:hAnsi="Arial Narrow" w:cs="Arial"/>
                <w:szCs w:val="20"/>
              </w:rPr>
              <w:t>Remak et al., 2021</w:t>
            </w:r>
          </w:p>
        </w:tc>
        <w:tc>
          <w:tcPr>
            <w:tcW w:w="5245" w:type="dxa"/>
          </w:tcPr>
          <w:p w14:paraId="42BEBE0D" w14:textId="5CA3E93A" w:rsidR="006B34BB" w:rsidRPr="007427EF" w:rsidRDefault="006B34BB" w:rsidP="6A98AE7B">
            <w:pPr>
              <w:pStyle w:val="Table"/>
              <w:keepNext/>
              <w:keepLines/>
              <w:rPr>
                <w:rFonts w:ascii="Arial Narrow" w:hAnsi="Arial Narrow" w:cs="Arial"/>
              </w:rPr>
            </w:pPr>
            <w:r w:rsidRPr="007427EF">
              <w:rPr>
                <w:rFonts w:ascii="Arial Narrow" w:hAnsi="Arial Narrow" w:cs="Arial"/>
              </w:rPr>
              <w:t>MAIC Report/</w:t>
            </w:r>
            <w:r w:rsidRPr="007427EF">
              <w:t xml:space="preserve"> </w:t>
            </w:r>
            <w:r w:rsidRPr="007427EF">
              <w:rPr>
                <w:rFonts w:ascii="Arial Narrow" w:hAnsi="Arial Narrow" w:cs="Arial"/>
              </w:rPr>
              <w:t xml:space="preserve">Remák E, Hawkins N, Jones T, Otley M, Twigger R, Prince M. Understanding relative survival outcomes for patients with cutaneous T-cell lymphoma (CTCL) subtypes mycosis fungoides and </w:t>
            </w:r>
            <w:proofErr w:type="spellStart"/>
            <w:r w:rsidRPr="007427EF">
              <w:rPr>
                <w:rFonts w:ascii="Arial Narrow" w:hAnsi="Arial Narrow" w:cs="Arial"/>
              </w:rPr>
              <w:t>Sézary</w:t>
            </w:r>
            <w:proofErr w:type="spellEnd"/>
            <w:r w:rsidRPr="007427EF">
              <w:rPr>
                <w:rFonts w:ascii="Arial Narrow" w:hAnsi="Arial Narrow" w:cs="Arial"/>
              </w:rPr>
              <w:t xml:space="preserve"> syndrome treated with mogamulizumab or </w:t>
            </w:r>
            <w:proofErr w:type="spellStart"/>
            <w:r w:rsidRPr="007427EF">
              <w:rPr>
                <w:rFonts w:ascii="Arial Narrow" w:hAnsi="Arial Narrow" w:cs="Arial"/>
              </w:rPr>
              <w:t>vorinostat</w:t>
            </w:r>
            <w:proofErr w:type="spellEnd"/>
            <w:r w:rsidRPr="007427EF">
              <w:rPr>
                <w:rFonts w:ascii="Arial Narrow" w:hAnsi="Arial Narrow" w:cs="Arial"/>
              </w:rPr>
              <w:t xml:space="preserve">: Combining Australian real-world evidence and MAVORIC phase 3 trial data. </w:t>
            </w:r>
          </w:p>
        </w:tc>
        <w:tc>
          <w:tcPr>
            <w:tcW w:w="1984" w:type="dxa"/>
          </w:tcPr>
          <w:p w14:paraId="3D94212F" w14:textId="173746D7" w:rsidR="006B34BB" w:rsidRPr="007427EF" w:rsidRDefault="00063AC7" w:rsidP="6A98AE7B">
            <w:pPr>
              <w:pStyle w:val="Table"/>
              <w:keepNext/>
              <w:keepLines/>
              <w:rPr>
                <w:rFonts w:ascii="Arial Narrow" w:hAnsi="Arial Narrow" w:cs="Arial"/>
              </w:rPr>
            </w:pPr>
            <w:r w:rsidRPr="007427EF">
              <w:rPr>
                <w:rFonts w:ascii="Arial Narrow" w:hAnsi="Arial Narrow" w:cs="Arial"/>
              </w:rPr>
              <w:t>European Journal of Cancer. 2021 Oct 1;</w:t>
            </w:r>
            <w:proofErr w:type="gramStart"/>
            <w:r w:rsidRPr="007427EF">
              <w:rPr>
                <w:rFonts w:ascii="Arial Narrow" w:hAnsi="Arial Narrow" w:cs="Arial"/>
              </w:rPr>
              <w:t>156:S</w:t>
            </w:r>
            <w:proofErr w:type="gramEnd"/>
            <w:r w:rsidRPr="007427EF">
              <w:rPr>
                <w:rFonts w:ascii="Arial Narrow" w:hAnsi="Arial Narrow" w:cs="Arial"/>
              </w:rPr>
              <w:t>18.</w:t>
            </w:r>
          </w:p>
        </w:tc>
      </w:tr>
    </w:tbl>
    <w:p w14:paraId="22C8384B" w14:textId="1F0A40AD" w:rsidR="00B234E0" w:rsidRPr="007427EF" w:rsidRDefault="00B234E0" w:rsidP="00527AAA">
      <w:pPr>
        <w:pStyle w:val="FooterTableFigure"/>
        <w:keepNext/>
        <w:keepLines/>
        <w:rPr>
          <w:szCs w:val="18"/>
        </w:rPr>
      </w:pPr>
      <w:r w:rsidRPr="007427EF">
        <w:rPr>
          <w:szCs w:val="18"/>
        </w:rPr>
        <w:t>Source: Table 2-1, pp3</w:t>
      </w:r>
      <w:r w:rsidR="00207C04" w:rsidRPr="007427EF">
        <w:rPr>
          <w:szCs w:val="18"/>
        </w:rPr>
        <w:t>4</w:t>
      </w:r>
      <w:r w:rsidRPr="007427EF">
        <w:rPr>
          <w:szCs w:val="18"/>
        </w:rPr>
        <w:t>-3</w:t>
      </w:r>
      <w:r w:rsidR="00207C04" w:rsidRPr="007427EF">
        <w:rPr>
          <w:szCs w:val="18"/>
        </w:rPr>
        <w:t>6</w:t>
      </w:r>
      <w:r w:rsidRPr="007427EF">
        <w:rPr>
          <w:szCs w:val="18"/>
        </w:rPr>
        <w:t xml:space="preserve"> of the resubmission. </w:t>
      </w:r>
    </w:p>
    <w:p w14:paraId="76244978" w14:textId="77777777" w:rsidR="00B234E0" w:rsidRPr="007427EF" w:rsidRDefault="00B234E0" w:rsidP="00F32F82">
      <w:pPr>
        <w:pStyle w:val="FooterTableFigure"/>
        <w:keepLines/>
        <w:contextualSpacing w:val="0"/>
      </w:pPr>
      <w:r w:rsidRPr="007427EF">
        <w:t>Blue shading indicates data previously seen by the PBAC.</w:t>
      </w:r>
    </w:p>
    <w:p w14:paraId="1DD06D7D" w14:textId="4E7CB379" w:rsidR="007F1017" w:rsidRPr="007427EF" w:rsidRDefault="24A1B36E" w:rsidP="00661810">
      <w:pPr>
        <w:pStyle w:val="3-BodyText"/>
        <w:rPr>
          <w:color w:val="0066FF"/>
        </w:rPr>
      </w:pPr>
      <w:r w:rsidRPr="007427EF">
        <w:t xml:space="preserve">The key features of the </w:t>
      </w:r>
      <w:r w:rsidR="1FBE27EA" w:rsidRPr="007427EF">
        <w:t xml:space="preserve">key </w:t>
      </w:r>
      <w:r w:rsidR="1F5B8957" w:rsidRPr="007427EF">
        <w:t>studies</w:t>
      </w:r>
      <w:r w:rsidRPr="007427EF">
        <w:t xml:space="preserve"> are summarised in</w:t>
      </w:r>
      <w:r w:rsidR="4F33ECE7" w:rsidRPr="007427EF">
        <w:t xml:space="preserve"> </w:t>
      </w:r>
      <w:r w:rsidR="008F120A" w:rsidRPr="007427EF">
        <w:fldChar w:fldCharType="begin"/>
      </w:r>
      <w:r w:rsidR="008F120A" w:rsidRPr="007427EF">
        <w:instrText xml:space="preserve"> REF _Ref104804098 \h  \* MERGEFORMAT </w:instrText>
      </w:r>
      <w:r w:rsidR="008F120A" w:rsidRPr="007427EF">
        <w:fldChar w:fldCharType="separate"/>
      </w:r>
      <w:r w:rsidR="00EF6B5D" w:rsidRPr="00EF6B5D">
        <w:t>Table 4</w:t>
      </w:r>
      <w:r w:rsidR="008F120A" w:rsidRPr="007427EF">
        <w:fldChar w:fldCharType="end"/>
      </w:r>
      <w:r w:rsidRPr="007427EF">
        <w:t>.</w:t>
      </w:r>
      <w:r w:rsidR="72D06F17" w:rsidRPr="007427EF">
        <w:t xml:space="preserve"> </w:t>
      </w:r>
    </w:p>
    <w:p w14:paraId="355E2F15" w14:textId="60067605" w:rsidR="007F1017" w:rsidRPr="007427EF" w:rsidRDefault="00696EF9" w:rsidP="00661810">
      <w:pPr>
        <w:pStyle w:val="Caption"/>
        <w:rPr>
          <w:rStyle w:val="CommentReference"/>
          <w:rFonts w:eastAsiaTheme="majorEastAsia" w:cstheme="majorBidi"/>
          <w:b/>
          <w:szCs w:val="24"/>
        </w:rPr>
      </w:pPr>
      <w:bookmarkStart w:id="26" w:name="_Ref104804098"/>
      <w:r w:rsidRPr="007427EF">
        <w:rPr>
          <w:rStyle w:val="CommentReference"/>
          <w:rFonts w:eastAsiaTheme="majorEastAsia" w:cstheme="majorBidi"/>
          <w:b/>
          <w:szCs w:val="24"/>
        </w:rPr>
        <w:t xml:space="preserve">Table </w:t>
      </w:r>
      <w:r w:rsidRPr="007427EF">
        <w:rPr>
          <w:rStyle w:val="CommentReference"/>
          <w:rFonts w:eastAsiaTheme="majorEastAsia" w:cstheme="majorBidi"/>
          <w:b/>
          <w:szCs w:val="24"/>
        </w:rPr>
        <w:fldChar w:fldCharType="begin"/>
      </w:r>
      <w:r w:rsidRPr="007427EF">
        <w:rPr>
          <w:rStyle w:val="CommentReference"/>
          <w:rFonts w:eastAsiaTheme="majorEastAsia" w:cstheme="majorBidi"/>
          <w:b/>
          <w:szCs w:val="24"/>
        </w:rPr>
        <w:instrText xml:space="preserve"> SEQ Table \* ARABIC </w:instrText>
      </w:r>
      <w:r w:rsidRPr="007427EF">
        <w:rPr>
          <w:rStyle w:val="CommentReference"/>
          <w:rFonts w:eastAsiaTheme="majorEastAsia" w:cstheme="majorBidi"/>
          <w:b/>
          <w:szCs w:val="24"/>
        </w:rPr>
        <w:fldChar w:fldCharType="separate"/>
      </w:r>
      <w:r w:rsidR="00EF6B5D">
        <w:rPr>
          <w:rStyle w:val="CommentReference"/>
          <w:rFonts w:eastAsiaTheme="majorEastAsia" w:cstheme="majorBidi"/>
          <w:b/>
          <w:noProof/>
          <w:szCs w:val="24"/>
        </w:rPr>
        <w:t>4</w:t>
      </w:r>
      <w:r w:rsidRPr="007427EF">
        <w:rPr>
          <w:rStyle w:val="CommentReference"/>
          <w:rFonts w:eastAsiaTheme="majorEastAsia" w:cstheme="majorBidi"/>
          <w:b/>
          <w:szCs w:val="24"/>
        </w:rPr>
        <w:fldChar w:fldCharType="end"/>
      </w:r>
      <w:bookmarkEnd w:id="26"/>
      <w:r w:rsidR="00D6076E" w:rsidRPr="007427EF">
        <w:rPr>
          <w:rStyle w:val="CommentReference"/>
          <w:rFonts w:eastAsiaTheme="majorEastAsia" w:cstheme="majorBidi"/>
          <w:b/>
          <w:szCs w:val="24"/>
        </w:rPr>
        <w:t xml:space="preserve">: </w:t>
      </w:r>
      <w:r w:rsidR="007F1017" w:rsidRPr="007427EF">
        <w:rPr>
          <w:rStyle w:val="CommentReference"/>
          <w:rFonts w:eastAsiaTheme="majorEastAsia" w:cstheme="majorBidi"/>
          <w:b/>
          <w:szCs w:val="24"/>
        </w:rPr>
        <w:t xml:space="preserve">Key features of the </w:t>
      </w:r>
      <w:r w:rsidR="00F344B0" w:rsidRPr="007427EF">
        <w:rPr>
          <w:rStyle w:val="CommentReference"/>
          <w:rFonts w:eastAsiaTheme="majorEastAsia" w:cstheme="majorBidi"/>
          <w:b/>
          <w:szCs w:val="24"/>
        </w:rPr>
        <w:t xml:space="preserve">key </w:t>
      </w:r>
      <w:r w:rsidR="007F1017" w:rsidRPr="007427EF">
        <w:rPr>
          <w:rStyle w:val="CommentReference"/>
          <w:rFonts w:eastAsiaTheme="majorEastAsia" w:cstheme="majorBidi"/>
          <w:b/>
          <w:szCs w:val="24"/>
        </w:rPr>
        <w:t>evidence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key evidence"/>
      </w:tblPr>
      <w:tblGrid>
        <w:gridCol w:w="1199"/>
        <w:gridCol w:w="1369"/>
        <w:gridCol w:w="1342"/>
        <w:gridCol w:w="1012"/>
        <w:gridCol w:w="1456"/>
        <w:gridCol w:w="1414"/>
        <w:gridCol w:w="1275"/>
      </w:tblGrid>
      <w:tr w:rsidR="00E94287" w:rsidRPr="007427EF" w14:paraId="15D6219A" w14:textId="77777777" w:rsidTr="6A98AE7B">
        <w:trPr>
          <w:cantSplit/>
          <w:tblHeader/>
        </w:trPr>
        <w:tc>
          <w:tcPr>
            <w:tcW w:w="661" w:type="pct"/>
            <w:vAlign w:val="center"/>
          </w:tcPr>
          <w:p w14:paraId="5EA2CB3C" w14:textId="77777777" w:rsidR="00737A3D" w:rsidRPr="007427EF" w:rsidRDefault="00737A3D" w:rsidP="00880B7A">
            <w:pPr>
              <w:rPr>
                <w:rFonts w:ascii="Arial Narrow" w:hAnsi="Arial Narrow"/>
                <w:b/>
                <w:bCs/>
                <w:sz w:val="20"/>
                <w:szCs w:val="20"/>
              </w:rPr>
            </w:pPr>
            <w:r w:rsidRPr="007427EF">
              <w:rPr>
                <w:rFonts w:ascii="Arial Narrow" w:hAnsi="Arial Narrow"/>
                <w:b/>
                <w:bCs/>
                <w:sz w:val="20"/>
                <w:szCs w:val="20"/>
              </w:rPr>
              <w:t>Study</w:t>
            </w:r>
          </w:p>
        </w:tc>
        <w:tc>
          <w:tcPr>
            <w:tcW w:w="755" w:type="pct"/>
            <w:vAlign w:val="center"/>
          </w:tcPr>
          <w:p w14:paraId="265BAF97"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N</w:t>
            </w:r>
          </w:p>
        </w:tc>
        <w:tc>
          <w:tcPr>
            <w:tcW w:w="740" w:type="pct"/>
            <w:vAlign w:val="center"/>
          </w:tcPr>
          <w:p w14:paraId="266BF1D3"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Design/ duration</w:t>
            </w:r>
          </w:p>
        </w:tc>
        <w:tc>
          <w:tcPr>
            <w:tcW w:w="558" w:type="pct"/>
            <w:vAlign w:val="center"/>
          </w:tcPr>
          <w:p w14:paraId="1628E773"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Risk of bias</w:t>
            </w:r>
          </w:p>
        </w:tc>
        <w:tc>
          <w:tcPr>
            <w:tcW w:w="803" w:type="pct"/>
            <w:vAlign w:val="center"/>
          </w:tcPr>
          <w:p w14:paraId="3A43D84E"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Patient population</w:t>
            </w:r>
          </w:p>
        </w:tc>
        <w:tc>
          <w:tcPr>
            <w:tcW w:w="780" w:type="pct"/>
            <w:vAlign w:val="center"/>
          </w:tcPr>
          <w:p w14:paraId="57CE04A5"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Outcome(s)</w:t>
            </w:r>
          </w:p>
        </w:tc>
        <w:tc>
          <w:tcPr>
            <w:tcW w:w="703" w:type="pct"/>
            <w:vAlign w:val="center"/>
          </w:tcPr>
          <w:p w14:paraId="159525C1" w14:textId="77777777" w:rsidR="00737A3D" w:rsidRPr="007427EF" w:rsidRDefault="00737A3D" w:rsidP="00880B7A">
            <w:pPr>
              <w:jc w:val="center"/>
              <w:rPr>
                <w:rFonts w:ascii="Arial Narrow" w:hAnsi="Arial Narrow"/>
                <w:b/>
                <w:bCs/>
                <w:sz w:val="20"/>
                <w:szCs w:val="20"/>
              </w:rPr>
            </w:pPr>
            <w:r w:rsidRPr="007427EF">
              <w:rPr>
                <w:rFonts w:ascii="Arial Narrow" w:hAnsi="Arial Narrow"/>
                <w:b/>
                <w:bCs/>
                <w:sz w:val="20"/>
                <w:szCs w:val="20"/>
              </w:rPr>
              <w:t>Use in modelled evaluation</w:t>
            </w:r>
          </w:p>
        </w:tc>
      </w:tr>
      <w:tr w:rsidR="00737A3D" w:rsidRPr="007427EF" w14:paraId="213FF39D" w14:textId="77777777" w:rsidTr="6A98AE7B">
        <w:trPr>
          <w:cantSplit/>
        </w:trPr>
        <w:tc>
          <w:tcPr>
            <w:tcW w:w="5000" w:type="pct"/>
            <w:gridSpan w:val="7"/>
            <w:vAlign w:val="center"/>
          </w:tcPr>
          <w:p w14:paraId="52D3C52B" w14:textId="77777777" w:rsidR="00737A3D" w:rsidRPr="007427EF" w:rsidRDefault="00737A3D" w:rsidP="6A98AE7B">
            <w:pPr>
              <w:rPr>
                <w:rFonts w:ascii="Arial Narrow" w:hAnsi="Arial Narrow"/>
                <w:b/>
                <w:bCs/>
                <w:sz w:val="20"/>
                <w:szCs w:val="20"/>
              </w:rPr>
            </w:pPr>
            <w:r w:rsidRPr="007427EF">
              <w:rPr>
                <w:rFonts w:ascii="Arial Narrow" w:hAnsi="Arial Narrow"/>
                <w:b/>
                <w:bCs/>
                <w:sz w:val="20"/>
                <w:szCs w:val="20"/>
              </w:rPr>
              <w:t xml:space="preserve">Mogamulizumab: </w:t>
            </w:r>
            <w:r w:rsidRPr="007427EF">
              <w:rPr>
                <w:rFonts w:ascii="Arial Narrow" w:hAnsi="Arial Narrow"/>
                <w:sz w:val="20"/>
                <w:szCs w:val="20"/>
              </w:rPr>
              <w:t xml:space="preserve">RCT (versus </w:t>
            </w:r>
            <w:proofErr w:type="spellStart"/>
            <w:r w:rsidRPr="007427EF">
              <w:rPr>
                <w:rFonts w:ascii="Arial Narrow" w:hAnsi="Arial Narrow"/>
                <w:sz w:val="20"/>
                <w:szCs w:val="20"/>
              </w:rPr>
              <w:t>vorinostat</w:t>
            </w:r>
            <w:proofErr w:type="spellEnd"/>
            <w:r w:rsidRPr="007427EF">
              <w:rPr>
                <w:rFonts w:ascii="Arial Narrow" w:hAnsi="Arial Narrow"/>
                <w:sz w:val="20"/>
                <w:szCs w:val="20"/>
              </w:rPr>
              <w:t>)</w:t>
            </w:r>
          </w:p>
        </w:tc>
      </w:tr>
      <w:tr w:rsidR="00A6641B" w:rsidRPr="007427EF" w14:paraId="17003189" w14:textId="77777777" w:rsidTr="6A98AE7B">
        <w:trPr>
          <w:cantSplit/>
        </w:trPr>
        <w:tc>
          <w:tcPr>
            <w:tcW w:w="661" w:type="pct"/>
            <w:shd w:val="clear" w:color="auto" w:fill="C6D9F1" w:themeFill="text2" w:themeFillTint="33"/>
            <w:vAlign w:val="center"/>
          </w:tcPr>
          <w:p w14:paraId="2D71A494" w14:textId="77777777" w:rsidR="00737A3D" w:rsidRPr="007427EF" w:rsidRDefault="00737A3D" w:rsidP="00880B7A">
            <w:pPr>
              <w:rPr>
                <w:rFonts w:ascii="Arial Narrow" w:hAnsi="Arial Narrow"/>
                <w:sz w:val="20"/>
                <w:szCs w:val="20"/>
              </w:rPr>
            </w:pPr>
            <w:r w:rsidRPr="007427EF">
              <w:rPr>
                <w:rFonts w:ascii="Arial Narrow" w:hAnsi="Arial Narrow"/>
                <w:sz w:val="20"/>
                <w:szCs w:val="20"/>
              </w:rPr>
              <w:t>MAVORIC</w:t>
            </w:r>
          </w:p>
        </w:tc>
        <w:tc>
          <w:tcPr>
            <w:tcW w:w="755" w:type="pct"/>
            <w:shd w:val="clear" w:color="auto" w:fill="C6D9F1" w:themeFill="text2" w:themeFillTint="33"/>
            <w:vAlign w:val="center"/>
          </w:tcPr>
          <w:p w14:paraId="7BC393BC"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372</w:t>
            </w:r>
          </w:p>
        </w:tc>
        <w:tc>
          <w:tcPr>
            <w:tcW w:w="740" w:type="pct"/>
            <w:shd w:val="clear" w:color="auto" w:fill="C6D9F1" w:themeFill="text2" w:themeFillTint="33"/>
            <w:vAlign w:val="center"/>
          </w:tcPr>
          <w:p w14:paraId="19078890"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R, OL/17 months</w:t>
            </w:r>
          </w:p>
        </w:tc>
        <w:tc>
          <w:tcPr>
            <w:tcW w:w="558" w:type="pct"/>
            <w:shd w:val="clear" w:color="auto" w:fill="C6D9F1" w:themeFill="text2" w:themeFillTint="33"/>
            <w:vAlign w:val="center"/>
          </w:tcPr>
          <w:p w14:paraId="510EBA21"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High</w:t>
            </w:r>
          </w:p>
        </w:tc>
        <w:tc>
          <w:tcPr>
            <w:tcW w:w="803" w:type="pct"/>
            <w:shd w:val="clear" w:color="auto" w:fill="C6D9F1" w:themeFill="text2" w:themeFillTint="33"/>
            <w:vAlign w:val="center"/>
          </w:tcPr>
          <w:p w14:paraId="3D075835" w14:textId="77777777" w:rsidR="00737A3D" w:rsidRPr="007427EF" w:rsidRDefault="00737A3D" w:rsidP="00880B7A">
            <w:pPr>
              <w:jc w:val="center"/>
              <w:rPr>
                <w:rFonts w:ascii="Arial Narrow" w:hAnsi="Arial Narrow"/>
                <w:sz w:val="20"/>
                <w:szCs w:val="20"/>
              </w:rPr>
            </w:pPr>
            <w:r w:rsidRPr="007427EF">
              <w:rPr>
                <w:rFonts w:ascii="Arial Narrow" w:hAnsi="Arial Narrow"/>
                <w:sz w:val="20"/>
                <w:szCs w:val="20"/>
              </w:rPr>
              <w:t>MF or SS ≥ 1 prior systemic therapy</w:t>
            </w:r>
          </w:p>
        </w:tc>
        <w:tc>
          <w:tcPr>
            <w:tcW w:w="780" w:type="pct"/>
            <w:shd w:val="clear" w:color="auto" w:fill="C6D9F1" w:themeFill="text2" w:themeFillTint="33"/>
            <w:vAlign w:val="center"/>
          </w:tcPr>
          <w:p w14:paraId="5DCFC963" w14:textId="23000234" w:rsidR="00737A3D" w:rsidRPr="007427EF" w:rsidRDefault="00737A3D" w:rsidP="5695CB93">
            <w:pPr>
              <w:jc w:val="center"/>
              <w:rPr>
                <w:rFonts w:ascii="Arial Narrow" w:hAnsi="Arial Narrow"/>
                <w:sz w:val="20"/>
                <w:szCs w:val="20"/>
              </w:rPr>
            </w:pPr>
            <w:r w:rsidRPr="007427EF">
              <w:rPr>
                <w:rFonts w:ascii="Arial Narrow" w:hAnsi="Arial Narrow"/>
                <w:sz w:val="20"/>
                <w:szCs w:val="20"/>
              </w:rPr>
              <w:t xml:space="preserve">PFS, ORR, DOR, </w:t>
            </w:r>
            <w:r w:rsidR="00F6419E" w:rsidRPr="007427EF">
              <w:rPr>
                <w:rFonts w:ascii="Arial Narrow" w:hAnsi="Arial Narrow"/>
                <w:sz w:val="20"/>
                <w:szCs w:val="20"/>
              </w:rPr>
              <w:t xml:space="preserve">OS, </w:t>
            </w:r>
            <w:r w:rsidRPr="007427EF">
              <w:rPr>
                <w:rFonts w:ascii="Arial Narrow" w:hAnsi="Arial Narrow"/>
                <w:sz w:val="20"/>
                <w:szCs w:val="20"/>
              </w:rPr>
              <w:t xml:space="preserve">TTF, TTR, </w:t>
            </w:r>
            <w:proofErr w:type="spellStart"/>
            <w:r w:rsidRPr="007427EF">
              <w:rPr>
                <w:rFonts w:ascii="Arial Narrow" w:hAnsi="Arial Narrow"/>
                <w:sz w:val="20"/>
                <w:szCs w:val="20"/>
              </w:rPr>
              <w:t>HRQoL</w:t>
            </w:r>
            <w:proofErr w:type="spellEnd"/>
            <w:r w:rsidRPr="007427EF">
              <w:rPr>
                <w:rFonts w:ascii="Arial Narrow" w:hAnsi="Arial Narrow"/>
                <w:sz w:val="20"/>
                <w:szCs w:val="20"/>
              </w:rPr>
              <w:t>, AEs, TTNT</w:t>
            </w:r>
          </w:p>
        </w:tc>
        <w:tc>
          <w:tcPr>
            <w:tcW w:w="703" w:type="pct"/>
            <w:shd w:val="clear" w:color="auto" w:fill="C6D9F1" w:themeFill="text2" w:themeFillTint="33"/>
            <w:vAlign w:val="center"/>
          </w:tcPr>
          <w:p w14:paraId="076DB688" w14:textId="4E09D02B" w:rsidR="00737A3D" w:rsidRPr="007427EF" w:rsidRDefault="00F24405" w:rsidP="5695CB93">
            <w:pPr>
              <w:jc w:val="center"/>
              <w:rPr>
                <w:rFonts w:ascii="Arial Narrow" w:hAnsi="Arial Narrow"/>
                <w:sz w:val="20"/>
                <w:szCs w:val="20"/>
                <w:highlight w:val="yellow"/>
              </w:rPr>
            </w:pPr>
            <w:proofErr w:type="spellStart"/>
            <w:r w:rsidRPr="007427EF">
              <w:rPr>
                <w:rFonts w:ascii="Arial Narrow" w:hAnsi="Arial Narrow"/>
                <w:sz w:val="20"/>
                <w:szCs w:val="20"/>
              </w:rPr>
              <w:t>HRQoL</w:t>
            </w:r>
            <w:proofErr w:type="spellEnd"/>
          </w:p>
        </w:tc>
      </w:tr>
      <w:tr w:rsidR="00737A3D" w:rsidRPr="007427EF" w14:paraId="2A37E84A" w14:textId="77777777" w:rsidTr="6A98AE7B">
        <w:trPr>
          <w:cantSplit/>
        </w:trPr>
        <w:tc>
          <w:tcPr>
            <w:tcW w:w="5000" w:type="pct"/>
            <w:gridSpan w:val="7"/>
            <w:vAlign w:val="center"/>
          </w:tcPr>
          <w:p w14:paraId="7D791C19" w14:textId="31C4D876" w:rsidR="00737A3D" w:rsidRPr="007427EF" w:rsidRDefault="00737A3D" w:rsidP="6A98AE7B">
            <w:pPr>
              <w:jc w:val="left"/>
              <w:rPr>
                <w:rFonts w:ascii="Arial Narrow" w:hAnsi="Arial Narrow"/>
                <w:color w:val="FF0000"/>
                <w:sz w:val="20"/>
                <w:szCs w:val="20"/>
              </w:rPr>
            </w:pPr>
            <w:proofErr w:type="spellStart"/>
            <w:r w:rsidRPr="007427EF">
              <w:rPr>
                <w:rFonts w:ascii="Arial Narrow" w:hAnsi="Arial Narrow"/>
                <w:b/>
                <w:bCs/>
                <w:sz w:val="20"/>
                <w:szCs w:val="20"/>
              </w:rPr>
              <w:t>Vorinostat</w:t>
            </w:r>
            <w:proofErr w:type="spellEnd"/>
            <w:r w:rsidRPr="007427EF">
              <w:rPr>
                <w:rFonts w:ascii="Arial Narrow" w:hAnsi="Arial Narrow"/>
                <w:b/>
                <w:bCs/>
                <w:sz w:val="20"/>
                <w:szCs w:val="20"/>
              </w:rPr>
              <w:t xml:space="preserve">: </w:t>
            </w:r>
            <w:r w:rsidR="0012497B" w:rsidRPr="007427EF">
              <w:rPr>
                <w:rFonts w:ascii="Arial Narrow" w:hAnsi="Arial Narrow"/>
                <w:sz w:val="20"/>
                <w:szCs w:val="20"/>
              </w:rPr>
              <w:t>Non-randomised</w:t>
            </w:r>
            <w:r w:rsidRPr="007427EF">
              <w:rPr>
                <w:rFonts w:ascii="Arial Narrow" w:hAnsi="Arial Narrow"/>
                <w:sz w:val="20"/>
                <w:szCs w:val="20"/>
              </w:rPr>
              <w:t xml:space="preserve"> studies</w:t>
            </w:r>
          </w:p>
        </w:tc>
      </w:tr>
      <w:tr w:rsidR="00737A3D" w:rsidRPr="007427EF" w14:paraId="1AB91C61" w14:textId="77777777" w:rsidTr="6A98AE7B">
        <w:trPr>
          <w:cantSplit/>
        </w:trPr>
        <w:tc>
          <w:tcPr>
            <w:tcW w:w="661" w:type="pct"/>
            <w:vAlign w:val="center"/>
          </w:tcPr>
          <w:p w14:paraId="3DD72671" w14:textId="4BF174C5" w:rsidR="00737A3D" w:rsidRPr="007427EF" w:rsidRDefault="00737A3D" w:rsidP="00880B7A">
            <w:pPr>
              <w:rPr>
                <w:rFonts w:ascii="Arial Narrow" w:hAnsi="Arial Narrow"/>
                <w:sz w:val="20"/>
                <w:szCs w:val="20"/>
              </w:rPr>
            </w:pPr>
            <w:r w:rsidRPr="007427EF">
              <w:rPr>
                <w:rFonts w:ascii="Arial Narrow" w:hAnsi="Arial Narrow"/>
                <w:sz w:val="20"/>
                <w:szCs w:val="20"/>
              </w:rPr>
              <w:t xml:space="preserve">ANCLD </w:t>
            </w:r>
            <w:r w:rsidR="00E137DF" w:rsidRPr="007427EF">
              <w:rPr>
                <w:rFonts w:ascii="Arial Narrow" w:hAnsi="Arial Narrow"/>
                <w:sz w:val="20"/>
                <w:szCs w:val="20"/>
              </w:rPr>
              <w:t xml:space="preserve">study </w:t>
            </w:r>
          </w:p>
        </w:tc>
        <w:tc>
          <w:tcPr>
            <w:tcW w:w="755" w:type="pct"/>
            <w:vAlign w:val="center"/>
          </w:tcPr>
          <w:p w14:paraId="01EA8270" w14:textId="7E48C159" w:rsidR="00737A3D" w:rsidRPr="007427EF" w:rsidRDefault="009D4101" w:rsidP="00880B7A">
            <w:pPr>
              <w:jc w:val="center"/>
              <w:rPr>
                <w:rFonts w:ascii="Arial Narrow" w:hAnsi="Arial Narrow"/>
                <w:sz w:val="20"/>
                <w:szCs w:val="20"/>
              </w:rPr>
            </w:pPr>
            <w:r w:rsidRPr="007427EF">
              <w:rPr>
                <w:rFonts w:ascii="Arial Narrow" w:hAnsi="Arial Narrow"/>
                <w:sz w:val="20"/>
                <w:szCs w:val="20"/>
              </w:rPr>
              <w:t>64</w:t>
            </w:r>
          </w:p>
        </w:tc>
        <w:tc>
          <w:tcPr>
            <w:tcW w:w="740" w:type="pct"/>
            <w:vAlign w:val="center"/>
          </w:tcPr>
          <w:p w14:paraId="1C9ABDCF" w14:textId="70DE41E0" w:rsidR="00737A3D" w:rsidRPr="007427EF" w:rsidRDefault="009D4101" w:rsidP="00880B7A">
            <w:pPr>
              <w:jc w:val="center"/>
              <w:rPr>
                <w:rFonts w:ascii="Arial Narrow" w:hAnsi="Arial Narrow"/>
                <w:sz w:val="20"/>
                <w:szCs w:val="20"/>
              </w:rPr>
            </w:pPr>
            <w:r w:rsidRPr="007427EF">
              <w:rPr>
                <w:rFonts w:ascii="Arial Narrow" w:hAnsi="Arial Narrow"/>
                <w:sz w:val="20"/>
                <w:szCs w:val="20"/>
              </w:rPr>
              <w:t>Retrospective</w:t>
            </w:r>
            <w:r w:rsidR="00B21F9E" w:rsidRPr="007427EF">
              <w:rPr>
                <w:rFonts w:ascii="Arial Narrow" w:hAnsi="Arial Narrow"/>
                <w:sz w:val="20"/>
                <w:szCs w:val="20"/>
              </w:rPr>
              <w:t>/NR</w:t>
            </w:r>
          </w:p>
        </w:tc>
        <w:tc>
          <w:tcPr>
            <w:tcW w:w="558" w:type="pct"/>
            <w:vAlign w:val="center"/>
          </w:tcPr>
          <w:p w14:paraId="77706DBD" w14:textId="1DE8F7D2" w:rsidR="00737A3D" w:rsidRPr="007427EF" w:rsidRDefault="008A3450" w:rsidP="00880B7A">
            <w:pPr>
              <w:jc w:val="center"/>
              <w:rPr>
                <w:rFonts w:ascii="Arial Narrow" w:hAnsi="Arial Narrow"/>
                <w:sz w:val="20"/>
                <w:szCs w:val="20"/>
              </w:rPr>
            </w:pPr>
            <w:r w:rsidRPr="007427EF">
              <w:rPr>
                <w:rFonts w:ascii="Arial Narrow" w:hAnsi="Arial Narrow"/>
                <w:sz w:val="20"/>
                <w:szCs w:val="20"/>
              </w:rPr>
              <w:t>High</w:t>
            </w:r>
          </w:p>
        </w:tc>
        <w:tc>
          <w:tcPr>
            <w:tcW w:w="803" w:type="pct"/>
            <w:vAlign w:val="center"/>
          </w:tcPr>
          <w:p w14:paraId="2F2EDDB4" w14:textId="5F36E910" w:rsidR="00737A3D" w:rsidRPr="007427EF" w:rsidRDefault="00E5323C" w:rsidP="6A98AE7B">
            <w:pPr>
              <w:jc w:val="center"/>
              <w:rPr>
                <w:rFonts w:ascii="Arial Narrow" w:hAnsi="Arial Narrow"/>
                <w:sz w:val="20"/>
                <w:szCs w:val="20"/>
              </w:rPr>
            </w:pPr>
            <w:r w:rsidRPr="007427EF">
              <w:rPr>
                <w:rFonts w:ascii="Arial Narrow" w:hAnsi="Arial Narrow"/>
                <w:sz w:val="20"/>
                <w:szCs w:val="20"/>
              </w:rPr>
              <w:t xml:space="preserve">MF or SS </w:t>
            </w:r>
            <w:r w:rsidR="000F4189" w:rsidRPr="007427EF">
              <w:rPr>
                <w:rFonts w:ascii="Arial Narrow" w:hAnsi="Arial Narrow"/>
                <w:sz w:val="20"/>
                <w:szCs w:val="20"/>
              </w:rPr>
              <w:t xml:space="preserve">receiving </w:t>
            </w:r>
            <w:proofErr w:type="spellStart"/>
            <w:r w:rsidR="000F4189" w:rsidRPr="007427EF">
              <w:rPr>
                <w:rFonts w:ascii="Arial Narrow" w:hAnsi="Arial Narrow"/>
                <w:sz w:val="20"/>
                <w:szCs w:val="20"/>
              </w:rPr>
              <w:t>vorinostat</w:t>
            </w:r>
            <w:proofErr w:type="spellEnd"/>
          </w:p>
        </w:tc>
        <w:tc>
          <w:tcPr>
            <w:tcW w:w="780" w:type="pct"/>
            <w:vAlign w:val="center"/>
          </w:tcPr>
          <w:p w14:paraId="33FC078D" w14:textId="41C50CE1" w:rsidR="00737A3D" w:rsidRPr="007427EF" w:rsidRDefault="00A94C39" w:rsidP="00880B7A">
            <w:pPr>
              <w:jc w:val="center"/>
              <w:rPr>
                <w:rFonts w:ascii="Arial Narrow" w:hAnsi="Arial Narrow"/>
                <w:sz w:val="20"/>
                <w:szCs w:val="20"/>
              </w:rPr>
            </w:pPr>
            <w:r w:rsidRPr="007427EF">
              <w:rPr>
                <w:rFonts w:ascii="Arial Narrow" w:hAnsi="Arial Narrow"/>
                <w:sz w:val="20"/>
                <w:szCs w:val="20"/>
              </w:rPr>
              <w:t>OS, TTNT</w:t>
            </w:r>
          </w:p>
        </w:tc>
        <w:tc>
          <w:tcPr>
            <w:tcW w:w="703" w:type="pct"/>
            <w:vAlign w:val="center"/>
          </w:tcPr>
          <w:p w14:paraId="66BA78CC" w14:textId="6434F110" w:rsidR="00737A3D" w:rsidRPr="007427EF" w:rsidRDefault="00A94C39" w:rsidP="00880B7A">
            <w:pPr>
              <w:jc w:val="center"/>
              <w:rPr>
                <w:rFonts w:ascii="Arial Narrow" w:hAnsi="Arial Narrow"/>
                <w:color w:val="FF0000"/>
                <w:sz w:val="20"/>
                <w:szCs w:val="20"/>
              </w:rPr>
            </w:pPr>
            <w:r w:rsidRPr="007427EF">
              <w:rPr>
                <w:rFonts w:ascii="Arial Narrow" w:hAnsi="Arial Narrow"/>
                <w:sz w:val="20"/>
                <w:szCs w:val="20"/>
              </w:rPr>
              <w:t>-</w:t>
            </w:r>
          </w:p>
        </w:tc>
      </w:tr>
      <w:tr w:rsidR="00737A3D" w:rsidRPr="007427EF" w14:paraId="07FAE607" w14:textId="77777777" w:rsidTr="6A98AE7B">
        <w:trPr>
          <w:cantSplit/>
        </w:trPr>
        <w:tc>
          <w:tcPr>
            <w:tcW w:w="5000" w:type="pct"/>
            <w:gridSpan w:val="7"/>
            <w:vAlign w:val="center"/>
          </w:tcPr>
          <w:p w14:paraId="4A8268CA" w14:textId="77777777" w:rsidR="00737A3D" w:rsidRPr="007427EF" w:rsidRDefault="00737A3D" w:rsidP="6A98AE7B">
            <w:pPr>
              <w:jc w:val="left"/>
              <w:rPr>
                <w:rFonts w:ascii="Arial Narrow" w:hAnsi="Arial Narrow"/>
                <w:color w:val="FF0000"/>
                <w:sz w:val="20"/>
                <w:szCs w:val="20"/>
              </w:rPr>
            </w:pPr>
            <w:r w:rsidRPr="007427EF">
              <w:rPr>
                <w:rFonts w:ascii="Arial Narrow" w:hAnsi="Arial Narrow"/>
                <w:b/>
                <w:bCs/>
                <w:sz w:val="20"/>
                <w:szCs w:val="20"/>
              </w:rPr>
              <w:t xml:space="preserve">Indirect comparison (mogamulizumab versus </w:t>
            </w:r>
            <w:proofErr w:type="spellStart"/>
            <w:r w:rsidRPr="007427EF">
              <w:rPr>
                <w:rFonts w:ascii="Arial Narrow" w:hAnsi="Arial Narrow"/>
                <w:b/>
                <w:bCs/>
                <w:sz w:val="20"/>
                <w:szCs w:val="20"/>
              </w:rPr>
              <w:t>vorinostat</w:t>
            </w:r>
            <w:proofErr w:type="spellEnd"/>
            <w:r w:rsidRPr="007427EF">
              <w:rPr>
                <w:rFonts w:ascii="Arial Narrow" w:hAnsi="Arial Narrow"/>
                <w:b/>
                <w:bCs/>
                <w:sz w:val="20"/>
                <w:szCs w:val="20"/>
              </w:rPr>
              <w:t>)</w:t>
            </w:r>
          </w:p>
        </w:tc>
      </w:tr>
      <w:tr w:rsidR="00737A3D" w:rsidRPr="007427EF" w14:paraId="1DCBB246" w14:textId="77777777" w:rsidTr="6A98AE7B">
        <w:trPr>
          <w:cantSplit/>
        </w:trPr>
        <w:tc>
          <w:tcPr>
            <w:tcW w:w="661" w:type="pct"/>
            <w:vAlign w:val="center"/>
          </w:tcPr>
          <w:p w14:paraId="3F574973" w14:textId="09199731" w:rsidR="00737A3D" w:rsidRPr="007427EF" w:rsidRDefault="00737A3D" w:rsidP="00880B7A">
            <w:pPr>
              <w:jc w:val="left"/>
              <w:rPr>
                <w:rFonts w:ascii="Arial Narrow" w:hAnsi="Arial Narrow"/>
                <w:sz w:val="20"/>
                <w:szCs w:val="20"/>
              </w:rPr>
            </w:pPr>
            <w:r w:rsidRPr="007427EF">
              <w:rPr>
                <w:rFonts w:ascii="Arial Narrow" w:hAnsi="Arial Narrow"/>
                <w:sz w:val="20"/>
                <w:szCs w:val="20"/>
              </w:rPr>
              <w:t xml:space="preserve">Unanchored-MAIC </w:t>
            </w:r>
          </w:p>
        </w:tc>
        <w:tc>
          <w:tcPr>
            <w:tcW w:w="755" w:type="pct"/>
            <w:vAlign w:val="center"/>
          </w:tcPr>
          <w:p w14:paraId="422A8A8B" w14:textId="25412A12" w:rsidR="00737A3D" w:rsidRPr="007427EF" w:rsidRDefault="00C1701E" w:rsidP="00880B7A">
            <w:pPr>
              <w:jc w:val="center"/>
              <w:rPr>
                <w:rFonts w:ascii="Arial Narrow" w:hAnsi="Arial Narrow"/>
                <w:sz w:val="20"/>
                <w:szCs w:val="20"/>
              </w:rPr>
            </w:pPr>
            <w:r w:rsidRPr="007427EF">
              <w:rPr>
                <w:rFonts w:ascii="Arial Narrow" w:hAnsi="Arial Narrow"/>
                <w:sz w:val="20"/>
                <w:szCs w:val="20"/>
              </w:rPr>
              <w:t>186 (moga</w:t>
            </w:r>
            <w:r w:rsidR="00E94287" w:rsidRPr="007427EF">
              <w:rPr>
                <w:rFonts w:ascii="Arial Narrow" w:hAnsi="Arial Narrow"/>
                <w:sz w:val="20"/>
                <w:szCs w:val="20"/>
              </w:rPr>
              <w:t>mulizumab)</w:t>
            </w:r>
          </w:p>
          <w:p w14:paraId="12A98F61" w14:textId="0618C13E" w:rsidR="00C1701E" w:rsidRPr="007427EF" w:rsidRDefault="00C1701E" w:rsidP="6A98AE7B">
            <w:pPr>
              <w:jc w:val="center"/>
              <w:rPr>
                <w:rFonts w:ascii="Arial Narrow" w:hAnsi="Arial Narrow"/>
                <w:sz w:val="20"/>
                <w:szCs w:val="20"/>
              </w:rPr>
            </w:pPr>
            <w:r w:rsidRPr="007427EF">
              <w:rPr>
                <w:rFonts w:ascii="Arial Narrow" w:hAnsi="Arial Narrow"/>
                <w:sz w:val="20"/>
                <w:szCs w:val="20"/>
              </w:rPr>
              <w:t>64</w:t>
            </w:r>
            <w:r w:rsidR="00E94287" w:rsidRPr="007427EF">
              <w:rPr>
                <w:rFonts w:ascii="Arial Narrow" w:hAnsi="Arial Narrow"/>
                <w:sz w:val="20"/>
                <w:szCs w:val="20"/>
              </w:rPr>
              <w:t xml:space="preserve"> (</w:t>
            </w:r>
            <w:proofErr w:type="spellStart"/>
            <w:r w:rsidR="00E94287" w:rsidRPr="007427EF">
              <w:rPr>
                <w:rFonts w:ascii="Arial Narrow" w:hAnsi="Arial Narrow"/>
                <w:sz w:val="20"/>
                <w:szCs w:val="20"/>
              </w:rPr>
              <w:t>vorinostat</w:t>
            </w:r>
            <w:proofErr w:type="spellEnd"/>
            <w:r w:rsidR="00E94287" w:rsidRPr="007427EF">
              <w:rPr>
                <w:rFonts w:ascii="Arial Narrow" w:hAnsi="Arial Narrow"/>
                <w:sz w:val="20"/>
                <w:szCs w:val="20"/>
              </w:rPr>
              <w:t>)</w:t>
            </w:r>
          </w:p>
        </w:tc>
        <w:tc>
          <w:tcPr>
            <w:tcW w:w="2881" w:type="pct"/>
            <w:gridSpan w:val="4"/>
            <w:vAlign w:val="center"/>
          </w:tcPr>
          <w:p w14:paraId="0DEE4479" w14:textId="1B8E5882" w:rsidR="00737A3D" w:rsidRPr="007427EF" w:rsidRDefault="00737A3D" w:rsidP="00880B7A">
            <w:pPr>
              <w:jc w:val="left"/>
              <w:rPr>
                <w:rFonts w:ascii="Arial Narrow" w:hAnsi="Arial Narrow"/>
                <w:sz w:val="20"/>
                <w:szCs w:val="20"/>
              </w:rPr>
            </w:pPr>
            <w:r w:rsidRPr="007427EF">
              <w:rPr>
                <w:rFonts w:ascii="Arial Narrow" w:hAnsi="Arial Narrow"/>
                <w:sz w:val="20"/>
                <w:szCs w:val="20"/>
              </w:rPr>
              <w:t xml:space="preserve">Included </w:t>
            </w:r>
            <w:r w:rsidR="00A263CA" w:rsidRPr="007427EF">
              <w:rPr>
                <w:rFonts w:ascii="Arial Narrow" w:hAnsi="Arial Narrow"/>
                <w:sz w:val="20"/>
                <w:szCs w:val="20"/>
              </w:rPr>
              <w:t>MAVORIC and ANCLD</w:t>
            </w:r>
            <w:r w:rsidRPr="007427EF">
              <w:rPr>
                <w:rFonts w:ascii="Arial Narrow" w:hAnsi="Arial Narrow"/>
                <w:sz w:val="20"/>
                <w:szCs w:val="20"/>
              </w:rPr>
              <w:t xml:space="preserve">; assessed </w:t>
            </w:r>
            <w:r w:rsidR="00D736CB" w:rsidRPr="007427EF">
              <w:rPr>
                <w:rFonts w:ascii="Arial Narrow" w:hAnsi="Arial Narrow"/>
                <w:sz w:val="20"/>
                <w:szCs w:val="20"/>
              </w:rPr>
              <w:t>OS</w:t>
            </w:r>
          </w:p>
        </w:tc>
        <w:tc>
          <w:tcPr>
            <w:tcW w:w="703" w:type="pct"/>
            <w:vAlign w:val="center"/>
          </w:tcPr>
          <w:p w14:paraId="08C58D55" w14:textId="15227B9E" w:rsidR="00737A3D" w:rsidRPr="007427EF" w:rsidRDefault="00551AEE" w:rsidP="00880B7A">
            <w:pPr>
              <w:jc w:val="center"/>
              <w:rPr>
                <w:rFonts w:ascii="Arial Narrow" w:hAnsi="Arial Narrow"/>
                <w:color w:val="FF0000"/>
                <w:sz w:val="20"/>
                <w:szCs w:val="20"/>
              </w:rPr>
            </w:pPr>
            <w:r w:rsidRPr="007427EF">
              <w:rPr>
                <w:rFonts w:ascii="Arial Narrow" w:hAnsi="Arial Narrow"/>
                <w:sz w:val="20"/>
                <w:szCs w:val="20"/>
              </w:rPr>
              <w:t>OS</w:t>
            </w:r>
          </w:p>
        </w:tc>
      </w:tr>
    </w:tbl>
    <w:p w14:paraId="2A82EA58" w14:textId="221F0E42" w:rsidR="00737A3D" w:rsidRPr="007427EF" w:rsidRDefault="00737A3D" w:rsidP="00A6641B">
      <w:pPr>
        <w:pStyle w:val="FooterTableFigure"/>
        <w:spacing w:after="0"/>
      </w:pPr>
      <w:r w:rsidRPr="007427EF">
        <w:t xml:space="preserve">Source: </w:t>
      </w:r>
      <w:r w:rsidR="00130422" w:rsidRPr="007427EF">
        <w:t>p5</w:t>
      </w:r>
      <w:r w:rsidR="000A14A8" w:rsidRPr="007427EF">
        <w:t>3</w:t>
      </w:r>
      <w:r w:rsidR="00283167" w:rsidRPr="007427EF">
        <w:t xml:space="preserve"> of the March 2025 resubmission; </w:t>
      </w:r>
      <w:r w:rsidR="00064AAB" w:rsidRPr="007427EF">
        <w:t xml:space="preserve">Table 3, </w:t>
      </w:r>
      <w:r w:rsidR="00A42AB3" w:rsidRPr="007427EF">
        <w:t xml:space="preserve">mogamulizumab, PSD, </w:t>
      </w:r>
      <w:r w:rsidR="009A6856" w:rsidRPr="007427EF">
        <w:t>July 2020 PBAC meeting</w:t>
      </w:r>
      <w:r w:rsidRPr="007427EF">
        <w:t>.</w:t>
      </w:r>
    </w:p>
    <w:p w14:paraId="7B64ED4F" w14:textId="08E58806" w:rsidR="00737A3D" w:rsidRPr="007427EF" w:rsidRDefault="00B23A0C" w:rsidP="00A6641B">
      <w:pPr>
        <w:pStyle w:val="FooterTableFigure"/>
        <w:spacing w:after="0"/>
      </w:pPr>
      <w:r w:rsidRPr="007427EF">
        <w:t xml:space="preserve">AEs = adverse events; </w:t>
      </w:r>
      <w:r w:rsidR="007074EF" w:rsidRPr="007427EF">
        <w:t>ANCLD = Australian National Cutaneous Lymphoma Database</w:t>
      </w:r>
      <w:r w:rsidR="00E137DF" w:rsidRPr="007427EF">
        <w:t>;</w:t>
      </w:r>
      <w:r w:rsidR="007074EF" w:rsidRPr="007427EF">
        <w:t xml:space="preserve"> </w:t>
      </w:r>
      <w:r w:rsidR="00737A3D" w:rsidRPr="007427EF">
        <w:t xml:space="preserve">DB = double blind; </w:t>
      </w:r>
      <w:r w:rsidR="00B417A9" w:rsidRPr="007427EF">
        <w:t xml:space="preserve">DOR = duration of response; </w:t>
      </w:r>
      <w:proofErr w:type="spellStart"/>
      <w:r w:rsidR="00FD66A7" w:rsidRPr="007427EF">
        <w:t>HRQoL</w:t>
      </w:r>
      <w:proofErr w:type="spellEnd"/>
      <w:r w:rsidR="00FD66A7" w:rsidRPr="007427EF">
        <w:t xml:space="preserve"> = health-related quality of life; </w:t>
      </w:r>
      <w:r w:rsidR="00181B1A" w:rsidRPr="007427EF">
        <w:t xml:space="preserve">MAIC = matching-adjusted indirect comparison; </w:t>
      </w:r>
      <w:r w:rsidR="00737A3D" w:rsidRPr="007427EF">
        <w:t xml:space="preserve">MC = multi-centre; </w:t>
      </w:r>
      <w:r w:rsidR="00427067" w:rsidRPr="007427EF">
        <w:t xml:space="preserve">MF = mycosis fungoides; </w:t>
      </w:r>
      <w:r w:rsidR="00B21F9E" w:rsidRPr="007427EF">
        <w:t>NR = not reported</w:t>
      </w:r>
      <w:r w:rsidR="008A3450" w:rsidRPr="007427EF">
        <w:t>;</w:t>
      </w:r>
      <w:r w:rsidR="00B21F9E" w:rsidRPr="007427EF">
        <w:t xml:space="preserve"> </w:t>
      </w:r>
      <w:r w:rsidR="00737A3D" w:rsidRPr="007427EF">
        <w:t xml:space="preserve">OL = open label; </w:t>
      </w:r>
      <w:r w:rsidR="00A15D81" w:rsidRPr="007427EF">
        <w:t xml:space="preserve">ORR = overall response rate; </w:t>
      </w:r>
      <w:r w:rsidR="00737A3D" w:rsidRPr="007427EF">
        <w:t>OS = overall survival;</w:t>
      </w:r>
      <w:r w:rsidR="00EE00CF" w:rsidRPr="007427EF">
        <w:t xml:space="preserve"> PFS = progression-free survival; </w:t>
      </w:r>
      <w:r w:rsidR="00737A3D" w:rsidRPr="007427EF">
        <w:t xml:space="preserve"> R = randomised</w:t>
      </w:r>
      <w:r w:rsidR="00672AAE" w:rsidRPr="007427EF">
        <w:t xml:space="preserve">; </w:t>
      </w:r>
      <w:r w:rsidR="007074EF" w:rsidRPr="007427EF">
        <w:t xml:space="preserve">SS = Sezary syndrome; </w:t>
      </w:r>
      <w:r w:rsidR="00672AAE" w:rsidRPr="007427EF">
        <w:t>TTF = time to treatment failure</w:t>
      </w:r>
      <w:r w:rsidR="00FF3198" w:rsidRPr="007427EF">
        <w:t xml:space="preserve">; </w:t>
      </w:r>
      <w:r w:rsidR="00E91498" w:rsidRPr="007427EF">
        <w:t xml:space="preserve">TTNT = time to next treatment; </w:t>
      </w:r>
      <w:r w:rsidR="00FF3198" w:rsidRPr="007427EF">
        <w:t>TTR = time to response</w:t>
      </w:r>
      <w:r w:rsidR="00737A3D" w:rsidRPr="007427EF">
        <w:t>.</w:t>
      </w:r>
    </w:p>
    <w:p w14:paraId="53454052" w14:textId="77777777" w:rsidR="00A6641B" w:rsidRPr="007427EF" w:rsidRDefault="00A6641B" w:rsidP="00F32F82">
      <w:pPr>
        <w:pStyle w:val="TableFigureHeading"/>
        <w:keepNext w:val="0"/>
        <w:rPr>
          <w:rStyle w:val="CommentReference"/>
          <w:sz w:val="18"/>
          <w:szCs w:val="18"/>
        </w:rPr>
      </w:pPr>
      <w:r w:rsidRPr="007427EF">
        <w:rPr>
          <w:rStyle w:val="CommentReference"/>
          <w:sz w:val="18"/>
          <w:szCs w:val="18"/>
        </w:rPr>
        <w:t>Blue shading indicates data previously seen by the PBAC.</w:t>
      </w:r>
    </w:p>
    <w:p w14:paraId="6FFC2AA1" w14:textId="2216AA5C" w:rsidR="00E96FDC" w:rsidRPr="007427EF" w:rsidRDefault="00216393" w:rsidP="06BF42CD">
      <w:pPr>
        <w:pStyle w:val="3-BodyText"/>
      </w:pPr>
      <w:r w:rsidRPr="007427EF">
        <w:t>A</w:t>
      </w:r>
      <w:r w:rsidR="2C9F66EF" w:rsidRPr="007427EF">
        <w:t>t</w:t>
      </w:r>
      <w:r w:rsidR="617AC48D" w:rsidRPr="007427EF">
        <w:t xml:space="preserve"> its </w:t>
      </w:r>
      <w:r w:rsidR="00292CD7" w:rsidRPr="007427EF">
        <w:t xml:space="preserve">July </w:t>
      </w:r>
      <w:r w:rsidR="617AC48D" w:rsidRPr="007427EF">
        <w:t>2020</w:t>
      </w:r>
      <w:r w:rsidR="6ADF5E78" w:rsidRPr="007427EF">
        <w:t xml:space="preserve"> </w:t>
      </w:r>
      <w:r w:rsidR="57CFD1F9" w:rsidRPr="007427EF">
        <w:t>meeting</w:t>
      </w:r>
      <w:r w:rsidRPr="007427EF">
        <w:t xml:space="preserve"> the PBAC </w:t>
      </w:r>
      <w:r w:rsidR="00EF6CCF" w:rsidRPr="007427EF">
        <w:t>was of the view</w:t>
      </w:r>
      <w:r w:rsidR="2C9F66EF" w:rsidRPr="007427EF">
        <w:t>,</w:t>
      </w:r>
      <w:r w:rsidR="57CFD1F9" w:rsidRPr="007427EF">
        <w:t xml:space="preserve"> </w:t>
      </w:r>
      <w:r w:rsidR="00180768" w:rsidRPr="007427EF">
        <w:t>which it</w:t>
      </w:r>
      <w:r w:rsidR="6ADF5E78" w:rsidRPr="007427EF">
        <w:t xml:space="preserve"> reaffirm</w:t>
      </w:r>
      <w:r w:rsidR="1550B2B7" w:rsidRPr="007427EF">
        <w:t>ed</w:t>
      </w:r>
      <w:r w:rsidR="6ADF5E78" w:rsidRPr="007427EF">
        <w:t xml:space="preserve"> </w:t>
      </w:r>
      <w:r w:rsidR="6AE51B2E" w:rsidRPr="007427EF">
        <w:t>at its</w:t>
      </w:r>
      <w:r w:rsidR="6ADF5E78" w:rsidRPr="007427EF">
        <w:t xml:space="preserve"> November 2020 </w:t>
      </w:r>
      <w:r w:rsidR="6653C91D" w:rsidRPr="007427EF">
        <w:t>meeting</w:t>
      </w:r>
      <w:r w:rsidR="774FAC75" w:rsidRPr="007427EF">
        <w:t>,</w:t>
      </w:r>
      <w:r w:rsidR="6653C91D" w:rsidRPr="007427EF">
        <w:t xml:space="preserve"> </w:t>
      </w:r>
      <w:r w:rsidR="6ADF5E78" w:rsidRPr="007427EF">
        <w:t xml:space="preserve">that </w:t>
      </w:r>
      <w:r w:rsidR="6CD07019" w:rsidRPr="007427EF">
        <w:t xml:space="preserve">MAVORIC </w:t>
      </w:r>
      <w:r w:rsidR="774FAC75" w:rsidRPr="007427EF">
        <w:t>had</w:t>
      </w:r>
      <w:r w:rsidR="6CD07019" w:rsidRPr="007427EF">
        <w:t xml:space="preserve"> a high risk of bias due to </w:t>
      </w:r>
      <w:r w:rsidR="774FAC75" w:rsidRPr="007427EF">
        <w:t>its</w:t>
      </w:r>
      <w:r w:rsidR="6CD07019" w:rsidRPr="007427EF">
        <w:t xml:space="preserve"> open label design and </w:t>
      </w:r>
      <w:r w:rsidR="774FAC75" w:rsidRPr="007427EF">
        <w:t xml:space="preserve">extent </w:t>
      </w:r>
      <w:r w:rsidR="6CD07019" w:rsidRPr="007427EF">
        <w:t>of crossover</w:t>
      </w:r>
      <w:r w:rsidR="3178F121" w:rsidRPr="007427EF">
        <w:t xml:space="preserve"> (para 5.4, mogamulizumab, PSD, November 2020 PBAC meeting). </w:t>
      </w:r>
      <w:r w:rsidR="3506827E" w:rsidRPr="007427EF">
        <w:lastRenderedPageBreak/>
        <w:t>Specifically</w:t>
      </w:r>
      <w:r w:rsidR="3178F121" w:rsidRPr="007427EF">
        <w:t xml:space="preserve">, the high and early crossover in MAVORIC </w:t>
      </w:r>
      <w:r w:rsidR="6DDD348C" w:rsidRPr="007427EF">
        <w:t xml:space="preserve">from </w:t>
      </w:r>
      <w:proofErr w:type="spellStart"/>
      <w:r w:rsidR="6DDD348C" w:rsidRPr="007427EF">
        <w:t>vorinostat</w:t>
      </w:r>
      <w:proofErr w:type="spellEnd"/>
      <w:r w:rsidR="6DDD348C" w:rsidRPr="007427EF">
        <w:t xml:space="preserve"> to mogamulizumab </w:t>
      </w:r>
      <w:r w:rsidR="3178F121" w:rsidRPr="007427EF">
        <w:t>confounded the interpretation of PFS and OS outcomes (para 7.5</w:t>
      </w:r>
      <w:r w:rsidR="00DF7B4F" w:rsidRPr="007427EF">
        <w:t xml:space="preserve"> and para 7.6</w:t>
      </w:r>
      <w:r w:rsidR="3178F121" w:rsidRPr="007427EF">
        <w:t xml:space="preserve">, mogamulizumab, PSD, July 2020 PBAC meeting). </w:t>
      </w:r>
      <w:r w:rsidR="5A9C4A33" w:rsidRPr="007427EF">
        <w:t xml:space="preserve">The PBAC also considered that </w:t>
      </w:r>
      <w:r w:rsidR="750E35D4" w:rsidRPr="007427EF">
        <w:t xml:space="preserve">none of </w:t>
      </w:r>
      <w:r w:rsidR="177BE1EB" w:rsidRPr="007427EF">
        <w:t>the</w:t>
      </w:r>
      <w:r w:rsidR="750E35D4" w:rsidRPr="007427EF">
        <w:t xml:space="preserve"> </w:t>
      </w:r>
      <w:r w:rsidR="26B0F064" w:rsidRPr="007427EF">
        <w:t xml:space="preserve">crossover adjustment analyses </w:t>
      </w:r>
      <w:r w:rsidR="750E35D4" w:rsidRPr="007427EF">
        <w:t xml:space="preserve">presented in the </w:t>
      </w:r>
      <w:r w:rsidR="00163340" w:rsidRPr="007427EF">
        <w:t xml:space="preserve">July </w:t>
      </w:r>
      <w:r w:rsidR="750E35D4" w:rsidRPr="007427EF">
        <w:t xml:space="preserve">2020 submission </w:t>
      </w:r>
      <w:r w:rsidR="26B0F064" w:rsidRPr="007427EF">
        <w:t xml:space="preserve">could provide valid estimates for the incremental benefit of mogamulizumab over </w:t>
      </w:r>
      <w:proofErr w:type="spellStart"/>
      <w:r w:rsidR="26B0F064" w:rsidRPr="007427EF">
        <w:t>vorinostat</w:t>
      </w:r>
      <w:proofErr w:type="spellEnd"/>
      <w:r w:rsidR="26B0F064" w:rsidRPr="007427EF">
        <w:t xml:space="preserve"> (para 7.6, mogamulizumab, PSD, July 2020 PBAC meeting). </w:t>
      </w:r>
      <w:r w:rsidR="5BD9B4D3" w:rsidRPr="007427EF">
        <w:t>The PBAC</w:t>
      </w:r>
      <w:r w:rsidR="49F62C8D" w:rsidRPr="007427EF">
        <w:t xml:space="preserve"> </w:t>
      </w:r>
      <w:r w:rsidR="0D885D6C" w:rsidRPr="007427EF">
        <w:t xml:space="preserve">further </w:t>
      </w:r>
      <w:r w:rsidR="49F62C8D" w:rsidRPr="007427EF">
        <w:t xml:space="preserve">considered that </w:t>
      </w:r>
      <w:r w:rsidR="6DDD348C" w:rsidRPr="007427EF">
        <w:t xml:space="preserve">comparative </w:t>
      </w:r>
      <w:r w:rsidR="00D6225D" w:rsidRPr="007427EF">
        <w:t xml:space="preserve">data on </w:t>
      </w:r>
      <w:r w:rsidR="6DDD348C" w:rsidRPr="007427EF">
        <w:t xml:space="preserve">ORR </w:t>
      </w:r>
      <w:r w:rsidR="734B6A25" w:rsidRPr="007427EF">
        <w:t>from MAVORIC was uncertain</w:t>
      </w:r>
      <w:r w:rsidR="00163340" w:rsidRPr="007427EF">
        <w:t>,</w:t>
      </w:r>
      <w:r w:rsidR="734B6A25" w:rsidRPr="007427EF">
        <w:t xml:space="preserve"> </w:t>
      </w:r>
      <w:r w:rsidR="3F3FEC63" w:rsidRPr="007427EF">
        <w:t xml:space="preserve">particularly due to the impact of </w:t>
      </w:r>
      <w:r w:rsidR="42C267C4" w:rsidRPr="007427EF">
        <w:t xml:space="preserve">the </w:t>
      </w:r>
      <w:r w:rsidR="3F3FEC63" w:rsidRPr="007427EF">
        <w:t xml:space="preserve">short duration of </w:t>
      </w:r>
      <w:r w:rsidR="00752838" w:rsidRPr="007427EF">
        <w:t xml:space="preserve">treatment with </w:t>
      </w:r>
      <w:proofErr w:type="spellStart"/>
      <w:r w:rsidR="3F3FEC63" w:rsidRPr="007427EF">
        <w:t>vorinostat</w:t>
      </w:r>
      <w:proofErr w:type="spellEnd"/>
      <w:r w:rsidR="3F3FEC63" w:rsidRPr="007427EF">
        <w:t xml:space="preserve"> in MAVORIC </w:t>
      </w:r>
      <w:r w:rsidR="36F7B743" w:rsidRPr="007427EF">
        <w:t>(para 6.5, mogamulizumab, PSD, November 2020 PBAC meeting).</w:t>
      </w:r>
      <w:r w:rsidR="29EA67BD" w:rsidRPr="007427EF">
        <w:t xml:space="preserve"> The </w:t>
      </w:r>
      <w:r w:rsidR="00752838" w:rsidRPr="007427EF">
        <w:t>current</w:t>
      </w:r>
      <w:r w:rsidR="29EA67BD" w:rsidRPr="007427EF">
        <w:t xml:space="preserve"> resubmission did not address </w:t>
      </w:r>
      <w:r w:rsidR="00907545" w:rsidRPr="007427EF">
        <w:t>the</w:t>
      </w:r>
      <w:r w:rsidR="00B51437" w:rsidRPr="007427EF">
        <w:t>se</w:t>
      </w:r>
      <w:r w:rsidR="006F7DB5" w:rsidRPr="007427EF">
        <w:t xml:space="preserve"> specific </w:t>
      </w:r>
      <w:r w:rsidR="00907545" w:rsidRPr="007427EF">
        <w:t>concerns</w:t>
      </w:r>
      <w:r w:rsidR="00042F3A" w:rsidRPr="007427EF">
        <w:t xml:space="preserve"> (and the comparative data presented from MAVORIC remained unchanged from the July 2020 submission)</w:t>
      </w:r>
      <w:r w:rsidR="177EEA87" w:rsidRPr="007427EF">
        <w:t>.</w:t>
      </w:r>
      <w:r w:rsidR="4C14EE81" w:rsidRPr="007427EF">
        <w:t xml:space="preserve"> </w:t>
      </w:r>
    </w:p>
    <w:p w14:paraId="22386D91" w14:textId="38C00100" w:rsidR="009553B5" w:rsidRPr="007427EF" w:rsidRDefault="5B94C84B" w:rsidP="00880B7A">
      <w:pPr>
        <w:pStyle w:val="3-BodyText"/>
      </w:pPr>
      <w:r w:rsidRPr="007427EF">
        <w:t xml:space="preserve">The risk of bias of </w:t>
      </w:r>
      <w:r w:rsidR="52519D6D" w:rsidRPr="007427EF">
        <w:t xml:space="preserve">the </w:t>
      </w:r>
      <w:r w:rsidRPr="007427EF">
        <w:t>ANCLD</w:t>
      </w:r>
      <w:r w:rsidR="52519D6D" w:rsidRPr="007427EF">
        <w:t xml:space="preserve"> study</w:t>
      </w:r>
      <w:r w:rsidRPr="007427EF">
        <w:t xml:space="preserve"> </w:t>
      </w:r>
      <w:r w:rsidR="00C14C7C" w:rsidRPr="007427EF">
        <w:t>was considered</w:t>
      </w:r>
      <w:r w:rsidRPr="007427EF">
        <w:t xml:space="preserve"> high primarily due to </w:t>
      </w:r>
      <w:r w:rsidR="46F85F8F" w:rsidRPr="007427EF">
        <w:t>its non-randomised</w:t>
      </w:r>
      <w:r w:rsidR="23AEA439" w:rsidRPr="007427EF">
        <w:t xml:space="preserve"> design</w:t>
      </w:r>
      <w:r w:rsidR="682D7069" w:rsidRPr="007427EF">
        <w:t xml:space="preserve"> and retrospective</w:t>
      </w:r>
      <w:r w:rsidR="46F85F8F" w:rsidRPr="007427EF">
        <w:t xml:space="preserve"> </w:t>
      </w:r>
      <w:r w:rsidR="23AEA439" w:rsidRPr="007427EF">
        <w:t>nature</w:t>
      </w:r>
      <w:r w:rsidR="46F85F8F" w:rsidRPr="007427EF">
        <w:t xml:space="preserve">. </w:t>
      </w:r>
      <w:r w:rsidR="5FFF2D46" w:rsidRPr="007427EF">
        <w:t xml:space="preserve">The </w:t>
      </w:r>
      <w:r w:rsidR="62548994" w:rsidRPr="007427EF">
        <w:t>ANCLD</w:t>
      </w:r>
      <w:r w:rsidR="5FFF2D46" w:rsidRPr="007427EF">
        <w:t xml:space="preserve"> study</w:t>
      </w:r>
      <w:r w:rsidR="62548994" w:rsidRPr="007427EF">
        <w:t xml:space="preserve"> </w:t>
      </w:r>
      <w:r w:rsidR="758F67E4" w:rsidRPr="007427EF">
        <w:t>reported limited baseline characteristics for patients, and data on key</w:t>
      </w:r>
      <w:r w:rsidR="52917F17" w:rsidRPr="007427EF">
        <w:t xml:space="preserve"> prognostic</w:t>
      </w:r>
      <w:r w:rsidR="758F67E4" w:rsidRPr="007427EF">
        <w:t xml:space="preserve"> factors </w:t>
      </w:r>
      <w:r w:rsidR="01084C81" w:rsidRPr="007427EF">
        <w:t xml:space="preserve">at treatment initiation, </w:t>
      </w:r>
      <w:r w:rsidR="758F67E4" w:rsidRPr="007427EF">
        <w:t>such as Eastern Cooperative Oncology Group (ECOG) performance status and disease</w:t>
      </w:r>
      <w:r w:rsidR="710852A6" w:rsidRPr="007427EF">
        <w:t xml:space="preserve"> stage</w:t>
      </w:r>
      <w:r w:rsidR="00455CE4" w:rsidRPr="007427EF">
        <w:t>, were not available</w:t>
      </w:r>
      <w:r w:rsidR="00163340" w:rsidRPr="007427EF">
        <w:t>.</w:t>
      </w:r>
      <w:r w:rsidR="758F67E4" w:rsidRPr="007427EF">
        <w:t xml:space="preserve"> </w:t>
      </w:r>
      <w:r w:rsidR="00163340" w:rsidRPr="007427EF">
        <w:t xml:space="preserve">This absence of data </w:t>
      </w:r>
      <w:r w:rsidR="758F67E4" w:rsidRPr="007427EF">
        <w:t>limits the ability to assess patients’ overall health and disease severity</w:t>
      </w:r>
      <w:r w:rsidR="658A53A2" w:rsidRPr="007427EF">
        <w:t xml:space="preserve"> when they started receiving </w:t>
      </w:r>
      <w:proofErr w:type="spellStart"/>
      <w:r w:rsidR="59343F99" w:rsidRPr="007427EF">
        <w:t>vorinostat</w:t>
      </w:r>
      <w:proofErr w:type="spellEnd"/>
      <w:r w:rsidR="758F67E4" w:rsidRPr="007427EF">
        <w:t xml:space="preserve">. </w:t>
      </w:r>
    </w:p>
    <w:p w14:paraId="2C6B8A4C" w14:textId="5A628AE9" w:rsidR="00CE3704" w:rsidRPr="007427EF" w:rsidRDefault="79791FBF" w:rsidP="06BF42CD">
      <w:pPr>
        <w:pStyle w:val="3-BodyText"/>
      </w:pPr>
      <w:bookmarkStart w:id="27" w:name="_Ref187408263"/>
      <w:r w:rsidRPr="007427EF">
        <w:t xml:space="preserve">There is limited information </w:t>
      </w:r>
      <w:r w:rsidR="004576AC" w:rsidRPr="007427EF">
        <w:t>on the</w:t>
      </w:r>
      <w:r w:rsidRPr="007427EF">
        <w:t xml:space="preserve"> baseline characteristics</w:t>
      </w:r>
      <w:r w:rsidR="00690FB2" w:rsidRPr="007427EF">
        <w:t xml:space="preserve"> </w:t>
      </w:r>
      <w:r w:rsidR="00163340" w:rsidRPr="007427EF">
        <w:t>of patient</w:t>
      </w:r>
      <w:r w:rsidR="003323E3" w:rsidRPr="007427EF">
        <w:t>s</w:t>
      </w:r>
      <w:r w:rsidR="00163340" w:rsidRPr="007427EF">
        <w:t xml:space="preserve"> </w:t>
      </w:r>
      <w:r w:rsidR="00690FB2" w:rsidRPr="007427EF">
        <w:t xml:space="preserve">available </w:t>
      </w:r>
      <w:r w:rsidR="00400365" w:rsidRPr="007427EF">
        <w:t>from both</w:t>
      </w:r>
      <w:r w:rsidRPr="007427EF">
        <w:t xml:space="preserve"> MAVORIC and ANCLD</w:t>
      </w:r>
      <w:r w:rsidR="00205390" w:rsidRPr="007427EF">
        <w:t xml:space="preserve"> that were used to inform the </w:t>
      </w:r>
      <w:r w:rsidR="00D51222" w:rsidRPr="007427EF">
        <w:t xml:space="preserve">unanchored </w:t>
      </w:r>
      <w:r w:rsidR="00205390" w:rsidRPr="007427EF">
        <w:t>MAIC</w:t>
      </w:r>
      <w:r w:rsidRPr="007427EF">
        <w:t xml:space="preserve">. Specifically, patients in ANCLD </w:t>
      </w:r>
      <w:r w:rsidR="74EA50B5" w:rsidRPr="007427EF">
        <w:t>differed from those in MAVORIC</w:t>
      </w:r>
      <w:r w:rsidR="5CC8A19D" w:rsidRPr="007427EF">
        <w:t xml:space="preserve"> in terms of</w:t>
      </w:r>
      <w:r w:rsidRPr="007427EF">
        <w:t>:</w:t>
      </w:r>
      <w:bookmarkEnd w:id="27"/>
    </w:p>
    <w:p w14:paraId="34A5527D" w14:textId="4D787F6B" w:rsidR="00CE3704" w:rsidRPr="007427EF" w:rsidRDefault="00FD6F72" w:rsidP="00B474C4">
      <w:pPr>
        <w:pStyle w:val="3-BodyText"/>
        <w:numPr>
          <w:ilvl w:val="0"/>
          <w:numId w:val="13"/>
        </w:numPr>
      </w:pPr>
      <w:r w:rsidRPr="007427EF">
        <w:t xml:space="preserve">Having a </w:t>
      </w:r>
      <w:r w:rsidR="00CE3704" w:rsidRPr="007427EF">
        <w:t>higher number of prior therapies (5), compared to MAVORIC (3).</w:t>
      </w:r>
    </w:p>
    <w:p w14:paraId="455A46D3" w14:textId="7E7DE183" w:rsidR="00CE3704" w:rsidRPr="007427EF" w:rsidRDefault="00FD6F72" w:rsidP="00B474C4">
      <w:pPr>
        <w:pStyle w:val="3-BodyText"/>
        <w:numPr>
          <w:ilvl w:val="0"/>
          <w:numId w:val="13"/>
        </w:numPr>
      </w:pPr>
      <w:r w:rsidRPr="007427EF">
        <w:t xml:space="preserve">Having a </w:t>
      </w:r>
      <w:r w:rsidR="00CE3704" w:rsidRPr="007427EF">
        <w:t>higher</w:t>
      </w:r>
      <w:r w:rsidRPr="007427EF">
        <w:t xml:space="preserve"> percentage</w:t>
      </w:r>
      <w:r w:rsidR="00CE3704" w:rsidRPr="007427EF">
        <w:t xml:space="preserve"> of female</w:t>
      </w:r>
      <w:r w:rsidR="00163340" w:rsidRPr="007427EF">
        <w:t>s</w:t>
      </w:r>
      <w:r w:rsidR="00CE3704" w:rsidRPr="007427EF">
        <w:t xml:space="preserve"> (52%), compared to MAVORIC (41%).</w:t>
      </w:r>
    </w:p>
    <w:p w14:paraId="055478CC" w14:textId="45805F5B" w:rsidR="004A4A05" w:rsidRPr="007427EF" w:rsidRDefault="00682E27" w:rsidP="00B474C4">
      <w:pPr>
        <w:pStyle w:val="3-BodyText"/>
        <w:numPr>
          <w:ilvl w:val="0"/>
          <w:numId w:val="13"/>
        </w:numPr>
      </w:pPr>
      <w:r w:rsidRPr="007427EF">
        <w:t xml:space="preserve">Having a </w:t>
      </w:r>
      <w:r w:rsidR="00DE252A" w:rsidRPr="007427EF">
        <w:t>l</w:t>
      </w:r>
      <w:r w:rsidR="00B0255B" w:rsidRPr="007427EF">
        <w:t>ower</w:t>
      </w:r>
      <w:r w:rsidR="00303C5E" w:rsidRPr="007427EF">
        <w:t xml:space="preserve"> percentage of</w:t>
      </w:r>
      <w:r w:rsidR="00B0255B" w:rsidRPr="007427EF">
        <w:t xml:space="preserve"> prior treatment with ECP (2</w:t>
      </w:r>
      <w:r w:rsidR="00824C48" w:rsidRPr="007427EF">
        <w:t>7</w:t>
      </w:r>
      <w:r w:rsidR="002717E0" w:rsidRPr="007427EF">
        <w:t>%</w:t>
      </w:r>
      <w:r w:rsidR="00B0255B" w:rsidRPr="007427EF">
        <w:t>) and</w:t>
      </w:r>
      <w:r w:rsidR="00E3389F" w:rsidRPr="007427EF">
        <w:t xml:space="preserve"> psoralen plus ultraviolet A therapy (</w:t>
      </w:r>
      <w:r w:rsidR="00B0255B" w:rsidRPr="007427EF">
        <w:t>PUVA</w:t>
      </w:r>
      <w:r w:rsidR="00B4401A" w:rsidRPr="007427EF">
        <w:t xml:space="preserve">; </w:t>
      </w:r>
      <w:r w:rsidR="002717E0" w:rsidRPr="007427EF">
        <w:t>17%), compared to MAVORIC (38% for ECP, and 43% for PUVA).</w:t>
      </w:r>
    </w:p>
    <w:p w14:paraId="59709877" w14:textId="28D3EF53" w:rsidR="00F90154" w:rsidRPr="007427EF" w:rsidRDefault="00F5023A" w:rsidP="00F5023A">
      <w:pPr>
        <w:pStyle w:val="3-BodyText"/>
        <w:numPr>
          <w:ilvl w:val="0"/>
          <w:numId w:val="0"/>
        </w:numPr>
        <w:ind w:left="720"/>
      </w:pPr>
      <w:r w:rsidRPr="007427EF">
        <w:t xml:space="preserve">Additionally, </w:t>
      </w:r>
      <w:r w:rsidR="00E45581" w:rsidRPr="007427EF">
        <w:t>MAVORIC</w:t>
      </w:r>
      <w:r w:rsidR="00F07D88" w:rsidRPr="007427EF">
        <w:t xml:space="preserve"> </w:t>
      </w:r>
      <w:r w:rsidR="00E45581" w:rsidRPr="007427EF">
        <w:t xml:space="preserve">applied stringent </w:t>
      </w:r>
      <w:r w:rsidR="004A2A72" w:rsidRPr="007427EF">
        <w:t>eligibility</w:t>
      </w:r>
      <w:r w:rsidR="00E45581" w:rsidRPr="007427EF">
        <w:t xml:space="preserve"> criteria, excluding participants with </w:t>
      </w:r>
      <w:r w:rsidR="00575887" w:rsidRPr="007427EF">
        <w:t xml:space="preserve">various </w:t>
      </w:r>
      <w:r w:rsidR="00E45581" w:rsidRPr="007427EF">
        <w:t>comorbidities</w:t>
      </w:r>
      <w:r w:rsidR="007F1EBE" w:rsidRPr="007427EF">
        <w:t xml:space="preserve"> and </w:t>
      </w:r>
      <w:r w:rsidR="005E2189" w:rsidRPr="007427EF">
        <w:t xml:space="preserve">those </w:t>
      </w:r>
      <w:r w:rsidR="005328AF" w:rsidRPr="007427EF">
        <w:t>considered unfit</w:t>
      </w:r>
      <w:r w:rsidR="002A6C3A" w:rsidRPr="007427EF">
        <w:t>,</w:t>
      </w:r>
      <w:r w:rsidR="00BC0CBF" w:rsidRPr="007427EF">
        <w:t xml:space="preserve"> including </w:t>
      </w:r>
      <w:r w:rsidR="00E45581" w:rsidRPr="007427EF">
        <w:t>those with large cell transformation—a critical prognostic factor associated with poor outcomes in CTCL</w:t>
      </w:r>
      <w:r w:rsidR="002A6C3A" w:rsidRPr="007427EF">
        <w:t>. However,</w:t>
      </w:r>
      <w:r w:rsidR="00BC0CBF" w:rsidRPr="007427EF">
        <w:t xml:space="preserve"> </w:t>
      </w:r>
      <w:r w:rsidR="009F7A08" w:rsidRPr="007427EF">
        <w:t xml:space="preserve">ANCLD </w:t>
      </w:r>
      <w:r w:rsidR="00ED779A" w:rsidRPr="007427EF">
        <w:t xml:space="preserve">applied no criteria in </w:t>
      </w:r>
      <w:r w:rsidR="002A6C3A" w:rsidRPr="007427EF">
        <w:t xml:space="preserve">its </w:t>
      </w:r>
      <w:r w:rsidR="00ED779A" w:rsidRPr="007427EF">
        <w:t>selection of patients</w:t>
      </w:r>
      <w:r w:rsidR="00E11915" w:rsidRPr="007427EF">
        <w:t xml:space="preserve"> </w:t>
      </w:r>
      <w:r w:rsidR="006B3633" w:rsidRPr="007427EF">
        <w:t>for</w:t>
      </w:r>
      <w:r w:rsidR="009E60C1" w:rsidRPr="007427EF">
        <w:t xml:space="preserve"> analysis</w:t>
      </w:r>
      <w:r w:rsidR="006B3633" w:rsidRPr="007427EF">
        <w:t xml:space="preserve">, including </w:t>
      </w:r>
      <w:r w:rsidR="00ED779A" w:rsidRPr="007427EF">
        <w:t>all</w:t>
      </w:r>
      <w:r w:rsidR="009F7A08" w:rsidRPr="007427EF">
        <w:t xml:space="preserve"> patients </w:t>
      </w:r>
      <w:r w:rsidR="006B3633" w:rsidRPr="007427EF">
        <w:t xml:space="preserve">who </w:t>
      </w:r>
      <w:r w:rsidR="009F7A08" w:rsidRPr="007427EF">
        <w:t>receiv</w:t>
      </w:r>
      <w:r w:rsidR="006B3633" w:rsidRPr="007427EF">
        <w:t xml:space="preserve">ed </w:t>
      </w:r>
      <w:proofErr w:type="spellStart"/>
      <w:r w:rsidR="009F7A08" w:rsidRPr="007427EF">
        <w:t>vorinostat</w:t>
      </w:r>
      <w:proofErr w:type="spellEnd"/>
      <w:r w:rsidR="009F7A08" w:rsidRPr="007427EF">
        <w:t xml:space="preserve"> </w:t>
      </w:r>
      <w:r w:rsidR="006F2393" w:rsidRPr="007427EF">
        <w:t xml:space="preserve">from the Peter MacCallum Cancer Centre </w:t>
      </w:r>
      <w:r w:rsidR="009F7A08" w:rsidRPr="007427EF">
        <w:t xml:space="preserve">regardless of their baseline health status. </w:t>
      </w:r>
      <w:r w:rsidR="00CE3704" w:rsidRPr="007427EF">
        <w:t xml:space="preserve">Specifically, </w:t>
      </w:r>
      <w:r w:rsidR="00377C69" w:rsidRPr="007427EF">
        <w:t xml:space="preserve">ANCLD is likely to include a substantial proportion of </w:t>
      </w:r>
      <w:r w:rsidR="006B3633" w:rsidRPr="007427EF">
        <w:t xml:space="preserve">patients with </w:t>
      </w:r>
      <w:r w:rsidR="00377C69" w:rsidRPr="007427EF">
        <w:t>advanced disease stages</w:t>
      </w:r>
      <w:r w:rsidR="00886747" w:rsidRPr="007427EF">
        <w:t>,</w:t>
      </w:r>
      <w:r w:rsidR="00377C69" w:rsidRPr="007427EF">
        <w:t xml:space="preserve"> as suggested by skin scores at treatment initiation </w:t>
      </w:r>
      <w:r w:rsidR="00A72CA4" w:rsidRPr="007427EF">
        <w:t>(</w:t>
      </w:r>
      <w:r w:rsidR="00377C69" w:rsidRPr="007427EF">
        <w:t xml:space="preserve">47% </w:t>
      </w:r>
      <w:r w:rsidR="00D614D2" w:rsidRPr="007427EF">
        <w:t xml:space="preserve">of </w:t>
      </w:r>
      <w:r w:rsidR="00377C69" w:rsidRPr="007427EF">
        <w:t>T4</w:t>
      </w:r>
      <w:r w:rsidR="008C71FA" w:rsidRPr="007427EF">
        <w:t>,</w:t>
      </w:r>
      <w:r w:rsidR="00377C69" w:rsidRPr="007427EF">
        <w:t xml:space="preserve"> and 70% </w:t>
      </w:r>
      <w:r w:rsidR="00D614D2" w:rsidRPr="007427EF">
        <w:t xml:space="preserve">of </w:t>
      </w:r>
      <w:r w:rsidR="00377C69" w:rsidRPr="007427EF">
        <w:t xml:space="preserve">T3 </w:t>
      </w:r>
      <w:r w:rsidR="00B1085A" w:rsidRPr="007427EF">
        <w:t xml:space="preserve">to </w:t>
      </w:r>
      <w:r w:rsidR="00377C69" w:rsidRPr="007427EF">
        <w:t>T4</w:t>
      </w:r>
      <w:r w:rsidR="00A74CB9" w:rsidRPr="007427EF">
        <w:t>)</w:t>
      </w:r>
      <w:r w:rsidR="002C5698" w:rsidRPr="007427EF">
        <w:t xml:space="preserve">. </w:t>
      </w:r>
      <w:r w:rsidR="000A031B" w:rsidRPr="007427EF">
        <w:t xml:space="preserve">In contrast, </w:t>
      </w:r>
      <w:r w:rsidR="002C5698" w:rsidRPr="007427EF">
        <w:t xml:space="preserve">MAVORIC </w:t>
      </w:r>
      <w:r w:rsidR="00272057" w:rsidRPr="007427EF">
        <w:t xml:space="preserve">included </w:t>
      </w:r>
      <w:r w:rsidR="002C5698" w:rsidRPr="007427EF">
        <w:t xml:space="preserve">a high </w:t>
      </w:r>
      <w:r w:rsidR="00272057" w:rsidRPr="007427EF">
        <w:t xml:space="preserve">proportion </w:t>
      </w:r>
      <w:r w:rsidR="007D4C5B" w:rsidRPr="007427EF">
        <w:t xml:space="preserve">of mogamulizumab patients with good performance status, as indicated by </w:t>
      </w:r>
      <w:r w:rsidR="002C5698" w:rsidRPr="007427EF">
        <w:t>ECOG score</w:t>
      </w:r>
      <w:r w:rsidR="007D4C5B" w:rsidRPr="007427EF">
        <w:t>s</w:t>
      </w:r>
      <w:r w:rsidR="002C5698" w:rsidRPr="007427EF">
        <w:t xml:space="preserve"> (57% with a score of 0 and 98.9% between 0</w:t>
      </w:r>
      <w:r w:rsidR="0014424B" w:rsidRPr="007427EF">
        <w:t xml:space="preserve"> to </w:t>
      </w:r>
      <w:r w:rsidR="002C5698" w:rsidRPr="007427EF">
        <w:t xml:space="preserve">1), </w:t>
      </w:r>
      <w:r w:rsidR="00A72DB5" w:rsidRPr="007427EF">
        <w:t xml:space="preserve">reflecting </w:t>
      </w:r>
      <w:r w:rsidR="002C5698" w:rsidRPr="007427EF">
        <w:t>a predominantly healthier or less functionally impaired population at baseline.</w:t>
      </w:r>
      <w:r w:rsidR="007570D1" w:rsidRPr="007427EF">
        <w:t xml:space="preserve"> Collectively, ANCLD may have included patients with more severe disease than those in MAVORIC.</w:t>
      </w:r>
    </w:p>
    <w:p w14:paraId="4A4FE085" w14:textId="721765DB" w:rsidR="00B60939" w:rsidRPr="007427EF" w:rsidRDefault="24F4C7C8" w:rsidP="00405C43">
      <w:pPr>
        <w:pStyle w:val="4-SubsectionHeading"/>
      </w:pPr>
      <w:bookmarkStart w:id="28" w:name="_Toc22897641"/>
      <w:bookmarkStart w:id="29" w:name="_Toc188431845"/>
      <w:r w:rsidRPr="007427EF">
        <w:lastRenderedPageBreak/>
        <w:t>Comparative effectiveness</w:t>
      </w:r>
      <w:bookmarkEnd w:id="28"/>
      <w:bookmarkEnd w:id="29"/>
    </w:p>
    <w:p w14:paraId="169010EE" w14:textId="048A288F" w:rsidR="00AC5392" w:rsidRPr="007427EF" w:rsidRDefault="00AC5392" w:rsidP="00AC5392">
      <w:pPr>
        <w:pStyle w:val="3-BodyText"/>
      </w:pPr>
      <w:r w:rsidRPr="007427EF">
        <w:t xml:space="preserve">PFS was the primary outcome in MAVORIC, and the results in the resubmission remain unchanged from those previously </w:t>
      </w:r>
      <w:r w:rsidR="00270673" w:rsidRPr="007427EF">
        <w:t>seen</w:t>
      </w:r>
      <w:r w:rsidRPr="007427EF">
        <w:t xml:space="preserve"> by the PBAC.</w:t>
      </w:r>
    </w:p>
    <w:p w14:paraId="486F45FB" w14:textId="6B01AC2F" w:rsidR="004816A2" w:rsidRPr="007427EF" w:rsidRDefault="007E7B03" w:rsidP="004816A2">
      <w:pPr>
        <w:pStyle w:val="3-BodyText"/>
      </w:pPr>
      <w:r w:rsidRPr="007427EF">
        <w:t xml:space="preserve">OS outcomes from MAVORIC were exploratory. </w:t>
      </w:r>
      <w:r w:rsidR="0083637E" w:rsidRPr="007427EF">
        <w:t xml:space="preserve">A summary of </w:t>
      </w:r>
      <w:r w:rsidR="00386CC6" w:rsidRPr="007427EF">
        <w:t>OS</w:t>
      </w:r>
      <w:r w:rsidR="0083637E" w:rsidRPr="007427EF">
        <w:t xml:space="preserve"> </w:t>
      </w:r>
      <w:r w:rsidR="00B02763" w:rsidRPr="007427EF">
        <w:t xml:space="preserve">outcomes </w:t>
      </w:r>
      <w:r w:rsidR="00E87834" w:rsidRPr="007427EF">
        <w:t xml:space="preserve">between mogamulizumab and </w:t>
      </w:r>
      <w:proofErr w:type="spellStart"/>
      <w:r w:rsidR="00E87834" w:rsidRPr="007427EF">
        <w:t>vorinostat</w:t>
      </w:r>
      <w:proofErr w:type="spellEnd"/>
      <w:r w:rsidR="00E87834" w:rsidRPr="007427EF">
        <w:t xml:space="preserve"> in M</w:t>
      </w:r>
      <w:r w:rsidR="00A92705" w:rsidRPr="007427EF">
        <w:t>A</w:t>
      </w:r>
      <w:r w:rsidR="00E87834" w:rsidRPr="007427EF">
        <w:t xml:space="preserve">VORIC </w:t>
      </w:r>
      <w:r w:rsidR="00791F9E" w:rsidRPr="007427EF">
        <w:t xml:space="preserve">per its </w:t>
      </w:r>
      <w:r w:rsidR="008F137F" w:rsidRPr="007427EF">
        <w:t xml:space="preserve">Clinical Study Report </w:t>
      </w:r>
      <w:r w:rsidR="00791F9E" w:rsidRPr="007427EF">
        <w:t>(C</w:t>
      </w:r>
      <w:r w:rsidR="00A92705" w:rsidRPr="007427EF">
        <w:t>S</w:t>
      </w:r>
      <w:r w:rsidR="00791F9E" w:rsidRPr="007427EF">
        <w:t xml:space="preserve">R) </w:t>
      </w:r>
      <w:r w:rsidR="00A84107" w:rsidRPr="007427EF">
        <w:t>with a data</w:t>
      </w:r>
      <w:r w:rsidR="00C51563" w:rsidRPr="007427EF">
        <w:t xml:space="preserve"> cut-off of 31 December 2016 </w:t>
      </w:r>
      <w:r w:rsidR="00615E39" w:rsidRPr="007427EF">
        <w:t xml:space="preserve">previously seen by the PBAC </w:t>
      </w:r>
      <w:r w:rsidR="00E87834" w:rsidRPr="007427EF">
        <w:t xml:space="preserve">is presented in </w:t>
      </w:r>
      <w:r w:rsidRPr="007427EF">
        <w:fldChar w:fldCharType="begin"/>
      </w:r>
      <w:r w:rsidRPr="007427EF">
        <w:instrText xml:space="preserve"> REF _Ref185767767 \h  \* MERGEFORMAT </w:instrText>
      </w:r>
      <w:r w:rsidRPr="007427EF">
        <w:fldChar w:fldCharType="separate"/>
      </w:r>
      <w:r w:rsidR="00EF6B5D" w:rsidRPr="00EF6B5D">
        <w:t>Table 5</w:t>
      </w:r>
      <w:r w:rsidRPr="007427EF">
        <w:fldChar w:fldCharType="end"/>
      </w:r>
      <w:r w:rsidR="00D16F27" w:rsidRPr="007427EF">
        <w:t>.</w:t>
      </w:r>
      <w:r w:rsidR="00DE2D41" w:rsidRPr="007427EF">
        <w:t xml:space="preserve"> </w:t>
      </w:r>
      <w:r w:rsidR="004816A2" w:rsidRPr="007427EF">
        <w:t xml:space="preserve">As in previous submissions, the OS results from MAVORIC were </w:t>
      </w:r>
      <w:r w:rsidR="00D3764C" w:rsidRPr="007427EF">
        <w:t xml:space="preserve">also </w:t>
      </w:r>
      <w:r w:rsidR="00547DD3" w:rsidRPr="007427EF">
        <w:t>reported</w:t>
      </w:r>
      <w:r w:rsidR="004816A2" w:rsidRPr="007427EF">
        <w:t xml:space="preserve"> with analyses from later cut-off dates, including an analysis with a data cut-off of 2 March 2019</w:t>
      </w:r>
      <w:r w:rsidR="00A92705" w:rsidRPr="007427EF">
        <w:t>,</w:t>
      </w:r>
      <w:r w:rsidR="004816A2" w:rsidRPr="007427EF">
        <w:t xml:space="preserve"> and another analysis with the same cut-off date that excluded patients with SCT. </w:t>
      </w:r>
      <w:r w:rsidR="00A92705" w:rsidRPr="007427EF">
        <w:t>T</w:t>
      </w:r>
      <w:r w:rsidR="004816A2" w:rsidRPr="007427EF">
        <w:t>he resubmission did not specify which OS results were used to inform the MAIC for mogamulizumab.</w:t>
      </w:r>
    </w:p>
    <w:p w14:paraId="7C1359B6" w14:textId="1F3634DB" w:rsidR="00B76756" w:rsidRPr="007427EF" w:rsidRDefault="00D16F27" w:rsidP="00B76756">
      <w:pPr>
        <w:pStyle w:val="Caption"/>
      </w:pPr>
      <w:bookmarkStart w:id="30" w:name="_Ref185767767"/>
      <w:r w:rsidRPr="007427EF">
        <w:rPr>
          <w:rStyle w:val="CommentReference"/>
          <w:rFonts w:eastAsiaTheme="majorEastAsia" w:cstheme="majorBidi"/>
          <w:b/>
        </w:rPr>
        <w:t xml:space="preserve">Table </w:t>
      </w:r>
      <w:r w:rsidRPr="007427EF">
        <w:rPr>
          <w:rStyle w:val="CommentReference"/>
          <w:rFonts w:eastAsiaTheme="majorEastAsia" w:cstheme="majorBidi"/>
          <w:b/>
        </w:rPr>
        <w:fldChar w:fldCharType="begin"/>
      </w:r>
      <w:r w:rsidRPr="007427EF">
        <w:rPr>
          <w:rStyle w:val="CommentReference"/>
          <w:rFonts w:eastAsiaTheme="majorEastAsia" w:cstheme="majorBidi"/>
          <w:b/>
        </w:rPr>
        <w:instrText xml:space="preserve"> SEQ Table \* ARABIC </w:instrText>
      </w:r>
      <w:r w:rsidRPr="007427EF">
        <w:rPr>
          <w:rStyle w:val="CommentReference"/>
          <w:rFonts w:eastAsiaTheme="majorEastAsia" w:cstheme="majorBidi"/>
          <w:b/>
        </w:rPr>
        <w:fldChar w:fldCharType="separate"/>
      </w:r>
      <w:r w:rsidR="00EF6B5D">
        <w:rPr>
          <w:rStyle w:val="CommentReference"/>
          <w:rFonts w:eastAsiaTheme="majorEastAsia" w:cstheme="majorBidi"/>
          <w:b/>
          <w:noProof/>
        </w:rPr>
        <w:t>5</w:t>
      </w:r>
      <w:r w:rsidRPr="007427EF">
        <w:rPr>
          <w:rStyle w:val="CommentReference"/>
          <w:rFonts w:eastAsiaTheme="majorEastAsia" w:cstheme="majorBidi"/>
          <w:b/>
        </w:rPr>
        <w:fldChar w:fldCharType="end"/>
      </w:r>
      <w:bookmarkEnd w:id="30"/>
      <w:r w:rsidR="00B76756" w:rsidRPr="007427EF">
        <w:t xml:space="preserve">: Overall </w:t>
      </w:r>
      <w:r w:rsidR="00337227" w:rsidRPr="007427EF">
        <w:t>s</w:t>
      </w:r>
      <w:r w:rsidR="00B76756" w:rsidRPr="007427EF">
        <w:t xml:space="preserve">urvival between mogamulizumab versus </w:t>
      </w:r>
      <w:proofErr w:type="spellStart"/>
      <w:r w:rsidR="00B76756" w:rsidRPr="007427EF">
        <w:t>vorinostat</w:t>
      </w:r>
      <w:proofErr w:type="spellEnd"/>
      <w:r w:rsidR="00B76756" w:rsidRPr="007427EF">
        <w:t xml:space="preserve"> in MAVORIC</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Overall survival between mogamulizumab versus vorinostat in MAVORIC"/>
      </w:tblPr>
      <w:tblGrid>
        <w:gridCol w:w="2544"/>
        <w:gridCol w:w="1812"/>
        <w:gridCol w:w="1821"/>
        <w:gridCol w:w="1329"/>
        <w:gridCol w:w="1561"/>
      </w:tblGrid>
      <w:tr w:rsidR="00377DC9" w:rsidRPr="007427EF" w14:paraId="742AF29E" w14:textId="77777777" w:rsidTr="009F1EF3">
        <w:trPr>
          <w:cantSplit/>
          <w:tblHeader/>
          <w:jc w:val="center"/>
        </w:trPr>
        <w:tc>
          <w:tcPr>
            <w:tcW w:w="1403" w:type="pct"/>
            <w:vAlign w:val="center"/>
          </w:tcPr>
          <w:p w14:paraId="5BEAA8FF" w14:textId="77777777" w:rsidR="00510381" w:rsidRPr="007427EF" w:rsidRDefault="00510381" w:rsidP="00377DC9">
            <w:pPr>
              <w:rPr>
                <w:rFonts w:ascii="Arial Narrow" w:hAnsi="Arial Narrow"/>
                <w:sz w:val="20"/>
                <w:szCs w:val="20"/>
              </w:rPr>
            </w:pPr>
          </w:p>
        </w:tc>
        <w:tc>
          <w:tcPr>
            <w:tcW w:w="999" w:type="pct"/>
            <w:vAlign w:val="center"/>
          </w:tcPr>
          <w:p w14:paraId="54621926" w14:textId="4277221C"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Mogamulizumab (N=186)</w:t>
            </w:r>
          </w:p>
        </w:tc>
        <w:tc>
          <w:tcPr>
            <w:tcW w:w="1004" w:type="pct"/>
            <w:vAlign w:val="center"/>
          </w:tcPr>
          <w:p w14:paraId="526BB0D4" w14:textId="771DD01E" w:rsidR="00510381" w:rsidRPr="007427EF" w:rsidRDefault="00510381" w:rsidP="00377DC9">
            <w:pPr>
              <w:jc w:val="center"/>
              <w:rPr>
                <w:rFonts w:ascii="Arial Narrow" w:hAnsi="Arial Narrow"/>
                <w:b/>
                <w:bCs/>
                <w:sz w:val="20"/>
                <w:szCs w:val="20"/>
              </w:rPr>
            </w:pPr>
            <w:proofErr w:type="spellStart"/>
            <w:r w:rsidRPr="007427EF">
              <w:rPr>
                <w:rFonts w:ascii="Arial Narrow" w:hAnsi="Arial Narrow"/>
                <w:b/>
                <w:bCs/>
                <w:sz w:val="20"/>
                <w:szCs w:val="20"/>
              </w:rPr>
              <w:t>Vorinostat</w:t>
            </w:r>
            <w:proofErr w:type="spellEnd"/>
            <w:r w:rsidRPr="007427EF">
              <w:rPr>
                <w:rFonts w:ascii="Arial Narrow" w:hAnsi="Arial Narrow"/>
                <w:b/>
                <w:bCs/>
                <w:sz w:val="20"/>
                <w:szCs w:val="20"/>
              </w:rPr>
              <w:t xml:space="preserve"> (N=186)</w:t>
            </w:r>
          </w:p>
        </w:tc>
        <w:tc>
          <w:tcPr>
            <w:tcW w:w="733" w:type="pct"/>
            <w:vAlign w:val="center"/>
          </w:tcPr>
          <w:p w14:paraId="086B8FAF" w14:textId="77777777"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Absolute difference</w:t>
            </w:r>
          </w:p>
        </w:tc>
        <w:tc>
          <w:tcPr>
            <w:tcW w:w="861" w:type="pct"/>
            <w:vAlign w:val="center"/>
          </w:tcPr>
          <w:p w14:paraId="2173D7CF" w14:textId="77777777" w:rsidR="00510381" w:rsidRPr="007427EF" w:rsidRDefault="00510381" w:rsidP="00377DC9">
            <w:pPr>
              <w:jc w:val="center"/>
              <w:rPr>
                <w:rFonts w:ascii="Arial Narrow" w:hAnsi="Arial Narrow"/>
                <w:b/>
                <w:bCs/>
                <w:sz w:val="20"/>
                <w:szCs w:val="20"/>
              </w:rPr>
            </w:pPr>
            <w:r w:rsidRPr="007427EF">
              <w:rPr>
                <w:rFonts w:ascii="Arial Narrow" w:hAnsi="Arial Narrow"/>
                <w:b/>
                <w:bCs/>
                <w:sz w:val="20"/>
                <w:szCs w:val="20"/>
              </w:rPr>
              <w:t>HR (95% CI)</w:t>
            </w:r>
          </w:p>
        </w:tc>
      </w:tr>
      <w:tr w:rsidR="00510381" w:rsidRPr="007427EF" w14:paraId="758B56FD" w14:textId="77777777" w:rsidTr="00377DC9">
        <w:trPr>
          <w:cantSplit/>
          <w:jc w:val="center"/>
        </w:trPr>
        <w:tc>
          <w:tcPr>
            <w:tcW w:w="5000" w:type="pct"/>
            <w:gridSpan w:val="5"/>
            <w:vAlign w:val="center"/>
          </w:tcPr>
          <w:p w14:paraId="76CB6FC2" w14:textId="77777777" w:rsidR="00510381" w:rsidRPr="007427EF" w:rsidRDefault="00510381" w:rsidP="00377DC9">
            <w:pPr>
              <w:rPr>
                <w:rFonts w:ascii="Arial Narrow" w:hAnsi="Arial Narrow"/>
                <w:b/>
                <w:bCs/>
                <w:sz w:val="20"/>
                <w:szCs w:val="20"/>
              </w:rPr>
            </w:pPr>
            <w:r w:rsidRPr="007427EF">
              <w:rPr>
                <w:rFonts w:ascii="Arial Narrow" w:hAnsi="Arial Narrow"/>
                <w:b/>
                <w:bCs/>
                <w:sz w:val="20"/>
                <w:szCs w:val="20"/>
              </w:rPr>
              <w:t>Overall survival</w:t>
            </w:r>
          </w:p>
        </w:tc>
      </w:tr>
      <w:tr w:rsidR="005710D9" w:rsidRPr="007427EF" w14:paraId="7AE3A270" w14:textId="77777777" w:rsidTr="009F1EF3">
        <w:trPr>
          <w:cantSplit/>
          <w:jc w:val="center"/>
        </w:trPr>
        <w:tc>
          <w:tcPr>
            <w:tcW w:w="1403" w:type="pct"/>
            <w:vAlign w:val="center"/>
          </w:tcPr>
          <w:p w14:paraId="7D952F4D" w14:textId="77777777" w:rsidR="005710D9" w:rsidRPr="007427EF" w:rsidRDefault="005710D9" w:rsidP="00377DC9">
            <w:pPr>
              <w:rPr>
                <w:rFonts w:ascii="Arial Narrow" w:hAnsi="Arial Narrow"/>
                <w:sz w:val="20"/>
                <w:szCs w:val="20"/>
              </w:rPr>
            </w:pPr>
            <w:r w:rsidRPr="007427EF">
              <w:rPr>
                <w:rFonts w:ascii="Arial Narrow" w:hAnsi="Arial Narrow"/>
                <w:sz w:val="20"/>
                <w:szCs w:val="20"/>
              </w:rPr>
              <w:t>Deaths, n/N (%)</w:t>
            </w:r>
          </w:p>
        </w:tc>
        <w:tc>
          <w:tcPr>
            <w:tcW w:w="999" w:type="pct"/>
            <w:shd w:val="clear" w:color="auto" w:fill="C6D9F1" w:themeFill="text2" w:themeFillTint="33"/>
            <w:vAlign w:val="center"/>
          </w:tcPr>
          <w:p w14:paraId="5F44A5DD" w14:textId="643DBD50" w:rsidR="005710D9" w:rsidRPr="007427EF" w:rsidRDefault="005710D9" w:rsidP="00377DC9">
            <w:pPr>
              <w:jc w:val="center"/>
              <w:rPr>
                <w:rFonts w:ascii="Arial Narrow" w:hAnsi="Arial Narrow"/>
                <w:sz w:val="20"/>
                <w:szCs w:val="20"/>
              </w:rPr>
            </w:pPr>
            <w:r w:rsidRPr="007427EF">
              <w:rPr>
                <w:rFonts w:ascii="Arial Narrow" w:hAnsi="Arial Narrow"/>
                <w:sz w:val="20"/>
                <w:szCs w:val="20"/>
              </w:rPr>
              <w:t>40/186 (21.5)</w:t>
            </w:r>
          </w:p>
        </w:tc>
        <w:tc>
          <w:tcPr>
            <w:tcW w:w="1004" w:type="pct"/>
            <w:shd w:val="clear" w:color="auto" w:fill="C6D9F1" w:themeFill="text2" w:themeFillTint="33"/>
            <w:vAlign w:val="center"/>
          </w:tcPr>
          <w:p w14:paraId="679C0A17" w14:textId="31ACF06D" w:rsidR="005710D9" w:rsidRPr="007427EF" w:rsidRDefault="005710D9" w:rsidP="00377DC9">
            <w:pPr>
              <w:jc w:val="center"/>
              <w:rPr>
                <w:rFonts w:ascii="Arial Narrow" w:hAnsi="Arial Narrow"/>
                <w:sz w:val="20"/>
                <w:szCs w:val="20"/>
              </w:rPr>
            </w:pPr>
            <w:r w:rsidRPr="007427EF">
              <w:rPr>
                <w:rFonts w:ascii="Arial Narrow" w:hAnsi="Arial Narrow"/>
                <w:sz w:val="20"/>
                <w:szCs w:val="20"/>
              </w:rPr>
              <w:t>47/186 (25.3)</w:t>
            </w:r>
          </w:p>
        </w:tc>
        <w:tc>
          <w:tcPr>
            <w:tcW w:w="733" w:type="pct"/>
            <w:shd w:val="clear" w:color="auto" w:fill="C6D9F1" w:themeFill="text2" w:themeFillTint="33"/>
            <w:vAlign w:val="center"/>
          </w:tcPr>
          <w:p w14:paraId="683C0964" w14:textId="578E6543" w:rsidR="005710D9" w:rsidRPr="007427EF" w:rsidRDefault="005710D9" w:rsidP="00377DC9">
            <w:pPr>
              <w:jc w:val="center"/>
              <w:rPr>
                <w:rFonts w:ascii="Arial Narrow" w:hAnsi="Arial Narrow"/>
                <w:sz w:val="20"/>
                <w:szCs w:val="20"/>
              </w:rPr>
            </w:pPr>
            <w:r w:rsidRPr="007427EF">
              <w:rPr>
                <w:rFonts w:ascii="Arial Narrow" w:hAnsi="Arial Narrow"/>
                <w:sz w:val="20"/>
                <w:szCs w:val="20"/>
              </w:rPr>
              <w:t>-</w:t>
            </w:r>
          </w:p>
        </w:tc>
        <w:tc>
          <w:tcPr>
            <w:tcW w:w="861" w:type="pct"/>
            <w:vMerge w:val="restart"/>
            <w:shd w:val="clear" w:color="auto" w:fill="C6D9F1" w:themeFill="text2" w:themeFillTint="33"/>
            <w:vAlign w:val="center"/>
          </w:tcPr>
          <w:p w14:paraId="0124CC02" w14:textId="77777777" w:rsidR="005710D9" w:rsidRPr="007427EF" w:rsidRDefault="005710D9" w:rsidP="00377DC9">
            <w:pPr>
              <w:jc w:val="center"/>
              <w:rPr>
                <w:rFonts w:ascii="Arial Narrow" w:hAnsi="Arial Narrow"/>
                <w:sz w:val="20"/>
                <w:szCs w:val="20"/>
              </w:rPr>
            </w:pPr>
            <w:r w:rsidRPr="007427EF">
              <w:rPr>
                <w:rFonts w:ascii="Arial Narrow" w:hAnsi="Arial Narrow"/>
                <w:sz w:val="20"/>
                <w:szCs w:val="20"/>
              </w:rPr>
              <w:t>0.93 (0.61, 1.43)</w:t>
            </w:r>
          </w:p>
          <w:p w14:paraId="624136E4" w14:textId="4046C83D" w:rsidR="00961E5C" w:rsidRPr="007427EF" w:rsidRDefault="00961E5C" w:rsidP="00377DC9">
            <w:pPr>
              <w:jc w:val="center"/>
              <w:rPr>
                <w:rFonts w:ascii="Arial Narrow" w:hAnsi="Arial Narrow"/>
                <w:sz w:val="20"/>
                <w:szCs w:val="20"/>
              </w:rPr>
            </w:pPr>
            <w:r w:rsidRPr="007427EF">
              <w:rPr>
                <w:rFonts w:ascii="Arial Narrow" w:hAnsi="Arial Narrow"/>
                <w:sz w:val="20"/>
                <w:szCs w:val="20"/>
              </w:rPr>
              <w:t xml:space="preserve">p-value = </w:t>
            </w:r>
            <w:r w:rsidR="00703B72" w:rsidRPr="007427EF">
              <w:rPr>
                <w:rFonts w:ascii="Arial Narrow" w:hAnsi="Arial Narrow"/>
                <w:sz w:val="20"/>
                <w:szCs w:val="20"/>
              </w:rPr>
              <w:t>0.9439</w:t>
            </w:r>
          </w:p>
        </w:tc>
      </w:tr>
      <w:tr w:rsidR="005710D9" w:rsidRPr="007427EF" w14:paraId="7C7271D9" w14:textId="77777777" w:rsidTr="009F1EF3">
        <w:trPr>
          <w:cantSplit/>
          <w:jc w:val="center"/>
        </w:trPr>
        <w:tc>
          <w:tcPr>
            <w:tcW w:w="1403" w:type="pct"/>
            <w:vAlign w:val="center"/>
          </w:tcPr>
          <w:p w14:paraId="09DBAC2F" w14:textId="77777777" w:rsidR="005710D9" w:rsidRPr="007427EF" w:rsidRDefault="005710D9" w:rsidP="00377DC9">
            <w:pPr>
              <w:rPr>
                <w:rFonts w:ascii="Arial Narrow" w:hAnsi="Arial Narrow"/>
                <w:sz w:val="20"/>
                <w:szCs w:val="20"/>
              </w:rPr>
            </w:pPr>
            <w:r w:rsidRPr="007427EF">
              <w:rPr>
                <w:rFonts w:ascii="Arial Narrow" w:hAnsi="Arial Narrow"/>
                <w:sz w:val="20"/>
                <w:szCs w:val="20"/>
              </w:rPr>
              <w:t>Median months OS (95% CI)</w:t>
            </w:r>
          </w:p>
        </w:tc>
        <w:tc>
          <w:tcPr>
            <w:tcW w:w="999" w:type="pct"/>
            <w:shd w:val="clear" w:color="auto" w:fill="C6D9F1" w:themeFill="text2" w:themeFillTint="33"/>
            <w:vAlign w:val="center"/>
          </w:tcPr>
          <w:p w14:paraId="4B69468A" w14:textId="365A42BC" w:rsidR="005710D9" w:rsidRPr="007427EF" w:rsidRDefault="005710D9" w:rsidP="00377DC9">
            <w:pPr>
              <w:jc w:val="center"/>
              <w:rPr>
                <w:rFonts w:ascii="Arial Narrow" w:hAnsi="Arial Narrow"/>
                <w:sz w:val="20"/>
                <w:szCs w:val="20"/>
              </w:rPr>
            </w:pPr>
            <w:r w:rsidRPr="007427EF">
              <w:rPr>
                <w:rFonts w:ascii="Arial Narrow" w:hAnsi="Arial Narrow"/>
                <w:sz w:val="20"/>
                <w:szCs w:val="20"/>
              </w:rPr>
              <w:t>-</w:t>
            </w:r>
          </w:p>
        </w:tc>
        <w:tc>
          <w:tcPr>
            <w:tcW w:w="1004" w:type="pct"/>
            <w:shd w:val="clear" w:color="auto" w:fill="C6D9F1" w:themeFill="text2" w:themeFillTint="33"/>
            <w:vAlign w:val="center"/>
          </w:tcPr>
          <w:p w14:paraId="20C3F034" w14:textId="1DFC2A50" w:rsidR="005710D9" w:rsidRPr="007427EF" w:rsidRDefault="005710D9" w:rsidP="00377DC9">
            <w:pPr>
              <w:jc w:val="center"/>
              <w:rPr>
                <w:rFonts w:ascii="Arial Narrow" w:hAnsi="Arial Narrow"/>
                <w:sz w:val="20"/>
                <w:szCs w:val="20"/>
              </w:rPr>
            </w:pPr>
            <w:r w:rsidRPr="007427EF">
              <w:rPr>
                <w:rFonts w:ascii="Arial Narrow" w:hAnsi="Arial Narrow"/>
                <w:sz w:val="20"/>
                <w:szCs w:val="20"/>
              </w:rPr>
              <w:t xml:space="preserve">43.93 (43.57, </w:t>
            </w:r>
            <w:proofErr w:type="gramStart"/>
            <w:r w:rsidRPr="007427EF">
              <w:rPr>
                <w:rFonts w:ascii="Arial Narrow" w:hAnsi="Arial Narrow"/>
                <w:sz w:val="20"/>
                <w:szCs w:val="20"/>
              </w:rPr>
              <w:t>- )</w:t>
            </w:r>
            <w:proofErr w:type="gramEnd"/>
          </w:p>
        </w:tc>
        <w:tc>
          <w:tcPr>
            <w:tcW w:w="733" w:type="pct"/>
            <w:shd w:val="clear" w:color="auto" w:fill="C6D9F1" w:themeFill="text2" w:themeFillTint="33"/>
            <w:vAlign w:val="center"/>
          </w:tcPr>
          <w:p w14:paraId="17E2CD17" w14:textId="13F16CC3" w:rsidR="005710D9" w:rsidRPr="007427EF" w:rsidRDefault="005710D9" w:rsidP="00377DC9">
            <w:pPr>
              <w:jc w:val="center"/>
              <w:rPr>
                <w:rFonts w:ascii="Arial Narrow" w:hAnsi="Arial Narrow"/>
                <w:sz w:val="20"/>
                <w:szCs w:val="20"/>
              </w:rPr>
            </w:pPr>
            <w:r w:rsidRPr="007427EF">
              <w:rPr>
                <w:rFonts w:ascii="Arial Narrow" w:hAnsi="Arial Narrow"/>
                <w:sz w:val="20"/>
                <w:szCs w:val="20"/>
              </w:rPr>
              <w:t>NE</w:t>
            </w:r>
          </w:p>
        </w:tc>
        <w:tc>
          <w:tcPr>
            <w:tcW w:w="861" w:type="pct"/>
            <w:vMerge/>
            <w:shd w:val="clear" w:color="auto" w:fill="C6D9F1" w:themeFill="text2" w:themeFillTint="33"/>
            <w:vAlign w:val="center"/>
          </w:tcPr>
          <w:p w14:paraId="72E2A8CB" w14:textId="79239119" w:rsidR="005710D9" w:rsidRPr="007427EF" w:rsidRDefault="005710D9" w:rsidP="00377DC9">
            <w:pPr>
              <w:jc w:val="center"/>
              <w:rPr>
                <w:rFonts w:ascii="Arial Narrow" w:hAnsi="Arial Narrow"/>
                <w:sz w:val="20"/>
                <w:szCs w:val="20"/>
              </w:rPr>
            </w:pPr>
          </w:p>
        </w:tc>
      </w:tr>
      <w:tr w:rsidR="00BA24F7" w:rsidRPr="007427EF" w14:paraId="2E40D991" w14:textId="77777777" w:rsidTr="009F1EF3">
        <w:trPr>
          <w:cantSplit/>
          <w:jc w:val="center"/>
        </w:trPr>
        <w:tc>
          <w:tcPr>
            <w:tcW w:w="1403" w:type="pct"/>
            <w:vAlign w:val="center"/>
          </w:tcPr>
          <w:p w14:paraId="4D8686A5" w14:textId="32716E92" w:rsidR="00BA24F7" w:rsidRPr="007427EF" w:rsidRDefault="00BA24F7" w:rsidP="00BA24F7">
            <w:pPr>
              <w:rPr>
                <w:rFonts w:ascii="Arial Narrow" w:hAnsi="Arial Narrow"/>
                <w:sz w:val="20"/>
                <w:szCs w:val="20"/>
              </w:rPr>
            </w:pPr>
            <w:r w:rsidRPr="007427EF">
              <w:rPr>
                <w:rFonts w:ascii="Arial Narrow" w:hAnsi="Arial Narrow"/>
                <w:sz w:val="20"/>
                <w:szCs w:val="20"/>
              </w:rPr>
              <w:t>% alive at 6 months (95% CI)</w:t>
            </w:r>
          </w:p>
        </w:tc>
        <w:tc>
          <w:tcPr>
            <w:tcW w:w="999" w:type="pct"/>
            <w:shd w:val="clear" w:color="auto" w:fill="C6D9F1" w:themeFill="text2" w:themeFillTint="33"/>
            <w:vAlign w:val="center"/>
          </w:tcPr>
          <w:p w14:paraId="3CE848AD" w14:textId="1D8DB6BA" w:rsidR="00BA24F7" w:rsidRPr="007427EF" w:rsidRDefault="00BA24F7" w:rsidP="00BA24F7">
            <w:pPr>
              <w:jc w:val="center"/>
              <w:rPr>
                <w:rFonts w:ascii="Arial Narrow" w:hAnsi="Arial Narrow"/>
                <w:sz w:val="20"/>
                <w:szCs w:val="20"/>
              </w:rPr>
            </w:pPr>
            <w:r w:rsidRPr="007427EF">
              <w:rPr>
                <w:rFonts w:ascii="Arial Narrow" w:hAnsi="Arial Narrow"/>
                <w:sz w:val="20"/>
                <w:szCs w:val="20"/>
              </w:rPr>
              <w:t>94.2 (89.5, 96.9)</w:t>
            </w:r>
          </w:p>
        </w:tc>
        <w:tc>
          <w:tcPr>
            <w:tcW w:w="1004" w:type="pct"/>
            <w:shd w:val="clear" w:color="auto" w:fill="C6D9F1" w:themeFill="text2" w:themeFillTint="33"/>
            <w:vAlign w:val="center"/>
          </w:tcPr>
          <w:p w14:paraId="3638DB6E" w14:textId="60A7D203" w:rsidR="00BA24F7" w:rsidRPr="007427EF" w:rsidRDefault="00BA24F7" w:rsidP="00BA24F7">
            <w:pPr>
              <w:jc w:val="center"/>
              <w:rPr>
                <w:rFonts w:ascii="Arial Narrow" w:hAnsi="Arial Narrow"/>
                <w:sz w:val="20"/>
                <w:szCs w:val="20"/>
              </w:rPr>
            </w:pPr>
            <w:r w:rsidRPr="007427EF">
              <w:rPr>
                <w:rFonts w:ascii="Arial Narrow" w:hAnsi="Arial Narrow"/>
                <w:sz w:val="20"/>
                <w:szCs w:val="20"/>
              </w:rPr>
              <w:t>92.3% (87.3, 95.4)</w:t>
            </w:r>
          </w:p>
        </w:tc>
        <w:tc>
          <w:tcPr>
            <w:tcW w:w="733" w:type="pct"/>
            <w:shd w:val="clear" w:color="auto" w:fill="C6D9F1" w:themeFill="text2" w:themeFillTint="33"/>
            <w:vAlign w:val="center"/>
          </w:tcPr>
          <w:p w14:paraId="3E46E8D9" w14:textId="2130B221" w:rsidR="00BA24F7" w:rsidRPr="007427EF" w:rsidRDefault="00BA24F7" w:rsidP="00BA24F7">
            <w:pPr>
              <w:jc w:val="center"/>
              <w:rPr>
                <w:rFonts w:ascii="Arial Narrow" w:hAnsi="Arial Narrow"/>
                <w:sz w:val="20"/>
                <w:szCs w:val="20"/>
              </w:rPr>
            </w:pPr>
            <w:r w:rsidRPr="007427EF">
              <w:rPr>
                <w:rFonts w:ascii="Arial Narrow" w:hAnsi="Arial Narrow"/>
                <w:sz w:val="20"/>
                <w:szCs w:val="20"/>
              </w:rPr>
              <w:t>1.9</w:t>
            </w:r>
          </w:p>
        </w:tc>
        <w:tc>
          <w:tcPr>
            <w:tcW w:w="861" w:type="pct"/>
            <w:shd w:val="clear" w:color="auto" w:fill="C6D9F1" w:themeFill="text2" w:themeFillTint="33"/>
            <w:vAlign w:val="center"/>
          </w:tcPr>
          <w:p w14:paraId="415F9729" w14:textId="77777777" w:rsidR="00BA24F7" w:rsidRPr="007427EF" w:rsidRDefault="00BA24F7" w:rsidP="00BA24F7">
            <w:pPr>
              <w:jc w:val="center"/>
              <w:rPr>
                <w:rFonts w:ascii="Arial Narrow" w:hAnsi="Arial Narrow"/>
                <w:sz w:val="20"/>
                <w:szCs w:val="20"/>
              </w:rPr>
            </w:pPr>
            <w:r w:rsidRPr="007427EF">
              <w:rPr>
                <w:rFonts w:ascii="Arial Narrow" w:hAnsi="Arial Narrow"/>
                <w:sz w:val="20"/>
                <w:szCs w:val="20"/>
              </w:rPr>
              <w:t>-</w:t>
            </w:r>
          </w:p>
        </w:tc>
      </w:tr>
      <w:tr w:rsidR="009F1EF3" w:rsidRPr="007427EF" w14:paraId="5894459B" w14:textId="77777777" w:rsidTr="00CB316E">
        <w:trPr>
          <w:cantSplit/>
          <w:jc w:val="center"/>
        </w:trPr>
        <w:tc>
          <w:tcPr>
            <w:tcW w:w="1403" w:type="pct"/>
            <w:vAlign w:val="center"/>
          </w:tcPr>
          <w:p w14:paraId="12C31D5E" w14:textId="13299845" w:rsidR="009F1EF3" w:rsidRPr="007427EF" w:rsidRDefault="009F1EF3" w:rsidP="009F1EF3">
            <w:pPr>
              <w:rPr>
                <w:rFonts w:ascii="Arial Narrow" w:hAnsi="Arial Narrow"/>
                <w:sz w:val="20"/>
                <w:szCs w:val="20"/>
              </w:rPr>
            </w:pPr>
            <w:r w:rsidRPr="007427EF">
              <w:rPr>
                <w:rFonts w:ascii="Arial Narrow" w:hAnsi="Arial Narrow"/>
                <w:sz w:val="20"/>
                <w:szCs w:val="20"/>
              </w:rPr>
              <w:t>% alive at 12 months (95% CI)</w:t>
            </w:r>
          </w:p>
        </w:tc>
        <w:tc>
          <w:tcPr>
            <w:tcW w:w="999" w:type="pct"/>
            <w:shd w:val="clear" w:color="auto" w:fill="C6D9F1" w:themeFill="text2" w:themeFillTint="33"/>
          </w:tcPr>
          <w:p w14:paraId="624A56E5" w14:textId="63D2EA0D" w:rsidR="009F1EF3" w:rsidRPr="007427EF" w:rsidRDefault="009F1EF3" w:rsidP="009F1EF3">
            <w:pPr>
              <w:jc w:val="center"/>
              <w:rPr>
                <w:rFonts w:ascii="Arial Narrow" w:hAnsi="Arial Narrow"/>
                <w:sz w:val="20"/>
                <w:szCs w:val="20"/>
              </w:rPr>
            </w:pPr>
            <w:r w:rsidRPr="007427EF">
              <w:rPr>
                <w:rFonts w:ascii="Arial Narrow" w:hAnsi="Arial Narrow"/>
                <w:sz w:val="20"/>
                <w:szCs w:val="20"/>
              </w:rPr>
              <w:t>89.9 (84.3, 93.6)</w:t>
            </w:r>
          </w:p>
        </w:tc>
        <w:tc>
          <w:tcPr>
            <w:tcW w:w="1004" w:type="pct"/>
            <w:shd w:val="clear" w:color="auto" w:fill="C6D9F1" w:themeFill="text2" w:themeFillTint="33"/>
          </w:tcPr>
          <w:p w14:paraId="58F4856D" w14:textId="2D69D7DB" w:rsidR="009F1EF3" w:rsidRPr="007427EF" w:rsidRDefault="009F1EF3" w:rsidP="009F1EF3">
            <w:pPr>
              <w:jc w:val="center"/>
              <w:rPr>
                <w:rFonts w:ascii="Arial Narrow" w:hAnsi="Arial Narrow"/>
                <w:sz w:val="20"/>
                <w:szCs w:val="20"/>
              </w:rPr>
            </w:pPr>
            <w:r w:rsidRPr="007427EF">
              <w:rPr>
                <w:rFonts w:ascii="Arial Narrow" w:hAnsi="Arial Narrow"/>
                <w:sz w:val="20"/>
                <w:szCs w:val="20"/>
              </w:rPr>
              <w:t>85.3 (79.2, 89.8)</w:t>
            </w:r>
          </w:p>
        </w:tc>
        <w:tc>
          <w:tcPr>
            <w:tcW w:w="733" w:type="pct"/>
            <w:shd w:val="clear" w:color="auto" w:fill="C6D9F1" w:themeFill="text2" w:themeFillTint="33"/>
            <w:vAlign w:val="center"/>
          </w:tcPr>
          <w:p w14:paraId="37AF9890" w14:textId="508AABF2" w:rsidR="009F1EF3" w:rsidRPr="007427EF" w:rsidRDefault="009F1EF3" w:rsidP="009F1EF3">
            <w:pPr>
              <w:jc w:val="center"/>
              <w:rPr>
                <w:rFonts w:ascii="Arial Narrow" w:hAnsi="Arial Narrow"/>
                <w:sz w:val="20"/>
                <w:szCs w:val="20"/>
              </w:rPr>
            </w:pPr>
            <w:r w:rsidRPr="007427EF">
              <w:rPr>
                <w:rFonts w:ascii="Arial Narrow" w:hAnsi="Arial Narrow"/>
                <w:sz w:val="20"/>
                <w:szCs w:val="20"/>
              </w:rPr>
              <w:t>4.6</w:t>
            </w:r>
          </w:p>
        </w:tc>
        <w:tc>
          <w:tcPr>
            <w:tcW w:w="861" w:type="pct"/>
            <w:shd w:val="clear" w:color="auto" w:fill="C6D9F1" w:themeFill="text2" w:themeFillTint="33"/>
            <w:vAlign w:val="center"/>
          </w:tcPr>
          <w:p w14:paraId="667CB0B7" w14:textId="61D46D15"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663DF1C5" w14:textId="77777777" w:rsidTr="00CB316E">
        <w:trPr>
          <w:cantSplit/>
          <w:jc w:val="center"/>
        </w:trPr>
        <w:tc>
          <w:tcPr>
            <w:tcW w:w="1403" w:type="pct"/>
            <w:vAlign w:val="center"/>
          </w:tcPr>
          <w:p w14:paraId="1227B18C" w14:textId="2B343DE5" w:rsidR="009F1EF3" w:rsidRPr="007427EF" w:rsidRDefault="009F1EF3" w:rsidP="009F1EF3">
            <w:pPr>
              <w:rPr>
                <w:rFonts w:ascii="Arial Narrow" w:hAnsi="Arial Narrow"/>
                <w:sz w:val="20"/>
                <w:szCs w:val="20"/>
              </w:rPr>
            </w:pPr>
            <w:r w:rsidRPr="007427EF">
              <w:rPr>
                <w:rFonts w:ascii="Arial Narrow" w:hAnsi="Arial Narrow"/>
                <w:sz w:val="20"/>
                <w:szCs w:val="20"/>
              </w:rPr>
              <w:t>% alive at 18 months (95% CI)</w:t>
            </w:r>
          </w:p>
        </w:tc>
        <w:tc>
          <w:tcPr>
            <w:tcW w:w="999" w:type="pct"/>
            <w:shd w:val="clear" w:color="auto" w:fill="C6D9F1" w:themeFill="text2" w:themeFillTint="33"/>
          </w:tcPr>
          <w:p w14:paraId="17D304DB" w14:textId="72F35660" w:rsidR="009F1EF3" w:rsidRPr="007427EF" w:rsidRDefault="009F1EF3" w:rsidP="009F1EF3">
            <w:pPr>
              <w:jc w:val="center"/>
              <w:rPr>
                <w:rFonts w:ascii="Arial Narrow" w:hAnsi="Arial Narrow"/>
                <w:sz w:val="20"/>
                <w:szCs w:val="20"/>
              </w:rPr>
            </w:pPr>
            <w:r w:rsidRPr="007427EF">
              <w:rPr>
                <w:rFonts w:ascii="Arial Narrow" w:hAnsi="Arial Narrow"/>
                <w:sz w:val="20"/>
                <w:szCs w:val="20"/>
              </w:rPr>
              <w:t>80.7 (73.0, 86.4)</w:t>
            </w:r>
          </w:p>
        </w:tc>
        <w:tc>
          <w:tcPr>
            <w:tcW w:w="1004" w:type="pct"/>
            <w:shd w:val="clear" w:color="auto" w:fill="C6D9F1" w:themeFill="text2" w:themeFillTint="33"/>
          </w:tcPr>
          <w:p w14:paraId="156DF37E" w14:textId="7C459D8D" w:rsidR="009F1EF3" w:rsidRPr="007427EF" w:rsidRDefault="009F1EF3" w:rsidP="009F1EF3">
            <w:pPr>
              <w:jc w:val="center"/>
              <w:rPr>
                <w:rFonts w:ascii="Arial Narrow" w:hAnsi="Arial Narrow"/>
                <w:sz w:val="20"/>
                <w:szCs w:val="20"/>
              </w:rPr>
            </w:pPr>
            <w:r w:rsidRPr="007427EF">
              <w:rPr>
                <w:rFonts w:ascii="Arial Narrow" w:hAnsi="Arial Narrow"/>
                <w:sz w:val="20"/>
                <w:szCs w:val="20"/>
              </w:rPr>
              <w:t>81.0 (74.2, 86.2)</w:t>
            </w:r>
          </w:p>
        </w:tc>
        <w:tc>
          <w:tcPr>
            <w:tcW w:w="733" w:type="pct"/>
            <w:shd w:val="clear" w:color="auto" w:fill="C6D9F1" w:themeFill="text2" w:themeFillTint="33"/>
            <w:vAlign w:val="center"/>
          </w:tcPr>
          <w:p w14:paraId="3622E983" w14:textId="15BA3405" w:rsidR="009F1EF3" w:rsidRPr="007427EF" w:rsidRDefault="009F1EF3" w:rsidP="009F1EF3">
            <w:pPr>
              <w:jc w:val="center"/>
              <w:rPr>
                <w:rFonts w:ascii="Arial Narrow" w:hAnsi="Arial Narrow"/>
                <w:sz w:val="20"/>
                <w:szCs w:val="20"/>
              </w:rPr>
            </w:pPr>
            <w:r w:rsidRPr="007427EF">
              <w:rPr>
                <w:rFonts w:ascii="Arial Narrow" w:hAnsi="Arial Narrow"/>
                <w:sz w:val="20"/>
                <w:szCs w:val="20"/>
              </w:rPr>
              <w:t>-0.3</w:t>
            </w:r>
          </w:p>
        </w:tc>
        <w:tc>
          <w:tcPr>
            <w:tcW w:w="861" w:type="pct"/>
            <w:shd w:val="clear" w:color="auto" w:fill="C6D9F1" w:themeFill="text2" w:themeFillTint="33"/>
            <w:vAlign w:val="center"/>
          </w:tcPr>
          <w:p w14:paraId="74651E07" w14:textId="0E147837"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25B310DA" w14:textId="77777777" w:rsidTr="00CB316E">
        <w:trPr>
          <w:cantSplit/>
          <w:jc w:val="center"/>
        </w:trPr>
        <w:tc>
          <w:tcPr>
            <w:tcW w:w="1403" w:type="pct"/>
            <w:vAlign w:val="center"/>
          </w:tcPr>
          <w:p w14:paraId="7170FCE3" w14:textId="68A55CB6" w:rsidR="009F1EF3" w:rsidRPr="007427EF" w:rsidRDefault="009F1EF3" w:rsidP="009F1EF3">
            <w:pPr>
              <w:rPr>
                <w:rFonts w:ascii="Arial Narrow" w:hAnsi="Arial Narrow"/>
                <w:sz w:val="20"/>
                <w:szCs w:val="20"/>
              </w:rPr>
            </w:pPr>
            <w:r w:rsidRPr="007427EF">
              <w:rPr>
                <w:rFonts w:ascii="Arial Narrow" w:hAnsi="Arial Narrow"/>
                <w:sz w:val="20"/>
                <w:szCs w:val="20"/>
              </w:rPr>
              <w:t>% alive at 24 months (95% CI)</w:t>
            </w:r>
          </w:p>
        </w:tc>
        <w:tc>
          <w:tcPr>
            <w:tcW w:w="999" w:type="pct"/>
            <w:shd w:val="clear" w:color="auto" w:fill="C6D9F1" w:themeFill="text2" w:themeFillTint="33"/>
          </w:tcPr>
          <w:p w14:paraId="16A28701" w14:textId="236A58CB" w:rsidR="009F1EF3" w:rsidRPr="007427EF" w:rsidRDefault="009F1EF3" w:rsidP="009F1EF3">
            <w:pPr>
              <w:jc w:val="center"/>
              <w:rPr>
                <w:rFonts w:ascii="Arial Narrow" w:hAnsi="Arial Narrow"/>
                <w:sz w:val="20"/>
                <w:szCs w:val="20"/>
              </w:rPr>
            </w:pPr>
            <w:r w:rsidRPr="007427EF">
              <w:rPr>
                <w:rFonts w:ascii="Arial Narrow" w:hAnsi="Arial Narrow"/>
                <w:sz w:val="20"/>
                <w:szCs w:val="20"/>
              </w:rPr>
              <w:t>74.6 (65.6, 81.6)</w:t>
            </w:r>
          </w:p>
        </w:tc>
        <w:tc>
          <w:tcPr>
            <w:tcW w:w="1004" w:type="pct"/>
            <w:shd w:val="clear" w:color="auto" w:fill="C6D9F1" w:themeFill="text2" w:themeFillTint="33"/>
          </w:tcPr>
          <w:p w14:paraId="7421F29F" w14:textId="5C3ABB93" w:rsidR="009F1EF3" w:rsidRPr="007427EF" w:rsidRDefault="009F1EF3" w:rsidP="009F1EF3">
            <w:pPr>
              <w:jc w:val="center"/>
              <w:rPr>
                <w:rFonts w:ascii="Arial Narrow" w:hAnsi="Arial Narrow"/>
                <w:sz w:val="20"/>
                <w:szCs w:val="20"/>
              </w:rPr>
            </w:pPr>
            <w:r w:rsidRPr="007427EF">
              <w:rPr>
                <w:rFonts w:ascii="Arial Narrow" w:hAnsi="Arial Narrow"/>
                <w:sz w:val="20"/>
                <w:szCs w:val="20"/>
              </w:rPr>
              <w:t>76.4 (68.6, 82.5)</w:t>
            </w:r>
          </w:p>
        </w:tc>
        <w:tc>
          <w:tcPr>
            <w:tcW w:w="733" w:type="pct"/>
            <w:shd w:val="clear" w:color="auto" w:fill="C6D9F1" w:themeFill="text2" w:themeFillTint="33"/>
            <w:vAlign w:val="center"/>
          </w:tcPr>
          <w:p w14:paraId="5565C5FB" w14:textId="543ACC1F" w:rsidR="009F1EF3" w:rsidRPr="007427EF" w:rsidRDefault="009F1EF3" w:rsidP="009F1EF3">
            <w:pPr>
              <w:jc w:val="center"/>
              <w:rPr>
                <w:rFonts w:ascii="Arial Narrow" w:hAnsi="Arial Narrow"/>
                <w:sz w:val="20"/>
                <w:szCs w:val="20"/>
              </w:rPr>
            </w:pPr>
            <w:r w:rsidRPr="007427EF">
              <w:rPr>
                <w:rFonts w:ascii="Arial Narrow" w:hAnsi="Arial Narrow"/>
                <w:sz w:val="20"/>
                <w:szCs w:val="20"/>
              </w:rPr>
              <w:t>-1.8</w:t>
            </w:r>
          </w:p>
        </w:tc>
        <w:tc>
          <w:tcPr>
            <w:tcW w:w="861" w:type="pct"/>
            <w:shd w:val="clear" w:color="auto" w:fill="C6D9F1" w:themeFill="text2" w:themeFillTint="33"/>
            <w:vAlign w:val="center"/>
          </w:tcPr>
          <w:p w14:paraId="3C6910B7" w14:textId="3524E197"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15E896F8" w14:textId="77777777" w:rsidTr="00CB316E">
        <w:trPr>
          <w:cantSplit/>
          <w:jc w:val="center"/>
        </w:trPr>
        <w:tc>
          <w:tcPr>
            <w:tcW w:w="1403" w:type="pct"/>
            <w:vAlign w:val="center"/>
          </w:tcPr>
          <w:p w14:paraId="059D60C6" w14:textId="4CDFA540" w:rsidR="009F1EF3" w:rsidRPr="007427EF" w:rsidRDefault="009F1EF3" w:rsidP="009F1EF3">
            <w:pPr>
              <w:rPr>
                <w:rFonts w:ascii="Arial Narrow" w:hAnsi="Arial Narrow"/>
                <w:sz w:val="20"/>
                <w:szCs w:val="20"/>
              </w:rPr>
            </w:pPr>
            <w:r w:rsidRPr="007427EF">
              <w:rPr>
                <w:rFonts w:ascii="Arial Narrow" w:hAnsi="Arial Narrow"/>
                <w:sz w:val="20"/>
                <w:szCs w:val="20"/>
              </w:rPr>
              <w:t>% alive at 30 months (95% CI)</w:t>
            </w:r>
          </w:p>
        </w:tc>
        <w:tc>
          <w:tcPr>
            <w:tcW w:w="999" w:type="pct"/>
            <w:shd w:val="clear" w:color="auto" w:fill="C6D9F1" w:themeFill="text2" w:themeFillTint="33"/>
          </w:tcPr>
          <w:p w14:paraId="01963D76" w14:textId="6EB5934E" w:rsidR="009F1EF3" w:rsidRPr="007427EF" w:rsidRDefault="009F1EF3" w:rsidP="009F1EF3">
            <w:pPr>
              <w:jc w:val="center"/>
              <w:rPr>
                <w:rFonts w:ascii="Arial Narrow" w:hAnsi="Arial Narrow"/>
                <w:sz w:val="20"/>
                <w:szCs w:val="20"/>
              </w:rPr>
            </w:pPr>
            <w:r w:rsidRPr="007427EF">
              <w:rPr>
                <w:rFonts w:ascii="Arial Narrow" w:hAnsi="Arial Narrow"/>
                <w:sz w:val="20"/>
                <w:szCs w:val="20"/>
              </w:rPr>
              <w:t>67.1 (56.0, 76.0)</w:t>
            </w:r>
          </w:p>
        </w:tc>
        <w:tc>
          <w:tcPr>
            <w:tcW w:w="1004" w:type="pct"/>
            <w:shd w:val="clear" w:color="auto" w:fill="C6D9F1" w:themeFill="text2" w:themeFillTint="33"/>
          </w:tcPr>
          <w:p w14:paraId="7BC08DD0" w14:textId="46E11391" w:rsidR="009F1EF3" w:rsidRPr="007427EF" w:rsidRDefault="009F1EF3" w:rsidP="009F1EF3">
            <w:pPr>
              <w:jc w:val="center"/>
              <w:rPr>
                <w:rFonts w:ascii="Arial Narrow" w:hAnsi="Arial Narrow"/>
                <w:sz w:val="20"/>
                <w:szCs w:val="20"/>
              </w:rPr>
            </w:pPr>
            <w:r w:rsidRPr="007427EF">
              <w:rPr>
                <w:rFonts w:ascii="Arial Narrow" w:hAnsi="Arial Narrow"/>
                <w:sz w:val="20"/>
                <w:szCs w:val="20"/>
              </w:rPr>
              <w:t>67.0 (57.2, 75.1)</w:t>
            </w:r>
          </w:p>
        </w:tc>
        <w:tc>
          <w:tcPr>
            <w:tcW w:w="733" w:type="pct"/>
            <w:shd w:val="clear" w:color="auto" w:fill="C6D9F1" w:themeFill="text2" w:themeFillTint="33"/>
            <w:vAlign w:val="center"/>
          </w:tcPr>
          <w:p w14:paraId="250D5C60" w14:textId="43B881CF" w:rsidR="009F1EF3" w:rsidRPr="007427EF" w:rsidRDefault="009F1EF3" w:rsidP="009F1EF3">
            <w:pPr>
              <w:jc w:val="center"/>
              <w:rPr>
                <w:rFonts w:ascii="Arial Narrow" w:hAnsi="Arial Narrow"/>
                <w:sz w:val="20"/>
                <w:szCs w:val="20"/>
              </w:rPr>
            </w:pPr>
            <w:r w:rsidRPr="007427EF">
              <w:rPr>
                <w:rFonts w:ascii="Arial Narrow" w:hAnsi="Arial Narrow"/>
                <w:sz w:val="20"/>
                <w:szCs w:val="20"/>
              </w:rPr>
              <w:t>0.1</w:t>
            </w:r>
          </w:p>
        </w:tc>
        <w:tc>
          <w:tcPr>
            <w:tcW w:w="861" w:type="pct"/>
            <w:shd w:val="clear" w:color="auto" w:fill="C6D9F1" w:themeFill="text2" w:themeFillTint="33"/>
            <w:vAlign w:val="center"/>
          </w:tcPr>
          <w:p w14:paraId="0C9D9EFA" w14:textId="217E7A6A"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1679AD6B" w14:textId="77777777" w:rsidTr="00CB316E">
        <w:trPr>
          <w:cantSplit/>
          <w:jc w:val="center"/>
        </w:trPr>
        <w:tc>
          <w:tcPr>
            <w:tcW w:w="1403" w:type="pct"/>
            <w:vAlign w:val="center"/>
          </w:tcPr>
          <w:p w14:paraId="16F459C6" w14:textId="7EB3A5F9" w:rsidR="009F1EF3" w:rsidRPr="007427EF" w:rsidRDefault="009F1EF3" w:rsidP="009F1EF3">
            <w:pPr>
              <w:rPr>
                <w:rFonts w:ascii="Arial Narrow" w:hAnsi="Arial Narrow"/>
                <w:sz w:val="20"/>
                <w:szCs w:val="20"/>
              </w:rPr>
            </w:pPr>
            <w:r w:rsidRPr="007427EF">
              <w:rPr>
                <w:rFonts w:ascii="Arial Narrow" w:hAnsi="Arial Narrow"/>
                <w:sz w:val="20"/>
                <w:szCs w:val="20"/>
              </w:rPr>
              <w:t>% alive at 36 months (95% CI)</w:t>
            </w:r>
          </w:p>
        </w:tc>
        <w:tc>
          <w:tcPr>
            <w:tcW w:w="999" w:type="pct"/>
            <w:shd w:val="clear" w:color="auto" w:fill="C6D9F1" w:themeFill="text2" w:themeFillTint="33"/>
          </w:tcPr>
          <w:p w14:paraId="3724C4D1" w14:textId="1858BDC4" w:rsidR="009F1EF3" w:rsidRPr="007427EF" w:rsidRDefault="009F1EF3" w:rsidP="009F1EF3">
            <w:pPr>
              <w:jc w:val="center"/>
              <w:rPr>
                <w:rFonts w:ascii="Arial Narrow" w:hAnsi="Arial Narrow"/>
                <w:sz w:val="20"/>
                <w:szCs w:val="20"/>
              </w:rPr>
            </w:pPr>
            <w:r w:rsidRPr="007427EF">
              <w:rPr>
                <w:rFonts w:ascii="Arial Narrow" w:hAnsi="Arial Narrow"/>
                <w:sz w:val="20"/>
                <w:szCs w:val="20"/>
              </w:rPr>
              <w:t>65.0 (53.3, 74.4)</w:t>
            </w:r>
          </w:p>
        </w:tc>
        <w:tc>
          <w:tcPr>
            <w:tcW w:w="1004" w:type="pct"/>
            <w:shd w:val="clear" w:color="auto" w:fill="C6D9F1" w:themeFill="text2" w:themeFillTint="33"/>
          </w:tcPr>
          <w:p w14:paraId="189F4F22" w14:textId="1F74BA55" w:rsidR="009F1EF3" w:rsidRPr="007427EF" w:rsidRDefault="009F1EF3" w:rsidP="009F1EF3">
            <w:pPr>
              <w:jc w:val="center"/>
              <w:rPr>
                <w:rFonts w:ascii="Arial Narrow" w:hAnsi="Arial Narrow"/>
                <w:sz w:val="20"/>
                <w:szCs w:val="20"/>
              </w:rPr>
            </w:pPr>
            <w:r w:rsidRPr="007427EF">
              <w:rPr>
                <w:rFonts w:ascii="Arial Narrow" w:hAnsi="Arial Narrow"/>
                <w:sz w:val="20"/>
                <w:szCs w:val="20"/>
              </w:rPr>
              <w:t>64.5 (53.8, 73.4)</w:t>
            </w:r>
          </w:p>
        </w:tc>
        <w:tc>
          <w:tcPr>
            <w:tcW w:w="733" w:type="pct"/>
            <w:shd w:val="clear" w:color="auto" w:fill="C6D9F1" w:themeFill="text2" w:themeFillTint="33"/>
            <w:vAlign w:val="center"/>
          </w:tcPr>
          <w:p w14:paraId="32AB9096" w14:textId="5C1D1636" w:rsidR="009F1EF3" w:rsidRPr="007427EF" w:rsidRDefault="009F1EF3" w:rsidP="009F1EF3">
            <w:pPr>
              <w:jc w:val="center"/>
              <w:rPr>
                <w:rFonts w:ascii="Arial Narrow" w:hAnsi="Arial Narrow"/>
                <w:sz w:val="20"/>
                <w:szCs w:val="20"/>
              </w:rPr>
            </w:pPr>
            <w:r w:rsidRPr="007427EF">
              <w:rPr>
                <w:rFonts w:ascii="Arial Narrow" w:hAnsi="Arial Narrow"/>
                <w:sz w:val="20"/>
                <w:szCs w:val="20"/>
              </w:rPr>
              <w:t>0.5</w:t>
            </w:r>
          </w:p>
        </w:tc>
        <w:tc>
          <w:tcPr>
            <w:tcW w:w="861" w:type="pct"/>
            <w:shd w:val="clear" w:color="auto" w:fill="C6D9F1" w:themeFill="text2" w:themeFillTint="33"/>
            <w:vAlign w:val="center"/>
          </w:tcPr>
          <w:p w14:paraId="7AD69E09" w14:textId="0B808854"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r w:rsidR="009F1EF3" w:rsidRPr="007427EF" w14:paraId="6169ABA6" w14:textId="77777777" w:rsidTr="00CB316E">
        <w:trPr>
          <w:cantSplit/>
          <w:jc w:val="center"/>
        </w:trPr>
        <w:tc>
          <w:tcPr>
            <w:tcW w:w="1403" w:type="pct"/>
            <w:vAlign w:val="center"/>
          </w:tcPr>
          <w:p w14:paraId="54FE95F2" w14:textId="59DC4411" w:rsidR="009F1EF3" w:rsidRPr="007427EF" w:rsidRDefault="009F1EF3" w:rsidP="009F1EF3">
            <w:pPr>
              <w:rPr>
                <w:rFonts w:ascii="Arial Narrow" w:hAnsi="Arial Narrow"/>
                <w:sz w:val="20"/>
                <w:szCs w:val="20"/>
              </w:rPr>
            </w:pPr>
            <w:r w:rsidRPr="007427EF">
              <w:rPr>
                <w:rFonts w:ascii="Arial Narrow" w:hAnsi="Arial Narrow"/>
                <w:sz w:val="20"/>
                <w:szCs w:val="20"/>
              </w:rPr>
              <w:t>% alive at 42 months (95% CI)</w:t>
            </w:r>
          </w:p>
        </w:tc>
        <w:tc>
          <w:tcPr>
            <w:tcW w:w="999" w:type="pct"/>
            <w:shd w:val="clear" w:color="auto" w:fill="C6D9F1" w:themeFill="text2" w:themeFillTint="33"/>
          </w:tcPr>
          <w:p w14:paraId="45CB47F8" w14:textId="62E9EC75" w:rsidR="009F1EF3" w:rsidRPr="007427EF" w:rsidRDefault="009F1EF3" w:rsidP="009F1EF3">
            <w:pPr>
              <w:jc w:val="center"/>
              <w:rPr>
                <w:rFonts w:ascii="Arial Narrow" w:hAnsi="Arial Narrow"/>
                <w:sz w:val="20"/>
                <w:szCs w:val="20"/>
              </w:rPr>
            </w:pPr>
            <w:r w:rsidRPr="007427EF">
              <w:rPr>
                <w:rFonts w:ascii="Arial Narrow" w:hAnsi="Arial Narrow"/>
                <w:sz w:val="20"/>
                <w:szCs w:val="20"/>
              </w:rPr>
              <w:t>52.9 (34.3, 68.5)</w:t>
            </w:r>
          </w:p>
        </w:tc>
        <w:tc>
          <w:tcPr>
            <w:tcW w:w="1004" w:type="pct"/>
            <w:shd w:val="clear" w:color="auto" w:fill="C6D9F1" w:themeFill="text2" w:themeFillTint="33"/>
          </w:tcPr>
          <w:p w14:paraId="2294D3E1" w14:textId="43213259" w:rsidR="009F1EF3" w:rsidRPr="007427EF" w:rsidRDefault="009F1EF3" w:rsidP="009F1EF3">
            <w:pPr>
              <w:jc w:val="center"/>
              <w:rPr>
                <w:rFonts w:ascii="Arial Narrow" w:hAnsi="Arial Narrow"/>
                <w:sz w:val="20"/>
                <w:szCs w:val="20"/>
              </w:rPr>
            </w:pPr>
            <w:r w:rsidRPr="007427EF">
              <w:rPr>
                <w:rFonts w:ascii="Arial Narrow" w:hAnsi="Arial Narrow"/>
                <w:sz w:val="20"/>
                <w:szCs w:val="20"/>
              </w:rPr>
              <w:t>64.5 (53.8, 73.4)</w:t>
            </w:r>
          </w:p>
        </w:tc>
        <w:tc>
          <w:tcPr>
            <w:tcW w:w="733" w:type="pct"/>
            <w:shd w:val="clear" w:color="auto" w:fill="C6D9F1" w:themeFill="text2" w:themeFillTint="33"/>
            <w:vAlign w:val="center"/>
          </w:tcPr>
          <w:p w14:paraId="42912FF6" w14:textId="6B95651C" w:rsidR="009F1EF3" w:rsidRPr="007427EF" w:rsidRDefault="00E63217" w:rsidP="009F1EF3">
            <w:pPr>
              <w:jc w:val="center"/>
              <w:rPr>
                <w:rFonts w:ascii="Arial Narrow" w:hAnsi="Arial Narrow"/>
                <w:sz w:val="20"/>
                <w:szCs w:val="20"/>
              </w:rPr>
            </w:pPr>
            <w:r w:rsidRPr="007427EF">
              <w:rPr>
                <w:rFonts w:ascii="Arial Narrow" w:hAnsi="Arial Narrow"/>
                <w:sz w:val="20"/>
                <w:szCs w:val="20"/>
              </w:rPr>
              <w:t>11.6</w:t>
            </w:r>
          </w:p>
        </w:tc>
        <w:tc>
          <w:tcPr>
            <w:tcW w:w="861" w:type="pct"/>
            <w:shd w:val="clear" w:color="auto" w:fill="C6D9F1" w:themeFill="text2" w:themeFillTint="33"/>
            <w:vAlign w:val="center"/>
          </w:tcPr>
          <w:p w14:paraId="56E9C64F" w14:textId="5E77E79C" w:rsidR="009F1EF3" w:rsidRPr="007427EF" w:rsidRDefault="009F1EF3" w:rsidP="009F1EF3">
            <w:pPr>
              <w:jc w:val="center"/>
              <w:rPr>
                <w:rFonts w:ascii="Arial Narrow" w:hAnsi="Arial Narrow"/>
                <w:sz w:val="20"/>
                <w:szCs w:val="20"/>
              </w:rPr>
            </w:pPr>
            <w:r w:rsidRPr="007427EF">
              <w:rPr>
                <w:rFonts w:ascii="Arial Narrow" w:hAnsi="Arial Narrow"/>
                <w:sz w:val="20"/>
                <w:szCs w:val="20"/>
              </w:rPr>
              <w:t>-</w:t>
            </w:r>
          </w:p>
        </w:tc>
      </w:tr>
    </w:tbl>
    <w:p w14:paraId="48E4D47E" w14:textId="5D54C8C6" w:rsidR="00B76756" w:rsidRPr="007427EF" w:rsidRDefault="00B76756" w:rsidP="006878D7">
      <w:pPr>
        <w:pStyle w:val="TableFigureFooter"/>
      </w:pPr>
      <w:r w:rsidRPr="007427EF">
        <w:t>Source: Table 2-49, p10</w:t>
      </w:r>
      <w:r w:rsidR="00520D86" w:rsidRPr="007427EF">
        <w:t>7</w:t>
      </w:r>
      <w:r w:rsidRPr="007427EF">
        <w:t xml:space="preserve"> of the March 2025 resubmission. </w:t>
      </w:r>
    </w:p>
    <w:p w14:paraId="77BAA98B" w14:textId="06A8F3EC" w:rsidR="00A6641B" w:rsidRPr="007427EF" w:rsidRDefault="00B76756" w:rsidP="006878D7">
      <w:pPr>
        <w:pStyle w:val="TableFigureFooter"/>
      </w:pPr>
      <w:r w:rsidRPr="007427EF">
        <w:t xml:space="preserve">CI = confidence interval; n = number of participants with event; N = total participants in group </w:t>
      </w:r>
    </w:p>
    <w:p w14:paraId="0DB8C72F" w14:textId="3E164750" w:rsidR="00B76756" w:rsidRPr="007427EF" w:rsidRDefault="00A6641B" w:rsidP="00F32F82">
      <w:pPr>
        <w:pStyle w:val="TableFigureFooter"/>
        <w:keepNext w:val="0"/>
      </w:pPr>
      <w:r w:rsidRPr="007427EF">
        <w:t>Blue shading indicates data previously seen by the PBAC.</w:t>
      </w:r>
    </w:p>
    <w:p w14:paraId="420ECCD7" w14:textId="318A45F2" w:rsidR="005F31B1" w:rsidRPr="00AF394D" w:rsidRDefault="008776C6" w:rsidP="00AF394D">
      <w:pPr>
        <w:pStyle w:val="3-BodyText"/>
        <w:rPr>
          <w:color w:val="0066FF"/>
        </w:rPr>
      </w:pPr>
      <w:r w:rsidRPr="007427EF">
        <w:t>T</w:t>
      </w:r>
      <w:r w:rsidR="003134BE" w:rsidRPr="007427EF">
        <w:t>he Kaplan Meier (KM) plot</w:t>
      </w:r>
      <w:r w:rsidR="00CC2D04" w:rsidRPr="007427EF">
        <w:t>s</w:t>
      </w:r>
      <w:r w:rsidR="003134BE" w:rsidRPr="007427EF">
        <w:t xml:space="preserve"> </w:t>
      </w:r>
      <w:r w:rsidR="00010230" w:rsidRPr="007427EF">
        <w:t xml:space="preserve">of OS between mogamulizumab and </w:t>
      </w:r>
      <w:proofErr w:type="spellStart"/>
      <w:r w:rsidR="00010230" w:rsidRPr="007427EF">
        <w:t>vorinostat</w:t>
      </w:r>
      <w:proofErr w:type="spellEnd"/>
      <w:r w:rsidR="00010230" w:rsidRPr="007427EF">
        <w:t xml:space="preserve"> in M</w:t>
      </w:r>
      <w:r w:rsidR="00B36A99" w:rsidRPr="007427EF">
        <w:t>A</w:t>
      </w:r>
      <w:r w:rsidR="00010230" w:rsidRPr="007427EF">
        <w:t xml:space="preserve">VORIC </w:t>
      </w:r>
      <w:r w:rsidR="00C71011" w:rsidRPr="007427EF">
        <w:t>from</w:t>
      </w:r>
      <w:r w:rsidR="00871DCB" w:rsidRPr="007427EF">
        <w:t xml:space="preserve"> cut-off date</w:t>
      </w:r>
      <w:r w:rsidR="00D549F8" w:rsidRPr="007427EF">
        <w:t xml:space="preserve">s of 31 December 2016 (above) and </w:t>
      </w:r>
      <w:r w:rsidR="00CC2D04" w:rsidRPr="007427EF">
        <w:t>2 March 2019</w:t>
      </w:r>
      <w:r w:rsidR="00852A90" w:rsidRPr="007427EF">
        <w:t xml:space="preserve"> (below)</w:t>
      </w:r>
      <w:r w:rsidR="00C71011" w:rsidRPr="007427EF">
        <w:t xml:space="preserve"> </w:t>
      </w:r>
      <w:r w:rsidR="00CC2D04" w:rsidRPr="007427EF">
        <w:t xml:space="preserve">are </w:t>
      </w:r>
      <w:r w:rsidR="00010230" w:rsidRPr="007427EF">
        <w:t xml:space="preserve">presented in </w:t>
      </w:r>
      <w:r w:rsidRPr="007427EF">
        <w:fldChar w:fldCharType="begin"/>
      </w:r>
      <w:r w:rsidRPr="007427EF">
        <w:instrText xml:space="preserve"> REF _Ref185767839 \h  \* MERGEFORMAT </w:instrText>
      </w:r>
      <w:r w:rsidRPr="007427EF">
        <w:fldChar w:fldCharType="separate"/>
      </w:r>
      <w:r w:rsidR="00EF6B5D" w:rsidRPr="007427EF">
        <w:t xml:space="preserve">Figure </w:t>
      </w:r>
      <w:r w:rsidR="00EF6B5D">
        <w:t>1</w:t>
      </w:r>
      <w:r w:rsidRPr="007427EF">
        <w:fldChar w:fldCharType="end"/>
      </w:r>
      <w:r w:rsidR="005243C7" w:rsidRPr="007427EF">
        <w:t>.</w:t>
      </w:r>
    </w:p>
    <w:p w14:paraId="4A273E37" w14:textId="4B42D013" w:rsidR="00320067" w:rsidRPr="007427EF" w:rsidRDefault="005243C7" w:rsidP="00542B9F">
      <w:pPr>
        <w:pStyle w:val="Caption"/>
      </w:pPr>
      <w:bookmarkStart w:id="31" w:name="_Ref185767839"/>
      <w:r w:rsidRPr="007427EF">
        <w:lastRenderedPageBreak/>
        <w:t xml:space="preserve">Figure </w:t>
      </w:r>
      <w:r>
        <w:fldChar w:fldCharType="begin"/>
      </w:r>
      <w:r>
        <w:instrText xml:space="preserve"> SEQ Figure \* ARABIC </w:instrText>
      </w:r>
      <w:r>
        <w:fldChar w:fldCharType="separate"/>
      </w:r>
      <w:r w:rsidR="00EF6B5D">
        <w:rPr>
          <w:noProof/>
        </w:rPr>
        <w:t>1</w:t>
      </w:r>
      <w:r>
        <w:fldChar w:fldCharType="end"/>
      </w:r>
      <w:bookmarkEnd w:id="31"/>
      <w:r w:rsidR="00A128CA" w:rsidRPr="007427EF">
        <w:t xml:space="preserve">: Kaplan-Meier curve of overall survival of mogamulizumab (versus </w:t>
      </w:r>
      <w:proofErr w:type="spellStart"/>
      <w:r w:rsidR="00A128CA" w:rsidRPr="007427EF">
        <w:t>vorinostat</w:t>
      </w:r>
      <w:proofErr w:type="spellEnd"/>
      <w:r w:rsidR="00A128CA" w:rsidRPr="007427EF">
        <w:t xml:space="preserve">) in MAVORIC </w:t>
      </w:r>
    </w:p>
    <w:p w14:paraId="0D4C81F3" w14:textId="77777777" w:rsidR="00320067" w:rsidRPr="007427EF" w:rsidRDefault="00320067" w:rsidP="00542B9F">
      <w:pPr>
        <w:pStyle w:val="Caption"/>
      </w:pPr>
    </w:p>
    <w:p w14:paraId="454C5AD8" w14:textId="4563EE9B" w:rsidR="00A128CA" w:rsidRPr="007427EF" w:rsidRDefault="00320067" w:rsidP="00542B9F">
      <w:pPr>
        <w:pStyle w:val="Caption"/>
      </w:pPr>
      <w:r w:rsidRPr="007427EF">
        <w:t xml:space="preserve">A </w:t>
      </w:r>
      <w:r w:rsidR="00A128CA" w:rsidRPr="007427EF">
        <w:t>(</w:t>
      </w:r>
      <w:r w:rsidR="00A128CA" w:rsidRPr="007427EF">
        <w:rPr>
          <w:szCs w:val="20"/>
        </w:rPr>
        <w:t>31 December 2016</w:t>
      </w:r>
      <w:r w:rsidR="000A4899" w:rsidRPr="007427EF">
        <w:rPr>
          <w:szCs w:val="20"/>
        </w:rPr>
        <w:t xml:space="preserve"> cut-off date</w:t>
      </w:r>
      <w:r w:rsidR="00A128CA" w:rsidRPr="007427EF">
        <w:rPr>
          <w:szCs w:val="20"/>
        </w:rPr>
        <w:t>)</w:t>
      </w:r>
    </w:p>
    <w:p w14:paraId="1D45DC39" w14:textId="2733A574" w:rsidR="00A128CA" w:rsidRPr="007427EF" w:rsidRDefault="00A32441" w:rsidP="00542B9F">
      <w:pPr>
        <w:keepNext/>
        <w:keepLines/>
        <w:jc w:val="center"/>
      </w:pPr>
      <w:r w:rsidRPr="007427EF">
        <w:rPr>
          <w:noProof/>
        </w:rPr>
        <w:drawing>
          <wp:inline distT="0" distB="0" distL="0" distR="0" wp14:anchorId="527C5685" wp14:editId="24E8A7F1">
            <wp:extent cx="3894846" cy="2036618"/>
            <wp:effectExtent l="0" t="0" r="0" b="1905"/>
            <wp:docPr id="1075217767" name="Picture 1" descr="Figure 1: Kaplan-Meier curve of overall survival of mogamulizumab (versus vorinostat) in MAVORIC - A (31 December 2016 cut-off d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17767" name="Picture 1" descr="Figure 1: Kaplan-Meier curve of overall survival of mogamulizumab (versus vorinostat) in MAVORIC - A (31 December 2016 cut-off date)&#10;"/>
                    <pic:cNvPicPr/>
                  </pic:nvPicPr>
                  <pic:blipFill>
                    <a:blip r:embed="rId11"/>
                    <a:stretch>
                      <a:fillRect/>
                    </a:stretch>
                  </pic:blipFill>
                  <pic:spPr>
                    <a:xfrm>
                      <a:off x="0" y="0"/>
                      <a:ext cx="3936210" cy="2058247"/>
                    </a:xfrm>
                    <a:prstGeom prst="rect">
                      <a:avLst/>
                    </a:prstGeom>
                  </pic:spPr>
                </pic:pic>
              </a:graphicData>
            </a:graphic>
          </wp:inline>
        </w:drawing>
      </w:r>
    </w:p>
    <w:p w14:paraId="16C0F0B9" w14:textId="69165794" w:rsidR="003C04CA" w:rsidRPr="007427EF" w:rsidRDefault="003C04CA" w:rsidP="00542B9F">
      <w:pPr>
        <w:keepNext/>
        <w:keepLines/>
        <w:jc w:val="left"/>
        <w:rPr>
          <w:rFonts w:ascii="Arial Narrow" w:hAnsi="Arial Narrow"/>
          <w:b/>
          <w:bCs/>
          <w:sz w:val="20"/>
          <w:szCs w:val="18"/>
        </w:rPr>
      </w:pPr>
    </w:p>
    <w:p w14:paraId="1728DAAD" w14:textId="1DA67AC7" w:rsidR="00083BA2" w:rsidRPr="007427EF" w:rsidRDefault="00083BA2" w:rsidP="00542B9F">
      <w:pPr>
        <w:pStyle w:val="Caption"/>
      </w:pPr>
      <w:r w:rsidRPr="007427EF">
        <w:t>B (</w:t>
      </w:r>
      <w:r w:rsidR="00B40CF0" w:rsidRPr="007427EF">
        <w:rPr>
          <w:szCs w:val="20"/>
        </w:rPr>
        <w:t>2 March</w:t>
      </w:r>
      <w:r w:rsidRPr="007427EF">
        <w:rPr>
          <w:szCs w:val="20"/>
        </w:rPr>
        <w:t xml:space="preserve"> 201</w:t>
      </w:r>
      <w:r w:rsidR="00B40CF0" w:rsidRPr="007427EF">
        <w:rPr>
          <w:szCs w:val="20"/>
        </w:rPr>
        <w:t>9</w:t>
      </w:r>
      <w:r w:rsidRPr="007427EF">
        <w:rPr>
          <w:szCs w:val="20"/>
        </w:rPr>
        <w:t xml:space="preserve"> cut-off date)</w:t>
      </w:r>
    </w:p>
    <w:p w14:paraId="7AD252BF" w14:textId="77777777" w:rsidR="007A5DF1" w:rsidRPr="007427EF" w:rsidRDefault="007A5DF1" w:rsidP="00542B9F">
      <w:pPr>
        <w:keepNext/>
        <w:keepLines/>
        <w:rPr>
          <w:rFonts w:ascii="Arial Narrow" w:hAnsi="Arial Narrow"/>
          <w:sz w:val="18"/>
          <w:szCs w:val="18"/>
        </w:rPr>
      </w:pPr>
    </w:p>
    <w:p w14:paraId="0C5DB902" w14:textId="482DED50" w:rsidR="007A5DF1" w:rsidRPr="007427EF" w:rsidRDefault="007A5DF1" w:rsidP="00542B9F">
      <w:pPr>
        <w:keepNext/>
        <w:keepLines/>
        <w:jc w:val="center"/>
        <w:rPr>
          <w:rFonts w:ascii="Arial Narrow" w:hAnsi="Arial Narrow"/>
          <w:sz w:val="18"/>
          <w:szCs w:val="18"/>
        </w:rPr>
      </w:pPr>
      <w:r w:rsidRPr="007427EF">
        <w:rPr>
          <w:noProof/>
          <w:color w:val="548DD4" w:themeColor="text2" w:themeTint="99"/>
        </w:rPr>
        <w:drawing>
          <wp:inline distT="0" distB="0" distL="0" distR="0" wp14:anchorId="24F5E69D" wp14:editId="0C4763F2">
            <wp:extent cx="3770630" cy="2553327"/>
            <wp:effectExtent l="0" t="0" r="1270" b="0"/>
            <wp:docPr id="2100850595" name="Picture 2100850595" descr="Figure 1: Kaplan-Meier curve of overall survival of mogamulizumab (versus vorinostat) in MAVORIC - B (2 March 2019 cut-off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0595" name="Picture 2100850595" descr="Figure 1: Kaplan-Meier curve of overall survival of mogamulizumab (versus vorinostat) in MAVORIC - B (2 March 2019 cut-off date)"/>
                    <pic:cNvPicPr/>
                  </pic:nvPicPr>
                  <pic:blipFill>
                    <a:blip r:embed="rId12"/>
                    <a:stretch>
                      <a:fillRect/>
                    </a:stretch>
                  </pic:blipFill>
                  <pic:spPr>
                    <a:xfrm>
                      <a:off x="0" y="0"/>
                      <a:ext cx="3770630" cy="2553327"/>
                    </a:xfrm>
                    <a:prstGeom prst="rect">
                      <a:avLst/>
                    </a:prstGeom>
                  </pic:spPr>
                </pic:pic>
              </a:graphicData>
            </a:graphic>
          </wp:inline>
        </w:drawing>
      </w:r>
    </w:p>
    <w:p w14:paraId="7A46160F" w14:textId="20E7A043" w:rsidR="00A128CA" w:rsidRPr="007427EF" w:rsidRDefault="00A128CA" w:rsidP="00542B9F">
      <w:pPr>
        <w:keepNext/>
        <w:keepLines/>
        <w:rPr>
          <w:rFonts w:ascii="Arial Narrow" w:hAnsi="Arial Narrow"/>
          <w:sz w:val="18"/>
          <w:szCs w:val="18"/>
        </w:rPr>
      </w:pPr>
      <w:r w:rsidRPr="007427EF">
        <w:rPr>
          <w:rFonts w:ascii="Arial Narrow" w:hAnsi="Arial Narrow"/>
          <w:sz w:val="18"/>
          <w:szCs w:val="18"/>
        </w:rPr>
        <w:t>Source: Figure 2-18, p10</w:t>
      </w:r>
      <w:r w:rsidR="00440D5E" w:rsidRPr="007427EF">
        <w:rPr>
          <w:rFonts w:ascii="Arial Narrow" w:hAnsi="Arial Narrow"/>
          <w:sz w:val="18"/>
          <w:szCs w:val="18"/>
        </w:rPr>
        <w:t>7</w:t>
      </w:r>
      <w:r w:rsidR="00D55520" w:rsidRPr="007427EF">
        <w:rPr>
          <w:rFonts w:ascii="Arial Narrow" w:hAnsi="Arial Narrow"/>
          <w:sz w:val="18"/>
          <w:szCs w:val="18"/>
        </w:rPr>
        <w:t>; Figure 2-21, p111</w:t>
      </w:r>
      <w:r w:rsidRPr="007427EF">
        <w:rPr>
          <w:rFonts w:ascii="Arial Narrow" w:hAnsi="Arial Narrow"/>
          <w:sz w:val="18"/>
          <w:szCs w:val="18"/>
        </w:rPr>
        <w:t xml:space="preserve"> of the resubmission. </w:t>
      </w:r>
    </w:p>
    <w:p w14:paraId="6DC9272C" w14:textId="77777777" w:rsidR="00A128CA" w:rsidRPr="007427EF" w:rsidRDefault="00A128CA" w:rsidP="00542B9F">
      <w:pPr>
        <w:keepNext/>
        <w:keepLines/>
        <w:rPr>
          <w:rFonts w:ascii="Arial Narrow" w:hAnsi="Arial Narrow"/>
          <w:sz w:val="18"/>
          <w:szCs w:val="18"/>
        </w:rPr>
      </w:pPr>
      <w:r w:rsidRPr="007427EF">
        <w:rPr>
          <w:rFonts w:ascii="Arial Narrow" w:hAnsi="Arial Narrow"/>
          <w:sz w:val="18"/>
          <w:szCs w:val="18"/>
        </w:rPr>
        <w:t>CI = confidence interval; SCT = stem cell transplant; n = number of events, N = number of participants; NA = not applicable</w:t>
      </w:r>
    </w:p>
    <w:p w14:paraId="172B1067" w14:textId="20D9F869" w:rsidR="00AF38DB" w:rsidRPr="007427EF" w:rsidRDefault="00400D32" w:rsidP="00AF394D">
      <w:pPr>
        <w:keepLines/>
        <w:rPr>
          <w:rFonts w:ascii="Arial Narrow" w:hAnsi="Arial Narrow"/>
          <w:sz w:val="18"/>
          <w:szCs w:val="18"/>
        </w:rPr>
      </w:pPr>
      <w:r w:rsidRPr="007427EF">
        <w:rPr>
          <w:rFonts w:ascii="Arial Narrow" w:hAnsi="Arial Narrow"/>
          <w:sz w:val="18"/>
          <w:szCs w:val="18"/>
        </w:rPr>
        <w:t xml:space="preserve">Note: </w:t>
      </w:r>
      <w:r w:rsidR="00C259BE" w:rsidRPr="007427EF">
        <w:rPr>
          <w:rFonts w:ascii="Arial Narrow" w:hAnsi="Arial Narrow"/>
          <w:sz w:val="18"/>
          <w:szCs w:val="18"/>
        </w:rPr>
        <w:t>Patients</w:t>
      </w:r>
      <w:r w:rsidR="00892911" w:rsidRPr="007427EF">
        <w:rPr>
          <w:rFonts w:ascii="Arial Narrow" w:hAnsi="Arial Narrow"/>
          <w:sz w:val="18"/>
          <w:szCs w:val="18"/>
        </w:rPr>
        <w:t xml:space="preserve"> in MAVORIC</w:t>
      </w:r>
      <w:r w:rsidR="00C259BE" w:rsidRPr="007427EF">
        <w:rPr>
          <w:rFonts w:ascii="Arial Narrow" w:hAnsi="Arial Narrow"/>
          <w:sz w:val="18"/>
          <w:szCs w:val="18"/>
        </w:rPr>
        <w:t xml:space="preserve"> were recruited between </w:t>
      </w:r>
      <w:r w:rsidR="005C3B0C" w:rsidRPr="007427EF">
        <w:rPr>
          <w:rFonts w:ascii="Arial Narrow" w:hAnsi="Arial Narrow"/>
          <w:sz w:val="18"/>
          <w:szCs w:val="18"/>
        </w:rPr>
        <w:t xml:space="preserve">12 </w:t>
      </w:r>
      <w:r w:rsidR="007C1B34" w:rsidRPr="007427EF">
        <w:rPr>
          <w:rFonts w:ascii="Arial Narrow" w:hAnsi="Arial Narrow"/>
          <w:sz w:val="18"/>
          <w:szCs w:val="18"/>
        </w:rPr>
        <w:t>December 2012 and</w:t>
      </w:r>
      <w:r w:rsidR="005C3B0C" w:rsidRPr="007427EF">
        <w:rPr>
          <w:rFonts w:ascii="Arial Narrow" w:hAnsi="Arial Narrow"/>
          <w:sz w:val="18"/>
          <w:szCs w:val="18"/>
        </w:rPr>
        <w:t xml:space="preserve"> 29</w:t>
      </w:r>
      <w:r w:rsidR="007C1B34" w:rsidRPr="007427EF">
        <w:rPr>
          <w:rFonts w:ascii="Arial Narrow" w:hAnsi="Arial Narrow"/>
          <w:sz w:val="18"/>
          <w:szCs w:val="18"/>
        </w:rPr>
        <w:t xml:space="preserve"> January 2016</w:t>
      </w:r>
      <w:r w:rsidR="005C3B0C" w:rsidRPr="007427EF">
        <w:rPr>
          <w:rFonts w:ascii="Arial Narrow" w:hAnsi="Arial Narrow"/>
          <w:sz w:val="18"/>
          <w:szCs w:val="18"/>
        </w:rPr>
        <w:t>.</w:t>
      </w:r>
    </w:p>
    <w:p w14:paraId="45859D21" w14:textId="083B17FA" w:rsidR="00FD1A44" w:rsidRPr="007427EF" w:rsidRDefault="00FD1A44" w:rsidP="6A98AE7B">
      <w:pPr>
        <w:pStyle w:val="3-BodyText"/>
        <w:rPr>
          <w:color w:val="0066FF"/>
        </w:rPr>
      </w:pPr>
      <w:r w:rsidRPr="007427EF">
        <w:t xml:space="preserve">A summary of OS of </w:t>
      </w:r>
      <w:proofErr w:type="spellStart"/>
      <w:r w:rsidRPr="007427EF">
        <w:t>vorinostat</w:t>
      </w:r>
      <w:proofErr w:type="spellEnd"/>
      <w:r w:rsidRPr="007427EF">
        <w:t xml:space="preserve"> in ANCLD is presented in </w:t>
      </w:r>
      <w:r w:rsidRPr="007427EF">
        <w:fldChar w:fldCharType="begin"/>
      </w:r>
      <w:r w:rsidRPr="007427EF">
        <w:instrText xml:space="preserve"> REF _Ref185767966 \h  \* MERGEFORMAT </w:instrText>
      </w:r>
      <w:r w:rsidRPr="007427EF">
        <w:fldChar w:fldCharType="separate"/>
      </w:r>
      <w:r w:rsidR="00EF6B5D" w:rsidRPr="00EF6B5D">
        <w:t>Table 6</w:t>
      </w:r>
      <w:r w:rsidRPr="007427EF">
        <w:fldChar w:fldCharType="end"/>
      </w:r>
      <w:r w:rsidR="00E84A8F" w:rsidRPr="007427EF">
        <w:t>.</w:t>
      </w:r>
    </w:p>
    <w:p w14:paraId="0EC83627" w14:textId="70C3404B" w:rsidR="00337227" w:rsidRPr="007427EF" w:rsidRDefault="00337227" w:rsidP="001B5640">
      <w:pPr>
        <w:pStyle w:val="Caption"/>
      </w:pPr>
      <w:bookmarkStart w:id="32" w:name="_Ref185767966"/>
      <w:r w:rsidRPr="007427EF">
        <w:rPr>
          <w:rStyle w:val="CommentReference"/>
          <w:rFonts w:eastAsiaTheme="majorEastAsia" w:cstheme="majorBidi"/>
          <w:b/>
        </w:rPr>
        <w:t xml:space="preserve">Table </w:t>
      </w:r>
      <w:r w:rsidRPr="007427EF">
        <w:rPr>
          <w:rStyle w:val="CommentReference"/>
          <w:rFonts w:eastAsiaTheme="majorEastAsia" w:cstheme="majorBidi"/>
          <w:b/>
        </w:rPr>
        <w:fldChar w:fldCharType="begin"/>
      </w:r>
      <w:r w:rsidRPr="007427EF">
        <w:rPr>
          <w:rStyle w:val="CommentReference"/>
          <w:rFonts w:eastAsiaTheme="majorEastAsia" w:cstheme="majorBidi"/>
          <w:b/>
        </w:rPr>
        <w:instrText xml:space="preserve"> SEQ Table \* ARABIC </w:instrText>
      </w:r>
      <w:r w:rsidRPr="007427EF">
        <w:rPr>
          <w:rStyle w:val="CommentReference"/>
          <w:rFonts w:eastAsiaTheme="majorEastAsia" w:cstheme="majorBidi"/>
          <w:b/>
        </w:rPr>
        <w:fldChar w:fldCharType="separate"/>
      </w:r>
      <w:r w:rsidR="00EF6B5D">
        <w:rPr>
          <w:rStyle w:val="CommentReference"/>
          <w:rFonts w:eastAsiaTheme="majorEastAsia" w:cstheme="majorBidi"/>
          <w:b/>
          <w:noProof/>
        </w:rPr>
        <w:t>6</w:t>
      </w:r>
      <w:r w:rsidRPr="007427EF">
        <w:rPr>
          <w:rStyle w:val="CommentReference"/>
          <w:rFonts w:eastAsiaTheme="majorEastAsia" w:cstheme="majorBidi"/>
          <w:b/>
        </w:rPr>
        <w:fldChar w:fldCharType="end"/>
      </w:r>
      <w:bookmarkEnd w:id="32"/>
      <w:r w:rsidRPr="007427EF">
        <w:t xml:space="preserve">: Overall survival of patients receiving </w:t>
      </w:r>
      <w:proofErr w:type="spellStart"/>
      <w:r w:rsidRPr="007427EF">
        <w:t>vorinostat</w:t>
      </w:r>
      <w:proofErr w:type="spellEnd"/>
      <w:r w:rsidRPr="007427EF">
        <w:t xml:space="preserve"> in ANCLD</w:t>
      </w:r>
    </w:p>
    <w:tbl>
      <w:tblPr>
        <w:tblStyle w:val="TableGrid"/>
        <w:tblW w:w="5000" w:type="pct"/>
        <w:tblLook w:val="04A0" w:firstRow="1" w:lastRow="0" w:firstColumn="1" w:lastColumn="0" w:noHBand="0" w:noVBand="1"/>
        <w:tblCaption w:val="Table 6: Overall survival of patients receiving vorinostat in ANCLD"/>
      </w:tblPr>
      <w:tblGrid>
        <w:gridCol w:w="5288"/>
        <w:gridCol w:w="3729"/>
      </w:tblGrid>
      <w:tr w:rsidR="00E01C86" w:rsidRPr="007427EF" w14:paraId="180F199B" w14:textId="77777777" w:rsidTr="6A98AE7B">
        <w:tc>
          <w:tcPr>
            <w:tcW w:w="2932" w:type="pct"/>
            <w:tcMar>
              <w:left w:w="57" w:type="dxa"/>
              <w:right w:w="57" w:type="dxa"/>
            </w:tcMar>
            <w:vAlign w:val="center"/>
          </w:tcPr>
          <w:p w14:paraId="3D87073C" w14:textId="77777777" w:rsidR="00E01C86" w:rsidRPr="007427EF" w:rsidRDefault="00E01C86" w:rsidP="001B5640">
            <w:pPr>
              <w:keepNext/>
              <w:keepLines/>
              <w:rPr>
                <w:rFonts w:ascii="Arial Narrow" w:hAnsi="Arial Narrow" w:cs="Times New Roman"/>
                <w:b/>
                <w:bCs/>
                <w:sz w:val="20"/>
                <w:szCs w:val="20"/>
              </w:rPr>
            </w:pPr>
          </w:p>
        </w:tc>
        <w:tc>
          <w:tcPr>
            <w:tcW w:w="2068" w:type="pct"/>
            <w:tcMar>
              <w:left w:w="57" w:type="dxa"/>
              <w:right w:w="57" w:type="dxa"/>
            </w:tcMar>
            <w:vAlign w:val="center"/>
          </w:tcPr>
          <w:p w14:paraId="69C046C7" w14:textId="3429CB5A" w:rsidR="00E01C86" w:rsidRPr="007427EF" w:rsidRDefault="50E5787D" w:rsidP="001B5640">
            <w:pPr>
              <w:keepNext/>
              <w:keepLines/>
              <w:jc w:val="center"/>
              <w:rPr>
                <w:rFonts w:ascii="Arial Narrow" w:hAnsi="Arial Narrow" w:cs="Times New Roman"/>
                <w:b/>
                <w:bCs/>
                <w:sz w:val="20"/>
                <w:szCs w:val="20"/>
              </w:rPr>
            </w:pPr>
            <w:proofErr w:type="spellStart"/>
            <w:r w:rsidRPr="007427EF">
              <w:rPr>
                <w:rFonts w:ascii="Arial Narrow" w:hAnsi="Arial Narrow" w:cs="Times New Roman"/>
                <w:b/>
                <w:bCs/>
                <w:sz w:val="20"/>
                <w:szCs w:val="20"/>
              </w:rPr>
              <w:t>Vorinostat</w:t>
            </w:r>
            <w:proofErr w:type="spellEnd"/>
            <w:r w:rsidR="2E08C1DA" w:rsidRPr="007427EF">
              <w:rPr>
                <w:rFonts w:ascii="Arial Narrow" w:hAnsi="Arial Narrow" w:cs="Times New Roman"/>
                <w:b/>
                <w:bCs/>
                <w:sz w:val="20"/>
                <w:szCs w:val="20"/>
              </w:rPr>
              <w:t xml:space="preserve"> (N=64)</w:t>
            </w:r>
          </w:p>
        </w:tc>
      </w:tr>
      <w:tr w:rsidR="00E01C86" w:rsidRPr="007427EF" w14:paraId="460CD6C4" w14:textId="77777777" w:rsidTr="6A98AE7B">
        <w:tc>
          <w:tcPr>
            <w:tcW w:w="2932" w:type="pct"/>
            <w:tcMar>
              <w:left w:w="57" w:type="dxa"/>
              <w:right w:w="57" w:type="dxa"/>
            </w:tcMar>
            <w:vAlign w:val="center"/>
            <w:hideMark/>
          </w:tcPr>
          <w:p w14:paraId="311718C0" w14:textId="77777777" w:rsidR="00E01C86" w:rsidRPr="007427EF" w:rsidRDefault="00E01C86" w:rsidP="001B5640">
            <w:pPr>
              <w:keepNext/>
              <w:keepLines/>
              <w:jc w:val="left"/>
              <w:rPr>
                <w:rFonts w:ascii="Arial Narrow" w:hAnsi="Arial Narrow" w:cs="Times New Roman"/>
                <w:sz w:val="20"/>
                <w:szCs w:val="20"/>
              </w:rPr>
            </w:pPr>
            <w:r w:rsidRPr="007427EF">
              <w:rPr>
                <w:rFonts w:ascii="Arial Narrow" w:hAnsi="Arial Narrow" w:cs="Times New Roman"/>
                <w:b/>
                <w:bCs/>
                <w:sz w:val="20"/>
                <w:szCs w:val="20"/>
              </w:rPr>
              <w:t>Median OS, months (95% CI)</w:t>
            </w:r>
          </w:p>
        </w:tc>
        <w:tc>
          <w:tcPr>
            <w:tcW w:w="2068" w:type="pct"/>
            <w:tcMar>
              <w:left w:w="57" w:type="dxa"/>
              <w:right w:w="57" w:type="dxa"/>
            </w:tcMar>
            <w:vAlign w:val="center"/>
          </w:tcPr>
          <w:p w14:paraId="6086B8C0" w14:textId="77777777" w:rsidR="00E01C86" w:rsidRPr="007427EF" w:rsidRDefault="00E01C86" w:rsidP="001B5640">
            <w:pPr>
              <w:keepNext/>
              <w:keepLines/>
              <w:jc w:val="center"/>
              <w:rPr>
                <w:rFonts w:ascii="Arial Narrow" w:hAnsi="Arial Narrow" w:cs="Times New Roman"/>
                <w:sz w:val="20"/>
                <w:szCs w:val="20"/>
              </w:rPr>
            </w:pPr>
            <w:r w:rsidRPr="007427EF">
              <w:rPr>
                <w:rFonts w:ascii="Arial Narrow" w:hAnsi="Arial Narrow"/>
                <w:sz w:val="20"/>
                <w:szCs w:val="20"/>
              </w:rPr>
              <w:t>40 (29.0, 81.9)</w:t>
            </w:r>
          </w:p>
        </w:tc>
      </w:tr>
      <w:tr w:rsidR="00E01C86" w:rsidRPr="007427EF" w14:paraId="1403A9EE" w14:textId="77777777" w:rsidTr="6A98AE7B">
        <w:tc>
          <w:tcPr>
            <w:tcW w:w="2932" w:type="pct"/>
            <w:tcMar>
              <w:left w:w="57" w:type="dxa"/>
              <w:right w:w="57" w:type="dxa"/>
            </w:tcMar>
            <w:vAlign w:val="center"/>
            <w:hideMark/>
          </w:tcPr>
          <w:p w14:paraId="759803DA" w14:textId="63DA0B82" w:rsidR="00E01C86" w:rsidRPr="007427EF" w:rsidRDefault="00CD6E7A" w:rsidP="001B5640">
            <w:pPr>
              <w:keepNext/>
              <w:keepLines/>
              <w:jc w:val="left"/>
              <w:rPr>
                <w:rFonts w:ascii="Arial Narrow" w:hAnsi="Arial Narrow" w:cs="Times New Roman"/>
                <w:sz w:val="20"/>
                <w:szCs w:val="20"/>
              </w:rPr>
            </w:pPr>
            <w:r w:rsidRPr="007427EF">
              <w:rPr>
                <w:rFonts w:ascii="Arial Narrow" w:hAnsi="Arial Narrow" w:cs="Times New Roman"/>
                <w:b/>
                <w:bCs/>
                <w:sz w:val="20"/>
                <w:szCs w:val="20"/>
              </w:rPr>
              <w:t xml:space="preserve">Deaths, </w:t>
            </w:r>
            <w:r w:rsidR="00E01C86" w:rsidRPr="007427EF">
              <w:rPr>
                <w:rFonts w:ascii="Arial Narrow" w:hAnsi="Arial Narrow" w:cs="Times New Roman"/>
                <w:b/>
                <w:bCs/>
                <w:sz w:val="20"/>
                <w:szCs w:val="20"/>
              </w:rPr>
              <w:t>n/N (%)</w:t>
            </w:r>
          </w:p>
        </w:tc>
        <w:tc>
          <w:tcPr>
            <w:tcW w:w="2068" w:type="pct"/>
            <w:tcMar>
              <w:left w:w="57" w:type="dxa"/>
              <w:right w:w="57" w:type="dxa"/>
            </w:tcMar>
            <w:vAlign w:val="center"/>
          </w:tcPr>
          <w:p w14:paraId="688CBF64" w14:textId="77777777" w:rsidR="00E01C86" w:rsidRPr="007427EF" w:rsidRDefault="00E01C86" w:rsidP="001B5640">
            <w:pPr>
              <w:keepNext/>
              <w:keepLines/>
              <w:jc w:val="center"/>
              <w:rPr>
                <w:rFonts w:ascii="Arial Narrow" w:hAnsi="Arial Narrow" w:cs="Times New Roman"/>
                <w:sz w:val="20"/>
                <w:szCs w:val="20"/>
              </w:rPr>
            </w:pPr>
            <w:r w:rsidRPr="007427EF">
              <w:rPr>
                <w:rFonts w:ascii="Arial Narrow" w:hAnsi="Arial Narrow" w:cs="Times New Roman"/>
                <w:sz w:val="20"/>
                <w:szCs w:val="20"/>
              </w:rPr>
              <w:t>29/64 (45.3%)</w:t>
            </w:r>
          </w:p>
        </w:tc>
      </w:tr>
    </w:tbl>
    <w:p w14:paraId="4AC455F4" w14:textId="70FBF797" w:rsidR="005E1EA6" w:rsidRPr="007427EF" w:rsidRDefault="00603E94" w:rsidP="001B5640">
      <w:pPr>
        <w:pStyle w:val="3-BodyText"/>
        <w:keepNext/>
        <w:keepLines/>
        <w:numPr>
          <w:ilvl w:val="0"/>
          <w:numId w:val="0"/>
        </w:numPr>
        <w:spacing w:before="0" w:after="0"/>
      </w:pPr>
      <w:r w:rsidRPr="007427EF">
        <w:rPr>
          <w:rFonts w:ascii="Arial Narrow" w:hAnsi="Arial Narrow"/>
          <w:sz w:val="18"/>
          <w:szCs w:val="16"/>
        </w:rPr>
        <w:t>Source: Table 2-87, p15</w:t>
      </w:r>
      <w:r w:rsidR="00E40C22" w:rsidRPr="007427EF">
        <w:rPr>
          <w:rFonts w:ascii="Arial Narrow" w:hAnsi="Arial Narrow"/>
          <w:sz w:val="18"/>
          <w:szCs w:val="16"/>
        </w:rPr>
        <w:t>1</w:t>
      </w:r>
      <w:r w:rsidRPr="007427EF">
        <w:rPr>
          <w:rFonts w:ascii="Arial Narrow" w:hAnsi="Arial Narrow"/>
          <w:sz w:val="18"/>
          <w:szCs w:val="16"/>
        </w:rPr>
        <w:t xml:space="preserve"> of the resubmission</w:t>
      </w:r>
      <w:r w:rsidR="00FF18F3" w:rsidRPr="007427EF">
        <w:rPr>
          <w:rFonts w:ascii="Arial Narrow" w:hAnsi="Arial Narrow"/>
          <w:sz w:val="18"/>
          <w:szCs w:val="16"/>
        </w:rPr>
        <w:t>;</w:t>
      </w:r>
      <w:r w:rsidRPr="007427EF">
        <w:rPr>
          <w:rFonts w:ascii="Arial Narrow" w:hAnsi="Arial Narrow"/>
          <w:sz w:val="18"/>
          <w:szCs w:val="16"/>
        </w:rPr>
        <w:t xml:space="preserve"> pp13-14 of the ANCLD report</w:t>
      </w:r>
      <w:r w:rsidR="005E1EA6" w:rsidRPr="007427EF">
        <w:t xml:space="preserve"> </w:t>
      </w:r>
    </w:p>
    <w:p w14:paraId="54AD36C2" w14:textId="5880C6D4" w:rsidR="00E01C86" w:rsidRPr="007427EF" w:rsidRDefault="006216B5" w:rsidP="001B5640">
      <w:pPr>
        <w:pStyle w:val="3-BodyText"/>
        <w:keepLines/>
        <w:numPr>
          <w:ilvl w:val="0"/>
          <w:numId w:val="0"/>
        </w:numPr>
        <w:spacing w:before="0" w:after="0"/>
        <w:rPr>
          <w:rFonts w:ascii="Arial Narrow" w:hAnsi="Arial Narrow"/>
          <w:sz w:val="18"/>
          <w:szCs w:val="16"/>
        </w:rPr>
      </w:pPr>
      <w:r w:rsidRPr="007427EF">
        <w:rPr>
          <w:rFonts w:ascii="Arial Narrow" w:hAnsi="Arial Narrow"/>
          <w:sz w:val="18"/>
          <w:szCs w:val="16"/>
        </w:rPr>
        <w:t xml:space="preserve">ANCLD = Australian National Cutaneous Lymphoma Database; </w:t>
      </w:r>
      <w:r w:rsidR="005E1EA6" w:rsidRPr="007427EF">
        <w:rPr>
          <w:rFonts w:ascii="Arial Narrow" w:hAnsi="Arial Narrow"/>
          <w:sz w:val="18"/>
          <w:szCs w:val="16"/>
        </w:rPr>
        <w:t>CI = confidence interval; n = number of participants with event; N = total participants in group</w:t>
      </w:r>
      <w:r w:rsidR="0031369A" w:rsidRPr="007427EF">
        <w:rPr>
          <w:rFonts w:ascii="Arial Narrow" w:hAnsi="Arial Narrow"/>
          <w:sz w:val="18"/>
          <w:szCs w:val="16"/>
        </w:rPr>
        <w:t>; OS = overall survival.</w:t>
      </w:r>
    </w:p>
    <w:p w14:paraId="741AA2B4" w14:textId="13494C10" w:rsidR="00C113CE" w:rsidRPr="007427EF" w:rsidRDefault="00C61282" w:rsidP="6A98AE7B">
      <w:pPr>
        <w:pStyle w:val="3-BodyText"/>
        <w:keepNext/>
        <w:keepLines/>
        <w:rPr>
          <w:color w:val="0066FF"/>
        </w:rPr>
      </w:pPr>
      <w:r w:rsidRPr="007427EF">
        <w:lastRenderedPageBreak/>
        <w:t>T</w:t>
      </w:r>
      <w:r w:rsidR="00C113CE" w:rsidRPr="007427EF">
        <w:t xml:space="preserve">he KM plot of OS of </w:t>
      </w:r>
      <w:proofErr w:type="spellStart"/>
      <w:r w:rsidR="00C113CE" w:rsidRPr="007427EF">
        <w:t>vorinostat</w:t>
      </w:r>
      <w:proofErr w:type="spellEnd"/>
      <w:r w:rsidR="00C113CE" w:rsidRPr="007427EF">
        <w:t xml:space="preserve"> </w:t>
      </w:r>
      <w:r w:rsidRPr="007427EF">
        <w:t xml:space="preserve">from </w:t>
      </w:r>
      <w:r w:rsidR="00C113CE" w:rsidRPr="007427EF">
        <w:t xml:space="preserve">ANCLD is presented in </w:t>
      </w:r>
      <w:r w:rsidRPr="007427EF">
        <w:fldChar w:fldCharType="begin"/>
      </w:r>
      <w:r w:rsidRPr="007427EF">
        <w:instrText xml:space="preserve"> REF _Ref185768030 \h  \* MERGEFORMAT </w:instrText>
      </w:r>
      <w:r w:rsidRPr="007427EF">
        <w:fldChar w:fldCharType="separate"/>
      </w:r>
      <w:r w:rsidR="00EF6B5D" w:rsidRPr="007427EF">
        <w:t xml:space="preserve">Figure </w:t>
      </w:r>
      <w:r w:rsidR="00EF6B5D">
        <w:t>2</w:t>
      </w:r>
      <w:r w:rsidRPr="007427EF">
        <w:fldChar w:fldCharType="end"/>
      </w:r>
      <w:r w:rsidR="006216B5" w:rsidRPr="007427EF">
        <w:t>.</w:t>
      </w:r>
    </w:p>
    <w:p w14:paraId="3C61A106" w14:textId="3AFD3092" w:rsidR="00EF4ACE" w:rsidRPr="007427EF" w:rsidRDefault="006216B5" w:rsidP="00CB58F4">
      <w:pPr>
        <w:pStyle w:val="Caption"/>
      </w:pPr>
      <w:bookmarkStart w:id="33" w:name="_Ref185768030"/>
      <w:r w:rsidRPr="007427EF">
        <w:t xml:space="preserve">Figure </w:t>
      </w:r>
      <w:r>
        <w:fldChar w:fldCharType="begin"/>
      </w:r>
      <w:r>
        <w:instrText xml:space="preserve"> SEQ Figure \* ARABIC </w:instrText>
      </w:r>
      <w:r>
        <w:fldChar w:fldCharType="separate"/>
      </w:r>
      <w:r w:rsidR="00EF6B5D">
        <w:rPr>
          <w:noProof/>
        </w:rPr>
        <w:t>2</w:t>
      </w:r>
      <w:r>
        <w:fldChar w:fldCharType="end"/>
      </w:r>
      <w:bookmarkEnd w:id="33"/>
      <w:r w:rsidRPr="007427EF">
        <w:t>:</w:t>
      </w:r>
      <w:r w:rsidR="00EF4ACE" w:rsidRPr="007427EF">
        <w:t xml:space="preserve"> Overall survival from initiation of </w:t>
      </w:r>
      <w:proofErr w:type="spellStart"/>
      <w:r w:rsidR="00EF4ACE" w:rsidRPr="007427EF">
        <w:t>vorinostat</w:t>
      </w:r>
      <w:proofErr w:type="spellEnd"/>
      <w:r w:rsidR="00EF4ACE" w:rsidRPr="007427EF">
        <w:t xml:space="preserve"> from </w:t>
      </w:r>
      <w:r w:rsidRPr="007427EF">
        <w:t>ANCLD</w:t>
      </w:r>
    </w:p>
    <w:p w14:paraId="086B395A" w14:textId="1531002A" w:rsidR="00EF4ACE" w:rsidRPr="007427EF" w:rsidRDefault="00AF01F1" w:rsidP="00CB58F4">
      <w:pPr>
        <w:keepNext/>
        <w:keepLines/>
        <w:jc w:val="center"/>
        <w:rPr>
          <w:b/>
          <w:bCs/>
        </w:rPr>
      </w:pPr>
      <w:r>
        <w:rPr>
          <w:noProof/>
        </w:rPr>
        <w:drawing>
          <wp:inline distT="0" distB="0" distL="0" distR="0" wp14:anchorId="7C0324F5" wp14:editId="67524857">
            <wp:extent cx="3666490" cy="2723515"/>
            <wp:effectExtent l="0" t="0" r="0" b="0"/>
            <wp:docPr id="1917107736" name="Picture 2" descr="Figure 2: Overall survival from initiation of vorinostat from AN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07736" name="Picture 2" descr="Figure 2: Overall survival from initiation of vorinostat from ANC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6490" cy="2723515"/>
                    </a:xfrm>
                    <a:prstGeom prst="rect">
                      <a:avLst/>
                    </a:prstGeom>
                    <a:noFill/>
                  </pic:spPr>
                </pic:pic>
              </a:graphicData>
            </a:graphic>
          </wp:inline>
        </w:drawing>
      </w:r>
    </w:p>
    <w:p w14:paraId="1483E0D4" w14:textId="0D56401D" w:rsidR="00EF4ACE" w:rsidRPr="007427EF" w:rsidRDefault="00EF4ACE" w:rsidP="00CB58F4">
      <w:pPr>
        <w:keepNext/>
        <w:keepLines/>
        <w:rPr>
          <w:rFonts w:ascii="Arial Narrow" w:hAnsi="Arial Narrow"/>
          <w:sz w:val="18"/>
          <w:szCs w:val="18"/>
        </w:rPr>
      </w:pPr>
      <w:r w:rsidRPr="007427EF">
        <w:rPr>
          <w:rFonts w:ascii="Arial Narrow" w:hAnsi="Arial Narrow"/>
          <w:sz w:val="18"/>
          <w:szCs w:val="18"/>
        </w:rPr>
        <w:t>Source: Figure 2-32, p13</w:t>
      </w:r>
      <w:r w:rsidR="00FC7D5B" w:rsidRPr="007427EF">
        <w:rPr>
          <w:rFonts w:ascii="Arial Narrow" w:hAnsi="Arial Narrow"/>
          <w:sz w:val="18"/>
          <w:szCs w:val="18"/>
        </w:rPr>
        <w:t>1</w:t>
      </w:r>
      <w:r w:rsidRPr="007427EF">
        <w:rPr>
          <w:rFonts w:ascii="Arial Narrow" w:hAnsi="Arial Narrow"/>
          <w:sz w:val="18"/>
          <w:szCs w:val="18"/>
        </w:rPr>
        <w:t xml:space="preserve"> of the resubmission.</w:t>
      </w:r>
    </w:p>
    <w:p w14:paraId="3AC12C1C" w14:textId="014A589E" w:rsidR="002E4147" w:rsidRPr="00A967A4" w:rsidRDefault="006216B5" w:rsidP="00CB58F4">
      <w:pPr>
        <w:keepNext/>
        <w:keepLines/>
        <w:rPr>
          <w:rFonts w:ascii="Arial Narrow" w:hAnsi="Arial Narrow"/>
          <w:sz w:val="18"/>
          <w:szCs w:val="16"/>
        </w:rPr>
      </w:pPr>
      <w:r w:rsidRPr="007427EF">
        <w:rPr>
          <w:rFonts w:ascii="Arial Narrow" w:hAnsi="Arial Narrow"/>
          <w:sz w:val="18"/>
          <w:szCs w:val="16"/>
        </w:rPr>
        <w:t>ANCLD = Australian National Cutaneous Lymphoma Database</w:t>
      </w:r>
    </w:p>
    <w:p w14:paraId="5D90242E" w14:textId="779824DC" w:rsidR="004E54F4" w:rsidRPr="007427EF" w:rsidRDefault="00710917" w:rsidP="00C113CE">
      <w:pPr>
        <w:pStyle w:val="3-BodyText"/>
        <w:rPr>
          <w:color w:val="0066FF"/>
        </w:rPr>
      </w:pPr>
      <w:r w:rsidRPr="007427EF">
        <w:t xml:space="preserve">A summary of </w:t>
      </w:r>
      <w:r w:rsidR="00DB16AE" w:rsidRPr="007427EF">
        <w:t xml:space="preserve">the results from the </w:t>
      </w:r>
      <w:bookmarkStart w:id="34" w:name="_Hlk185663722"/>
      <w:r w:rsidR="00DB16AE" w:rsidRPr="007427EF">
        <w:t>unanchored MAIC</w:t>
      </w:r>
      <w:bookmarkEnd w:id="34"/>
      <w:r w:rsidR="00DB16AE" w:rsidRPr="007427EF">
        <w:t xml:space="preserve"> is presented in </w:t>
      </w:r>
      <w:r w:rsidR="00090632" w:rsidRPr="007427EF">
        <w:fldChar w:fldCharType="begin"/>
      </w:r>
      <w:r w:rsidR="00090632" w:rsidRPr="007427EF">
        <w:instrText xml:space="preserve"> REF _Ref185857145 \h  \* MERGEFORMAT </w:instrText>
      </w:r>
      <w:r w:rsidR="00090632" w:rsidRPr="007427EF">
        <w:fldChar w:fldCharType="separate"/>
      </w:r>
      <w:r w:rsidR="00EF6B5D" w:rsidRPr="00EF6B5D">
        <w:t>Table 7</w:t>
      </w:r>
      <w:r w:rsidR="00090632" w:rsidRPr="007427EF">
        <w:fldChar w:fldCharType="end"/>
      </w:r>
      <w:r w:rsidR="00090632" w:rsidRPr="007427EF">
        <w:t>.</w:t>
      </w:r>
    </w:p>
    <w:p w14:paraId="42323776" w14:textId="430D6885" w:rsidR="00DB16AE" w:rsidRPr="007427EF" w:rsidRDefault="00090632" w:rsidP="00DB16AE">
      <w:pPr>
        <w:pStyle w:val="Caption"/>
      </w:pPr>
      <w:bookmarkStart w:id="35" w:name="_Ref185857145"/>
      <w:r w:rsidRPr="007427EF">
        <w:rPr>
          <w:rStyle w:val="CommentReference"/>
          <w:rFonts w:eastAsiaTheme="majorEastAsia" w:cstheme="majorBidi"/>
          <w:b/>
          <w:szCs w:val="24"/>
        </w:rPr>
        <w:t xml:space="preserve">Table </w:t>
      </w:r>
      <w:r w:rsidRPr="007427EF">
        <w:rPr>
          <w:rStyle w:val="CommentReference"/>
          <w:rFonts w:eastAsiaTheme="majorEastAsia" w:cstheme="majorBidi"/>
          <w:b/>
          <w:szCs w:val="24"/>
        </w:rPr>
        <w:fldChar w:fldCharType="begin"/>
      </w:r>
      <w:r w:rsidRPr="007427EF">
        <w:rPr>
          <w:rStyle w:val="CommentReference"/>
          <w:rFonts w:eastAsiaTheme="majorEastAsia" w:cstheme="majorBidi"/>
          <w:b/>
          <w:szCs w:val="24"/>
        </w:rPr>
        <w:instrText xml:space="preserve"> SEQ Table \* ARABIC </w:instrText>
      </w:r>
      <w:r w:rsidRPr="007427EF">
        <w:rPr>
          <w:rStyle w:val="CommentReference"/>
          <w:rFonts w:eastAsiaTheme="majorEastAsia" w:cstheme="majorBidi"/>
          <w:b/>
          <w:szCs w:val="24"/>
        </w:rPr>
        <w:fldChar w:fldCharType="separate"/>
      </w:r>
      <w:r w:rsidR="00EF6B5D">
        <w:rPr>
          <w:rStyle w:val="CommentReference"/>
          <w:rFonts w:eastAsiaTheme="majorEastAsia" w:cstheme="majorBidi"/>
          <w:b/>
          <w:noProof/>
          <w:szCs w:val="24"/>
        </w:rPr>
        <w:t>7</w:t>
      </w:r>
      <w:r w:rsidRPr="007427EF">
        <w:rPr>
          <w:rStyle w:val="CommentReference"/>
          <w:rFonts w:eastAsiaTheme="majorEastAsia" w:cstheme="majorBidi"/>
          <w:b/>
          <w:szCs w:val="24"/>
        </w:rPr>
        <w:fldChar w:fldCharType="end"/>
      </w:r>
      <w:bookmarkEnd w:id="35"/>
      <w:r w:rsidR="00DB16AE" w:rsidRPr="007427EF">
        <w:t xml:space="preserve">: Summary of OS outcomes from the </w:t>
      </w:r>
      <w:r w:rsidR="00137657" w:rsidRPr="007427EF">
        <w:t>unanchored MAIC</w:t>
      </w:r>
    </w:p>
    <w:tbl>
      <w:tblPr>
        <w:tblStyle w:val="TableGrid"/>
        <w:tblW w:w="0" w:type="auto"/>
        <w:tblLook w:val="04A0" w:firstRow="1" w:lastRow="0" w:firstColumn="1" w:lastColumn="0" w:noHBand="0" w:noVBand="1"/>
        <w:tblCaption w:val="Table 7: Summary of OS outcomes from the unanchored MAIC"/>
      </w:tblPr>
      <w:tblGrid>
        <w:gridCol w:w="1803"/>
        <w:gridCol w:w="1803"/>
        <w:gridCol w:w="1803"/>
        <w:gridCol w:w="1804"/>
        <w:gridCol w:w="1804"/>
      </w:tblGrid>
      <w:tr w:rsidR="00DB16AE" w:rsidRPr="007427EF" w14:paraId="4EC94B2F" w14:textId="77777777" w:rsidTr="00880B7A">
        <w:tc>
          <w:tcPr>
            <w:tcW w:w="1803" w:type="dxa"/>
          </w:tcPr>
          <w:p w14:paraId="1B867FAA" w14:textId="77777777" w:rsidR="00DB16AE" w:rsidRPr="007427EF" w:rsidRDefault="00DB16AE" w:rsidP="00880B7A">
            <w:pPr>
              <w:rPr>
                <w:rFonts w:ascii="Arial Narrow" w:hAnsi="Arial Narrow"/>
                <w:sz w:val="20"/>
                <w:szCs w:val="20"/>
              </w:rPr>
            </w:pPr>
          </w:p>
        </w:tc>
        <w:tc>
          <w:tcPr>
            <w:tcW w:w="3606" w:type="dxa"/>
            <w:gridSpan w:val="2"/>
          </w:tcPr>
          <w:p w14:paraId="11DC4F6A" w14:textId="77777777" w:rsidR="00DB16AE" w:rsidRPr="007427EF" w:rsidRDefault="00DB16AE" w:rsidP="00880B7A">
            <w:pPr>
              <w:jc w:val="center"/>
              <w:rPr>
                <w:rFonts w:ascii="Arial Narrow" w:hAnsi="Arial Narrow"/>
                <w:b/>
                <w:bCs/>
                <w:sz w:val="20"/>
                <w:szCs w:val="20"/>
              </w:rPr>
            </w:pPr>
            <w:r w:rsidRPr="007427EF">
              <w:rPr>
                <w:rFonts w:ascii="Arial Narrow" w:hAnsi="Arial Narrow"/>
                <w:b/>
                <w:bCs/>
                <w:sz w:val="20"/>
                <w:szCs w:val="20"/>
              </w:rPr>
              <w:t>Before matching</w:t>
            </w:r>
          </w:p>
        </w:tc>
        <w:tc>
          <w:tcPr>
            <w:tcW w:w="3608" w:type="dxa"/>
            <w:gridSpan w:val="2"/>
          </w:tcPr>
          <w:p w14:paraId="4BDF40E4" w14:textId="52AB9AB4" w:rsidR="00DB16AE" w:rsidRPr="007427EF" w:rsidRDefault="00ED5675" w:rsidP="00880B7A">
            <w:pPr>
              <w:jc w:val="center"/>
              <w:rPr>
                <w:rFonts w:ascii="Arial Narrow" w:hAnsi="Arial Narrow"/>
                <w:b/>
                <w:bCs/>
                <w:sz w:val="20"/>
                <w:szCs w:val="20"/>
              </w:rPr>
            </w:pPr>
            <w:r w:rsidRPr="007427EF">
              <w:rPr>
                <w:rFonts w:ascii="Arial Narrow" w:hAnsi="Arial Narrow"/>
                <w:b/>
                <w:bCs/>
                <w:sz w:val="20"/>
                <w:szCs w:val="20"/>
              </w:rPr>
              <w:t xml:space="preserve">Matching </w:t>
            </w:r>
            <w:r w:rsidR="00DB16AE" w:rsidRPr="007427EF">
              <w:rPr>
                <w:rFonts w:ascii="Arial Narrow" w:hAnsi="Arial Narrow"/>
                <w:b/>
                <w:bCs/>
                <w:sz w:val="20"/>
                <w:szCs w:val="20"/>
              </w:rPr>
              <w:t>adjusted indirect comparison</w:t>
            </w:r>
          </w:p>
        </w:tc>
      </w:tr>
      <w:tr w:rsidR="00DB16AE" w:rsidRPr="007427EF" w14:paraId="2A29FA62" w14:textId="77777777" w:rsidTr="00880B7A">
        <w:tc>
          <w:tcPr>
            <w:tcW w:w="1803" w:type="dxa"/>
          </w:tcPr>
          <w:p w14:paraId="1B563A8B" w14:textId="77777777" w:rsidR="00DB16AE" w:rsidRPr="007427EF" w:rsidRDefault="00DB16AE" w:rsidP="00880B7A">
            <w:pPr>
              <w:rPr>
                <w:rFonts w:ascii="Arial Narrow" w:hAnsi="Arial Narrow"/>
                <w:sz w:val="20"/>
                <w:szCs w:val="20"/>
              </w:rPr>
            </w:pPr>
          </w:p>
        </w:tc>
        <w:tc>
          <w:tcPr>
            <w:tcW w:w="1803" w:type="dxa"/>
          </w:tcPr>
          <w:p w14:paraId="5610B29F" w14:textId="77777777" w:rsidR="00DB16AE" w:rsidRPr="007427EF" w:rsidRDefault="00DB16AE" w:rsidP="00880B7A">
            <w:pPr>
              <w:jc w:val="center"/>
              <w:rPr>
                <w:rFonts w:ascii="Arial Narrow" w:hAnsi="Arial Narrow"/>
                <w:sz w:val="20"/>
                <w:szCs w:val="20"/>
              </w:rPr>
            </w:pPr>
            <w:r w:rsidRPr="007427EF">
              <w:rPr>
                <w:rFonts w:ascii="Arial Narrow" w:hAnsi="Arial Narrow"/>
                <w:b/>
                <w:bCs/>
                <w:sz w:val="20"/>
                <w:szCs w:val="20"/>
              </w:rPr>
              <w:t xml:space="preserve">Mogamulizumab, </w:t>
            </w:r>
            <w:r w:rsidRPr="007427EF">
              <w:rPr>
                <w:rStyle w:val="Small"/>
                <w:rFonts w:ascii="Arial Narrow" w:hAnsi="Arial Narrow"/>
                <w:b/>
                <w:bCs/>
                <w:szCs w:val="20"/>
              </w:rPr>
              <w:t>MAVORIC</w:t>
            </w:r>
            <w:r w:rsidRPr="007427EF">
              <w:rPr>
                <w:rFonts w:ascii="Arial Narrow" w:hAnsi="Arial Narrow"/>
                <w:b/>
                <w:bCs/>
                <w:sz w:val="20"/>
                <w:szCs w:val="20"/>
              </w:rPr>
              <w:t xml:space="preserve"> (n=186)</w:t>
            </w:r>
          </w:p>
        </w:tc>
        <w:tc>
          <w:tcPr>
            <w:tcW w:w="1803" w:type="dxa"/>
          </w:tcPr>
          <w:p w14:paraId="59A16C94" w14:textId="3149740F" w:rsidR="00DB16AE" w:rsidRPr="007427EF" w:rsidRDefault="00DB16AE" w:rsidP="00880B7A">
            <w:pPr>
              <w:jc w:val="center"/>
              <w:rPr>
                <w:rFonts w:ascii="Arial Narrow" w:hAnsi="Arial Narrow"/>
                <w:sz w:val="20"/>
                <w:szCs w:val="20"/>
              </w:rPr>
            </w:pPr>
            <w:proofErr w:type="spellStart"/>
            <w:r w:rsidRPr="007427EF">
              <w:rPr>
                <w:rFonts w:ascii="Arial Narrow" w:hAnsi="Arial Narrow"/>
                <w:b/>
                <w:bCs/>
                <w:sz w:val="20"/>
                <w:szCs w:val="20"/>
              </w:rPr>
              <w:t>Vorinostat</w:t>
            </w:r>
            <w:proofErr w:type="spellEnd"/>
            <w:r w:rsidRPr="007427EF">
              <w:rPr>
                <w:rFonts w:ascii="Arial Narrow" w:hAnsi="Arial Narrow"/>
                <w:b/>
                <w:bCs/>
                <w:sz w:val="20"/>
                <w:szCs w:val="20"/>
              </w:rPr>
              <w:t xml:space="preserve">, </w:t>
            </w:r>
            <w:r w:rsidR="00C76234" w:rsidRPr="007427EF">
              <w:rPr>
                <w:rFonts w:ascii="Arial Narrow" w:hAnsi="Arial Narrow"/>
                <w:b/>
                <w:bCs/>
                <w:sz w:val="20"/>
                <w:szCs w:val="20"/>
              </w:rPr>
              <w:t>ANCLD</w:t>
            </w:r>
            <w:r w:rsidRPr="007427EF">
              <w:rPr>
                <w:rFonts w:ascii="Arial Narrow" w:hAnsi="Arial Narrow"/>
                <w:b/>
                <w:bCs/>
                <w:sz w:val="20"/>
                <w:szCs w:val="20"/>
              </w:rPr>
              <w:t xml:space="preserve"> (n=64)</w:t>
            </w:r>
          </w:p>
        </w:tc>
        <w:tc>
          <w:tcPr>
            <w:tcW w:w="1804" w:type="dxa"/>
          </w:tcPr>
          <w:p w14:paraId="20CF5C68" w14:textId="77777777" w:rsidR="00DB16AE" w:rsidRPr="007427EF" w:rsidRDefault="00DB16AE" w:rsidP="00880B7A">
            <w:pPr>
              <w:jc w:val="center"/>
              <w:rPr>
                <w:rFonts w:ascii="Arial Narrow" w:hAnsi="Arial Narrow"/>
                <w:b/>
                <w:bCs/>
                <w:sz w:val="20"/>
                <w:szCs w:val="20"/>
              </w:rPr>
            </w:pPr>
            <w:r w:rsidRPr="007427EF">
              <w:rPr>
                <w:rFonts w:ascii="Arial Narrow" w:hAnsi="Arial Narrow"/>
                <w:b/>
                <w:bCs/>
                <w:sz w:val="20"/>
                <w:szCs w:val="20"/>
              </w:rPr>
              <w:t xml:space="preserve">Mogamulizumab, </w:t>
            </w:r>
            <w:r w:rsidRPr="007427EF">
              <w:rPr>
                <w:rStyle w:val="Small"/>
                <w:rFonts w:ascii="Arial Narrow" w:hAnsi="Arial Narrow"/>
                <w:b/>
                <w:bCs/>
                <w:szCs w:val="20"/>
              </w:rPr>
              <w:t>MAVORIC</w:t>
            </w:r>
            <w:r w:rsidRPr="007427EF">
              <w:rPr>
                <w:rFonts w:ascii="Arial Narrow" w:hAnsi="Arial Narrow"/>
                <w:b/>
                <w:bCs/>
                <w:sz w:val="20"/>
                <w:szCs w:val="20"/>
              </w:rPr>
              <w:t xml:space="preserve"> (n=182)</w:t>
            </w:r>
          </w:p>
        </w:tc>
        <w:tc>
          <w:tcPr>
            <w:tcW w:w="1804" w:type="dxa"/>
          </w:tcPr>
          <w:p w14:paraId="4E18D82C" w14:textId="046D4F31" w:rsidR="00DB16AE" w:rsidRPr="007427EF" w:rsidRDefault="00DB16AE" w:rsidP="00880B7A">
            <w:pPr>
              <w:jc w:val="center"/>
              <w:rPr>
                <w:rFonts w:ascii="Arial Narrow" w:hAnsi="Arial Narrow"/>
                <w:b/>
                <w:bCs/>
                <w:sz w:val="20"/>
                <w:szCs w:val="20"/>
              </w:rPr>
            </w:pPr>
            <w:proofErr w:type="spellStart"/>
            <w:r w:rsidRPr="007427EF">
              <w:rPr>
                <w:rFonts w:ascii="Arial Narrow" w:hAnsi="Arial Narrow"/>
                <w:b/>
                <w:bCs/>
                <w:sz w:val="20"/>
                <w:szCs w:val="20"/>
              </w:rPr>
              <w:t>Vorinostat</w:t>
            </w:r>
            <w:proofErr w:type="spellEnd"/>
            <w:r w:rsidRPr="007427EF">
              <w:rPr>
                <w:rFonts w:ascii="Arial Narrow" w:hAnsi="Arial Narrow"/>
                <w:b/>
                <w:bCs/>
                <w:sz w:val="20"/>
                <w:szCs w:val="20"/>
              </w:rPr>
              <w:t xml:space="preserve">, </w:t>
            </w:r>
            <w:r w:rsidR="007B5CD8" w:rsidRPr="007427EF">
              <w:rPr>
                <w:rFonts w:ascii="Arial Narrow" w:hAnsi="Arial Narrow"/>
                <w:b/>
                <w:bCs/>
                <w:sz w:val="20"/>
                <w:szCs w:val="20"/>
              </w:rPr>
              <w:t>ANCLD</w:t>
            </w:r>
            <w:r w:rsidRPr="007427EF">
              <w:rPr>
                <w:rFonts w:ascii="Arial Narrow" w:hAnsi="Arial Narrow"/>
                <w:b/>
                <w:bCs/>
                <w:sz w:val="20"/>
                <w:szCs w:val="20"/>
              </w:rPr>
              <w:t xml:space="preserve"> (n=64)</w:t>
            </w:r>
          </w:p>
        </w:tc>
      </w:tr>
      <w:tr w:rsidR="00DB16AE" w:rsidRPr="007427EF" w14:paraId="376F2FFD" w14:textId="77777777" w:rsidTr="00880B7A">
        <w:tc>
          <w:tcPr>
            <w:tcW w:w="1803" w:type="dxa"/>
          </w:tcPr>
          <w:p w14:paraId="277758BF" w14:textId="1DF4A863" w:rsidR="00DB16AE" w:rsidRPr="007427EF" w:rsidRDefault="00DB16AE" w:rsidP="00880B7A">
            <w:pPr>
              <w:rPr>
                <w:rFonts w:ascii="Arial Narrow" w:hAnsi="Arial Narrow"/>
                <w:sz w:val="20"/>
                <w:szCs w:val="20"/>
              </w:rPr>
            </w:pPr>
            <w:r w:rsidRPr="007427EF">
              <w:rPr>
                <w:rFonts w:ascii="Arial Narrow" w:hAnsi="Arial Narrow"/>
                <w:sz w:val="20"/>
                <w:szCs w:val="20"/>
              </w:rPr>
              <w:t>Median</w:t>
            </w:r>
            <w:r w:rsidR="009005CE" w:rsidRPr="007427EF">
              <w:rPr>
                <w:rFonts w:ascii="Arial Narrow" w:hAnsi="Arial Narrow"/>
                <w:sz w:val="20"/>
                <w:szCs w:val="20"/>
              </w:rPr>
              <w:t xml:space="preserve"> OS</w:t>
            </w:r>
            <w:r w:rsidRPr="007427EF">
              <w:rPr>
                <w:rFonts w:ascii="Arial Narrow" w:hAnsi="Arial Narrow"/>
                <w:sz w:val="20"/>
                <w:szCs w:val="20"/>
              </w:rPr>
              <w:t xml:space="preserve"> (95% CI)</w:t>
            </w:r>
          </w:p>
        </w:tc>
        <w:tc>
          <w:tcPr>
            <w:tcW w:w="1803" w:type="dxa"/>
          </w:tcPr>
          <w:p w14:paraId="28945461"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Not reported</w:t>
            </w:r>
          </w:p>
        </w:tc>
        <w:tc>
          <w:tcPr>
            <w:tcW w:w="1803" w:type="dxa"/>
          </w:tcPr>
          <w:p w14:paraId="5D75E188"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 xml:space="preserve">40.0 (29.0-81.9) </w:t>
            </w:r>
          </w:p>
        </w:tc>
        <w:tc>
          <w:tcPr>
            <w:tcW w:w="1804" w:type="dxa"/>
          </w:tcPr>
          <w:p w14:paraId="0E5A0583"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57.2 (44.3-NR)</w:t>
            </w:r>
          </w:p>
        </w:tc>
        <w:tc>
          <w:tcPr>
            <w:tcW w:w="1804" w:type="dxa"/>
          </w:tcPr>
          <w:p w14:paraId="2E9223AB"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40.0 (29.0-81.9)</w:t>
            </w:r>
          </w:p>
        </w:tc>
      </w:tr>
      <w:tr w:rsidR="00DB16AE" w:rsidRPr="007427EF" w14:paraId="726351BC" w14:textId="77777777" w:rsidTr="00880B7A">
        <w:tc>
          <w:tcPr>
            <w:tcW w:w="1803" w:type="dxa"/>
          </w:tcPr>
          <w:p w14:paraId="3F90C0B8" w14:textId="77777777" w:rsidR="00DB16AE" w:rsidRPr="007427EF" w:rsidRDefault="00DB16AE" w:rsidP="00880B7A">
            <w:pPr>
              <w:rPr>
                <w:rFonts w:ascii="Arial Narrow" w:hAnsi="Arial Narrow"/>
                <w:sz w:val="20"/>
                <w:szCs w:val="20"/>
              </w:rPr>
            </w:pPr>
            <w:r w:rsidRPr="007427EF">
              <w:rPr>
                <w:rFonts w:ascii="Arial Narrow" w:hAnsi="Arial Narrow"/>
                <w:sz w:val="20"/>
                <w:szCs w:val="20"/>
              </w:rPr>
              <w:t>Hazard ratio (95% CI)</w:t>
            </w:r>
          </w:p>
        </w:tc>
        <w:tc>
          <w:tcPr>
            <w:tcW w:w="3606" w:type="dxa"/>
            <w:gridSpan w:val="2"/>
          </w:tcPr>
          <w:p w14:paraId="2F3E3B72"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Not reported</w:t>
            </w:r>
          </w:p>
        </w:tc>
        <w:tc>
          <w:tcPr>
            <w:tcW w:w="3608" w:type="dxa"/>
            <w:gridSpan w:val="2"/>
          </w:tcPr>
          <w:p w14:paraId="017B4DC6" w14:textId="7D041A86" w:rsidR="00DB16AE" w:rsidRPr="007427EF" w:rsidRDefault="00DB16AE" w:rsidP="00880B7A">
            <w:pPr>
              <w:jc w:val="center"/>
              <w:rPr>
                <w:rFonts w:ascii="Arial Narrow" w:hAnsi="Arial Narrow"/>
                <w:sz w:val="20"/>
                <w:szCs w:val="20"/>
              </w:rPr>
            </w:pPr>
            <w:r w:rsidRPr="007427EF">
              <w:rPr>
                <w:rFonts w:ascii="Arial Narrow" w:hAnsi="Arial Narrow"/>
                <w:sz w:val="20"/>
                <w:szCs w:val="20"/>
              </w:rPr>
              <w:t>0.6</w:t>
            </w:r>
            <w:r w:rsidR="00C22110" w:rsidRPr="007427EF">
              <w:rPr>
                <w:rFonts w:ascii="Arial Narrow" w:hAnsi="Arial Narrow"/>
                <w:sz w:val="20"/>
                <w:szCs w:val="20"/>
              </w:rPr>
              <w:t>8</w:t>
            </w:r>
            <w:r w:rsidRPr="007427EF">
              <w:rPr>
                <w:rFonts w:ascii="Arial Narrow" w:hAnsi="Arial Narrow"/>
                <w:sz w:val="20"/>
                <w:szCs w:val="20"/>
              </w:rPr>
              <w:t xml:space="preserve"> (0.45</w:t>
            </w:r>
            <w:r w:rsidR="006C18F7" w:rsidRPr="007427EF">
              <w:rPr>
                <w:rFonts w:ascii="Arial Narrow" w:hAnsi="Arial Narrow"/>
                <w:sz w:val="20"/>
                <w:szCs w:val="20"/>
              </w:rPr>
              <w:t xml:space="preserve">, </w:t>
            </w:r>
            <w:r w:rsidRPr="007427EF">
              <w:rPr>
                <w:rFonts w:ascii="Arial Narrow" w:hAnsi="Arial Narrow"/>
                <w:sz w:val="20"/>
                <w:szCs w:val="20"/>
              </w:rPr>
              <w:t>1.02)</w:t>
            </w:r>
          </w:p>
        </w:tc>
      </w:tr>
      <w:tr w:rsidR="00DB16AE" w:rsidRPr="007427EF" w14:paraId="73B890D0" w14:textId="77777777" w:rsidTr="00880B7A">
        <w:tc>
          <w:tcPr>
            <w:tcW w:w="1803" w:type="dxa"/>
          </w:tcPr>
          <w:p w14:paraId="67438AF6" w14:textId="77777777" w:rsidR="00DB16AE" w:rsidRPr="007427EF" w:rsidRDefault="00DB16AE" w:rsidP="00880B7A">
            <w:pPr>
              <w:rPr>
                <w:rFonts w:ascii="Arial Narrow" w:hAnsi="Arial Narrow"/>
                <w:sz w:val="20"/>
                <w:szCs w:val="20"/>
              </w:rPr>
            </w:pPr>
            <w:r w:rsidRPr="007427EF">
              <w:rPr>
                <w:rFonts w:ascii="Arial Narrow" w:hAnsi="Arial Narrow"/>
                <w:sz w:val="20"/>
                <w:szCs w:val="20"/>
              </w:rPr>
              <w:t>p-value</w:t>
            </w:r>
          </w:p>
        </w:tc>
        <w:tc>
          <w:tcPr>
            <w:tcW w:w="3606" w:type="dxa"/>
            <w:gridSpan w:val="2"/>
          </w:tcPr>
          <w:p w14:paraId="2536F9E0" w14:textId="77777777" w:rsidR="00DB16AE" w:rsidRPr="007427EF" w:rsidRDefault="00DB16AE" w:rsidP="00880B7A">
            <w:pPr>
              <w:jc w:val="center"/>
              <w:rPr>
                <w:rFonts w:ascii="Arial Narrow" w:hAnsi="Arial Narrow"/>
                <w:sz w:val="20"/>
                <w:szCs w:val="20"/>
              </w:rPr>
            </w:pPr>
            <w:r w:rsidRPr="007427EF">
              <w:rPr>
                <w:rFonts w:ascii="Arial Narrow" w:hAnsi="Arial Narrow"/>
                <w:sz w:val="20"/>
                <w:szCs w:val="20"/>
              </w:rPr>
              <w:t>Not reported</w:t>
            </w:r>
          </w:p>
        </w:tc>
        <w:tc>
          <w:tcPr>
            <w:tcW w:w="3608" w:type="dxa"/>
            <w:gridSpan w:val="2"/>
          </w:tcPr>
          <w:p w14:paraId="491CDF8A" w14:textId="217A78B9" w:rsidR="00DB16AE" w:rsidRPr="007427EF" w:rsidRDefault="00DB16AE" w:rsidP="00880B7A">
            <w:pPr>
              <w:jc w:val="center"/>
              <w:rPr>
                <w:rFonts w:ascii="Arial Narrow" w:hAnsi="Arial Narrow"/>
                <w:sz w:val="20"/>
                <w:szCs w:val="20"/>
              </w:rPr>
            </w:pPr>
            <w:r w:rsidRPr="007427EF">
              <w:rPr>
                <w:rFonts w:ascii="Arial Narrow" w:hAnsi="Arial Narrow"/>
                <w:sz w:val="20"/>
                <w:szCs w:val="20"/>
              </w:rPr>
              <w:t>0.06</w:t>
            </w:r>
          </w:p>
        </w:tc>
      </w:tr>
    </w:tbl>
    <w:p w14:paraId="0A987A0C" w14:textId="40E64D82" w:rsidR="00DB16AE" w:rsidRPr="007427EF" w:rsidRDefault="00DB16AE" w:rsidP="00DB16AE">
      <w:pPr>
        <w:rPr>
          <w:rFonts w:ascii="Arial Narrow" w:hAnsi="Arial Narrow"/>
          <w:sz w:val="18"/>
          <w:szCs w:val="18"/>
        </w:rPr>
      </w:pPr>
      <w:r w:rsidRPr="007427EF">
        <w:rPr>
          <w:rFonts w:ascii="Arial Narrow" w:hAnsi="Arial Narrow"/>
          <w:sz w:val="18"/>
          <w:szCs w:val="18"/>
        </w:rPr>
        <w:t>Source: Figure 2-32, p13</w:t>
      </w:r>
      <w:r w:rsidR="00FC7D5B" w:rsidRPr="007427EF">
        <w:rPr>
          <w:rFonts w:ascii="Arial Narrow" w:hAnsi="Arial Narrow"/>
          <w:sz w:val="18"/>
          <w:szCs w:val="18"/>
        </w:rPr>
        <w:t>1</w:t>
      </w:r>
      <w:r w:rsidRPr="007427EF">
        <w:rPr>
          <w:rFonts w:ascii="Arial Narrow" w:hAnsi="Arial Narrow"/>
          <w:sz w:val="18"/>
          <w:szCs w:val="18"/>
        </w:rPr>
        <w:t>; Table 2-87, p15</w:t>
      </w:r>
      <w:r w:rsidR="00FC7D5B" w:rsidRPr="007427EF">
        <w:rPr>
          <w:rFonts w:ascii="Arial Narrow" w:hAnsi="Arial Narrow"/>
          <w:sz w:val="18"/>
          <w:szCs w:val="18"/>
        </w:rPr>
        <w:t>1</w:t>
      </w:r>
      <w:r w:rsidRPr="007427EF">
        <w:rPr>
          <w:rFonts w:ascii="Arial Narrow" w:hAnsi="Arial Narrow"/>
          <w:sz w:val="18"/>
          <w:szCs w:val="18"/>
        </w:rPr>
        <w:t xml:space="preserve"> of the resubmission.</w:t>
      </w:r>
    </w:p>
    <w:p w14:paraId="49693BC7" w14:textId="7759BB9B" w:rsidR="002E4147" w:rsidRPr="007427EF" w:rsidRDefault="007B5CD8" w:rsidP="00DB16AE">
      <w:pPr>
        <w:rPr>
          <w:rFonts w:ascii="Arial Narrow" w:hAnsi="Arial Narrow"/>
          <w:sz w:val="18"/>
          <w:szCs w:val="18"/>
        </w:rPr>
      </w:pPr>
      <w:r w:rsidRPr="007427EF">
        <w:rPr>
          <w:rFonts w:ascii="Arial Narrow" w:hAnsi="Arial Narrow"/>
          <w:sz w:val="18"/>
          <w:szCs w:val="16"/>
        </w:rPr>
        <w:t xml:space="preserve">ANCLD = Australian National Cutaneous Lymphoma Database; </w:t>
      </w:r>
      <w:r w:rsidR="00DB16AE" w:rsidRPr="007427EF">
        <w:rPr>
          <w:rFonts w:ascii="Arial Narrow" w:hAnsi="Arial Narrow"/>
          <w:sz w:val="18"/>
          <w:szCs w:val="18"/>
        </w:rPr>
        <w:t xml:space="preserve">CI = confidence interval; </w:t>
      </w:r>
      <w:r w:rsidR="00855552" w:rsidRPr="007427EF">
        <w:rPr>
          <w:rFonts w:ascii="Arial Narrow" w:hAnsi="Arial Narrow"/>
          <w:sz w:val="18"/>
          <w:szCs w:val="18"/>
        </w:rPr>
        <w:t xml:space="preserve">MAIC = matching-adjusted indirect comparison; </w:t>
      </w:r>
      <w:r w:rsidR="00DB16AE" w:rsidRPr="007427EF">
        <w:rPr>
          <w:rFonts w:ascii="Arial Narrow" w:hAnsi="Arial Narrow"/>
          <w:sz w:val="18"/>
          <w:szCs w:val="18"/>
        </w:rPr>
        <w:t xml:space="preserve">N = number of participants; NR = not reported. </w:t>
      </w:r>
    </w:p>
    <w:p w14:paraId="1A7A1BD8" w14:textId="6820D529" w:rsidR="00B6398D" w:rsidRPr="007427EF" w:rsidRDefault="00063DF8" w:rsidP="008915DF">
      <w:pPr>
        <w:pStyle w:val="3-BodyText"/>
      </w:pPr>
      <w:r w:rsidRPr="007427EF">
        <w:t>T</w:t>
      </w:r>
      <w:r w:rsidR="00B6398D" w:rsidRPr="007427EF">
        <w:t xml:space="preserve">he KM curves of the OS outcome from the MAIC results </w:t>
      </w:r>
      <w:r w:rsidRPr="007427EF">
        <w:t xml:space="preserve">are </w:t>
      </w:r>
      <w:r w:rsidR="00B6398D" w:rsidRPr="007427EF">
        <w:t>presented in</w:t>
      </w:r>
      <w:r w:rsidR="000B4C71" w:rsidRPr="007427EF">
        <w:t xml:space="preserve"> </w:t>
      </w:r>
      <w:r w:rsidR="000B4C71" w:rsidRPr="007427EF">
        <w:fldChar w:fldCharType="begin"/>
      </w:r>
      <w:r w:rsidR="000B4C71" w:rsidRPr="007427EF">
        <w:instrText xml:space="preserve"> REF _Ref185857204 \h </w:instrText>
      </w:r>
      <w:r w:rsidR="00AF4953" w:rsidRPr="007427EF">
        <w:instrText xml:space="preserve"> \* MERGEFORMAT </w:instrText>
      </w:r>
      <w:r w:rsidR="000B4C71" w:rsidRPr="007427EF">
        <w:fldChar w:fldCharType="separate"/>
      </w:r>
      <w:r w:rsidR="00EF6B5D" w:rsidRPr="007427EF">
        <w:t xml:space="preserve">Figure </w:t>
      </w:r>
      <w:r w:rsidR="00EF6B5D">
        <w:t>3</w:t>
      </w:r>
      <w:r w:rsidR="000B4C71" w:rsidRPr="007427EF">
        <w:fldChar w:fldCharType="end"/>
      </w:r>
      <w:r w:rsidR="000B4C71" w:rsidRPr="007427EF">
        <w:t>.</w:t>
      </w:r>
    </w:p>
    <w:p w14:paraId="2BCB41B7" w14:textId="73460142" w:rsidR="00B6398D" w:rsidRPr="007427EF" w:rsidRDefault="000B4C71" w:rsidP="00B6398D">
      <w:pPr>
        <w:pStyle w:val="Caption"/>
      </w:pPr>
      <w:bookmarkStart w:id="36" w:name="_Ref185857204"/>
      <w:r w:rsidRPr="007427EF">
        <w:lastRenderedPageBreak/>
        <w:t xml:space="preserve">Figure </w:t>
      </w:r>
      <w:r>
        <w:fldChar w:fldCharType="begin"/>
      </w:r>
      <w:r>
        <w:instrText xml:space="preserve"> SEQ Figure \* ARABIC </w:instrText>
      </w:r>
      <w:r>
        <w:fldChar w:fldCharType="separate"/>
      </w:r>
      <w:r w:rsidR="00EF6B5D">
        <w:rPr>
          <w:noProof/>
        </w:rPr>
        <w:t>3</w:t>
      </w:r>
      <w:r>
        <w:fldChar w:fldCharType="end"/>
      </w:r>
      <w:bookmarkEnd w:id="36"/>
      <w:r w:rsidR="00B6398D" w:rsidRPr="007427EF">
        <w:t xml:space="preserve">: Kaplan-Meier analysis of overall survival from the </w:t>
      </w:r>
      <w:r w:rsidR="00855552" w:rsidRPr="007427EF">
        <w:t>unanchored MAIC</w:t>
      </w:r>
    </w:p>
    <w:p w14:paraId="2FA4E44B" w14:textId="6B4E6431" w:rsidR="00B6398D" w:rsidRPr="007427EF" w:rsidRDefault="00B6398D" w:rsidP="00B6398D">
      <w:pPr>
        <w:jc w:val="center"/>
      </w:pPr>
      <w:r w:rsidRPr="007427EF">
        <w:rPr>
          <w:noProof/>
        </w:rPr>
        <w:drawing>
          <wp:inline distT="0" distB="0" distL="0" distR="0" wp14:anchorId="7573CED6" wp14:editId="0D81B993">
            <wp:extent cx="3912581" cy="2608446"/>
            <wp:effectExtent l="0" t="0" r="0" b="1905"/>
            <wp:docPr id="1966084970" name="Picture 1966084970" descr="Figure 3: Kaplan-Meier analysis of overall survival from the unanchored MA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84970" name="Picture 1966084970" descr="Figure 3: Kaplan-Meier analysis of overall survival from the unanchored MAIC&#10;"/>
                    <pic:cNvPicPr>
                      <a:picLocks noChangeAspect="1" noChangeArrowheads="1"/>
                    </pic:cNvPicPr>
                  </pic:nvPicPr>
                  <pic:blipFill>
                    <a:blip r:embed="rId14"/>
                    <a:srcRect/>
                    <a:stretch>
                      <a:fillRect/>
                    </a:stretch>
                  </pic:blipFill>
                  <pic:spPr bwMode="auto">
                    <a:xfrm>
                      <a:off x="0" y="0"/>
                      <a:ext cx="54642" cy="36429"/>
                    </a:xfrm>
                    <a:prstGeom prst="rect">
                      <a:avLst/>
                    </a:prstGeom>
                    <a:noFill/>
                  </pic:spPr>
                </pic:pic>
              </a:graphicData>
            </a:graphic>
          </wp:inline>
        </w:drawing>
      </w:r>
    </w:p>
    <w:p w14:paraId="63D6F0C7" w14:textId="541E4B93" w:rsidR="00B6398D" w:rsidRPr="007427EF" w:rsidRDefault="00B6398D" w:rsidP="00B6398D">
      <w:pPr>
        <w:pStyle w:val="CaptionFootnote"/>
        <w:rPr>
          <w:rFonts w:ascii="Arial Narrow" w:hAnsi="Arial Narrow" w:cs="Arial"/>
          <w:sz w:val="18"/>
        </w:rPr>
      </w:pPr>
      <w:r w:rsidRPr="007427EF">
        <w:rPr>
          <w:rFonts w:ascii="Arial Narrow" w:hAnsi="Arial Narrow" w:cs="Arial"/>
          <w:sz w:val="18"/>
        </w:rPr>
        <w:t>Source: Figure 2-46, p15</w:t>
      </w:r>
      <w:r w:rsidR="00113C5F" w:rsidRPr="007427EF">
        <w:rPr>
          <w:rFonts w:ascii="Arial Narrow" w:hAnsi="Arial Narrow" w:cs="Arial"/>
          <w:sz w:val="18"/>
        </w:rPr>
        <w:t>1</w:t>
      </w:r>
      <w:r w:rsidRPr="007427EF">
        <w:rPr>
          <w:rFonts w:ascii="Arial Narrow" w:hAnsi="Arial Narrow" w:cs="Arial"/>
          <w:sz w:val="18"/>
        </w:rPr>
        <w:t xml:space="preserve"> of the resubmission.</w:t>
      </w:r>
    </w:p>
    <w:p w14:paraId="0DBBE1DA" w14:textId="0D9175CA" w:rsidR="003422F8" w:rsidRPr="007427EF" w:rsidRDefault="008954E6" w:rsidP="00B6398D">
      <w:pPr>
        <w:pStyle w:val="CaptionFootnote"/>
        <w:rPr>
          <w:rFonts w:ascii="Arial Narrow" w:hAnsi="Arial Narrow" w:cs="Arial"/>
          <w:sz w:val="18"/>
        </w:rPr>
      </w:pPr>
      <w:r w:rsidRPr="007427EF">
        <w:rPr>
          <w:rFonts w:ascii="Arial Narrow" w:hAnsi="Arial Narrow" w:cs="Arial"/>
          <w:sz w:val="18"/>
        </w:rPr>
        <w:t xml:space="preserve">ITT = intention-to-treat; </w:t>
      </w:r>
      <w:r w:rsidR="00B6398D" w:rsidRPr="007427EF">
        <w:rPr>
          <w:rFonts w:ascii="Arial Narrow" w:hAnsi="Arial Narrow" w:cs="Arial"/>
          <w:sz w:val="18"/>
        </w:rPr>
        <w:t xml:space="preserve">KW-0761 = mogamulizumab, </w:t>
      </w:r>
      <w:r w:rsidR="00855552" w:rsidRPr="007427EF">
        <w:rPr>
          <w:rFonts w:ascii="Arial Narrow" w:hAnsi="Arial Narrow"/>
          <w:sz w:val="18"/>
        </w:rPr>
        <w:t xml:space="preserve">MAIC = matching-adjusted indirect comparison; </w:t>
      </w:r>
      <w:r w:rsidR="00935758" w:rsidRPr="007427EF">
        <w:rPr>
          <w:rFonts w:ascii="Arial Narrow" w:hAnsi="Arial Narrow"/>
          <w:sz w:val="18"/>
        </w:rPr>
        <w:t xml:space="preserve">OS = </w:t>
      </w:r>
      <w:r w:rsidRPr="007427EF">
        <w:rPr>
          <w:rFonts w:ascii="Arial Narrow" w:hAnsi="Arial Narrow"/>
          <w:sz w:val="18"/>
        </w:rPr>
        <w:t xml:space="preserve">overall survival; </w:t>
      </w:r>
      <w:proofErr w:type="spellStart"/>
      <w:r w:rsidRPr="007427EF">
        <w:rPr>
          <w:rFonts w:ascii="Arial Narrow" w:hAnsi="Arial Narrow"/>
          <w:sz w:val="18"/>
        </w:rPr>
        <w:t>tx</w:t>
      </w:r>
      <w:proofErr w:type="spellEnd"/>
      <w:r w:rsidRPr="007427EF">
        <w:rPr>
          <w:rFonts w:ascii="Arial Narrow" w:hAnsi="Arial Narrow"/>
          <w:sz w:val="18"/>
        </w:rPr>
        <w:t xml:space="preserve"> = treatment; </w:t>
      </w:r>
      <w:proofErr w:type="spellStart"/>
      <w:r w:rsidR="00B6398D" w:rsidRPr="007427EF">
        <w:rPr>
          <w:rFonts w:ascii="Arial Narrow" w:hAnsi="Arial Narrow" w:cs="Arial"/>
          <w:sz w:val="18"/>
        </w:rPr>
        <w:t>Vorin</w:t>
      </w:r>
      <w:proofErr w:type="spellEnd"/>
      <w:r w:rsidR="00B6398D" w:rsidRPr="007427EF">
        <w:rPr>
          <w:rFonts w:ascii="Arial Narrow" w:hAnsi="Arial Narrow" w:cs="Arial"/>
          <w:sz w:val="18"/>
        </w:rPr>
        <w:t xml:space="preserve"> = </w:t>
      </w:r>
      <w:proofErr w:type="spellStart"/>
      <w:r w:rsidR="00B6398D" w:rsidRPr="007427EF">
        <w:rPr>
          <w:rFonts w:ascii="Arial Narrow" w:hAnsi="Arial Narrow" w:cs="Arial"/>
          <w:sz w:val="18"/>
        </w:rPr>
        <w:t>vorinostat</w:t>
      </w:r>
      <w:proofErr w:type="spellEnd"/>
    </w:p>
    <w:p w14:paraId="478002CE" w14:textId="4FABCB4A" w:rsidR="00F03B2A" w:rsidRPr="007427EF" w:rsidRDefault="00564998" w:rsidP="00F03B2A">
      <w:pPr>
        <w:pStyle w:val="3-BodyText"/>
      </w:pPr>
      <w:r w:rsidRPr="007427EF">
        <w:t xml:space="preserve">The </w:t>
      </w:r>
      <w:r w:rsidR="003422F8" w:rsidRPr="00A559A5">
        <w:rPr>
          <w:iCs/>
        </w:rPr>
        <w:t xml:space="preserve">ESC noted the </w:t>
      </w:r>
      <w:r w:rsidRPr="007427EF">
        <w:t xml:space="preserve">results from the MAIC suggest a numerical improvement in OS for mogamulizumab compared to </w:t>
      </w:r>
      <w:proofErr w:type="spellStart"/>
      <w:r w:rsidRPr="007427EF">
        <w:t>vorinostat</w:t>
      </w:r>
      <w:proofErr w:type="spellEnd"/>
      <w:r w:rsidRPr="007427EF">
        <w:t xml:space="preserve"> (hazard </w:t>
      </w:r>
      <w:r w:rsidR="004C2E14" w:rsidRPr="007427EF">
        <w:t>r</w:t>
      </w:r>
      <w:r w:rsidRPr="007427EF">
        <w:t>atio = 0.</w:t>
      </w:r>
      <w:r w:rsidR="00C22110" w:rsidRPr="007427EF">
        <w:t>68</w:t>
      </w:r>
      <w:r w:rsidRPr="007427EF">
        <w:t xml:space="preserve">; p-value = 0.06), </w:t>
      </w:r>
      <w:r w:rsidR="00645E5C" w:rsidRPr="007427EF">
        <w:t>but</w:t>
      </w:r>
      <w:r w:rsidRPr="007427EF">
        <w:t xml:space="preserve"> the difference </w:t>
      </w:r>
      <w:r w:rsidR="00645E5C" w:rsidRPr="007427EF">
        <w:t>wa</w:t>
      </w:r>
      <w:r w:rsidRPr="007427EF">
        <w:t>s not statistically significant.</w:t>
      </w:r>
      <w:r w:rsidR="00F03B2A" w:rsidRPr="007427EF">
        <w:t xml:space="preserve"> The wide confidence interval (95% CI 0.45</w:t>
      </w:r>
      <w:r w:rsidRPr="007427EF">
        <w:t xml:space="preserve">, </w:t>
      </w:r>
      <w:r w:rsidR="00F03B2A" w:rsidRPr="007427EF">
        <w:t>1.02) indicates uncertainty in the estimate.</w:t>
      </w:r>
    </w:p>
    <w:p w14:paraId="0AE3B8A7" w14:textId="0464B88C" w:rsidR="002F425C" w:rsidRPr="007427EF" w:rsidRDefault="002F425C" w:rsidP="002F425C">
      <w:pPr>
        <w:pStyle w:val="3-BodyText"/>
      </w:pPr>
      <w:r w:rsidRPr="007427EF">
        <w:t xml:space="preserve">The </w:t>
      </w:r>
      <w:r w:rsidR="005219F0" w:rsidRPr="00A559A5">
        <w:rPr>
          <w:iCs/>
        </w:rPr>
        <w:t>evaluation and the ESC considered</w:t>
      </w:r>
      <w:r w:rsidR="005219F0" w:rsidRPr="007427EF">
        <w:t xml:space="preserve"> the </w:t>
      </w:r>
      <w:r w:rsidRPr="007427EF">
        <w:t xml:space="preserve">MAIC was </w:t>
      </w:r>
      <w:r w:rsidR="00747DCE" w:rsidRPr="007427EF">
        <w:t xml:space="preserve">inadequately </w:t>
      </w:r>
      <w:r w:rsidRPr="007427EF">
        <w:t xml:space="preserve">conducted, primarily due to a lack of robust data. Specifically, the matching adjustment between MAVORIC and ANCLD was based only on two prognostic variables: sex and CTCL subtypes. </w:t>
      </w:r>
      <w:r w:rsidR="00C97778" w:rsidRPr="007427EF">
        <w:t>O</w:t>
      </w:r>
      <w:r w:rsidR="00C6640C" w:rsidRPr="007427EF">
        <w:t>ther critical prognostic variables (e.g., disease stage and large cell transformation)</w:t>
      </w:r>
      <w:r w:rsidR="005C1F48" w:rsidRPr="007427EF">
        <w:t xml:space="preserve"> </w:t>
      </w:r>
      <w:r w:rsidR="006D2DF2" w:rsidRPr="007427EF">
        <w:t xml:space="preserve">and treatment effect modifiers </w:t>
      </w:r>
      <w:r w:rsidRPr="007427EF">
        <w:t>were not included in the matching process</w:t>
      </w:r>
      <w:r w:rsidR="00C97778" w:rsidRPr="007427EF">
        <w:t xml:space="preserve"> due to the absence of data from either MAVORIC or ANCLD</w:t>
      </w:r>
      <w:r w:rsidR="00382433" w:rsidRPr="007427EF">
        <w:t>.</w:t>
      </w:r>
      <w:r w:rsidRPr="007427EF">
        <w:t xml:space="preserve"> Given the likely differing baseline characteristics between the two datasets</w:t>
      </w:r>
      <w:r w:rsidR="008C7BF0" w:rsidRPr="007427EF">
        <w:t xml:space="preserve"> (</w:t>
      </w:r>
      <w:r w:rsidR="00E65066" w:rsidRPr="007427EF">
        <w:t xml:space="preserve">see </w:t>
      </w:r>
      <w:r w:rsidR="00936884" w:rsidRPr="007427EF">
        <w:t>paragraph</w:t>
      </w:r>
      <w:r w:rsidR="00963311" w:rsidRPr="007427EF">
        <w:t xml:space="preserve"> </w:t>
      </w:r>
      <w:r w:rsidRPr="007427EF">
        <w:fldChar w:fldCharType="begin"/>
      </w:r>
      <w:r w:rsidRPr="007427EF">
        <w:instrText xml:space="preserve"> REF _Ref187408263 \r \h  \* MERGEFORMAT </w:instrText>
      </w:r>
      <w:r w:rsidRPr="007427EF">
        <w:fldChar w:fldCharType="separate"/>
      </w:r>
      <w:r w:rsidR="00EF6B5D">
        <w:t>6.10</w:t>
      </w:r>
      <w:r w:rsidRPr="007427EF">
        <w:fldChar w:fldCharType="end"/>
      </w:r>
      <w:r w:rsidR="008C7BF0" w:rsidRPr="007427EF">
        <w:t>)</w:t>
      </w:r>
      <w:r w:rsidRPr="007427EF">
        <w:t xml:space="preserve">, this inadequate matching adjustment </w:t>
      </w:r>
      <w:r w:rsidR="00D06D3E" w:rsidRPr="007427EF">
        <w:t xml:space="preserve">likely </w:t>
      </w:r>
      <w:r w:rsidRPr="007427EF">
        <w:t>resulted in unmeasured confounding and bias in the comparative outcome. Overall, the</w:t>
      </w:r>
      <w:r w:rsidR="00330626" w:rsidRPr="007427EF">
        <w:t xml:space="preserve"> </w:t>
      </w:r>
      <w:r w:rsidR="00330626" w:rsidRPr="00A559A5">
        <w:rPr>
          <w:iCs/>
        </w:rPr>
        <w:t>evaluation and the ESC</w:t>
      </w:r>
      <w:r w:rsidR="00330626" w:rsidRPr="007427EF">
        <w:t xml:space="preserve"> considered the </w:t>
      </w:r>
      <w:r w:rsidRPr="007427EF">
        <w:t xml:space="preserve">results from the MAIC </w:t>
      </w:r>
      <w:r w:rsidR="00330626" w:rsidRPr="007427EF">
        <w:t>to be</w:t>
      </w:r>
      <w:r w:rsidRPr="007427EF">
        <w:t xml:space="preserve"> unreliable. </w:t>
      </w:r>
      <w:r w:rsidR="00C2259D" w:rsidRPr="00A559A5">
        <w:rPr>
          <w:iCs/>
        </w:rPr>
        <w:t>However, b</w:t>
      </w:r>
      <w:r w:rsidR="00BE79EB" w:rsidRPr="00A559A5">
        <w:rPr>
          <w:iCs/>
        </w:rPr>
        <w:t>ased on the results of the clinical data submitted, t</w:t>
      </w:r>
      <w:r w:rsidR="0040729C" w:rsidRPr="00A559A5">
        <w:rPr>
          <w:iCs/>
        </w:rPr>
        <w:t xml:space="preserve">he ESC considered it would be reasonable to conclude that </w:t>
      </w:r>
      <w:r w:rsidR="00330626" w:rsidRPr="00A559A5">
        <w:rPr>
          <w:iCs/>
        </w:rPr>
        <w:t xml:space="preserve">mogamulizumab is non-inferior </w:t>
      </w:r>
      <w:r w:rsidR="00E113F2" w:rsidRPr="00A559A5">
        <w:rPr>
          <w:iCs/>
        </w:rPr>
        <w:t xml:space="preserve">in effectiveness </w:t>
      </w:r>
      <w:r w:rsidR="00330626" w:rsidRPr="00A559A5">
        <w:rPr>
          <w:iCs/>
        </w:rPr>
        <w:t xml:space="preserve">to </w:t>
      </w:r>
      <w:proofErr w:type="spellStart"/>
      <w:r w:rsidR="00330626" w:rsidRPr="00A559A5">
        <w:rPr>
          <w:iCs/>
        </w:rPr>
        <w:t>vorinostat</w:t>
      </w:r>
      <w:proofErr w:type="spellEnd"/>
      <w:r w:rsidR="00330626" w:rsidRPr="00A559A5">
        <w:rPr>
          <w:iCs/>
        </w:rPr>
        <w:t>.</w:t>
      </w:r>
    </w:p>
    <w:p w14:paraId="1452C351" w14:textId="0D19F1B0" w:rsidR="00B60939" w:rsidRPr="007427EF" w:rsidRDefault="00B60939" w:rsidP="00661810">
      <w:pPr>
        <w:pStyle w:val="4-SubsectionHeading"/>
      </w:pPr>
      <w:bookmarkStart w:id="37" w:name="_Toc22897642"/>
      <w:bookmarkStart w:id="38" w:name="_Toc188431846"/>
      <w:r w:rsidRPr="007427EF">
        <w:t>Comparative harms</w:t>
      </w:r>
      <w:bookmarkEnd w:id="37"/>
      <w:bookmarkEnd w:id="38"/>
    </w:p>
    <w:p w14:paraId="485F7A97" w14:textId="64FE04B2" w:rsidR="00551E8E" w:rsidRPr="007427EF" w:rsidRDefault="00AA40D6" w:rsidP="00097A6A">
      <w:pPr>
        <w:pStyle w:val="3-BodyText"/>
      </w:pPr>
      <w:bookmarkStart w:id="39" w:name="_Ref187852797"/>
      <w:r w:rsidRPr="007427EF">
        <w:t xml:space="preserve">No </w:t>
      </w:r>
      <w:r w:rsidR="00A706E3" w:rsidRPr="007427EF">
        <w:t xml:space="preserve">additional </w:t>
      </w:r>
      <w:r w:rsidRPr="007427EF">
        <w:t>comparative safety data</w:t>
      </w:r>
      <w:r w:rsidR="007E5E71" w:rsidRPr="007427EF">
        <w:t xml:space="preserve"> </w:t>
      </w:r>
      <w:r w:rsidR="00BA65DB" w:rsidRPr="007427EF">
        <w:t>for</w:t>
      </w:r>
      <w:r w:rsidRPr="007427EF">
        <w:t xml:space="preserve"> mogamulizumab versus the proposed comparators </w:t>
      </w:r>
      <w:r w:rsidR="007E5E71" w:rsidRPr="007427EF">
        <w:t xml:space="preserve">beyond what has previously been </w:t>
      </w:r>
      <w:r w:rsidR="009B7E75" w:rsidRPr="007427EF">
        <w:t xml:space="preserve">seen by the PBAC </w:t>
      </w:r>
      <w:r w:rsidRPr="007427EF">
        <w:t xml:space="preserve">were provided by the March 2025 resubmission. At its July 2020 meeting, the PBAC noted that the incidence of drug-related adverse events (AEs) and drug-related Grade ≥ 3 AEs was lower in the mogamulizumab arm compared to the </w:t>
      </w:r>
      <w:proofErr w:type="spellStart"/>
      <w:r w:rsidRPr="007427EF">
        <w:t>vorinostat</w:t>
      </w:r>
      <w:proofErr w:type="spellEnd"/>
      <w:r w:rsidRPr="007427EF">
        <w:t xml:space="preserve"> arm (para 6.41, mogamulizumab, PSD, July 2020, PBAC meeting). However, the PBAC noted a higher incidence of any serious adverse events (SAEs) and treatment-emergent SAEs in the </w:t>
      </w:r>
      <w:r w:rsidRPr="007427EF">
        <w:lastRenderedPageBreak/>
        <w:t xml:space="preserve">mogamulizumab arm. Considering these findings, the PBAC considered that the claim of non-inferior comparative safety of mogamulizumab versus </w:t>
      </w:r>
      <w:proofErr w:type="spellStart"/>
      <w:r w:rsidRPr="007427EF">
        <w:t>vorinostat</w:t>
      </w:r>
      <w:proofErr w:type="spellEnd"/>
      <w:r w:rsidRPr="007427EF">
        <w:t xml:space="preserve"> was reasonable (para 7.8, mogamulizumab, PSD, July 2020, PBAC meeting).</w:t>
      </w:r>
      <w:bookmarkEnd w:id="39"/>
      <w:r w:rsidR="005C7D58" w:rsidRPr="007427EF">
        <w:t xml:space="preserve"> </w:t>
      </w:r>
      <w:r w:rsidR="00DF5B5D" w:rsidRPr="007427EF">
        <w:t xml:space="preserve">The PBAC reaffirmed its July 2020 advice </w:t>
      </w:r>
      <w:r w:rsidR="00545C45" w:rsidRPr="007427EF">
        <w:t xml:space="preserve">regarding the non-inferior comparative safety claim at its November 2020 meeting (para 6.6, mogamulizumab, PSD, November 2020, PBAC meeting). </w:t>
      </w:r>
    </w:p>
    <w:p w14:paraId="04908C7F" w14:textId="415B9B7D" w:rsidR="007F1017" w:rsidRPr="007427EF" w:rsidRDefault="007F1017" w:rsidP="00661810">
      <w:pPr>
        <w:pStyle w:val="4-SubsectionHeading"/>
      </w:pPr>
      <w:bookmarkStart w:id="40" w:name="_Toc22897643"/>
      <w:bookmarkStart w:id="41" w:name="_Toc188431847"/>
      <w:r w:rsidRPr="007427EF">
        <w:t>Benefits/harms</w:t>
      </w:r>
      <w:bookmarkEnd w:id="40"/>
      <w:bookmarkEnd w:id="41"/>
    </w:p>
    <w:p w14:paraId="3E71907A" w14:textId="5B09AF47" w:rsidR="004C33AF" w:rsidRPr="007427EF" w:rsidRDefault="004C33AF" w:rsidP="004C33AF">
      <w:pPr>
        <w:pStyle w:val="3-BodyText"/>
      </w:pPr>
      <w:r w:rsidRPr="007427EF">
        <w:t>The indirect comparison presented did not support the superiority claim. Accordingly, a benefits/harms table</w:t>
      </w:r>
      <w:r w:rsidR="00BE5D18" w:rsidRPr="007427EF">
        <w:t xml:space="preserve"> </w:t>
      </w:r>
      <w:r w:rsidR="00CE5CD4" w:rsidRPr="007427EF">
        <w:t>has not been presented</w:t>
      </w:r>
      <w:r w:rsidRPr="007427EF">
        <w:t>.</w:t>
      </w:r>
    </w:p>
    <w:p w14:paraId="7A1772B6" w14:textId="23BB3145" w:rsidR="00B60939" w:rsidRPr="007427EF" w:rsidRDefault="00B60939" w:rsidP="00661810">
      <w:pPr>
        <w:pStyle w:val="4-SubsectionHeading"/>
      </w:pPr>
      <w:bookmarkStart w:id="42" w:name="_Toc22897644"/>
      <w:bookmarkStart w:id="43" w:name="_Toc188431848"/>
      <w:r w:rsidRPr="007427EF">
        <w:t>Clinical claim</w:t>
      </w:r>
      <w:bookmarkEnd w:id="42"/>
      <w:bookmarkEnd w:id="43"/>
    </w:p>
    <w:p w14:paraId="54D3A82D" w14:textId="2A2865AD" w:rsidR="005F7588" w:rsidRPr="007427EF" w:rsidRDefault="005F7588" w:rsidP="6A98AE7B">
      <w:pPr>
        <w:pStyle w:val="3-BodyText"/>
        <w:rPr>
          <w:rFonts w:eastAsia="Calibri"/>
        </w:rPr>
      </w:pPr>
      <w:r w:rsidRPr="007427EF">
        <w:rPr>
          <w:rFonts w:eastAsia="Calibri"/>
        </w:rPr>
        <w:t xml:space="preserve">The </w:t>
      </w:r>
      <w:r w:rsidR="00B14807" w:rsidRPr="007427EF">
        <w:rPr>
          <w:rFonts w:eastAsia="Calibri"/>
        </w:rPr>
        <w:t>re</w:t>
      </w:r>
      <w:r w:rsidRPr="007427EF">
        <w:rPr>
          <w:rFonts w:eastAsia="Calibri"/>
        </w:rPr>
        <w:t xml:space="preserve">submission described </w:t>
      </w:r>
      <w:r w:rsidR="00B14807" w:rsidRPr="007427EF">
        <w:rPr>
          <w:rFonts w:eastAsia="Calibri"/>
        </w:rPr>
        <w:t>mogamulizumab</w:t>
      </w:r>
      <w:r w:rsidRPr="007427EF">
        <w:rPr>
          <w:rFonts w:eastAsia="Calibri"/>
        </w:rPr>
        <w:t xml:space="preserve"> as superior in terms of effectiveness compared to </w:t>
      </w:r>
      <w:proofErr w:type="spellStart"/>
      <w:r w:rsidR="00B14807" w:rsidRPr="007427EF">
        <w:rPr>
          <w:rFonts w:eastAsia="Calibri"/>
        </w:rPr>
        <w:t>vorinostat</w:t>
      </w:r>
      <w:proofErr w:type="spellEnd"/>
      <w:r w:rsidRPr="007427EF">
        <w:rPr>
          <w:rFonts w:eastAsia="Calibri"/>
        </w:rPr>
        <w:t>. Th</w:t>
      </w:r>
      <w:r w:rsidR="005F3E65" w:rsidRPr="007427EF">
        <w:rPr>
          <w:rFonts w:eastAsia="Calibri"/>
        </w:rPr>
        <w:t xml:space="preserve">e </w:t>
      </w:r>
      <w:r w:rsidR="005F3E65" w:rsidRPr="00A559A5">
        <w:rPr>
          <w:rFonts w:eastAsia="Calibri"/>
          <w:iCs/>
        </w:rPr>
        <w:t>evaluation and the ESC considered</w:t>
      </w:r>
      <w:r w:rsidR="005F3E65" w:rsidRPr="007427EF">
        <w:rPr>
          <w:rFonts w:eastAsia="Calibri"/>
        </w:rPr>
        <w:t xml:space="preserve"> th</w:t>
      </w:r>
      <w:r w:rsidRPr="007427EF">
        <w:rPr>
          <w:rFonts w:eastAsia="Calibri"/>
        </w:rPr>
        <w:t xml:space="preserve">is claim was not </w:t>
      </w:r>
      <w:r w:rsidR="00F61953" w:rsidRPr="007427EF">
        <w:rPr>
          <w:rFonts w:eastAsia="Calibri"/>
        </w:rPr>
        <w:t>supported by the evidence presented</w:t>
      </w:r>
      <w:r w:rsidR="00E121A3" w:rsidRPr="007427EF">
        <w:rPr>
          <w:rFonts w:eastAsia="Calibri"/>
        </w:rPr>
        <w:t xml:space="preserve">. </w:t>
      </w:r>
      <w:r w:rsidR="005D3264" w:rsidRPr="00A559A5">
        <w:rPr>
          <w:rFonts w:eastAsia="Calibri"/>
          <w:iCs/>
        </w:rPr>
        <w:t>The ESC noted</w:t>
      </w:r>
      <w:r w:rsidR="00F61953" w:rsidRPr="007427EF">
        <w:rPr>
          <w:rFonts w:eastAsia="Calibri"/>
        </w:rPr>
        <w:t xml:space="preserve"> </w:t>
      </w:r>
      <w:r w:rsidR="002C0AF7" w:rsidRPr="007427EF">
        <w:rPr>
          <w:rFonts w:eastAsia="Calibri"/>
        </w:rPr>
        <w:t xml:space="preserve">the matching adjustment </w:t>
      </w:r>
      <w:r w:rsidR="00FB25F0" w:rsidRPr="007427EF">
        <w:rPr>
          <w:rFonts w:eastAsia="Calibri"/>
        </w:rPr>
        <w:t xml:space="preserve">process used </w:t>
      </w:r>
      <w:r w:rsidR="00DC1BC4" w:rsidRPr="007427EF">
        <w:rPr>
          <w:rFonts w:eastAsia="Calibri"/>
        </w:rPr>
        <w:t xml:space="preserve">did not adequately </w:t>
      </w:r>
      <w:r w:rsidR="00BF45C5" w:rsidRPr="007427EF">
        <w:rPr>
          <w:rFonts w:eastAsia="Calibri"/>
        </w:rPr>
        <w:t>incorporate critical prognostic factors and treatment effect modifiers</w:t>
      </w:r>
      <w:r w:rsidR="0095241D" w:rsidRPr="007427EF">
        <w:rPr>
          <w:rFonts w:eastAsia="Calibri"/>
        </w:rPr>
        <w:t>.</w:t>
      </w:r>
      <w:r w:rsidR="00FD3BE8" w:rsidRPr="00A559A5">
        <w:rPr>
          <w:rFonts w:eastAsia="Calibri"/>
          <w:iCs/>
        </w:rPr>
        <w:t xml:space="preserve"> </w:t>
      </w:r>
      <w:r w:rsidR="0095241D" w:rsidRPr="00A559A5">
        <w:rPr>
          <w:rFonts w:eastAsia="Calibri"/>
          <w:iCs/>
        </w:rPr>
        <w:t>T</w:t>
      </w:r>
      <w:r w:rsidR="00FD3BE8" w:rsidRPr="00A559A5">
        <w:rPr>
          <w:rFonts w:eastAsia="Calibri"/>
          <w:iCs/>
        </w:rPr>
        <w:t>he</w:t>
      </w:r>
      <w:r w:rsidR="00A70C66" w:rsidRPr="00A559A5">
        <w:rPr>
          <w:iCs/>
        </w:rPr>
        <w:t xml:space="preserve"> </w:t>
      </w:r>
      <w:r w:rsidR="0095241D" w:rsidRPr="00A559A5">
        <w:rPr>
          <w:iCs/>
        </w:rPr>
        <w:t xml:space="preserve">ESC also noted that the </w:t>
      </w:r>
      <w:r w:rsidR="00A70C66" w:rsidRPr="00A559A5">
        <w:rPr>
          <w:iCs/>
        </w:rPr>
        <w:t xml:space="preserve">results of the MAIC suggested that </w:t>
      </w:r>
      <w:r w:rsidR="00E477B6" w:rsidRPr="00A559A5">
        <w:rPr>
          <w:iCs/>
        </w:rPr>
        <w:t>the</w:t>
      </w:r>
      <w:r w:rsidR="00A70C66" w:rsidRPr="00A559A5">
        <w:rPr>
          <w:iCs/>
        </w:rPr>
        <w:t xml:space="preserve"> difference in OS between the treatments</w:t>
      </w:r>
      <w:r w:rsidR="00E477B6" w:rsidRPr="00A559A5">
        <w:rPr>
          <w:iCs/>
        </w:rPr>
        <w:t xml:space="preserve"> was not statistically significant </w:t>
      </w:r>
      <w:r w:rsidR="00A70C66" w:rsidRPr="00A559A5">
        <w:rPr>
          <w:iCs/>
        </w:rPr>
        <w:t>(hazard ratio = 0.68; 95% confidence interval = 0.45, 1.02; p = 0.06).</w:t>
      </w:r>
      <w:r w:rsidR="00A70C66" w:rsidRPr="007427EF">
        <w:t xml:space="preserve"> </w:t>
      </w:r>
      <w:r w:rsidR="00A70C66" w:rsidRPr="00A559A5">
        <w:rPr>
          <w:iCs/>
        </w:rPr>
        <w:t xml:space="preserve">Overall, the ESC considered it reasonable to conclude that mogamulizumab </w:t>
      </w:r>
      <w:r w:rsidR="00481CA9" w:rsidRPr="00A559A5">
        <w:rPr>
          <w:iCs/>
        </w:rPr>
        <w:t xml:space="preserve">is non-inferior in effectiveness compared </w:t>
      </w:r>
      <w:r w:rsidR="00FC4BE5" w:rsidRPr="00A559A5">
        <w:rPr>
          <w:iCs/>
        </w:rPr>
        <w:t>to</w:t>
      </w:r>
      <w:r w:rsidR="00A70C66" w:rsidRPr="00A559A5">
        <w:rPr>
          <w:iCs/>
        </w:rPr>
        <w:t xml:space="preserve"> </w:t>
      </w:r>
      <w:proofErr w:type="spellStart"/>
      <w:r w:rsidR="00A70C66" w:rsidRPr="00A559A5">
        <w:rPr>
          <w:iCs/>
        </w:rPr>
        <w:t>vorinostat</w:t>
      </w:r>
      <w:proofErr w:type="spellEnd"/>
      <w:r w:rsidR="00A70C66" w:rsidRPr="00A559A5">
        <w:rPr>
          <w:iCs/>
        </w:rPr>
        <w:t>.</w:t>
      </w:r>
    </w:p>
    <w:p w14:paraId="7F613CD1" w14:textId="0D1F0288" w:rsidR="005F7588" w:rsidRPr="007427EF" w:rsidRDefault="005F7588" w:rsidP="6A98AE7B">
      <w:pPr>
        <w:pStyle w:val="3-BodyText"/>
        <w:rPr>
          <w:rFonts w:eastAsia="Calibri"/>
        </w:rPr>
      </w:pPr>
      <w:r w:rsidRPr="007427EF">
        <w:rPr>
          <w:rFonts w:eastAsia="Calibri"/>
        </w:rPr>
        <w:t xml:space="preserve">The </w:t>
      </w:r>
      <w:r w:rsidR="008B502B" w:rsidRPr="007427EF">
        <w:rPr>
          <w:rFonts w:eastAsia="Calibri"/>
        </w:rPr>
        <w:t xml:space="preserve">resubmission </w:t>
      </w:r>
      <w:r w:rsidRPr="007427EF">
        <w:rPr>
          <w:rFonts w:eastAsia="Calibri"/>
        </w:rPr>
        <w:t xml:space="preserve">described </w:t>
      </w:r>
      <w:r w:rsidR="008B502B" w:rsidRPr="007427EF">
        <w:rPr>
          <w:rFonts w:eastAsia="Calibri"/>
        </w:rPr>
        <w:t xml:space="preserve">mogamulizumab </w:t>
      </w:r>
      <w:r w:rsidRPr="007427EF">
        <w:rPr>
          <w:rFonts w:eastAsia="Calibri"/>
        </w:rPr>
        <w:t>as non-inferior in term</w:t>
      </w:r>
      <w:r w:rsidR="00156F8F" w:rsidRPr="007427EF">
        <w:rPr>
          <w:rFonts w:eastAsia="Calibri"/>
        </w:rPr>
        <w:t>s</w:t>
      </w:r>
      <w:r w:rsidRPr="007427EF">
        <w:rPr>
          <w:rFonts w:eastAsia="Calibri"/>
        </w:rPr>
        <w:t xml:space="preserve"> of safety compared to </w:t>
      </w:r>
      <w:proofErr w:type="spellStart"/>
      <w:r w:rsidR="008B502B" w:rsidRPr="007427EF">
        <w:rPr>
          <w:rFonts w:eastAsia="Calibri"/>
        </w:rPr>
        <w:t>vorinostat</w:t>
      </w:r>
      <w:proofErr w:type="spellEnd"/>
      <w:r w:rsidRPr="007427EF">
        <w:rPr>
          <w:rFonts w:eastAsia="Calibri"/>
        </w:rPr>
        <w:t xml:space="preserve">. This claim was </w:t>
      </w:r>
      <w:r w:rsidR="00C52F6E" w:rsidRPr="007427EF">
        <w:rPr>
          <w:rFonts w:eastAsia="Calibri"/>
        </w:rPr>
        <w:t xml:space="preserve">previously </w:t>
      </w:r>
      <w:r w:rsidR="00EC6C42" w:rsidRPr="007427EF">
        <w:rPr>
          <w:rFonts w:eastAsia="Calibri"/>
        </w:rPr>
        <w:t>accepted</w:t>
      </w:r>
      <w:r w:rsidR="00AB281C" w:rsidRPr="007427EF">
        <w:rPr>
          <w:rFonts w:eastAsia="Calibri"/>
        </w:rPr>
        <w:t xml:space="preserve"> (see paragraph </w:t>
      </w:r>
      <w:r w:rsidR="005C7D58" w:rsidRPr="007427EF">
        <w:rPr>
          <w:rFonts w:eastAsia="Calibri"/>
        </w:rPr>
        <w:fldChar w:fldCharType="begin"/>
      </w:r>
      <w:r w:rsidR="005C7D58" w:rsidRPr="007427EF">
        <w:rPr>
          <w:rFonts w:eastAsia="Calibri"/>
        </w:rPr>
        <w:instrText xml:space="preserve"> REF _Ref187852797 \r \h </w:instrText>
      </w:r>
      <w:r w:rsidR="00AF4953" w:rsidRPr="007427EF">
        <w:rPr>
          <w:rFonts w:eastAsia="Calibri"/>
        </w:rPr>
        <w:instrText xml:space="preserve"> \* MERGEFORMAT </w:instrText>
      </w:r>
      <w:r w:rsidR="005C7D58" w:rsidRPr="007427EF">
        <w:rPr>
          <w:rFonts w:eastAsia="Calibri"/>
        </w:rPr>
      </w:r>
      <w:r w:rsidR="005C7D58" w:rsidRPr="007427EF">
        <w:rPr>
          <w:rFonts w:eastAsia="Calibri"/>
        </w:rPr>
        <w:fldChar w:fldCharType="separate"/>
      </w:r>
      <w:r w:rsidR="00EF6B5D">
        <w:rPr>
          <w:rFonts w:eastAsia="Calibri"/>
        </w:rPr>
        <w:t>6.20</w:t>
      </w:r>
      <w:r w:rsidR="005C7D58" w:rsidRPr="007427EF">
        <w:rPr>
          <w:rFonts w:eastAsia="Calibri"/>
        </w:rPr>
        <w:fldChar w:fldCharType="end"/>
      </w:r>
      <w:r w:rsidR="005C7D58" w:rsidRPr="007427EF">
        <w:rPr>
          <w:rFonts w:eastAsia="Calibri"/>
        </w:rPr>
        <w:t>)</w:t>
      </w:r>
      <w:r w:rsidR="008B502B" w:rsidRPr="007427EF">
        <w:rPr>
          <w:rFonts w:eastAsia="Calibri"/>
        </w:rPr>
        <w:t>.</w:t>
      </w:r>
    </w:p>
    <w:p w14:paraId="4B7E44CD" w14:textId="63C6B472" w:rsidR="00A15DA7" w:rsidRDefault="00A15DA7" w:rsidP="6A98AE7B">
      <w:pPr>
        <w:pStyle w:val="3-BodyText"/>
        <w:rPr>
          <w:rFonts w:eastAsia="Calibri"/>
        </w:rPr>
      </w:pPr>
      <w:r w:rsidRPr="007427EF">
        <w:rPr>
          <w:rFonts w:eastAsia="Calibri"/>
        </w:rPr>
        <w:t xml:space="preserve">No formal claim was made for mogamulizumab against ECP and brentuximab. </w:t>
      </w:r>
      <w:r w:rsidR="00713038" w:rsidRPr="007427EF">
        <w:rPr>
          <w:rFonts w:eastAsia="Calibri"/>
        </w:rPr>
        <w:t>T</w:t>
      </w:r>
      <w:r w:rsidRPr="007427EF">
        <w:rPr>
          <w:rFonts w:eastAsia="Calibri"/>
        </w:rPr>
        <w:t xml:space="preserve">he comparative effectiveness of mogamulizumab versus ECP and brentuximab remains </w:t>
      </w:r>
      <w:r w:rsidR="00D450D9" w:rsidRPr="007427EF">
        <w:rPr>
          <w:rFonts w:eastAsia="Calibri"/>
        </w:rPr>
        <w:t>unknown</w:t>
      </w:r>
      <w:r w:rsidRPr="007427EF">
        <w:rPr>
          <w:rFonts w:eastAsia="Calibri"/>
        </w:rPr>
        <w:t>.</w:t>
      </w:r>
    </w:p>
    <w:p w14:paraId="04E380C4" w14:textId="3DA0E441" w:rsidR="00253546" w:rsidRPr="00253546" w:rsidRDefault="00044E53" w:rsidP="00253546">
      <w:pPr>
        <w:pStyle w:val="3-BodyText"/>
        <w:rPr>
          <w:snapToGrid w:val="0"/>
        </w:rPr>
      </w:pPr>
      <w:bookmarkStart w:id="44" w:name="_Hlk76376200"/>
      <w:r w:rsidRPr="00E75C60">
        <w:rPr>
          <w:iCs/>
          <w:snapToGrid w:val="0"/>
        </w:rPr>
        <w:t>The</w:t>
      </w:r>
      <w:r w:rsidRPr="00E75C60">
        <w:rPr>
          <w:snapToGrid w:val="0"/>
        </w:rPr>
        <w:t xml:space="preserve"> PBAC considered that </w:t>
      </w:r>
      <w:r w:rsidR="00253546" w:rsidRPr="00253546">
        <w:rPr>
          <w:snapToGrid w:val="0"/>
        </w:rPr>
        <w:t xml:space="preserve">the claim of significant and superior clinical effectiveness versus </w:t>
      </w:r>
      <w:proofErr w:type="spellStart"/>
      <w:r w:rsidR="00253546" w:rsidRPr="00253546">
        <w:rPr>
          <w:snapToGrid w:val="0"/>
        </w:rPr>
        <w:t>vorinostat</w:t>
      </w:r>
      <w:proofErr w:type="spellEnd"/>
      <w:r w:rsidR="00253546" w:rsidRPr="00253546">
        <w:rPr>
          <w:snapToGrid w:val="0"/>
        </w:rPr>
        <w:t xml:space="preserve"> was not supported by the data. The PBAC considered a claim of non-inferior comparative effectiveness would be reasonable. </w:t>
      </w:r>
    </w:p>
    <w:p w14:paraId="13B5E997" w14:textId="772D142F" w:rsidR="00044E53" w:rsidRPr="00E75C60" w:rsidRDefault="00044E53" w:rsidP="00044E53">
      <w:pPr>
        <w:pStyle w:val="3-BodyText"/>
        <w:rPr>
          <w:snapToGrid w:val="0"/>
        </w:rPr>
      </w:pPr>
      <w:r w:rsidRPr="00E75C60">
        <w:rPr>
          <w:snapToGrid w:val="0"/>
        </w:rPr>
        <w:t xml:space="preserve">The PBAC considered that </w:t>
      </w:r>
      <w:r w:rsidR="002E05B2" w:rsidRPr="00E75C60">
        <w:rPr>
          <w:rFonts w:ascii="Calibri" w:hAnsi="Calibri" w:cs="Calibri"/>
          <w:iCs/>
        </w:rPr>
        <w:t xml:space="preserve">the claim of non-inferior comparative safety versus </w:t>
      </w:r>
      <w:proofErr w:type="spellStart"/>
      <w:r w:rsidR="002E05B2" w:rsidRPr="00E75C60">
        <w:rPr>
          <w:rFonts w:ascii="Calibri" w:hAnsi="Calibri" w:cs="Calibri"/>
          <w:iCs/>
        </w:rPr>
        <w:t>vorinostat</w:t>
      </w:r>
      <w:proofErr w:type="spellEnd"/>
      <w:r w:rsidR="002E05B2" w:rsidRPr="00E75C60">
        <w:rPr>
          <w:rFonts w:ascii="Calibri" w:hAnsi="Calibri" w:cs="Calibri"/>
          <w:iCs/>
        </w:rPr>
        <w:t xml:space="preserve"> was reasonable, noting that it had </w:t>
      </w:r>
      <w:r w:rsidR="00E5267D" w:rsidRPr="00E75C60">
        <w:rPr>
          <w:rFonts w:ascii="Calibri" w:hAnsi="Calibri" w:cs="Calibri"/>
          <w:iCs/>
        </w:rPr>
        <w:t>considered that this claim was reasonably supported by the data at its July 2020 meeting</w:t>
      </w:r>
      <w:r w:rsidR="00E75C60" w:rsidRPr="00E75C60">
        <w:rPr>
          <w:rFonts w:ascii="Calibri" w:hAnsi="Calibri" w:cs="Calibri"/>
          <w:iCs/>
        </w:rPr>
        <w:t xml:space="preserve"> </w:t>
      </w:r>
      <w:r w:rsidR="00E75C60" w:rsidRPr="00E75C60">
        <w:rPr>
          <w:rFonts w:cs="Calibri"/>
          <w:iCs/>
        </w:rPr>
        <w:t>(paragraph 7.7, mogamulizumab PBAC PSD, July 2020 PBAC Meeting)</w:t>
      </w:r>
      <w:r w:rsidR="00E5267D" w:rsidRPr="00E75C60">
        <w:rPr>
          <w:rFonts w:ascii="Calibri" w:hAnsi="Calibri" w:cs="Calibri"/>
          <w:iCs/>
        </w:rPr>
        <w:t xml:space="preserve">, and that no additional clinical trial data were presented. </w:t>
      </w:r>
      <w:r w:rsidR="002E05B2" w:rsidRPr="00E75C60">
        <w:rPr>
          <w:rFonts w:ascii="Calibri" w:hAnsi="Calibri" w:cs="Calibri"/>
          <w:iCs/>
        </w:rPr>
        <w:t xml:space="preserve"> </w:t>
      </w:r>
    </w:p>
    <w:p w14:paraId="7BF46219" w14:textId="77777777" w:rsidR="00E82C63" w:rsidRPr="007427EF" w:rsidRDefault="00E82C63" w:rsidP="00E82C63">
      <w:pPr>
        <w:pStyle w:val="4-SubsectionHeading"/>
      </w:pPr>
      <w:bookmarkStart w:id="45" w:name="_Toc22897645"/>
      <w:bookmarkStart w:id="46" w:name="_Toc188431849"/>
      <w:bookmarkStart w:id="47" w:name="_Toc22897650"/>
      <w:bookmarkEnd w:id="44"/>
      <w:r w:rsidRPr="007427EF">
        <w:t>Economic analysis</w:t>
      </w:r>
      <w:bookmarkEnd w:id="45"/>
      <w:bookmarkEnd w:id="46"/>
      <w:r w:rsidRPr="007427EF">
        <w:t xml:space="preserve"> </w:t>
      </w:r>
    </w:p>
    <w:p w14:paraId="636E59FC" w14:textId="1444865D" w:rsidR="00D7729E" w:rsidRPr="007427EF" w:rsidRDefault="00E82C63" w:rsidP="6A98AE7B">
      <w:pPr>
        <w:pStyle w:val="3-BodyText"/>
        <w:rPr>
          <w:color w:val="000000" w:themeColor="text1"/>
        </w:rPr>
      </w:pPr>
      <w:r w:rsidRPr="007427EF">
        <w:t xml:space="preserve">The resubmission presented a cost-utility analysis (CUA) comparing mogamulizumab with </w:t>
      </w:r>
      <w:proofErr w:type="spellStart"/>
      <w:r w:rsidRPr="007427EF">
        <w:t>vorinostat</w:t>
      </w:r>
      <w:proofErr w:type="spellEnd"/>
      <w:r w:rsidRPr="007427EF">
        <w:t xml:space="preserve">. The </w:t>
      </w:r>
      <w:r w:rsidR="0071763F" w:rsidRPr="007427EF">
        <w:t xml:space="preserve">evaluation considered the </w:t>
      </w:r>
      <w:r w:rsidRPr="007427EF">
        <w:t xml:space="preserve">evidence presented in the clinical section did not substantiate the claim of superior efficacy of mogamulizumab compared with </w:t>
      </w:r>
      <w:proofErr w:type="spellStart"/>
      <w:r w:rsidRPr="007427EF">
        <w:t>vorinostat</w:t>
      </w:r>
      <w:proofErr w:type="spellEnd"/>
      <w:r w:rsidRPr="007427EF">
        <w:t xml:space="preserve">. </w:t>
      </w:r>
      <w:r w:rsidR="007B776C" w:rsidRPr="007427EF">
        <w:t xml:space="preserve">The evaluation </w:t>
      </w:r>
      <w:r w:rsidR="003D0EC4" w:rsidRPr="007427EF">
        <w:t xml:space="preserve">considered a cost-minimisation approach </w:t>
      </w:r>
      <w:r w:rsidR="00F10543">
        <w:t xml:space="preserve">(CMA) </w:t>
      </w:r>
      <w:r w:rsidR="003D0EC4" w:rsidRPr="007427EF">
        <w:t xml:space="preserve">comparing mogamulizumab against </w:t>
      </w:r>
      <w:proofErr w:type="spellStart"/>
      <w:r w:rsidR="003D0EC4" w:rsidRPr="007427EF">
        <w:t>vorinostat</w:t>
      </w:r>
      <w:proofErr w:type="spellEnd"/>
      <w:r w:rsidR="003D0EC4" w:rsidRPr="007427EF">
        <w:t xml:space="preserve"> would have been more suitable in this context.</w:t>
      </w:r>
      <w:r w:rsidR="00D403C5" w:rsidRPr="007427EF">
        <w:t xml:space="preserve"> </w:t>
      </w:r>
      <w:r w:rsidR="00C83A91" w:rsidRPr="00A559A5">
        <w:rPr>
          <w:iCs/>
        </w:rPr>
        <w:t xml:space="preserve">Acknowledging the limitations of the clinical data, the PSCR presented </w:t>
      </w:r>
      <w:r w:rsidR="00C83A91" w:rsidRPr="00A559A5">
        <w:rPr>
          <w:iCs/>
        </w:rPr>
        <w:lastRenderedPageBreak/>
        <w:t xml:space="preserve">a CMA for mogamulizumab versus </w:t>
      </w:r>
      <w:proofErr w:type="spellStart"/>
      <w:r w:rsidR="00C83A91" w:rsidRPr="00A559A5">
        <w:rPr>
          <w:iCs/>
        </w:rPr>
        <w:t>vorinostat</w:t>
      </w:r>
      <w:proofErr w:type="spellEnd"/>
      <w:r w:rsidR="00D9273A" w:rsidRPr="00A559A5">
        <w:rPr>
          <w:iCs/>
        </w:rPr>
        <w:t xml:space="preserve">. As the PSCR presented a CMA, the information provided by the evaluation on the CUA has been removed from the </w:t>
      </w:r>
      <w:r w:rsidR="00604DE9">
        <w:rPr>
          <w:iCs/>
        </w:rPr>
        <w:t>minutes</w:t>
      </w:r>
      <w:r w:rsidR="00D25C8A">
        <w:rPr>
          <w:iCs/>
        </w:rPr>
        <w:t>.</w:t>
      </w:r>
      <w:r w:rsidR="00D9273A" w:rsidRPr="00A559A5">
        <w:rPr>
          <w:iCs/>
        </w:rPr>
        <w:t xml:space="preserve"> </w:t>
      </w:r>
    </w:p>
    <w:p w14:paraId="59B0B20F" w14:textId="2464D149" w:rsidR="00BB1386" w:rsidRPr="00A559A5" w:rsidRDefault="00D9273A" w:rsidP="6A98AE7B">
      <w:pPr>
        <w:pStyle w:val="3-BodyText"/>
        <w:rPr>
          <w:iCs/>
        </w:rPr>
      </w:pPr>
      <w:r w:rsidRPr="00A559A5">
        <w:rPr>
          <w:iCs/>
        </w:rPr>
        <w:t>T</w:t>
      </w:r>
      <w:r w:rsidR="0053519E" w:rsidRPr="00A559A5">
        <w:rPr>
          <w:iCs/>
        </w:rPr>
        <w:t xml:space="preserve">he </w:t>
      </w:r>
      <w:r w:rsidR="00C63088" w:rsidRPr="00A559A5">
        <w:rPr>
          <w:iCs/>
        </w:rPr>
        <w:t xml:space="preserve">CMA presented in the </w:t>
      </w:r>
      <w:r w:rsidR="0053519E" w:rsidRPr="00A559A5">
        <w:rPr>
          <w:iCs/>
        </w:rPr>
        <w:t xml:space="preserve">PSCR for mogamulizumab versus </w:t>
      </w:r>
      <w:proofErr w:type="spellStart"/>
      <w:r w:rsidR="0053519E" w:rsidRPr="00A559A5">
        <w:rPr>
          <w:iCs/>
        </w:rPr>
        <w:t>vorinostat</w:t>
      </w:r>
      <w:proofErr w:type="spellEnd"/>
      <w:r w:rsidR="0053519E" w:rsidRPr="00A559A5">
        <w:rPr>
          <w:iCs/>
        </w:rPr>
        <w:t xml:space="preserve"> </w:t>
      </w:r>
      <w:r w:rsidR="00A47459" w:rsidRPr="00A559A5">
        <w:rPr>
          <w:iCs/>
        </w:rPr>
        <w:t xml:space="preserve">was </w:t>
      </w:r>
      <w:r w:rsidR="0053519E" w:rsidRPr="00A559A5">
        <w:rPr>
          <w:iCs/>
        </w:rPr>
        <w:t xml:space="preserve">based on drug costs only </w:t>
      </w:r>
      <w:r w:rsidR="00B42E72" w:rsidRPr="00A559A5">
        <w:rPr>
          <w:iCs/>
        </w:rPr>
        <w:t>(</w:t>
      </w:r>
      <w:r w:rsidR="00BB0A65" w:rsidRPr="00A559A5">
        <w:rPr>
          <w:iCs/>
        </w:rPr>
        <w:t xml:space="preserve">see </w:t>
      </w:r>
      <w:r w:rsidR="00463985" w:rsidRPr="00A559A5">
        <w:rPr>
          <w:iCs/>
        </w:rPr>
        <w:fldChar w:fldCharType="begin"/>
      </w:r>
      <w:r w:rsidR="00463985" w:rsidRPr="00A559A5">
        <w:rPr>
          <w:iCs/>
        </w:rPr>
        <w:instrText xml:space="preserve"> REF _Ref190862591 \h  \* MERGEFORMAT </w:instrText>
      </w:r>
      <w:r w:rsidR="00463985" w:rsidRPr="00A559A5">
        <w:rPr>
          <w:iCs/>
        </w:rPr>
      </w:r>
      <w:r w:rsidR="00463985" w:rsidRPr="00A559A5">
        <w:rPr>
          <w:iCs/>
        </w:rPr>
        <w:fldChar w:fldCharType="separate"/>
      </w:r>
      <w:r w:rsidR="00EF6B5D" w:rsidRPr="00A559A5">
        <w:rPr>
          <w:iCs/>
        </w:rPr>
        <w:t xml:space="preserve">Table </w:t>
      </w:r>
      <w:r w:rsidR="00EF6B5D">
        <w:rPr>
          <w:iCs/>
        </w:rPr>
        <w:t>8</w:t>
      </w:r>
      <w:r w:rsidR="00463985" w:rsidRPr="00A559A5">
        <w:rPr>
          <w:iCs/>
        </w:rPr>
        <w:fldChar w:fldCharType="end"/>
      </w:r>
      <w:r w:rsidR="0053519E" w:rsidRPr="00A559A5">
        <w:rPr>
          <w:iCs/>
        </w:rPr>
        <w:t xml:space="preserve">). </w:t>
      </w:r>
      <w:r w:rsidR="00B31146" w:rsidRPr="00A559A5">
        <w:rPr>
          <w:iCs/>
        </w:rPr>
        <w:t xml:space="preserve">The PSCR </w:t>
      </w:r>
      <w:r w:rsidR="00BB1386" w:rsidRPr="00A559A5">
        <w:rPr>
          <w:iCs/>
        </w:rPr>
        <w:t xml:space="preserve">proposed the following steady state </w:t>
      </w:r>
      <w:bookmarkStart w:id="48" w:name="_Hlk193115630"/>
      <w:proofErr w:type="spellStart"/>
      <w:r w:rsidR="00BB1386" w:rsidRPr="00A559A5">
        <w:rPr>
          <w:iCs/>
        </w:rPr>
        <w:t>equi</w:t>
      </w:r>
      <w:proofErr w:type="spellEnd"/>
      <w:r w:rsidR="00BB1386" w:rsidRPr="00A559A5">
        <w:rPr>
          <w:iCs/>
        </w:rPr>
        <w:t xml:space="preserve">-effective dosing over a </w:t>
      </w:r>
      <w:proofErr w:type="gramStart"/>
      <w:r w:rsidR="00BB1386" w:rsidRPr="00A559A5">
        <w:rPr>
          <w:iCs/>
        </w:rPr>
        <w:t>28 day</w:t>
      </w:r>
      <w:proofErr w:type="gramEnd"/>
      <w:r w:rsidR="00BB1386" w:rsidRPr="00A559A5">
        <w:rPr>
          <w:iCs/>
        </w:rPr>
        <w:t xml:space="preserve"> cycle:</w:t>
      </w:r>
    </w:p>
    <w:p w14:paraId="64C351DA" w14:textId="7919E351" w:rsidR="002B412D" w:rsidRPr="00A559A5" w:rsidRDefault="00EE1409" w:rsidP="001F735E">
      <w:pPr>
        <w:pStyle w:val="3-BodyText"/>
        <w:numPr>
          <w:ilvl w:val="0"/>
          <w:numId w:val="13"/>
        </w:numPr>
        <w:rPr>
          <w:iCs/>
        </w:rPr>
      </w:pPr>
      <w:r w:rsidRPr="00A559A5">
        <w:rPr>
          <w:iCs/>
        </w:rPr>
        <w:t xml:space="preserve">400 mg </w:t>
      </w:r>
      <w:proofErr w:type="spellStart"/>
      <w:r w:rsidRPr="00A559A5">
        <w:rPr>
          <w:iCs/>
        </w:rPr>
        <w:t>vorinostat</w:t>
      </w:r>
      <w:proofErr w:type="spellEnd"/>
      <w:r w:rsidRPr="00A559A5">
        <w:rPr>
          <w:iCs/>
        </w:rPr>
        <w:t xml:space="preserve"> administered orally daily</w:t>
      </w:r>
    </w:p>
    <w:p w14:paraId="1C34A7FB" w14:textId="1BEC141A" w:rsidR="00EE1409" w:rsidRPr="00A559A5" w:rsidRDefault="00EE1409" w:rsidP="00B474C4">
      <w:pPr>
        <w:pStyle w:val="3-BodyText"/>
        <w:numPr>
          <w:ilvl w:val="0"/>
          <w:numId w:val="13"/>
        </w:numPr>
        <w:rPr>
          <w:iCs/>
        </w:rPr>
      </w:pPr>
      <w:r w:rsidRPr="00A559A5">
        <w:rPr>
          <w:iCs/>
        </w:rPr>
        <w:t>80</w:t>
      </w:r>
      <w:r w:rsidR="002862A8" w:rsidRPr="00A559A5">
        <w:rPr>
          <w:iCs/>
        </w:rPr>
        <w:t xml:space="preserve"> mg of mogamulizumab administered IV on days 1 and 15 only.</w:t>
      </w:r>
    </w:p>
    <w:bookmarkEnd w:id="48"/>
    <w:p w14:paraId="3F2DF8AB" w14:textId="0DE1C3F4" w:rsidR="002862A8" w:rsidRPr="00A559A5" w:rsidRDefault="00AA23E2" w:rsidP="00845EE3">
      <w:pPr>
        <w:pStyle w:val="3-BodyText"/>
        <w:numPr>
          <w:ilvl w:val="0"/>
          <w:numId w:val="0"/>
        </w:numPr>
        <w:ind w:left="720"/>
        <w:rPr>
          <w:rFonts w:ascii="Arial Narrow" w:hAnsi="Arial Narrow"/>
          <w:b/>
          <w:iCs/>
          <w:sz w:val="20"/>
          <w:szCs w:val="20"/>
        </w:rPr>
      </w:pPr>
      <w:r w:rsidRPr="00A559A5">
        <w:rPr>
          <w:iCs/>
        </w:rPr>
        <w:t xml:space="preserve">As a result of the CMA the </w:t>
      </w:r>
      <w:r w:rsidR="0053519E" w:rsidRPr="00A559A5">
        <w:rPr>
          <w:iCs/>
        </w:rPr>
        <w:t xml:space="preserve">PSCR proposed a reduced effective price for </w:t>
      </w:r>
      <w:r w:rsidR="0053519E" w:rsidRPr="004F6F60">
        <w:rPr>
          <w:iCs/>
        </w:rPr>
        <w:t>mogamulizumab of $</w:t>
      </w:r>
      <w:r w:rsidR="00DC414F" w:rsidRPr="00DC414F">
        <w:rPr>
          <w:iCs/>
          <w:color w:val="000000"/>
          <w:w w:val="60"/>
          <w:shd w:val="solid" w:color="000000" w:fill="000000"/>
          <w:fitText w:val="468" w:id="-629370623"/>
          <w14:textFill>
            <w14:solidFill>
              <w14:srgbClr w14:val="000000">
                <w14:alpha w14:val="100000"/>
              </w14:srgbClr>
            </w14:solidFill>
          </w14:textFill>
        </w:rPr>
        <w:t>||</w:t>
      </w:r>
      <w:proofErr w:type="gramStart"/>
      <w:r w:rsidR="00DC414F" w:rsidRPr="00DC414F">
        <w:rPr>
          <w:iCs/>
          <w:color w:val="000000"/>
          <w:w w:val="60"/>
          <w:shd w:val="solid" w:color="000000" w:fill="000000"/>
          <w:fitText w:val="468" w:id="-629370623"/>
          <w14:textFill>
            <w14:solidFill>
              <w14:srgbClr w14:val="000000">
                <w14:alpha w14:val="100000"/>
              </w14:srgbClr>
            </w14:solidFill>
          </w14:textFill>
        </w:rPr>
        <w:t>|  |</w:t>
      </w:r>
      <w:proofErr w:type="gramEnd"/>
      <w:r w:rsidR="00DC414F" w:rsidRPr="00DC414F">
        <w:rPr>
          <w:iCs/>
          <w:color w:val="000000"/>
          <w:w w:val="60"/>
          <w:shd w:val="solid" w:color="000000" w:fill="000000"/>
          <w:fitText w:val="468" w:id="-629370623"/>
          <w14:textFill>
            <w14:solidFill>
              <w14:srgbClr w14:val="000000">
                <w14:alpha w14:val="100000"/>
              </w14:srgbClr>
            </w14:solidFill>
          </w14:textFill>
        </w:rPr>
        <w:t>|</w:t>
      </w:r>
      <w:r w:rsidR="00DC414F" w:rsidRPr="00DC414F">
        <w:rPr>
          <w:iCs/>
          <w:color w:val="000000"/>
          <w:spacing w:val="4"/>
          <w:w w:val="60"/>
          <w:shd w:val="solid" w:color="000000" w:fill="000000"/>
          <w:fitText w:val="468" w:id="-629370623"/>
          <w14:textFill>
            <w14:solidFill>
              <w14:srgbClr w14:val="000000">
                <w14:alpha w14:val="100000"/>
              </w14:srgbClr>
            </w14:solidFill>
          </w14:textFill>
        </w:rPr>
        <w:t>|</w:t>
      </w:r>
      <w:r w:rsidR="0053519E" w:rsidRPr="004F6F60">
        <w:rPr>
          <w:iCs/>
        </w:rPr>
        <w:t xml:space="preserve"> per</w:t>
      </w:r>
      <w:r w:rsidR="0053519E" w:rsidRPr="00A559A5">
        <w:rPr>
          <w:iCs/>
        </w:rPr>
        <w:t xml:space="preserve"> vial</w:t>
      </w:r>
      <w:r w:rsidR="00A36412" w:rsidRPr="00A559A5">
        <w:rPr>
          <w:iCs/>
        </w:rPr>
        <w:t>.</w:t>
      </w:r>
      <w:bookmarkStart w:id="49" w:name="_Hlk190348506"/>
      <w:bookmarkStart w:id="50" w:name="_Hlk190357935"/>
    </w:p>
    <w:p w14:paraId="61DAA4E8" w14:textId="40912336" w:rsidR="00452246" w:rsidRPr="007427EF" w:rsidRDefault="00D54832" w:rsidP="00D54832">
      <w:pPr>
        <w:pStyle w:val="Caption"/>
      </w:pPr>
      <w:bookmarkStart w:id="51" w:name="_Ref190862591"/>
      <w:r w:rsidRPr="00A559A5">
        <w:rPr>
          <w:iCs/>
        </w:rPr>
        <w:t xml:space="preserve">Table </w:t>
      </w:r>
      <w:r w:rsidRPr="00A559A5">
        <w:rPr>
          <w:iCs/>
        </w:rPr>
        <w:fldChar w:fldCharType="begin"/>
      </w:r>
      <w:r w:rsidRPr="00A559A5">
        <w:rPr>
          <w:iCs/>
        </w:rPr>
        <w:instrText xml:space="preserve"> SEQ Table \* ARABIC </w:instrText>
      </w:r>
      <w:r w:rsidRPr="00A559A5">
        <w:rPr>
          <w:iCs/>
        </w:rPr>
        <w:fldChar w:fldCharType="separate"/>
      </w:r>
      <w:r w:rsidR="00EF6B5D">
        <w:rPr>
          <w:iCs/>
          <w:noProof/>
        </w:rPr>
        <w:t>8</w:t>
      </w:r>
      <w:r w:rsidRPr="00A559A5">
        <w:rPr>
          <w:iCs/>
        </w:rPr>
        <w:fldChar w:fldCharType="end"/>
      </w:r>
      <w:bookmarkEnd w:id="51"/>
      <w:r w:rsidR="003B41F0" w:rsidRPr="00A559A5">
        <w:rPr>
          <w:iCs/>
          <w:szCs w:val="20"/>
        </w:rPr>
        <w:t>:</w:t>
      </w:r>
      <w:r w:rsidR="00452246" w:rsidRPr="00A559A5">
        <w:rPr>
          <w:iCs/>
          <w:szCs w:val="20"/>
        </w:rPr>
        <w:t xml:space="preserve"> Cost-minimisation approach </w:t>
      </w:r>
      <w:r w:rsidR="004B1E1E" w:rsidRPr="00A559A5">
        <w:rPr>
          <w:iCs/>
          <w:szCs w:val="20"/>
        </w:rPr>
        <w:t>presented in the Pre-Sub-Committee Response</w:t>
      </w:r>
    </w:p>
    <w:tbl>
      <w:tblPr>
        <w:tblStyle w:val="TableGrid"/>
        <w:tblW w:w="9067" w:type="dxa"/>
        <w:tblLook w:val="04A0" w:firstRow="1" w:lastRow="0" w:firstColumn="1" w:lastColumn="0" w:noHBand="0" w:noVBand="1"/>
        <w:tblCaption w:val="Table 8: Cost-minimisation approach presented in the Pre-Sub-Committee Response"/>
      </w:tblPr>
      <w:tblGrid>
        <w:gridCol w:w="2360"/>
        <w:gridCol w:w="1888"/>
        <w:gridCol w:w="2977"/>
        <w:gridCol w:w="1842"/>
      </w:tblGrid>
      <w:tr w:rsidR="00990397" w:rsidRPr="00A559A5" w14:paraId="07EED4A8" w14:textId="77777777" w:rsidTr="6A98AE7B">
        <w:trPr>
          <w:trHeight w:val="198"/>
        </w:trPr>
        <w:tc>
          <w:tcPr>
            <w:tcW w:w="4248" w:type="dxa"/>
            <w:gridSpan w:val="2"/>
            <w:shd w:val="clear" w:color="auto" w:fill="FFFFFF" w:themeFill="background1"/>
            <w:noWrap/>
            <w:hideMark/>
          </w:tcPr>
          <w:bookmarkEnd w:id="49"/>
          <w:p w14:paraId="3272A0E7" w14:textId="77777777" w:rsidR="00990397" w:rsidRPr="00A559A5" w:rsidRDefault="00990397" w:rsidP="6A98AE7B">
            <w:pPr>
              <w:keepNext/>
              <w:keepLines/>
              <w:jc w:val="center"/>
              <w:rPr>
                <w:rFonts w:ascii="Arial Narrow" w:hAnsi="Arial Narrow" w:cs="Times New Roman"/>
                <w:b/>
                <w:bCs/>
                <w:iCs/>
                <w:color w:val="000000"/>
                <w:sz w:val="20"/>
                <w:szCs w:val="20"/>
              </w:rPr>
            </w:pPr>
            <w:proofErr w:type="spellStart"/>
            <w:r w:rsidRPr="00A559A5">
              <w:rPr>
                <w:rFonts w:ascii="Arial Narrow" w:hAnsi="Arial Narrow" w:cs="Times New Roman"/>
                <w:b/>
                <w:bCs/>
                <w:iCs/>
                <w:color w:val="000000" w:themeColor="text1"/>
                <w:sz w:val="20"/>
                <w:szCs w:val="20"/>
              </w:rPr>
              <w:t>Vorinostat</w:t>
            </w:r>
            <w:proofErr w:type="spellEnd"/>
          </w:p>
        </w:tc>
        <w:tc>
          <w:tcPr>
            <w:tcW w:w="4819" w:type="dxa"/>
            <w:gridSpan w:val="2"/>
            <w:shd w:val="clear" w:color="auto" w:fill="FFFFFF" w:themeFill="background1"/>
            <w:noWrap/>
            <w:hideMark/>
          </w:tcPr>
          <w:p w14:paraId="207A1E73" w14:textId="77777777" w:rsidR="00990397" w:rsidRPr="00A559A5" w:rsidRDefault="00990397" w:rsidP="009A18C8">
            <w:pPr>
              <w:keepNext/>
              <w:keepLines/>
              <w:jc w:val="center"/>
              <w:rPr>
                <w:rFonts w:ascii="Arial Narrow" w:hAnsi="Arial Narrow" w:cs="Times New Roman"/>
                <w:b/>
                <w:bCs/>
                <w:iCs/>
                <w:color w:val="000000"/>
                <w:sz w:val="20"/>
                <w:szCs w:val="20"/>
              </w:rPr>
            </w:pPr>
            <w:r w:rsidRPr="00A559A5">
              <w:rPr>
                <w:rFonts w:ascii="Arial Narrow" w:hAnsi="Arial Narrow" w:cs="Times New Roman"/>
                <w:b/>
                <w:bCs/>
                <w:iCs/>
                <w:color w:val="000000"/>
                <w:sz w:val="20"/>
                <w:szCs w:val="20"/>
              </w:rPr>
              <w:t>Mogamulizumab</w:t>
            </w:r>
          </w:p>
        </w:tc>
      </w:tr>
      <w:tr w:rsidR="00990397" w:rsidRPr="00A559A5" w14:paraId="40D5FA90" w14:textId="77777777" w:rsidTr="6A98AE7B">
        <w:trPr>
          <w:trHeight w:val="198"/>
        </w:trPr>
        <w:tc>
          <w:tcPr>
            <w:tcW w:w="2360" w:type="dxa"/>
            <w:noWrap/>
            <w:hideMark/>
          </w:tcPr>
          <w:p w14:paraId="7060F151"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Pack quantity (mg)</w:t>
            </w:r>
          </w:p>
        </w:tc>
        <w:tc>
          <w:tcPr>
            <w:tcW w:w="1888" w:type="dxa"/>
            <w:noWrap/>
            <w:hideMark/>
          </w:tcPr>
          <w:p w14:paraId="5216AAC8" w14:textId="77777777" w:rsidR="00990397" w:rsidRPr="00A559A5" w:rsidRDefault="00990397" w:rsidP="009A18C8">
            <w:pPr>
              <w:keepNext/>
              <w:keepLines/>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12,000</w:t>
            </w:r>
          </w:p>
        </w:tc>
        <w:tc>
          <w:tcPr>
            <w:tcW w:w="2977" w:type="dxa"/>
            <w:noWrap/>
            <w:hideMark/>
          </w:tcPr>
          <w:p w14:paraId="5DB9B4AE" w14:textId="5DB46675"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 xml:space="preserve">Ex-manufacturer cost per </w:t>
            </w:r>
            <w:r w:rsidR="004E0902" w:rsidRPr="00A559A5">
              <w:rPr>
                <w:rFonts w:ascii="Arial Narrow" w:hAnsi="Arial Narrow" w:cs="Times New Roman"/>
                <w:iCs/>
                <w:color w:val="000000"/>
                <w:sz w:val="20"/>
                <w:szCs w:val="20"/>
              </w:rPr>
              <w:t xml:space="preserve">20 mg </w:t>
            </w:r>
            <w:r w:rsidRPr="00A559A5">
              <w:rPr>
                <w:rFonts w:ascii="Arial Narrow" w:hAnsi="Arial Narrow" w:cs="Times New Roman"/>
                <w:iCs/>
                <w:color w:val="000000"/>
                <w:sz w:val="20"/>
                <w:szCs w:val="20"/>
              </w:rPr>
              <w:t xml:space="preserve">vial </w:t>
            </w:r>
          </w:p>
        </w:tc>
        <w:tc>
          <w:tcPr>
            <w:tcW w:w="1842" w:type="dxa"/>
            <w:noWrap/>
            <w:hideMark/>
          </w:tcPr>
          <w:p w14:paraId="385570D2" w14:textId="4B736323" w:rsidR="00990397" w:rsidRPr="00A559A5" w:rsidRDefault="00990397" w:rsidP="009A18C8">
            <w:pPr>
              <w:keepNext/>
              <w:keepLines/>
              <w:jc w:val="right"/>
              <w:rPr>
                <w:rFonts w:ascii="Arial Narrow" w:hAnsi="Arial Narrow" w:cs="Times New Roman"/>
                <w:iCs/>
                <w:color w:val="000000"/>
                <w:sz w:val="20"/>
                <w:szCs w:val="20"/>
              </w:rPr>
            </w:pPr>
            <w:r w:rsidRPr="00F90DC3">
              <w:rPr>
                <w:rFonts w:ascii="Arial Narrow" w:hAnsi="Arial Narrow" w:cs="Times New Roman"/>
                <w:iCs/>
                <w:color w:val="000000"/>
                <w:sz w:val="20"/>
                <w:szCs w:val="20"/>
              </w:rPr>
              <w:t>$</w:t>
            </w:r>
            <w:r w:rsidR="00DC414F" w:rsidRPr="00DC414F">
              <w:rPr>
                <w:rFonts w:ascii="Arial Narrow" w:hAnsi="Arial Narrow" w:cs="Times New Roman"/>
                <w:iCs/>
                <w:color w:val="000000"/>
                <w:spacing w:val="54"/>
                <w:sz w:val="20"/>
                <w:szCs w:val="20"/>
                <w:shd w:val="solid" w:color="000000" w:fill="000000"/>
                <w:fitText w:val="333" w:id="-629370622"/>
                <w14:textFill>
                  <w14:solidFill>
                    <w14:srgbClr w14:val="000000">
                      <w14:alpha w14:val="100000"/>
                    </w14:srgbClr>
                  </w14:solidFill>
                </w14:textFill>
              </w:rPr>
              <w:t>|||</w:t>
            </w:r>
            <w:r w:rsidR="00DC414F" w:rsidRPr="00DC414F">
              <w:rPr>
                <w:rFonts w:ascii="Arial Narrow" w:hAnsi="Arial Narrow" w:cs="Times New Roman"/>
                <w:iCs/>
                <w:color w:val="000000"/>
                <w:spacing w:val="1"/>
                <w:sz w:val="20"/>
                <w:szCs w:val="20"/>
                <w:shd w:val="solid" w:color="000000" w:fill="000000"/>
                <w:fitText w:val="333" w:id="-629370622"/>
                <w14:textFill>
                  <w14:solidFill>
                    <w14:srgbClr w14:val="000000">
                      <w14:alpha w14:val="100000"/>
                    </w14:srgbClr>
                  </w14:solidFill>
                </w14:textFill>
              </w:rPr>
              <w:t>|</w:t>
            </w:r>
          </w:p>
        </w:tc>
      </w:tr>
      <w:tr w:rsidR="00990397" w:rsidRPr="00A559A5" w14:paraId="28AFA7E9" w14:textId="77777777" w:rsidTr="6A98AE7B">
        <w:trPr>
          <w:trHeight w:val="198"/>
        </w:trPr>
        <w:tc>
          <w:tcPr>
            <w:tcW w:w="2360" w:type="dxa"/>
            <w:noWrap/>
            <w:hideMark/>
          </w:tcPr>
          <w:p w14:paraId="6BFA2AB8"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Daily dose (mg)</w:t>
            </w:r>
          </w:p>
        </w:tc>
        <w:tc>
          <w:tcPr>
            <w:tcW w:w="1888" w:type="dxa"/>
            <w:noWrap/>
            <w:hideMark/>
          </w:tcPr>
          <w:p w14:paraId="7745CED3" w14:textId="77777777" w:rsidR="00990397" w:rsidRPr="00A559A5" w:rsidRDefault="00990397" w:rsidP="009A18C8">
            <w:pPr>
              <w:keepNext/>
              <w:keepLines/>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400</w:t>
            </w:r>
          </w:p>
        </w:tc>
        <w:tc>
          <w:tcPr>
            <w:tcW w:w="2977" w:type="dxa"/>
            <w:noWrap/>
            <w:hideMark/>
          </w:tcPr>
          <w:p w14:paraId="79125A71"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Vials per administration</w:t>
            </w:r>
          </w:p>
        </w:tc>
        <w:tc>
          <w:tcPr>
            <w:tcW w:w="1842" w:type="dxa"/>
            <w:noWrap/>
            <w:hideMark/>
          </w:tcPr>
          <w:p w14:paraId="5024A3E0" w14:textId="77777777" w:rsidR="00990397" w:rsidRPr="00A559A5"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4</w:t>
            </w:r>
          </w:p>
        </w:tc>
      </w:tr>
      <w:tr w:rsidR="00990397" w:rsidRPr="00A559A5" w14:paraId="00CEEB90" w14:textId="77777777" w:rsidTr="6A98AE7B">
        <w:trPr>
          <w:trHeight w:val="198"/>
        </w:trPr>
        <w:tc>
          <w:tcPr>
            <w:tcW w:w="2360" w:type="dxa"/>
            <w:noWrap/>
            <w:hideMark/>
          </w:tcPr>
          <w:p w14:paraId="75C95FD2"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Compliance</w:t>
            </w:r>
          </w:p>
        </w:tc>
        <w:tc>
          <w:tcPr>
            <w:tcW w:w="1888" w:type="dxa"/>
            <w:noWrap/>
            <w:hideMark/>
          </w:tcPr>
          <w:p w14:paraId="496DF4BF" w14:textId="77777777" w:rsidR="00990397" w:rsidRPr="00BC1417"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100%</w:t>
            </w:r>
          </w:p>
        </w:tc>
        <w:tc>
          <w:tcPr>
            <w:tcW w:w="2977" w:type="dxa"/>
            <w:noWrap/>
            <w:hideMark/>
          </w:tcPr>
          <w:p w14:paraId="041EAE85" w14:textId="77777777" w:rsidR="00990397" w:rsidRPr="00BC1417" w:rsidRDefault="00990397" w:rsidP="009A18C8">
            <w:pPr>
              <w:keepNext/>
              <w:keepLines/>
              <w:rPr>
                <w:rFonts w:ascii="Arial Narrow" w:hAnsi="Arial Narrow" w:cs="Times New Roman"/>
                <w:iCs/>
                <w:color w:val="000000"/>
                <w:sz w:val="20"/>
                <w:szCs w:val="20"/>
              </w:rPr>
            </w:pPr>
            <w:r w:rsidRPr="00BC1417">
              <w:rPr>
                <w:rFonts w:ascii="Arial Narrow" w:hAnsi="Arial Narrow" w:cs="Times New Roman"/>
                <w:iCs/>
                <w:color w:val="000000"/>
                <w:sz w:val="20"/>
                <w:szCs w:val="20"/>
              </w:rPr>
              <w:t>Average cost/patient/treatment</w:t>
            </w:r>
          </w:p>
        </w:tc>
        <w:tc>
          <w:tcPr>
            <w:tcW w:w="1842" w:type="dxa"/>
            <w:noWrap/>
            <w:hideMark/>
          </w:tcPr>
          <w:p w14:paraId="2819CCB4" w14:textId="217D3B29"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w:t>
            </w:r>
            <w:r w:rsidR="00DC414F" w:rsidRPr="00DC414F">
              <w:rPr>
                <w:rFonts w:ascii="Arial Narrow" w:hAnsi="Arial Narrow" w:cs="Times New Roman"/>
                <w:iCs/>
                <w:color w:val="000000"/>
                <w:spacing w:val="54"/>
                <w:sz w:val="20"/>
                <w:szCs w:val="20"/>
                <w:shd w:val="solid" w:color="000000" w:fill="000000"/>
                <w:fitText w:val="333" w:id="-629370621"/>
                <w14:textFill>
                  <w14:solidFill>
                    <w14:srgbClr w14:val="000000">
                      <w14:alpha w14:val="100000"/>
                    </w14:srgbClr>
                  </w14:solidFill>
                </w14:textFill>
              </w:rPr>
              <w:t>|||</w:t>
            </w:r>
            <w:r w:rsidR="00DC414F" w:rsidRPr="00DC414F">
              <w:rPr>
                <w:rFonts w:ascii="Arial Narrow" w:hAnsi="Arial Narrow" w:cs="Times New Roman"/>
                <w:iCs/>
                <w:color w:val="000000"/>
                <w:spacing w:val="1"/>
                <w:sz w:val="20"/>
                <w:szCs w:val="20"/>
                <w:shd w:val="solid" w:color="000000" w:fill="000000"/>
                <w:fitText w:val="333" w:id="-629370621"/>
                <w14:textFill>
                  <w14:solidFill>
                    <w14:srgbClr w14:val="000000">
                      <w14:alpha w14:val="100000"/>
                    </w14:srgbClr>
                  </w14:solidFill>
                </w14:textFill>
              </w:rPr>
              <w:t>|</w:t>
            </w:r>
          </w:p>
        </w:tc>
      </w:tr>
      <w:tr w:rsidR="00990397" w:rsidRPr="00A559A5" w14:paraId="127BD983" w14:textId="77777777" w:rsidTr="6A98AE7B">
        <w:trPr>
          <w:trHeight w:val="198"/>
        </w:trPr>
        <w:tc>
          <w:tcPr>
            <w:tcW w:w="2360" w:type="dxa"/>
            <w:noWrap/>
            <w:hideMark/>
          </w:tcPr>
          <w:p w14:paraId="1D2FA272"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Days/pack</w:t>
            </w:r>
          </w:p>
        </w:tc>
        <w:tc>
          <w:tcPr>
            <w:tcW w:w="1888" w:type="dxa"/>
            <w:noWrap/>
            <w:hideMark/>
          </w:tcPr>
          <w:p w14:paraId="4777AC8E" w14:textId="77777777"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30</w:t>
            </w:r>
          </w:p>
        </w:tc>
        <w:tc>
          <w:tcPr>
            <w:tcW w:w="2977" w:type="dxa"/>
            <w:noWrap/>
            <w:hideMark/>
          </w:tcPr>
          <w:p w14:paraId="55565DF8" w14:textId="77777777" w:rsidR="00990397" w:rsidRPr="00BD0EF3" w:rsidRDefault="00990397" w:rsidP="009A18C8">
            <w:pPr>
              <w:keepNext/>
              <w:keepLines/>
              <w:rPr>
                <w:rFonts w:ascii="Arial Narrow" w:hAnsi="Arial Narrow" w:cs="Times New Roman"/>
                <w:iCs/>
                <w:color w:val="000000"/>
                <w:sz w:val="20"/>
                <w:szCs w:val="20"/>
              </w:rPr>
            </w:pPr>
            <w:r w:rsidRPr="00BD0EF3">
              <w:rPr>
                <w:rFonts w:ascii="Arial Narrow" w:hAnsi="Arial Narrow" w:cs="Times New Roman"/>
                <w:iCs/>
                <w:color w:val="000000"/>
                <w:sz w:val="20"/>
                <w:szCs w:val="20"/>
              </w:rPr>
              <w:t>Treatments per 28 days</w:t>
            </w:r>
          </w:p>
        </w:tc>
        <w:tc>
          <w:tcPr>
            <w:tcW w:w="1842" w:type="dxa"/>
            <w:noWrap/>
            <w:hideMark/>
          </w:tcPr>
          <w:p w14:paraId="6D5FE25C" w14:textId="77777777" w:rsidR="00990397" w:rsidRPr="00BD0EF3"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2</w:t>
            </w:r>
          </w:p>
        </w:tc>
      </w:tr>
      <w:tr w:rsidR="00990397" w:rsidRPr="00A559A5" w14:paraId="7D0CEE04" w14:textId="77777777" w:rsidTr="6A98AE7B">
        <w:trPr>
          <w:trHeight w:val="198"/>
        </w:trPr>
        <w:tc>
          <w:tcPr>
            <w:tcW w:w="2360" w:type="dxa"/>
            <w:noWrap/>
            <w:hideMark/>
          </w:tcPr>
          <w:p w14:paraId="34543442"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AEMP/pack</w:t>
            </w:r>
          </w:p>
        </w:tc>
        <w:tc>
          <w:tcPr>
            <w:tcW w:w="1888" w:type="dxa"/>
            <w:noWrap/>
            <w:hideMark/>
          </w:tcPr>
          <w:p w14:paraId="1D658E43" w14:textId="77777777"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$4,087.01</w:t>
            </w:r>
          </w:p>
        </w:tc>
        <w:tc>
          <w:tcPr>
            <w:tcW w:w="2977" w:type="dxa"/>
            <w:noWrap/>
            <w:hideMark/>
          </w:tcPr>
          <w:p w14:paraId="553CF182" w14:textId="77777777" w:rsidR="00990397" w:rsidRPr="00BD0EF3" w:rsidRDefault="00990397" w:rsidP="009A18C8">
            <w:pPr>
              <w:keepNext/>
              <w:keepLines/>
              <w:rPr>
                <w:rFonts w:ascii="Arial Narrow" w:hAnsi="Arial Narrow" w:cs="Times New Roman"/>
                <w:iCs/>
                <w:color w:val="000000"/>
                <w:sz w:val="20"/>
                <w:szCs w:val="20"/>
              </w:rPr>
            </w:pPr>
            <w:r w:rsidRPr="00BD0EF3">
              <w:rPr>
                <w:rFonts w:ascii="Arial Narrow" w:hAnsi="Arial Narrow" w:cs="Times New Roman"/>
                <w:iCs/>
                <w:color w:val="000000"/>
                <w:sz w:val="20"/>
                <w:szCs w:val="20"/>
              </w:rPr>
              <w:t>Compliance</w:t>
            </w:r>
          </w:p>
        </w:tc>
        <w:tc>
          <w:tcPr>
            <w:tcW w:w="1842" w:type="dxa"/>
            <w:noWrap/>
            <w:hideMark/>
          </w:tcPr>
          <w:p w14:paraId="1E09E7C3" w14:textId="77777777" w:rsidR="00990397" w:rsidRPr="00BD0EF3" w:rsidRDefault="00990397" w:rsidP="009A18C8">
            <w:pPr>
              <w:keepNext/>
              <w:keepLines/>
              <w:jc w:val="right"/>
              <w:rPr>
                <w:rFonts w:ascii="Arial Narrow" w:hAnsi="Arial Narrow" w:cs="Times New Roman"/>
                <w:iCs/>
                <w:color w:val="000000"/>
                <w:sz w:val="20"/>
                <w:szCs w:val="20"/>
              </w:rPr>
            </w:pPr>
            <w:r w:rsidRPr="00BC1417">
              <w:rPr>
                <w:rFonts w:ascii="Arial Narrow" w:hAnsi="Arial Narrow" w:cs="Times New Roman"/>
                <w:iCs/>
                <w:color w:val="000000"/>
                <w:sz w:val="20"/>
                <w:szCs w:val="20"/>
              </w:rPr>
              <w:t>100%</w:t>
            </w:r>
          </w:p>
        </w:tc>
      </w:tr>
      <w:tr w:rsidR="00990397" w:rsidRPr="00A559A5" w14:paraId="71977586" w14:textId="77777777" w:rsidTr="6A98AE7B">
        <w:trPr>
          <w:trHeight w:val="198"/>
        </w:trPr>
        <w:tc>
          <w:tcPr>
            <w:tcW w:w="2360" w:type="dxa"/>
            <w:noWrap/>
            <w:hideMark/>
          </w:tcPr>
          <w:p w14:paraId="741408E9"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AEMP/day</w:t>
            </w:r>
          </w:p>
        </w:tc>
        <w:tc>
          <w:tcPr>
            <w:tcW w:w="1888" w:type="dxa"/>
            <w:noWrap/>
            <w:hideMark/>
          </w:tcPr>
          <w:p w14:paraId="3FA6BD6B" w14:textId="77777777"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$136.23</w:t>
            </w:r>
          </w:p>
        </w:tc>
        <w:tc>
          <w:tcPr>
            <w:tcW w:w="2977" w:type="dxa"/>
            <w:vMerge w:val="restart"/>
            <w:noWrap/>
            <w:vAlign w:val="center"/>
            <w:hideMark/>
          </w:tcPr>
          <w:p w14:paraId="53B9E165" w14:textId="77777777" w:rsidR="00990397" w:rsidRPr="00BD0EF3" w:rsidRDefault="00990397" w:rsidP="009A18C8">
            <w:pPr>
              <w:keepNext/>
              <w:keepLines/>
              <w:rPr>
                <w:rFonts w:ascii="Arial Narrow" w:hAnsi="Arial Narrow" w:cs="Times New Roman"/>
                <w:iCs/>
                <w:color w:val="000000"/>
                <w:sz w:val="20"/>
                <w:szCs w:val="20"/>
              </w:rPr>
            </w:pPr>
            <w:r w:rsidRPr="00BD0EF3">
              <w:rPr>
                <w:rFonts w:ascii="Arial Narrow" w:hAnsi="Arial Narrow" w:cs="Times New Roman"/>
                <w:iCs/>
                <w:color w:val="000000"/>
                <w:sz w:val="20"/>
                <w:szCs w:val="20"/>
              </w:rPr>
              <w:t>Cost per 28 days</w:t>
            </w:r>
          </w:p>
        </w:tc>
        <w:tc>
          <w:tcPr>
            <w:tcW w:w="1842" w:type="dxa"/>
            <w:vMerge w:val="restart"/>
            <w:noWrap/>
            <w:vAlign w:val="center"/>
            <w:hideMark/>
          </w:tcPr>
          <w:p w14:paraId="1D08B1BE" w14:textId="69669381" w:rsidR="00990397" w:rsidRPr="00BD0EF3" w:rsidRDefault="00990397" w:rsidP="009A18C8">
            <w:pPr>
              <w:keepNext/>
              <w:keepLines/>
              <w:jc w:val="right"/>
              <w:rPr>
                <w:rFonts w:ascii="Arial Narrow" w:hAnsi="Arial Narrow" w:cs="Times New Roman"/>
                <w:iCs/>
                <w:color w:val="000000"/>
                <w:sz w:val="20"/>
                <w:szCs w:val="20"/>
              </w:rPr>
            </w:pPr>
            <w:r w:rsidRPr="00BD0EF3">
              <w:rPr>
                <w:rFonts w:ascii="Arial Narrow" w:hAnsi="Arial Narrow" w:cs="Times New Roman"/>
                <w:iCs/>
                <w:color w:val="000000"/>
                <w:sz w:val="20"/>
                <w:szCs w:val="20"/>
              </w:rPr>
              <w:t>$</w:t>
            </w:r>
            <w:r w:rsidR="00DC414F" w:rsidRPr="00F021FD">
              <w:rPr>
                <w:rFonts w:ascii="Arial Narrow" w:hAnsi="Arial Narrow" w:cs="Times New Roman"/>
                <w:iCs/>
                <w:color w:val="000000"/>
                <w:spacing w:val="54"/>
                <w:sz w:val="20"/>
                <w:szCs w:val="20"/>
                <w:shd w:val="solid" w:color="000000" w:fill="000000"/>
                <w:fitText w:val="333" w:id="-629370620"/>
                <w14:textFill>
                  <w14:solidFill>
                    <w14:srgbClr w14:val="000000">
                      <w14:alpha w14:val="100000"/>
                    </w14:srgbClr>
                  </w14:solidFill>
                </w14:textFill>
              </w:rPr>
              <w:t>|||</w:t>
            </w:r>
            <w:r w:rsidR="00DC414F" w:rsidRPr="00F021FD">
              <w:rPr>
                <w:rFonts w:ascii="Arial Narrow" w:hAnsi="Arial Narrow" w:cs="Times New Roman"/>
                <w:iCs/>
                <w:color w:val="000000"/>
                <w:spacing w:val="1"/>
                <w:sz w:val="20"/>
                <w:szCs w:val="20"/>
                <w:shd w:val="solid" w:color="000000" w:fill="000000"/>
                <w:fitText w:val="333" w:id="-629370620"/>
                <w14:textFill>
                  <w14:solidFill>
                    <w14:srgbClr w14:val="000000">
                      <w14:alpha w14:val="100000"/>
                    </w14:srgbClr>
                  </w14:solidFill>
                </w14:textFill>
              </w:rPr>
              <w:t>|</w:t>
            </w:r>
          </w:p>
        </w:tc>
      </w:tr>
      <w:tr w:rsidR="00990397" w:rsidRPr="00A559A5" w14:paraId="012AF4EF" w14:textId="77777777" w:rsidTr="6A98AE7B">
        <w:trPr>
          <w:trHeight w:val="198"/>
        </w:trPr>
        <w:tc>
          <w:tcPr>
            <w:tcW w:w="2360" w:type="dxa"/>
            <w:noWrap/>
            <w:hideMark/>
          </w:tcPr>
          <w:p w14:paraId="5A849C06" w14:textId="77777777" w:rsidR="00990397" w:rsidRPr="00A559A5" w:rsidRDefault="00990397" w:rsidP="009A18C8">
            <w:pPr>
              <w:keepNext/>
              <w:keepLines/>
              <w:rPr>
                <w:rFonts w:ascii="Arial Narrow" w:hAnsi="Arial Narrow" w:cs="Times New Roman"/>
                <w:iCs/>
                <w:color w:val="000000"/>
                <w:sz w:val="20"/>
                <w:szCs w:val="20"/>
              </w:rPr>
            </w:pPr>
            <w:r w:rsidRPr="00A559A5">
              <w:rPr>
                <w:rFonts w:ascii="Arial Narrow" w:hAnsi="Arial Narrow" w:cs="Times New Roman"/>
                <w:iCs/>
                <w:color w:val="000000"/>
                <w:sz w:val="20"/>
                <w:szCs w:val="20"/>
              </w:rPr>
              <w:t>AEMP per 28 days</w:t>
            </w:r>
          </w:p>
        </w:tc>
        <w:tc>
          <w:tcPr>
            <w:tcW w:w="1888" w:type="dxa"/>
            <w:noWrap/>
            <w:hideMark/>
          </w:tcPr>
          <w:p w14:paraId="2C62863F" w14:textId="77777777" w:rsidR="00990397" w:rsidRPr="008F4D3F" w:rsidRDefault="00990397" w:rsidP="009A18C8">
            <w:pPr>
              <w:keepNext/>
              <w:keepLines/>
              <w:jc w:val="right"/>
              <w:rPr>
                <w:rFonts w:ascii="Arial Narrow" w:hAnsi="Arial Narrow" w:cs="Times New Roman"/>
                <w:iCs/>
                <w:color w:val="000000"/>
                <w:sz w:val="20"/>
                <w:szCs w:val="20"/>
              </w:rPr>
            </w:pPr>
            <w:r w:rsidRPr="008F4D3F">
              <w:rPr>
                <w:rFonts w:ascii="Arial Narrow" w:hAnsi="Arial Narrow" w:cs="Times New Roman"/>
                <w:iCs/>
                <w:color w:val="000000"/>
                <w:sz w:val="20"/>
                <w:szCs w:val="20"/>
              </w:rPr>
              <w:t>$3,814.54</w:t>
            </w:r>
          </w:p>
        </w:tc>
        <w:tc>
          <w:tcPr>
            <w:tcW w:w="2977" w:type="dxa"/>
            <w:vMerge/>
            <w:noWrap/>
            <w:hideMark/>
          </w:tcPr>
          <w:p w14:paraId="4DDAD388" w14:textId="77777777" w:rsidR="00990397" w:rsidRPr="00A559A5" w:rsidRDefault="00990397" w:rsidP="009A18C8">
            <w:pPr>
              <w:keepNext/>
              <w:keepLines/>
              <w:rPr>
                <w:rFonts w:ascii="Arial Narrow" w:hAnsi="Arial Narrow" w:cs="Times New Roman"/>
                <w:iCs/>
                <w:sz w:val="20"/>
                <w:szCs w:val="20"/>
              </w:rPr>
            </w:pPr>
          </w:p>
        </w:tc>
        <w:tc>
          <w:tcPr>
            <w:tcW w:w="1842" w:type="dxa"/>
            <w:vMerge/>
            <w:noWrap/>
            <w:hideMark/>
          </w:tcPr>
          <w:p w14:paraId="5EF1E6AA" w14:textId="77777777" w:rsidR="00990397" w:rsidRPr="00A559A5" w:rsidRDefault="00990397" w:rsidP="009A18C8">
            <w:pPr>
              <w:keepNext/>
              <w:keepLines/>
              <w:rPr>
                <w:rFonts w:ascii="Arial Narrow" w:hAnsi="Arial Narrow" w:cs="Times New Roman"/>
                <w:iCs/>
                <w:sz w:val="20"/>
                <w:szCs w:val="20"/>
              </w:rPr>
            </w:pPr>
          </w:p>
        </w:tc>
      </w:tr>
    </w:tbl>
    <w:p w14:paraId="6DFEF164" w14:textId="3CB8792B" w:rsidR="005A0935" w:rsidRPr="00A559A5" w:rsidRDefault="00990397" w:rsidP="00E73959">
      <w:pPr>
        <w:pStyle w:val="TableFooter"/>
      </w:pPr>
      <w:r w:rsidRPr="00A559A5">
        <w:t>Source: Table 1, P</w:t>
      </w:r>
      <w:r w:rsidR="004B1E1E" w:rsidRPr="00A559A5">
        <w:t>re-Sub-Committee Response</w:t>
      </w:r>
      <w:r w:rsidR="00452246" w:rsidRPr="00A559A5">
        <w:t>.</w:t>
      </w:r>
    </w:p>
    <w:bookmarkEnd w:id="50"/>
    <w:p w14:paraId="070826BE" w14:textId="27AAEA3B" w:rsidR="001C4404" w:rsidRPr="00A559A5" w:rsidRDefault="00E94353" w:rsidP="6A98AE7B">
      <w:pPr>
        <w:pStyle w:val="3-BodyText"/>
        <w:rPr>
          <w:iCs/>
          <w:color w:val="000000" w:themeColor="text1"/>
        </w:rPr>
      </w:pPr>
      <w:r w:rsidRPr="00A559A5">
        <w:rPr>
          <w:iCs/>
        </w:rPr>
        <w:t xml:space="preserve">The ESC noted the CMA </w:t>
      </w:r>
      <w:r w:rsidR="00487192" w:rsidRPr="00A559A5">
        <w:rPr>
          <w:iCs/>
        </w:rPr>
        <w:t>used</w:t>
      </w:r>
      <w:r w:rsidRPr="00A559A5">
        <w:rPr>
          <w:iCs/>
        </w:rPr>
        <w:t xml:space="preserve"> steady-state </w:t>
      </w:r>
      <w:proofErr w:type="spellStart"/>
      <w:r w:rsidRPr="00A559A5">
        <w:rPr>
          <w:iCs/>
        </w:rPr>
        <w:t>equi</w:t>
      </w:r>
      <w:proofErr w:type="spellEnd"/>
      <w:r w:rsidRPr="00A559A5">
        <w:rPr>
          <w:iCs/>
        </w:rPr>
        <w:t xml:space="preserve">-effective doses </w:t>
      </w:r>
      <w:r w:rsidR="00421B40" w:rsidRPr="00A559A5">
        <w:rPr>
          <w:iCs/>
        </w:rPr>
        <w:t>over a 28-day cycle</w:t>
      </w:r>
      <w:r w:rsidRPr="00A559A5">
        <w:rPr>
          <w:iCs/>
        </w:rPr>
        <w:t xml:space="preserve">. </w:t>
      </w:r>
      <w:r w:rsidR="00B24A94" w:rsidRPr="00A559A5">
        <w:rPr>
          <w:iCs/>
        </w:rPr>
        <w:t xml:space="preserve">Administration of </w:t>
      </w:r>
      <w:r w:rsidR="00712B3A" w:rsidRPr="00A559A5">
        <w:rPr>
          <w:iCs/>
        </w:rPr>
        <w:t xml:space="preserve">mogamulizumab on day </w:t>
      </w:r>
      <w:r w:rsidR="007414C5" w:rsidRPr="00A559A5">
        <w:rPr>
          <w:iCs/>
        </w:rPr>
        <w:t>1 and 15 of every 28-day cycle</w:t>
      </w:r>
      <w:r w:rsidR="003925A7" w:rsidRPr="00A559A5">
        <w:rPr>
          <w:iCs/>
        </w:rPr>
        <w:t xml:space="preserve"> </w:t>
      </w:r>
      <w:r w:rsidR="00646544" w:rsidRPr="00A559A5">
        <w:rPr>
          <w:iCs/>
        </w:rPr>
        <w:t xml:space="preserve">was consistent with </w:t>
      </w:r>
      <w:r w:rsidR="00096A37" w:rsidRPr="00A559A5">
        <w:rPr>
          <w:iCs/>
        </w:rPr>
        <w:t xml:space="preserve">steady-state </w:t>
      </w:r>
      <w:r w:rsidR="00771D02" w:rsidRPr="00A559A5">
        <w:rPr>
          <w:iCs/>
        </w:rPr>
        <w:t xml:space="preserve">per-protocol dosing in MAVORIC and </w:t>
      </w:r>
      <w:r w:rsidR="00096A37" w:rsidRPr="00A559A5">
        <w:rPr>
          <w:iCs/>
        </w:rPr>
        <w:t xml:space="preserve">in </w:t>
      </w:r>
      <w:r w:rsidR="00646544" w:rsidRPr="00A559A5">
        <w:rPr>
          <w:iCs/>
        </w:rPr>
        <w:t xml:space="preserve">the TGA Product Information </w:t>
      </w:r>
      <w:r w:rsidR="00394D6B" w:rsidRPr="00A559A5">
        <w:rPr>
          <w:iCs/>
        </w:rPr>
        <w:t>(</w:t>
      </w:r>
      <w:r w:rsidR="00A54B72" w:rsidRPr="00A559A5">
        <w:rPr>
          <w:iCs/>
        </w:rPr>
        <w:t xml:space="preserve">only </w:t>
      </w:r>
      <w:r w:rsidR="00B6345F" w:rsidRPr="00A559A5">
        <w:rPr>
          <w:iCs/>
        </w:rPr>
        <w:t>the first 28-day treatment cycle</w:t>
      </w:r>
      <w:r w:rsidR="00A54B72" w:rsidRPr="00A559A5">
        <w:rPr>
          <w:iCs/>
        </w:rPr>
        <w:t xml:space="preserve"> require</w:t>
      </w:r>
      <w:r w:rsidR="00706A02" w:rsidRPr="00A559A5">
        <w:rPr>
          <w:iCs/>
        </w:rPr>
        <w:t>d</w:t>
      </w:r>
      <w:r w:rsidR="00A54B72" w:rsidRPr="00A559A5">
        <w:rPr>
          <w:iCs/>
        </w:rPr>
        <w:t xml:space="preserve"> more frequent dosing</w:t>
      </w:r>
      <w:r w:rsidR="00394D6B" w:rsidRPr="00A559A5">
        <w:rPr>
          <w:iCs/>
        </w:rPr>
        <w:t>)</w:t>
      </w:r>
      <w:r w:rsidR="00A54B72" w:rsidRPr="00A559A5">
        <w:rPr>
          <w:iCs/>
        </w:rPr>
        <w:t xml:space="preserve">. </w:t>
      </w:r>
      <w:r w:rsidR="002E2B81" w:rsidRPr="00A559A5">
        <w:rPr>
          <w:iCs/>
        </w:rPr>
        <w:t xml:space="preserve">The ESC noted that the </w:t>
      </w:r>
      <w:proofErr w:type="spellStart"/>
      <w:r w:rsidR="00394D6B" w:rsidRPr="00A559A5">
        <w:rPr>
          <w:iCs/>
        </w:rPr>
        <w:t>equi</w:t>
      </w:r>
      <w:proofErr w:type="spellEnd"/>
      <w:r w:rsidR="00394D6B" w:rsidRPr="00A559A5">
        <w:rPr>
          <w:iCs/>
        </w:rPr>
        <w:t>-effective dos</w:t>
      </w:r>
      <w:r w:rsidR="00B00062" w:rsidRPr="00A559A5">
        <w:rPr>
          <w:iCs/>
        </w:rPr>
        <w:t>e</w:t>
      </w:r>
      <w:r w:rsidR="002E2B81" w:rsidRPr="00A559A5">
        <w:rPr>
          <w:iCs/>
        </w:rPr>
        <w:t xml:space="preserve"> assumed 4 x 20 mg vials of mogamulizumab, based on the mean patient weight in MAVORIC of 78.96 kg and the TGA Product Information recommended dose of 1 mg/kg per infusion</w:t>
      </w:r>
      <w:r w:rsidR="0030364F" w:rsidRPr="00A559A5">
        <w:rPr>
          <w:iCs/>
        </w:rPr>
        <w:t xml:space="preserve">. </w:t>
      </w:r>
      <w:r w:rsidR="00394D6B" w:rsidRPr="00A559A5">
        <w:rPr>
          <w:iCs/>
        </w:rPr>
        <w:t xml:space="preserve">The </w:t>
      </w:r>
      <w:r w:rsidR="00AE1453" w:rsidRPr="00A559A5">
        <w:rPr>
          <w:iCs/>
        </w:rPr>
        <w:t xml:space="preserve">ESC noted that </w:t>
      </w:r>
      <w:proofErr w:type="spellStart"/>
      <w:r w:rsidR="00AE1453" w:rsidRPr="00A559A5">
        <w:rPr>
          <w:iCs/>
        </w:rPr>
        <w:t>vorinostat</w:t>
      </w:r>
      <w:proofErr w:type="spellEnd"/>
      <w:r w:rsidR="00AE1453" w:rsidRPr="00A559A5">
        <w:rPr>
          <w:iCs/>
        </w:rPr>
        <w:t xml:space="preserve"> dosing was not based on weight and that the </w:t>
      </w:r>
      <w:proofErr w:type="spellStart"/>
      <w:r w:rsidR="00394D6B" w:rsidRPr="00A559A5">
        <w:rPr>
          <w:iCs/>
        </w:rPr>
        <w:t>equ</w:t>
      </w:r>
      <w:r w:rsidR="00B00062" w:rsidRPr="00A559A5">
        <w:rPr>
          <w:iCs/>
        </w:rPr>
        <w:t>i</w:t>
      </w:r>
      <w:proofErr w:type="spellEnd"/>
      <w:r w:rsidR="00B00062" w:rsidRPr="00A559A5">
        <w:rPr>
          <w:iCs/>
        </w:rPr>
        <w:t xml:space="preserve">-effective dose proposed </w:t>
      </w:r>
      <w:r w:rsidR="00C26A21" w:rsidRPr="00A559A5">
        <w:rPr>
          <w:iCs/>
        </w:rPr>
        <w:t xml:space="preserve">(400 mg per day) </w:t>
      </w:r>
      <w:r w:rsidR="00B00062" w:rsidRPr="00A559A5">
        <w:rPr>
          <w:iCs/>
        </w:rPr>
        <w:t xml:space="preserve">was consistent with </w:t>
      </w:r>
      <w:r w:rsidRPr="00A559A5">
        <w:rPr>
          <w:iCs/>
        </w:rPr>
        <w:t>the per-protocol dosing in MAVORIC</w:t>
      </w:r>
      <w:r w:rsidR="001C4404" w:rsidRPr="00A559A5">
        <w:rPr>
          <w:iCs/>
        </w:rPr>
        <w:t xml:space="preserve"> </w:t>
      </w:r>
      <w:r w:rsidR="00522BBB" w:rsidRPr="00A559A5">
        <w:rPr>
          <w:iCs/>
        </w:rPr>
        <w:t>and the TGA</w:t>
      </w:r>
      <w:r w:rsidR="001C4404" w:rsidRPr="00A559A5">
        <w:rPr>
          <w:iCs/>
        </w:rPr>
        <w:t xml:space="preserve"> Product Information.</w:t>
      </w:r>
    </w:p>
    <w:p w14:paraId="55004C84" w14:textId="032CBE14" w:rsidR="00F72509" w:rsidRPr="00A559A5" w:rsidRDefault="0017706D" w:rsidP="6A98AE7B">
      <w:pPr>
        <w:pStyle w:val="3-BodyText"/>
        <w:rPr>
          <w:iCs/>
        </w:rPr>
      </w:pPr>
      <w:r w:rsidRPr="00A559A5">
        <w:rPr>
          <w:iCs/>
        </w:rPr>
        <w:t>I</w:t>
      </w:r>
      <w:r w:rsidR="000E2E08" w:rsidRPr="00A559A5">
        <w:rPr>
          <w:iCs/>
        </w:rPr>
        <w:t xml:space="preserve">n claiming that </w:t>
      </w:r>
      <w:r w:rsidR="00791914" w:rsidRPr="00A559A5">
        <w:rPr>
          <w:iCs/>
        </w:rPr>
        <w:t>t</w:t>
      </w:r>
      <w:r w:rsidR="000E2E08" w:rsidRPr="00A559A5">
        <w:rPr>
          <w:iCs/>
        </w:rPr>
        <w:t xml:space="preserve">he </w:t>
      </w:r>
      <w:proofErr w:type="spellStart"/>
      <w:r w:rsidR="00791914" w:rsidRPr="00A559A5">
        <w:rPr>
          <w:iCs/>
        </w:rPr>
        <w:t>equi</w:t>
      </w:r>
      <w:proofErr w:type="spellEnd"/>
      <w:r w:rsidR="00791914" w:rsidRPr="00A559A5">
        <w:rPr>
          <w:iCs/>
        </w:rPr>
        <w:t xml:space="preserve">-effective doses </w:t>
      </w:r>
      <w:r w:rsidR="000F5F80" w:rsidRPr="00A559A5">
        <w:rPr>
          <w:iCs/>
        </w:rPr>
        <w:t xml:space="preserve">are based on steady-state dosing over a 28-day cycle the </w:t>
      </w:r>
      <w:r w:rsidR="00EC2667" w:rsidRPr="00A559A5">
        <w:rPr>
          <w:iCs/>
        </w:rPr>
        <w:t xml:space="preserve">resubmission </w:t>
      </w:r>
      <w:r w:rsidRPr="00A559A5">
        <w:rPr>
          <w:iCs/>
        </w:rPr>
        <w:t>assum</w:t>
      </w:r>
      <w:r w:rsidR="00EC2667" w:rsidRPr="00A559A5">
        <w:rPr>
          <w:iCs/>
        </w:rPr>
        <w:t>ed</w:t>
      </w:r>
      <w:r w:rsidRPr="00A559A5">
        <w:rPr>
          <w:iCs/>
        </w:rPr>
        <w:t xml:space="preserve"> the treatment duration for mogamulizumab and </w:t>
      </w:r>
      <w:proofErr w:type="spellStart"/>
      <w:r w:rsidRPr="00A559A5">
        <w:rPr>
          <w:iCs/>
        </w:rPr>
        <w:t>vorinostat</w:t>
      </w:r>
      <w:proofErr w:type="spellEnd"/>
      <w:r w:rsidRPr="00A559A5">
        <w:rPr>
          <w:iCs/>
        </w:rPr>
        <w:t xml:space="preserve"> would be the same</w:t>
      </w:r>
      <w:r w:rsidR="00EC2667" w:rsidRPr="00A559A5">
        <w:rPr>
          <w:iCs/>
        </w:rPr>
        <w:t xml:space="preserve">. </w:t>
      </w:r>
      <w:r w:rsidR="000F048A" w:rsidRPr="00A559A5">
        <w:rPr>
          <w:iCs/>
        </w:rPr>
        <w:t>T</w:t>
      </w:r>
      <w:r w:rsidR="00EC2667" w:rsidRPr="00A559A5">
        <w:rPr>
          <w:iCs/>
        </w:rPr>
        <w:t>he</w:t>
      </w:r>
      <w:r w:rsidR="00FF4E04" w:rsidRPr="00A559A5">
        <w:rPr>
          <w:iCs/>
        </w:rPr>
        <w:t xml:space="preserve"> ESC noted that the mean treatment durations in MAVORIC were 9.1 cycles for mogamulizumab and 5.4 cycles</w:t>
      </w:r>
      <w:r w:rsidR="00711239" w:rsidRPr="00A559A5">
        <w:rPr>
          <w:iCs/>
        </w:rPr>
        <w:t xml:space="preserve"> </w:t>
      </w:r>
      <w:r w:rsidR="00FF4E04" w:rsidRPr="00A559A5">
        <w:rPr>
          <w:iCs/>
        </w:rPr>
        <w:t xml:space="preserve">for </w:t>
      </w:r>
      <w:proofErr w:type="spellStart"/>
      <w:r w:rsidR="00FF4E04" w:rsidRPr="00A559A5">
        <w:rPr>
          <w:iCs/>
        </w:rPr>
        <w:t>vorinostat</w:t>
      </w:r>
      <w:proofErr w:type="spellEnd"/>
      <w:r w:rsidR="00FF4E04" w:rsidRPr="00A559A5">
        <w:rPr>
          <w:iCs/>
        </w:rPr>
        <w:t xml:space="preserve">. </w:t>
      </w:r>
      <w:r w:rsidR="000F048A" w:rsidRPr="00A559A5">
        <w:rPr>
          <w:iCs/>
        </w:rPr>
        <w:t>However, t</w:t>
      </w:r>
      <w:r w:rsidR="00FF4E04" w:rsidRPr="00A559A5">
        <w:rPr>
          <w:iCs/>
        </w:rPr>
        <w:t xml:space="preserve">he ESC </w:t>
      </w:r>
      <w:r w:rsidR="00B30735" w:rsidRPr="00A559A5">
        <w:rPr>
          <w:iCs/>
        </w:rPr>
        <w:t>recalled</w:t>
      </w:r>
      <w:r w:rsidR="00FF4E04" w:rsidRPr="00A559A5">
        <w:rPr>
          <w:iCs/>
        </w:rPr>
        <w:t xml:space="preserve"> </w:t>
      </w:r>
      <w:r w:rsidR="00A56925" w:rsidRPr="00A559A5">
        <w:rPr>
          <w:iCs/>
        </w:rPr>
        <w:t xml:space="preserve">the </w:t>
      </w:r>
      <w:r w:rsidR="00B93EB9" w:rsidRPr="00A559A5">
        <w:rPr>
          <w:iCs/>
        </w:rPr>
        <w:t xml:space="preserve">July 2020 PBAC advice </w:t>
      </w:r>
      <w:r w:rsidR="00FF4E04" w:rsidRPr="00A559A5">
        <w:rPr>
          <w:iCs/>
        </w:rPr>
        <w:t xml:space="preserve">that the shorter duration for </w:t>
      </w:r>
      <w:proofErr w:type="spellStart"/>
      <w:r w:rsidR="00FF4E04" w:rsidRPr="00A559A5">
        <w:rPr>
          <w:iCs/>
        </w:rPr>
        <w:t>vorinostat</w:t>
      </w:r>
      <w:proofErr w:type="spellEnd"/>
      <w:r w:rsidR="00FF4E04" w:rsidRPr="00A559A5">
        <w:rPr>
          <w:iCs/>
        </w:rPr>
        <w:t xml:space="preserve"> may have been a result of the high and early degree of one-way crossover from </w:t>
      </w:r>
      <w:proofErr w:type="spellStart"/>
      <w:r w:rsidR="00FF4E04" w:rsidRPr="00A559A5">
        <w:rPr>
          <w:iCs/>
        </w:rPr>
        <w:t>vorinostat</w:t>
      </w:r>
      <w:proofErr w:type="spellEnd"/>
      <w:r w:rsidR="00FF4E04" w:rsidRPr="00A559A5">
        <w:rPr>
          <w:iCs/>
        </w:rPr>
        <w:t xml:space="preserve"> to mogamulizumab in the trial (para 7.5, mogamulizumab, PSD, July 2020 PBAC meeting)</w:t>
      </w:r>
      <w:r w:rsidR="00F50E91" w:rsidRPr="00A559A5">
        <w:rPr>
          <w:iCs/>
        </w:rPr>
        <w:t>.</w:t>
      </w:r>
      <w:r w:rsidR="009D02DC" w:rsidRPr="00A559A5">
        <w:rPr>
          <w:iCs/>
        </w:rPr>
        <w:t xml:space="preserve"> In addition, the ESC considered</w:t>
      </w:r>
      <w:r w:rsidR="00FF4E04" w:rsidRPr="00A559A5">
        <w:rPr>
          <w:iCs/>
        </w:rPr>
        <w:t xml:space="preserve"> that evidence </w:t>
      </w:r>
      <w:r w:rsidR="009D02DC" w:rsidRPr="00A559A5">
        <w:rPr>
          <w:iCs/>
        </w:rPr>
        <w:t xml:space="preserve">from </w:t>
      </w:r>
      <w:r w:rsidR="00FF4E04" w:rsidRPr="00A559A5">
        <w:rPr>
          <w:iCs/>
        </w:rPr>
        <w:t>ANCLD indicate</w:t>
      </w:r>
      <w:r w:rsidR="009D02DC" w:rsidRPr="00A559A5">
        <w:rPr>
          <w:iCs/>
        </w:rPr>
        <w:t>d</w:t>
      </w:r>
      <w:r w:rsidR="00FF4E04" w:rsidRPr="00A559A5">
        <w:rPr>
          <w:iCs/>
        </w:rPr>
        <w:t xml:space="preserve"> that the treatment duration of </w:t>
      </w:r>
      <w:proofErr w:type="spellStart"/>
      <w:r w:rsidR="00FF4E04" w:rsidRPr="00A559A5">
        <w:rPr>
          <w:iCs/>
        </w:rPr>
        <w:t>vorinostat</w:t>
      </w:r>
      <w:proofErr w:type="spellEnd"/>
      <w:r w:rsidR="00FF4E04" w:rsidRPr="00A559A5">
        <w:rPr>
          <w:iCs/>
        </w:rPr>
        <w:t xml:space="preserve"> </w:t>
      </w:r>
      <w:r w:rsidR="001E1C65" w:rsidRPr="00A559A5">
        <w:rPr>
          <w:iCs/>
        </w:rPr>
        <w:t>may</w:t>
      </w:r>
      <w:r w:rsidR="00FF4E04" w:rsidRPr="00A559A5">
        <w:rPr>
          <w:iCs/>
        </w:rPr>
        <w:t xml:space="preserve"> be longer in clinical practice</w:t>
      </w:r>
      <w:r w:rsidR="003D5CDA" w:rsidRPr="00A559A5">
        <w:rPr>
          <w:iCs/>
        </w:rPr>
        <w:t xml:space="preserve"> than evident in MAVORIC</w:t>
      </w:r>
      <w:r w:rsidR="001E1C65" w:rsidRPr="00A559A5">
        <w:rPr>
          <w:iCs/>
        </w:rPr>
        <w:t>. T</w:t>
      </w:r>
      <w:r w:rsidR="00FF4E04" w:rsidRPr="00A559A5">
        <w:rPr>
          <w:iCs/>
        </w:rPr>
        <w:t xml:space="preserve">he median duration of treatment with </w:t>
      </w:r>
      <w:proofErr w:type="spellStart"/>
      <w:r w:rsidR="00FF4E04" w:rsidRPr="00A559A5">
        <w:rPr>
          <w:iCs/>
        </w:rPr>
        <w:t>vorinostat</w:t>
      </w:r>
      <w:proofErr w:type="spellEnd"/>
      <w:r w:rsidR="00FF4E04" w:rsidRPr="00A559A5">
        <w:rPr>
          <w:iCs/>
        </w:rPr>
        <w:t xml:space="preserve"> reported in ANCLD of 5 months was higher than the median reported in MAVORIC of 3 cycles of 28-days</w:t>
      </w:r>
      <w:r w:rsidR="009D02DC" w:rsidRPr="00A559A5">
        <w:rPr>
          <w:iCs/>
        </w:rPr>
        <w:t>.</w:t>
      </w:r>
      <w:r w:rsidR="00FF4E04" w:rsidRPr="00A559A5">
        <w:rPr>
          <w:iCs/>
        </w:rPr>
        <w:t xml:space="preserve"> </w:t>
      </w:r>
      <w:r w:rsidR="003D5CDA" w:rsidRPr="00A559A5">
        <w:rPr>
          <w:iCs/>
        </w:rPr>
        <w:t xml:space="preserve">The ESC also noted </w:t>
      </w:r>
      <w:r w:rsidR="00FF4E04" w:rsidRPr="00A559A5">
        <w:rPr>
          <w:iCs/>
        </w:rPr>
        <w:t>that evidence from non-randomised studies indicate</w:t>
      </w:r>
      <w:r w:rsidR="007C47FD" w:rsidRPr="00A559A5">
        <w:rPr>
          <w:iCs/>
        </w:rPr>
        <w:t>d</w:t>
      </w:r>
      <w:r w:rsidR="00FF4E04" w:rsidRPr="00A559A5">
        <w:rPr>
          <w:iCs/>
        </w:rPr>
        <w:t xml:space="preserve"> the </w:t>
      </w:r>
      <w:r w:rsidR="00FF4E04" w:rsidRPr="00A559A5">
        <w:rPr>
          <w:iCs/>
        </w:rPr>
        <w:lastRenderedPageBreak/>
        <w:t xml:space="preserve">duration of treatment with mogamulizumab and </w:t>
      </w:r>
      <w:proofErr w:type="spellStart"/>
      <w:r w:rsidR="00FF4E04" w:rsidRPr="00A559A5">
        <w:rPr>
          <w:iCs/>
        </w:rPr>
        <w:t>vorinostat</w:t>
      </w:r>
      <w:proofErr w:type="spellEnd"/>
      <w:r w:rsidR="00FF4E04" w:rsidRPr="00A559A5">
        <w:rPr>
          <w:iCs/>
        </w:rPr>
        <w:t xml:space="preserve"> could be similar (median treatment duration of 5 months for </w:t>
      </w:r>
      <w:proofErr w:type="spellStart"/>
      <w:r w:rsidR="00FF4E04" w:rsidRPr="00A559A5">
        <w:rPr>
          <w:iCs/>
        </w:rPr>
        <w:t>vorinostat</w:t>
      </w:r>
      <w:proofErr w:type="spellEnd"/>
      <w:r w:rsidR="00FF4E04" w:rsidRPr="00A559A5">
        <w:rPr>
          <w:iCs/>
        </w:rPr>
        <w:t xml:space="preserve"> reported in ANCLD and 4.6 months for mogamulizumab in </w:t>
      </w:r>
      <w:proofErr w:type="spellStart"/>
      <w:r w:rsidR="00FF4E04" w:rsidRPr="00A559A5">
        <w:rPr>
          <w:iCs/>
        </w:rPr>
        <w:t>Beylot</w:t>
      </w:r>
      <w:proofErr w:type="spellEnd"/>
      <w:r w:rsidR="00FF4E04" w:rsidRPr="00A559A5">
        <w:rPr>
          <w:iCs/>
        </w:rPr>
        <w:t xml:space="preserve">-Barry 2023). </w:t>
      </w:r>
      <w:r w:rsidR="00D41DA5" w:rsidRPr="00A559A5">
        <w:rPr>
          <w:iCs/>
        </w:rPr>
        <w:t xml:space="preserve">Overall, the ESC considered the likely treatment duration of mogamulizumab compared to </w:t>
      </w:r>
      <w:proofErr w:type="spellStart"/>
      <w:r w:rsidR="00D41DA5" w:rsidRPr="00A559A5">
        <w:rPr>
          <w:iCs/>
        </w:rPr>
        <w:t>vorinostat</w:t>
      </w:r>
      <w:proofErr w:type="spellEnd"/>
      <w:r w:rsidR="00D41DA5" w:rsidRPr="00A559A5">
        <w:rPr>
          <w:iCs/>
        </w:rPr>
        <w:t xml:space="preserve"> in clinical practice to be uncertain, but that it might be reasonable to assume the same treatment duration given the data available. </w:t>
      </w:r>
    </w:p>
    <w:p w14:paraId="2A98DB4B" w14:textId="426C8F8D" w:rsidR="009F0B37" w:rsidRPr="00A559A5" w:rsidRDefault="00244A03" w:rsidP="6A98AE7B">
      <w:pPr>
        <w:pStyle w:val="3-BodyText"/>
        <w:rPr>
          <w:iCs/>
          <w:color w:val="000000" w:themeColor="text1"/>
        </w:rPr>
      </w:pPr>
      <w:bookmarkStart w:id="52" w:name="_Ref190877258"/>
      <w:r w:rsidRPr="00A559A5">
        <w:rPr>
          <w:iCs/>
        </w:rPr>
        <w:t xml:space="preserve">The ESC noted that the CMA did not include </w:t>
      </w:r>
      <w:r w:rsidR="001E72AF" w:rsidRPr="00A559A5">
        <w:rPr>
          <w:iCs/>
        </w:rPr>
        <w:t xml:space="preserve">loading dose or </w:t>
      </w:r>
      <w:r w:rsidR="00025B1F" w:rsidRPr="00A559A5">
        <w:rPr>
          <w:iCs/>
        </w:rPr>
        <w:t xml:space="preserve">drug administration costs for </w:t>
      </w:r>
      <w:r w:rsidRPr="00A559A5">
        <w:rPr>
          <w:iCs/>
        </w:rPr>
        <w:t xml:space="preserve">mogamulizumab and made no adjustment for dose intensity despite MAVORIC reporting a mean dose intensity </w:t>
      </w:r>
      <w:r w:rsidRPr="00BD0EF3">
        <w:rPr>
          <w:iCs/>
        </w:rPr>
        <w:t>of 94.41% for mogamulizumab and 88.96</w:t>
      </w:r>
      <w:r w:rsidRPr="00A559A5">
        <w:rPr>
          <w:iCs/>
        </w:rPr>
        <w:t xml:space="preserve">% for </w:t>
      </w:r>
      <w:proofErr w:type="spellStart"/>
      <w:r w:rsidRPr="00A559A5">
        <w:rPr>
          <w:iCs/>
        </w:rPr>
        <w:t>vorinostat</w:t>
      </w:r>
      <w:proofErr w:type="spellEnd"/>
      <w:r w:rsidRPr="00A559A5">
        <w:rPr>
          <w:iCs/>
        </w:rPr>
        <w:t>. The ESC considered</w:t>
      </w:r>
      <w:r w:rsidR="007B288C" w:rsidRPr="00A559A5">
        <w:rPr>
          <w:iCs/>
        </w:rPr>
        <w:t xml:space="preserve"> dosing based on steady-state was reasonable but advised</w:t>
      </w:r>
      <w:r w:rsidRPr="00A559A5">
        <w:rPr>
          <w:iCs/>
        </w:rPr>
        <w:t xml:space="preserve"> the CMA should be adjusted to include the impact of </w:t>
      </w:r>
      <w:r w:rsidR="00815891" w:rsidRPr="00A559A5">
        <w:rPr>
          <w:iCs/>
        </w:rPr>
        <w:t xml:space="preserve">drug administration costs and differences in dose </w:t>
      </w:r>
      <w:r w:rsidR="001C630A" w:rsidRPr="00A559A5">
        <w:rPr>
          <w:iCs/>
        </w:rPr>
        <w:t>intensity</w:t>
      </w:r>
      <w:r w:rsidRPr="00A559A5">
        <w:rPr>
          <w:iCs/>
        </w:rPr>
        <w:t xml:space="preserve"> on the cost of treatment.</w:t>
      </w:r>
      <w:r w:rsidR="00205D10" w:rsidRPr="00A559A5">
        <w:rPr>
          <w:iCs/>
        </w:rPr>
        <w:t xml:space="preserve"> </w:t>
      </w:r>
      <w:r w:rsidR="00351B43" w:rsidRPr="00A559A5">
        <w:rPr>
          <w:iCs/>
        </w:rPr>
        <w:t>T</w:t>
      </w:r>
      <w:r w:rsidR="00205D10" w:rsidRPr="00A559A5">
        <w:rPr>
          <w:iCs/>
        </w:rPr>
        <w:t xml:space="preserve">he ESC </w:t>
      </w:r>
      <w:r w:rsidR="00351B43" w:rsidRPr="00A559A5">
        <w:rPr>
          <w:iCs/>
        </w:rPr>
        <w:t xml:space="preserve">also </w:t>
      </w:r>
      <w:r w:rsidR="00205D10" w:rsidRPr="00A559A5">
        <w:rPr>
          <w:iCs/>
        </w:rPr>
        <w:t xml:space="preserve">noted that the CMA had not included costs for </w:t>
      </w:r>
      <w:r w:rsidR="00D52FF5" w:rsidRPr="00A559A5">
        <w:rPr>
          <w:iCs/>
        </w:rPr>
        <w:t>AE</w:t>
      </w:r>
      <w:r w:rsidR="00205D10" w:rsidRPr="00A559A5">
        <w:rPr>
          <w:iCs/>
        </w:rPr>
        <w:t>s</w:t>
      </w:r>
      <w:r w:rsidR="00BE43A2" w:rsidRPr="00A559A5">
        <w:rPr>
          <w:iCs/>
        </w:rPr>
        <w:t xml:space="preserve"> but considered the </w:t>
      </w:r>
      <w:r w:rsidR="00FA22F5" w:rsidRPr="00A559A5">
        <w:rPr>
          <w:iCs/>
        </w:rPr>
        <w:t xml:space="preserve">nature of </w:t>
      </w:r>
      <w:r w:rsidR="00D52FF5" w:rsidRPr="00A559A5">
        <w:rPr>
          <w:iCs/>
        </w:rPr>
        <w:t>the AEs</w:t>
      </w:r>
      <w:r w:rsidR="00FA22F5" w:rsidRPr="00A559A5">
        <w:rPr>
          <w:iCs/>
        </w:rPr>
        <w:t xml:space="preserve"> reported was not substantially different between mogamulizumab and </w:t>
      </w:r>
      <w:proofErr w:type="spellStart"/>
      <w:r w:rsidR="00FA22F5" w:rsidRPr="00A559A5">
        <w:rPr>
          <w:iCs/>
        </w:rPr>
        <w:t>vorinostat</w:t>
      </w:r>
      <w:proofErr w:type="spellEnd"/>
      <w:r w:rsidR="00205D10" w:rsidRPr="00A559A5">
        <w:rPr>
          <w:iCs/>
        </w:rPr>
        <w:t xml:space="preserve">. </w:t>
      </w:r>
      <w:r w:rsidR="00A3047F" w:rsidRPr="00A559A5">
        <w:rPr>
          <w:iCs/>
        </w:rPr>
        <w:t>The ESC considered the</w:t>
      </w:r>
      <w:r w:rsidR="00250125" w:rsidRPr="00A559A5">
        <w:rPr>
          <w:iCs/>
        </w:rPr>
        <w:t xml:space="preserve"> </w:t>
      </w:r>
      <w:r w:rsidR="00AE62A6" w:rsidRPr="00A559A5">
        <w:rPr>
          <w:iCs/>
        </w:rPr>
        <w:t xml:space="preserve">revised CMA </w:t>
      </w:r>
      <w:r w:rsidR="00250125" w:rsidRPr="00A559A5">
        <w:rPr>
          <w:iCs/>
        </w:rPr>
        <w:t xml:space="preserve">outlined in </w:t>
      </w:r>
      <w:r w:rsidR="00250125" w:rsidRPr="00A559A5">
        <w:rPr>
          <w:iCs/>
        </w:rPr>
        <w:fldChar w:fldCharType="begin"/>
      </w:r>
      <w:r w:rsidR="00250125" w:rsidRPr="00A559A5">
        <w:rPr>
          <w:iCs/>
        </w:rPr>
        <w:instrText xml:space="preserve"> REF _Ref190862621 \h  \* MERGEFORMAT </w:instrText>
      </w:r>
      <w:r w:rsidR="00250125" w:rsidRPr="00A559A5">
        <w:rPr>
          <w:iCs/>
        </w:rPr>
      </w:r>
      <w:r w:rsidR="00250125" w:rsidRPr="00A559A5">
        <w:rPr>
          <w:iCs/>
        </w:rPr>
        <w:fldChar w:fldCharType="separate"/>
      </w:r>
      <w:r w:rsidR="00EF6B5D" w:rsidRPr="00A559A5">
        <w:rPr>
          <w:iCs/>
        </w:rPr>
        <w:t xml:space="preserve">Table </w:t>
      </w:r>
      <w:r w:rsidR="00EF6B5D">
        <w:rPr>
          <w:iCs/>
        </w:rPr>
        <w:t>9</w:t>
      </w:r>
      <w:r w:rsidR="00250125" w:rsidRPr="00A559A5">
        <w:rPr>
          <w:iCs/>
        </w:rPr>
        <w:fldChar w:fldCharType="end"/>
      </w:r>
      <w:r w:rsidR="00250125" w:rsidRPr="00A559A5">
        <w:rPr>
          <w:iCs/>
        </w:rPr>
        <w:t xml:space="preserve"> which </w:t>
      </w:r>
      <w:r w:rsidR="00FF5411" w:rsidRPr="00A559A5">
        <w:rPr>
          <w:iCs/>
        </w:rPr>
        <w:t>assum</w:t>
      </w:r>
      <w:r w:rsidR="00F67363" w:rsidRPr="00A559A5">
        <w:rPr>
          <w:iCs/>
        </w:rPr>
        <w:t>ed</w:t>
      </w:r>
      <w:r w:rsidR="00FF5411" w:rsidRPr="00A559A5">
        <w:rPr>
          <w:iCs/>
        </w:rPr>
        <w:t xml:space="preserve"> equal treatment duration</w:t>
      </w:r>
      <w:r w:rsidR="00C64AC2" w:rsidRPr="00A559A5">
        <w:rPr>
          <w:iCs/>
        </w:rPr>
        <w:t xml:space="preserve">, </w:t>
      </w:r>
      <w:r w:rsidR="00FF5411" w:rsidRPr="00A559A5">
        <w:rPr>
          <w:iCs/>
        </w:rPr>
        <w:t>adjust</w:t>
      </w:r>
      <w:r w:rsidR="00F67363" w:rsidRPr="00A559A5">
        <w:rPr>
          <w:iCs/>
        </w:rPr>
        <w:t>ed</w:t>
      </w:r>
      <w:r w:rsidR="00FF5411" w:rsidRPr="00A559A5">
        <w:rPr>
          <w:iCs/>
        </w:rPr>
        <w:t xml:space="preserve"> for the mean dose intensity of mogamulizumab and </w:t>
      </w:r>
      <w:proofErr w:type="spellStart"/>
      <w:r w:rsidR="00FF5411" w:rsidRPr="00A559A5">
        <w:rPr>
          <w:iCs/>
        </w:rPr>
        <w:t>vorinostat</w:t>
      </w:r>
      <w:proofErr w:type="spellEnd"/>
      <w:r w:rsidR="00FF5411" w:rsidRPr="00A559A5">
        <w:rPr>
          <w:iCs/>
        </w:rPr>
        <w:t xml:space="preserve"> </w:t>
      </w:r>
      <w:r w:rsidR="004B18B9" w:rsidRPr="00A559A5">
        <w:rPr>
          <w:iCs/>
        </w:rPr>
        <w:t>in</w:t>
      </w:r>
      <w:r w:rsidR="00FF5411" w:rsidRPr="00A559A5">
        <w:rPr>
          <w:iCs/>
        </w:rPr>
        <w:t xml:space="preserve"> MAVORIC</w:t>
      </w:r>
      <w:r w:rsidR="00C64AC2" w:rsidRPr="00A559A5">
        <w:rPr>
          <w:iCs/>
        </w:rPr>
        <w:t xml:space="preserve"> and </w:t>
      </w:r>
      <w:r w:rsidR="00FF5411" w:rsidRPr="00A559A5">
        <w:rPr>
          <w:iCs/>
        </w:rPr>
        <w:t>includ</w:t>
      </w:r>
      <w:r w:rsidR="00F67363" w:rsidRPr="00A559A5">
        <w:rPr>
          <w:iCs/>
        </w:rPr>
        <w:t>ed</w:t>
      </w:r>
      <w:r w:rsidR="00FF5411" w:rsidRPr="00A559A5">
        <w:rPr>
          <w:iCs/>
        </w:rPr>
        <w:t xml:space="preserve"> the cost of administration of mogamulizum</w:t>
      </w:r>
      <w:r w:rsidR="00CA298E" w:rsidRPr="00A559A5">
        <w:rPr>
          <w:iCs/>
        </w:rPr>
        <w:t xml:space="preserve">ab </w:t>
      </w:r>
      <w:r w:rsidR="00F67363" w:rsidRPr="00A559A5">
        <w:rPr>
          <w:iCs/>
        </w:rPr>
        <w:t>was appropriate</w:t>
      </w:r>
      <w:r w:rsidR="00FF5411" w:rsidRPr="00A559A5">
        <w:rPr>
          <w:iCs/>
        </w:rPr>
        <w:t>.</w:t>
      </w:r>
      <w:bookmarkEnd w:id="52"/>
    </w:p>
    <w:p w14:paraId="4E4C278B" w14:textId="0CA2C2F6" w:rsidR="00F15F70" w:rsidRPr="007427EF" w:rsidRDefault="00D54832" w:rsidP="00D54832">
      <w:pPr>
        <w:pStyle w:val="Caption"/>
      </w:pPr>
      <w:bookmarkStart w:id="53" w:name="_Ref190862621"/>
      <w:r w:rsidRPr="00A559A5">
        <w:rPr>
          <w:iCs/>
        </w:rPr>
        <w:t xml:space="preserve">Table </w:t>
      </w:r>
      <w:r w:rsidRPr="00A559A5">
        <w:rPr>
          <w:iCs/>
        </w:rPr>
        <w:fldChar w:fldCharType="begin"/>
      </w:r>
      <w:r w:rsidRPr="00A559A5">
        <w:rPr>
          <w:iCs/>
        </w:rPr>
        <w:instrText xml:space="preserve"> SEQ Table \* ARABIC </w:instrText>
      </w:r>
      <w:r w:rsidRPr="00A559A5">
        <w:rPr>
          <w:iCs/>
        </w:rPr>
        <w:fldChar w:fldCharType="separate"/>
      </w:r>
      <w:r w:rsidR="00EF6B5D">
        <w:rPr>
          <w:iCs/>
          <w:noProof/>
        </w:rPr>
        <w:t>9</w:t>
      </w:r>
      <w:r w:rsidRPr="00A559A5">
        <w:rPr>
          <w:iCs/>
        </w:rPr>
        <w:fldChar w:fldCharType="end"/>
      </w:r>
      <w:bookmarkEnd w:id="53"/>
      <w:r w:rsidRPr="00A559A5">
        <w:rPr>
          <w:iCs/>
        </w:rPr>
        <w:t>:</w:t>
      </w:r>
      <w:r w:rsidRPr="007427EF">
        <w:t xml:space="preserve"> </w:t>
      </w:r>
      <w:r w:rsidR="00F15F70" w:rsidRPr="00A559A5">
        <w:rPr>
          <w:iCs/>
          <w:szCs w:val="20"/>
        </w:rPr>
        <w:t>Revised cost-minimisation approach including adjustment for dose intensity and cost of administration</w:t>
      </w:r>
    </w:p>
    <w:tbl>
      <w:tblPr>
        <w:tblStyle w:val="TableGrid"/>
        <w:tblW w:w="9067" w:type="dxa"/>
        <w:tblLook w:val="04A0" w:firstRow="1" w:lastRow="0" w:firstColumn="1" w:lastColumn="0" w:noHBand="0" w:noVBand="1"/>
        <w:tblCaption w:val="Table 9: Revised cost-minimisation approach including adjustment for dose intensity and cost of administration"/>
      </w:tblPr>
      <w:tblGrid>
        <w:gridCol w:w="2360"/>
        <w:gridCol w:w="1888"/>
        <w:gridCol w:w="2977"/>
        <w:gridCol w:w="1842"/>
      </w:tblGrid>
      <w:tr w:rsidR="00F15F70" w:rsidRPr="00A559A5" w14:paraId="62983B13" w14:textId="77777777" w:rsidTr="6A98AE7B">
        <w:trPr>
          <w:trHeight w:val="198"/>
        </w:trPr>
        <w:tc>
          <w:tcPr>
            <w:tcW w:w="4248" w:type="dxa"/>
            <w:gridSpan w:val="2"/>
            <w:shd w:val="clear" w:color="auto" w:fill="FFFFFF" w:themeFill="background1"/>
            <w:noWrap/>
            <w:hideMark/>
          </w:tcPr>
          <w:p w14:paraId="5A95CBD9" w14:textId="77777777" w:rsidR="00F15F70" w:rsidRPr="00A559A5" w:rsidRDefault="00F15F70" w:rsidP="6A98AE7B">
            <w:pPr>
              <w:jc w:val="center"/>
              <w:rPr>
                <w:rFonts w:ascii="Arial Narrow" w:hAnsi="Arial Narrow" w:cs="Times New Roman"/>
                <w:b/>
                <w:bCs/>
                <w:iCs/>
                <w:color w:val="000000"/>
                <w:sz w:val="20"/>
                <w:szCs w:val="20"/>
              </w:rPr>
            </w:pPr>
            <w:proofErr w:type="spellStart"/>
            <w:r w:rsidRPr="00A559A5">
              <w:rPr>
                <w:rFonts w:ascii="Arial Narrow" w:hAnsi="Arial Narrow" w:cs="Times New Roman"/>
                <w:b/>
                <w:bCs/>
                <w:iCs/>
                <w:color w:val="000000" w:themeColor="text1"/>
                <w:sz w:val="20"/>
                <w:szCs w:val="20"/>
              </w:rPr>
              <w:t>Vorinostat</w:t>
            </w:r>
            <w:proofErr w:type="spellEnd"/>
          </w:p>
        </w:tc>
        <w:tc>
          <w:tcPr>
            <w:tcW w:w="4819" w:type="dxa"/>
            <w:gridSpan w:val="2"/>
            <w:shd w:val="clear" w:color="auto" w:fill="FFFFFF" w:themeFill="background1"/>
            <w:noWrap/>
            <w:hideMark/>
          </w:tcPr>
          <w:p w14:paraId="3FBA2131" w14:textId="77777777" w:rsidR="00F15F70" w:rsidRPr="00A559A5" w:rsidRDefault="00F15F70" w:rsidP="00237647">
            <w:pPr>
              <w:jc w:val="center"/>
              <w:rPr>
                <w:rFonts w:ascii="Arial Narrow" w:hAnsi="Arial Narrow" w:cs="Times New Roman"/>
                <w:b/>
                <w:bCs/>
                <w:iCs/>
                <w:color w:val="000000"/>
                <w:sz w:val="20"/>
                <w:szCs w:val="20"/>
              </w:rPr>
            </w:pPr>
            <w:r w:rsidRPr="00A559A5">
              <w:rPr>
                <w:rFonts w:ascii="Arial Narrow" w:hAnsi="Arial Narrow" w:cs="Times New Roman"/>
                <w:b/>
                <w:bCs/>
                <w:iCs/>
                <w:color w:val="000000"/>
                <w:sz w:val="20"/>
                <w:szCs w:val="20"/>
              </w:rPr>
              <w:t>Mogamuli</w:t>
            </w:r>
            <w:r w:rsidRPr="00A559A5">
              <w:rPr>
                <w:rFonts w:ascii="Arial Narrow" w:hAnsi="Arial Narrow" w:cs="Times New Roman"/>
                <w:b/>
                <w:bCs/>
                <w:iCs/>
                <w:color w:val="000000"/>
                <w:sz w:val="20"/>
                <w:szCs w:val="20"/>
                <w:shd w:val="clear" w:color="auto" w:fill="FFFFFF" w:themeFill="background1"/>
              </w:rPr>
              <w:t>zumab</w:t>
            </w:r>
          </w:p>
        </w:tc>
      </w:tr>
      <w:tr w:rsidR="00F15F70" w:rsidRPr="00A559A5" w14:paraId="3046F561" w14:textId="77777777" w:rsidTr="6A98AE7B">
        <w:trPr>
          <w:trHeight w:val="198"/>
        </w:trPr>
        <w:tc>
          <w:tcPr>
            <w:tcW w:w="2360" w:type="dxa"/>
            <w:noWrap/>
            <w:hideMark/>
          </w:tcPr>
          <w:p w14:paraId="051F45C9"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Pack quantity (mg)</w:t>
            </w:r>
          </w:p>
        </w:tc>
        <w:tc>
          <w:tcPr>
            <w:tcW w:w="1888" w:type="dxa"/>
            <w:noWrap/>
            <w:hideMark/>
          </w:tcPr>
          <w:p w14:paraId="1BC4E97E" w14:textId="77777777" w:rsidR="00F15F70" w:rsidRPr="00A559A5" w:rsidRDefault="00F15F70" w:rsidP="00153279">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12,000</w:t>
            </w:r>
          </w:p>
        </w:tc>
        <w:tc>
          <w:tcPr>
            <w:tcW w:w="2977" w:type="dxa"/>
            <w:noWrap/>
            <w:hideMark/>
          </w:tcPr>
          <w:p w14:paraId="6C3E4676"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 xml:space="preserve">Ex-manufacturer cost per 20 mg vial </w:t>
            </w:r>
          </w:p>
        </w:tc>
        <w:tc>
          <w:tcPr>
            <w:tcW w:w="1842" w:type="dxa"/>
            <w:noWrap/>
            <w:hideMark/>
          </w:tcPr>
          <w:p w14:paraId="2C2205D8" w14:textId="50102761" w:rsidR="00F15F70" w:rsidRPr="00A559A5" w:rsidRDefault="00F15F70" w:rsidP="00153279">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w:t>
            </w:r>
            <w:r w:rsidR="00A80A9D" w:rsidRPr="00A80A9D">
              <w:rPr>
                <w:rFonts w:ascii="Arial Narrow" w:hAnsi="Arial Narrow" w:cs="Times New Roman"/>
                <w:iCs/>
                <w:color w:val="000000"/>
                <w:sz w:val="20"/>
                <w:szCs w:val="20"/>
                <w:shd w:val="solid" w:color="000000" w:fill="000000"/>
                <w14:textFill>
                  <w14:solidFill>
                    <w14:srgbClr w14:val="000000">
                      <w14:alpha w14:val="100000"/>
                    </w14:srgbClr>
                  </w14:solidFill>
                </w14:textFill>
              </w:rPr>
              <w:t>|</w:t>
            </w:r>
          </w:p>
        </w:tc>
      </w:tr>
      <w:tr w:rsidR="00F15F70" w:rsidRPr="0040056F" w14:paraId="62661207" w14:textId="77777777" w:rsidTr="6A98AE7B">
        <w:trPr>
          <w:trHeight w:val="198"/>
        </w:trPr>
        <w:tc>
          <w:tcPr>
            <w:tcW w:w="2360" w:type="dxa"/>
            <w:noWrap/>
            <w:hideMark/>
          </w:tcPr>
          <w:p w14:paraId="2D404FC6"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Daily dose (mg)</w:t>
            </w:r>
          </w:p>
        </w:tc>
        <w:tc>
          <w:tcPr>
            <w:tcW w:w="1888" w:type="dxa"/>
            <w:noWrap/>
            <w:hideMark/>
          </w:tcPr>
          <w:p w14:paraId="174127FD" w14:textId="77777777" w:rsidR="00F15F70" w:rsidRPr="00A559A5" w:rsidRDefault="00F15F70" w:rsidP="00153279">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400</w:t>
            </w:r>
          </w:p>
        </w:tc>
        <w:tc>
          <w:tcPr>
            <w:tcW w:w="2977" w:type="dxa"/>
            <w:noWrap/>
            <w:hideMark/>
          </w:tcPr>
          <w:p w14:paraId="39A7CC35" w14:textId="77777777" w:rsidR="00F15F70" w:rsidRPr="00A559A5" w:rsidRDefault="00F15F70"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Vials per administration</w:t>
            </w:r>
          </w:p>
        </w:tc>
        <w:tc>
          <w:tcPr>
            <w:tcW w:w="1842" w:type="dxa"/>
            <w:noWrap/>
            <w:hideMark/>
          </w:tcPr>
          <w:p w14:paraId="7551E90A" w14:textId="77777777" w:rsidR="00F15F70" w:rsidRPr="0040056F" w:rsidRDefault="00F15F70" w:rsidP="00153279">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4</w:t>
            </w:r>
          </w:p>
        </w:tc>
      </w:tr>
      <w:tr w:rsidR="00F15F70" w:rsidRPr="0040056F" w14:paraId="5DE2D9B7" w14:textId="77777777" w:rsidTr="6A98AE7B">
        <w:trPr>
          <w:trHeight w:val="198"/>
        </w:trPr>
        <w:tc>
          <w:tcPr>
            <w:tcW w:w="2360" w:type="dxa"/>
            <w:noWrap/>
            <w:hideMark/>
          </w:tcPr>
          <w:p w14:paraId="00CE77E1" w14:textId="720F2D84" w:rsidR="00F15F70" w:rsidRPr="00A559A5" w:rsidRDefault="00AC3AD7"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D</w:t>
            </w:r>
            <w:r w:rsidR="004021D7" w:rsidRPr="00A559A5">
              <w:rPr>
                <w:rFonts w:ascii="Arial Narrow" w:hAnsi="Arial Narrow" w:cs="Times New Roman"/>
                <w:iCs/>
                <w:color w:val="000000"/>
                <w:sz w:val="20"/>
                <w:szCs w:val="20"/>
              </w:rPr>
              <w:t>ays per pack</w:t>
            </w:r>
          </w:p>
        </w:tc>
        <w:tc>
          <w:tcPr>
            <w:tcW w:w="1888" w:type="dxa"/>
            <w:noWrap/>
            <w:hideMark/>
          </w:tcPr>
          <w:p w14:paraId="0BD9A458" w14:textId="405B2B01" w:rsidR="00F15F70" w:rsidRPr="0040056F" w:rsidRDefault="004021D7" w:rsidP="00153279">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30</w:t>
            </w:r>
          </w:p>
        </w:tc>
        <w:tc>
          <w:tcPr>
            <w:tcW w:w="2977" w:type="dxa"/>
            <w:noWrap/>
          </w:tcPr>
          <w:p w14:paraId="378280E3" w14:textId="75513E01" w:rsidR="00F15F70" w:rsidRPr="00A559A5" w:rsidRDefault="00F7606B" w:rsidP="00153279">
            <w:pPr>
              <w:rPr>
                <w:rFonts w:ascii="Arial Narrow" w:hAnsi="Arial Narrow" w:cs="Times New Roman"/>
                <w:iCs/>
                <w:color w:val="000000"/>
                <w:sz w:val="20"/>
                <w:szCs w:val="20"/>
              </w:rPr>
            </w:pPr>
            <w:r w:rsidRPr="00A559A5">
              <w:rPr>
                <w:rFonts w:ascii="Arial Narrow" w:hAnsi="Arial Narrow" w:cs="Times New Roman"/>
                <w:iCs/>
                <w:color w:val="000000"/>
                <w:sz w:val="20"/>
                <w:szCs w:val="20"/>
              </w:rPr>
              <w:t>MBS cost per administration</w:t>
            </w:r>
            <w:r w:rsidR="00813DF8" w:rsidRPr="00A559A5">
              <w:rPr>
                <w:rFonts w:ascii="Arial Narrow" w:hAnsi="Arial Narrow" w:cs="Times New Roman"/>
                <w:iCs/>
                <w:color w:val="000000"/>
                <w:sz w:val="20"/>
                <w:szCs w:val="20"/>
              </w:rPr>
              <w:t xml:space="preserve"> (item 1</w:t>
            </w:r>
            <w:r w:rsidR="00D82502" w:rsidRPr="00A559A5">
              <w:rPr>
                <w:rFonts w:ascii="Arial Narrow" w:hAnsi="Arial Narrow" w:cs="Times New Roman"/>
                <w:iCs/>
                <w:color w:val="000000"/>
                <w:sz w:val="20"/>
                <w:szCs w:val="20"/>
              </w:rPr>
              <w:t>3</w:t>
            </w:r>
            <w:r w:rsidR="00813DF8" w:rsidRPr="00A559A5">
              <w:rPr>
                <w:rFonts w:ascii="Arial Narrow" w:hAnsi="Arial Narrow" w:cs="Times New Roman"/>
                <w:iCs/>
                <w:color w:val="000000"/>
                <w:sz w:val="20"/>
                <w:szCs w:val="20"/>
              </w:rPr>
              <w:t>950)</w:t>
            </w:r>
          </w:p>
        </w:tc>
        <w:tc>
          <w:tcPr>
            <w:tcW w:w="1842" w:type="dxa"/>
            <w:noWrap/>
          </w:tcPr>
          <w:p w14:paraId="24975D4B" w14:textId="59925262" w:rsidR="00F15F70" w:rsidRPr="0040056F" w:rsidRDefault="00F7606B" w:rsidP="00153279">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w:t>
            </w:r>
            <w:r w:rsidR="00BB0E40" w:rsidRPr="0040056F">
              <w:rPr>
                <w:rFonts w:ascii="Arial Narrow" w:hAnsi="Arial Narrow" w:cs="Times New Roman"/>
                <w:iCs/>
                <w:color w:val="000000"/>
                <w:sz w:val="20"/>
                <w:szCs w:val="20"/>
              </w:rPr>
              <w:t>123.05</w:t>
            </w:r>
          </w:p>
        </w:tc>
      </w:tr>
      <w:tr w:rsidR="00E52BBC" w:rsidRPr="0040056F" w14:paraId="3FF55A53" w14:textId="77777777" w:rsidTr="6A98AE7B">
        <w:trPr>
          <w:trHeight w:val="198"/>
        </w:trPr>
        <w:tc>
          <w:tcPr>
            <w:tcW w:w="2360" w:type="dxa"/>
            <w:noWrap/>
            <w:hideMark/>
          </w:tcPr>
          <w:p w14:paraId="62C728A8" w14:textId="68B78452" w:rsidR="00E52BBC" w:rsidRPr="00A559A5" w:rsidRDefault="00880C4E"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Dose intensity</w:t>
            </w:r>
          </w:p>
        </w:tc>
        <w:tc>
          <w:tcPr>
            <w:tcW w:w="1888" w:type="dxa"/>
            <w:noWrap/>
            <w:hideMark/>
          </w:tcPr>
          <w:p w14:paraId="0D6F9372" w14:textId="7F818B4E" w:rsidR="00E52BBC" w:rsidRPr="0040056F" w:rsidRDefault="00880C4E"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88.96%</w:t>
            </w:r>
          </w:p>
        </w:tc>
        <w:tc>
          <w:tcPr>
            <w:tcW w:w="2977" w:type="dxa"/>
            <w:noWrap/>
          </w:tcPr>
          <w:p w14:paraId="0C782ACC" w14:textId="50DE23B1"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Dose intensity</w:t>
            </w:r>
          </w:p>
        </w:tc>
        <w:tc>
          <w:tcPr>
            <w:tcW w:w="1842" w:type="dxa"/>
            <w:noWrap/>
          </w:tcPr>
          <w:p w14:paraId="790E984A" w14:textId="6C8FA67D"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94.41%</w:t>
            </w:r>
          </w:p>
        </w:tc>
      </w:tr>
      <w:tr w:rsidR="00E52BBC" w:rsidRPr="00A559A5" w14:paraId="030A5FB6" w14:textId="77777777" w:rsidTr="6A98AE7B">
        <w:trPr>
          <w:trHeight w:val="198"/>
        </w:trPr>
        <w:tc>
          <w:tcPr>
            <w:tcW w:w="2360" w:type="dxa"/>
            <w:noWrap/>
            <w:hideMark/>
          </w:tcPr>
          <w:p w14:paraId="4296FD57" w14:textId="1EC06D02"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AEMP/pack</w:t>
            </w:r>
          </w:p>
        </w:tc>
        <w:tc>
          <w:tcPr>
            <w:tcW w:w="1888" w:type="dxa"/>
            <w:noWrap/>
          </w:tcPr>
          <w:p w14:paraId="3581CE9E" w14:textId="5722960E"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$4,087.01</w:t>
            </w:r>
          </w:p>
        </w:tc>
        <w:tc>
          <w:tcPr>
            <w:tcW w:w="2977" w:type="dxa"/>
            <w:noWrap/>
          </w:tcPr>
          <w:p w14:paraId="4FE05F56" w14:textId="345740BC"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Average cost/patient/treatment</w:t>
            </w:r>
          </w:p>
        </w:tc>
        <w:tc>
          <w:tcPr>
            <w:tcW w:w="1842" w:type="dxa"/>
            <w:noWrap/>
          </w:tcPr>
          <w:p w14:paraId="6DB63B35" w14:textId="070FAD2D" w:rsidR="00E52BBC" w:rsidRPr="00A559A5" w:rsidRDefault="00E52BBC" w:rsidP="00E52BBC">
            <w:pPr>
              <w:jc w:val="right"/>
              <w:rPr>
                <w:rFonts w:ascii="Arial Narrow" w:hAnsi="Arial Narrow" w:cs="Times New Roman"/>
                <w:iCs/>
                <w:color w:val="000000"/>
                <w:sz w:val="20"/>
                <w:szCs w:val="20"/>
              </w:rPr>
            </w:pPr>
            <w:r w:rsidRPr="00A559A5">
              <w:rPr>
                <w:rFonts w:ascii="Arial Narrow" w:hAnsi="Arial Narrow" w:cs="Times New Roman"/>
                <w:iCs/>
                <w:color w:val="000000"/>
                <w:sz w:val="20"/>
                <w:szCs w:val="20"/>
              </w:rPr>
              <w:t>$</w:t>
            </w:r>
            <w:r w:rsidR="00A80A9D" w:rsidRPr="00A80A9D">
              <w:rPr>
                <w:rFonts w:ascii="Arial Narrow" w:hAnsi="Arial Narrow" w:cs="Times New Roman"/>
                <w:iCs/>
                <w:color w:val="000000"/>
                <w:sz w:val="20"/>
                <w:szCs w:val="20"/>
                <w:shd w:val="solid" w:color="000000" w:fill="000000"/>
                <w14:textFill>
                  <w14:solidFill>
                    <w14:srgbClr w14:val="000000">
                      <w14:alpha w14:val="100000"/>
                    </w14:srgbClr>
                  </w14:solidFill>
                </w14:textFill>
              </w:rPr>
              <w:t>|</w:t>
            </w:r>
          </w:p>
        </w:tc>
      </w:tr>
      <w:tr w:rsidR="00E52BBC" w:rsidRPr="00A559A5" w14:paraId="02666410" w14:textId="77777777" w:rsidTr="6A98AE7B">
        <w:trPr>
          <w:trHeight w:val="198"/>
        </w:trPr>
        <w:tc>
          <w:tcPr>
            <w:tcW w:w="2360" w:type="dxa"/>
            <w:noWrap/>
            <w:hideMark/>
          </w:tcPr>
          <w:p w14:paraId="40067B8B" w14:textId="0558DB4C"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AEMP/day</w:t>
            </w:r>
          </w:p>
        </w:tc>
        <w:tc>
          <w:tcPr>
            <w:tcW w:w="1888" w:type="dxa"/>
            <w:noWrap/>
          </w:tcPr>
          <w:p w14:paraId="53BE66B4" w14:textId="3CE1B11A"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$136.23</w:t>
            </w:r>
          </w:p>
        </w:tc>
        <w:tc>
          <w:tcPr>
            <w:tcW w:w="2977" w:type="dxa"/>
            <w:vMerge w:val="restart"/>
            <w:noWrap/>
          </w:tcPr>
          <w:p w14:paraId="4A76E4C0" w14:textId="068B7B3B"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Treatments per 28 days</w:t>
            </w:r>
          </w:p>
        </w:tc>
        <w:tc>
          <w:tcPr>
            <w:tcW w:w="1842" w:type="dxa"/>
            <w:vMerge w:val="restart"/>
            <w:noWrap/>
          </w:tcPr>
          <w:p w14:paraId="1AA6F5B4" w14:textId="77777777" w:rsidR="00E52BBC" w:rsidRPr="00A559A5"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2</w:t>
            </w:r>
          </w:p>
          <w:p w14:paraId="4E328007" w14:textId="2B6D496F" w:rsidR="00E52BBC" w:rsidRPr="00A559A5" w:rsidRDefault="00E52BBC" w:rsidP="00E52BBC">
            <w:pPr>
              <w:jc w:val="right"/>
              <w:rPr>
                <w:rFonts w:ascii="Arial Narrow" w:hAnsi="Arial Narrow" w:cs="Times New Roman"/>
                <w:iCs/>
                <w:color w:val="000000"/>
                <w:sz w:val="20"/>
                <w:szCs w:val="20"/>
              </w:rPr>
            </w:pPr>
          </w:p>
        </w:tc>
      </w:tr>
      <w:tr w:rsidR="00E52BBC" w:rsidRPr="00A559A5" w14:paraId="3C039824" w14:textId="77777777" w:rsidTr="00A80A9D">
        <w:trPr>
          <w:trHeight w:val="198"/>
        </w:trPr>
        <w:tc>
          <w:tcPr>
            <w:tcW w:w="2360" w:type="dxa"/>
            <w:noWrap/>
            <w:hideMark/>
          </w:tcPr>
          <w:p w14:paraId="2D197349" w14:textId="65770013" w:rsidR="00E52BBC" w:rsidRPr="00A559A5" w:rsidRDefault="00E52BBC" w:rsidP="00E52BBC">
            <w:pPr>
              <w:rPr>
                <w:rFonts w:ascii="Arial Narrow" w:hAnsi="Arial Narrow" w:cs="Times New Roman"/>
                <w:iCs/>
                <w:color w:val="000000"/>
                <w:sz w:val="20"/>
                <w:szCs w:val="20"/>
              </w:rPr>
            </w:pPr>
            <w:r w:rsidRPr="00A559A5">
              <w:rPr>
                <w:rFonts w:ascii="Arial Narrow" w:hAnsi="Arial Narrow" w:cs="Times New Roman"/>
                <w:iCs/>
                <w:color w:val="000000"/>
                <w:sz w:val="20"/>
                <w:szCs w:val="20"/>
              </w:rPr>
              <w:t>AEMP per 28 days</w:t>
            </w:r>
          </w:p>
        </w:tc>
        <w:tc>
          <w:tcPr>
            <w:tcW w:w="1888" w:type="dxa"/>
            <w:noWrap/>
          </w:tcPr>
          <w:p w14:paraId="44687736" w14:textId="214AB7D7" w:rsidR="00E52BBC" w:rsidRPr="0040056F" w:rsidRDefault="00E52BBC" w:rsidP="00E52BBC">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$3,814.54</w:t>
            </w:r>
          </w:p>
        </w:tc>
        <w:tc>
          <w:tcPr>
            <w:tcW w:w="2977" w:type="dxa"/>
            <w:vMerge/>
            <w:noWrap/>
          </w:tcPr>
          <w:p w14:paraId="76B22C3A" w14:textId="77777777" w:rsidR="00E52BBC" w:rsidRPr="00A559A5" w:rsidRDefault="00E52BBC" w:rsidP="00E52BBC">
            <w:pPr>
              <w:rPr>
                <w:rFonts w:ascii="Arial Narrow" w:hAnsi="Arial Narrow" w:cs="Times New Roman"/>
                <w:iCs/>
                <w:sz w:val="20"/>
                <w:szCs w:val="20"/>
              </w:rPr>
            </w:pPr>
          </w:p>
        </w:tc>
        <w:tc>
          <w:tcPr>
            <w:tcW w:w="1842" w:type="dxa"/>
            <w:vMerge/>
            <w:tcBorders>
              <w:bottom w:val="single" w:sz="4" w:space="0" w:color="auto"/>
            </w:tcBorders>
            <w:noWrap/>
          </w:tcPr>
          <w:p w14:paraId="2C57B691" w14:textId="77777777" w:rsidR="00E52BBC" w:rsidRPr="00A559A5" w:rsidRDefault="00E52BBC" w:rsidP="00E52BBC">
            <w:pPr>
              <w:rPr>
                <w:rFonts w:ascii="Arial Narrow" w:hAnsi="Arial Narrow" w:cs="Times New Roman"/>
                <w:iCs/>
                <w:sz w:val="20"/>
                <w:szCs w:val="20"/>
              </w:rPr>
            </w:pPr>
          </w:p>
        </w:tc>
      </w:tr>
      <w:tr w:rsidR="004B1300" w:rsidRPr="00A559A5" w14:paraId="55452EED" w14:textId="77777777" w:rsidTr="00A80A9D">
        <w:trPr>
          <w:trHeight w:val="198"/>
        </w:trPr>
        <w:tc>
          <w:tcPr>
            <w:tcW w:w="2360" w:type="dxa"/>
            <w:noWrap/>
          </w:tcPr>
          <w:p w14:paraId="0A022D4E" w14:textId="189AB550" w:rsidR="004B1300" w:rsidRPr="00A559A5" w:rsidRDefault="002001F8" w:rsidP="004B1300">
            <w:pPr>
              <w:rPr>
                <w:rFonts w:ascii="Arial Narrow" w:hAnsi="Arial Narrow" w:cs="Times New Roman"/>
                <w:iCs/>
                <w:color w:val="000000"/>
                <w:sz w:val="20"/>
                <w:szCs w:val="20"/>
              </w:rPr>
            </w:pPr>
            <w:r w:rsidRPr="00A559A5">
              <w:rPr>
                <w:rFonts w:ascii="Arial Narrow" w:hAnsi="Arial Narrow" w:cs="Times New Roman"/>
                <w:iCs/>
                <w:color w:val="000000"/>
                <w:sz w:val="20"/>
                <w:szCs w:val="20"/>
              </w:rPr>
              <w:t>Cost per 28 days adjusted for dose intensity</w:t>
            </w:r>
          </w:p>
        </w:tc>
        <w:tc>
          <w:tcPr>
            <w:tcW w:w="1888" w:type="dxa"/>
            <w:noWrap/>
          </w:tcPr>
          <w:p w14:paraId="1090C3EF" w14:textId="3653F0CF" w:rsidR="004B1300" w:rsidRPr="0040056F" w:rsidRDefault="001E4B5B" w:rsidP="004B1300">
            <w:pPr>
              <w:jc w:val="right"/>
              <w:rPr>
                <w:rFonts w:ascii="Arial Narrow" w:hAnsi="Arial Narrow" w:cs="Times New Roman"/>
                <w:iCs/>
                <w:color w:val="000000"/>
                <w:sz w:val="20"/>
                <w:szCs w:val="20"/>
              </w:rPr>
            </w:pPr>
            <w:r w:rsidRPr="0040056F">
              <w:rPr>
                <w:rFonts w:ascii="Arial Narrow" w:hAnsi="Arial Narrow" w:cs="Times New Roman"/>
                <w:iCs/>
                <w:color w:val="000000"/>
                <w:sz w:val="20"/>
                <w:szCs w:val="20"/>
              </w:rPr>
              <w:t>$3,393.4</w:t>
            </w:r>
            <w:r w:rsidR="00EE267F" w:rsidRPr="0040056F">
              <w:rPr>
                <w:rFonts w:ascii="Arial Narrow" w:hAnsi="Arial Narrow" w:cs="Times New Roman"/>
                <w:iCs/>
                <w:color w:val="000000"/>
                <w:sz w:val="20"/>
                <w:szCs w:val="20"/>
              </w:rPr>
              <w:t>2</w:t>
            </w:r>
          </w:p>
        </w:tc>
        <w:tc>
          <w:tcPr>
            <w:tcW w:w="2977" w:type="dxa"/>
            <w:noWrap/>
            <w:vAlign w:val="center"/>
          </w:tcPr>
          <w:p w14:paraId="1CB95CF3" w14:textId="4848F172" w:rsidR="004B1300" w:rsidRPr="00A559A5" w:rsidRDefault="00540896" w:rsidP="004B1300">
            <w:pPr>
              <w:rPr>
                <w:rFonts w:ascii="Arial Narrow" w:hAnsi="Arial Narrow" w:cs="Times New Roman"/>
                <w:iCs/>
                <w:sz w:val="20"/>
                <w:szCs w:val="20"/>
              </w:rPr>
            </w:pPr>
            <w:r w:rsidRPr="00A559A5">
              <w:rPr>
                <w:rFonts w:ascii="Arial Narrow" w:hAnsi="Arial Narrow" w:cs="Times New Roman"/>
                <w:iCs/>
                <w:sz w:val="20"/>
                <w:szCs w:val="20"/>
              </w:rPr>
              <w:t>Cost per 28 days</w:t>
            </w:r>
          </w:p>
        </w:tc>
        <w:tc>
          <w:tcPr>
            <w:tcW w:w="1842" w:type="dxa"/>
            <w:shd w:val="solid" w:color="000000" w:fill="000000"/>
            <w:noWrap/>
            <w:vAlign w:val="center"/>
          </w:tcPr>
          <w:p w14:paraId="0E2FA7CD" w14:textId="536A0482" w:rsidR="004B1300" w:rsidRPr="00A559A5" w:rsidRDefault="00A80A9D" w:rsidP="00540896">
            <w:pPr>
              <w:jc w:val="right"/>
              <w:rPr>
                <w:rFonts w:ascii="Arial Narrow" w:hAnsi="Arial Narrow" w:cs="Times New Roman"/>
                <w:iCs/>
                <w:sz w:val="20"/>
                <w:szCs w:val="20"/>
              </w:rPr>
            </w:pPr>
            <w:r w:rsidRPr="00A80A9D">
              <w:rPr>
                <w:rFonts w:ascii="Arial Narrow" w:hAnsi="Arial Narrow" w:cs="Times New Roman"/>
                <w:iCs/>
                <w:color w:val="000000"/>
                <w:sz w:val="20"/>
                <w:szCs w:val="20"/>
                <w14:textFill>
                  <w14:solidFill>
                    <w14:srgbClr w14:val="000000">
                      <w14:alpha w14:val="100000"/>
                    </w14:srgbClr>
                  </w14:solidFill>
                </w14:textFill>
              </w:rPr>
              <w:t>|</w:t>
            </w:r>
          </w:p>
        </w:tc>
      </w:tr>
    </w:tbl>
    <w:p w14:paraId="18828B09" w14:textId="7CAD5577" w:rsidR="00F15F70" w:rsidRPr="00A559A5" w:rsidRDefault="00F15F70" w:rsidP="00E73959">
      <w:pPr>
        <w:pStyle w:val="TableFooter"/>
      </w:pPr>
      <w:r w:rsidRPr="00A559A5">
        <w:t xml:space="preserve">Source: </w:t>
      </w:r>
      <w:r w:rsidR="00AC3AD7" w:rsidRPr="00A559A5">
        <w:t>Compiled in preparation of the ESC Advice</w:t>
      </w:r>
      <w:r w:rsidRPr="00A559A5">
        <w:t>.</w:t>
      </w:r>
    </w:p>
    <w:p w14:paraId="3DCD8C14" w14:textId="47D31F43" w:rsidR="004664BA" w:rsidRPr="007427EF" w:rsidRDefault="00813DF8" w:rsidP="00E73959">
      <w:pPr>
        <w:pStyle w:val="TableFooter"/>
      </w:pPr>
      <w:r w:rsidRPr="00A559A5">
        <w:t>AEMP = approved ex-manufacturer price; MBS = Medicare Benefits Schedule</w:t>
      </w:r>
    </w:p>
    <w:p w14:paraId="22DB4C19" w14:textId="31A16B75" w:rsidR="003655B3" w:rsidRPr="00A559A5" w:rsidRDefault="007E1CA5" w:rsidP="00DC179E">
      <w:pPr>
        <w:pStyle w:val="3-BodyText"/>
        <w:rPr>
          <w:b/>
          <w:iCs/>
          <w:color w:val="0066FF"/>
        </w:rPr>
      </w:pPr>
      <w:r w:rsidRPr="00A559A5">
        <w:rPr>
          <w:iCs/>
        </w:rPr>
        <w:t>A se</w:t>
      </w:r>
      <w:r w:rsidR="00D73F3C" w:rsidRPr="00A559A5">
        <w:rPr>
          <w:iCs/>
        </w:rPr>
        <w:t>n</w:t>
      </w:r>
      <w:r w:rsidR="00E76B6E" w:rsidRPr="00A559A5">
        <w:rPr>
          <w:iCs/>
        </w:rPr>
        <w:t xml:space="preserve">sitivity analyses </w:t>
      </w:r>
      <w:r w:rsidRPr="00A559A5">
        <w:rPr>
          <w:iCs/>
        </w:rPr>
        <w:t xml:space="preserve">using the </w:t>
      </w:r>
      <w:r w:rsidR="00B63B12" w:rsidRPr="00A559A5">
        <w:rPr>
          <w:iCs/>
        </w:rPr>
        <w:t xml:space="preserve">revised CMA approach </w:t>
      </w:r>
      <w:r w:rsidR="00307109" w:rsidRPr="00A559A5">
        <w:rPr>
          <w:iCs/>
        </w:rPr>
        <w:t>outlined in</w:t>
      </w:r>
      <w:r w:rsidR="00665AD2" w:rsidRPr="00A559A5">
        <w:rPr>
          <w:iCs/>
        </w:rPr>
        <w:t xml:space="preserve"> </w:t>
      </w:r>
      <w:r w:rsidR="00665AD2" w:rsidRPr="00A559A5">
        <w:rPr>
          <w:iCs/>
        </w:rPr>
        <w:fldChar w:fldCharType="begin"/>
      </w:r>
      <w:r w:rsidR="00665AD2" w:rsidRPr="00A559A5">
        <w:rPr>
          <w:iCs/>
        </w:rPr>
        <w:instrText xml:space="preserve"> REF _Ref190862621 \h  \* MERGEFORMAT </w:instrText>
      </w:r>
      <w:r w:rsidR="00665AD2" w:rsidRPr="00A559A5">
        <w:rPr>
          <w:iCs/>
        </w:rPr>
      </w:r>
      <w:r w:rsidR="00665AD2" w:rsidRPr="00A559A5">
        <w:rPr>
          <w:iCs/>
        </w:rPr>
        <w:fldChar w:fldCharType="separate"/>
      </w:r>
      <w:r w:rsidR="00EF6B5D" w:rsidRPr="00A559A5">
        <w:rPr>
          <w:iCs/>
        </w:rPr>
        <w:t xml:space="preserve">Table </w:t>
      </w:r>
      <w:r w:rsidR="00EF6B5D">
        <w:rPr>
          <w:iCs/>
        </w:rPr>
        <w:t>9</w:t>
      </w:r>
      <w:r w:rsidR="00665AD2" w:rsidRPr="00A559A5">
        <w:rPr>
          <w:iCs/>
        </w:rPr>
        <w:fldChar w:fldCharType="end"/>
      </w:r>
      <w:r w:rsidR="00665AD2" w:rsidRPr="00A559A5">
        <w:rPr>
          <w:iCs/>
        </w:rPr>
        <w:t xml:space="preserve"> along with</w:t>
      </w:r>
      <w:r w:rsidR="001E2CFB" w:rsidRPr="00A559A5">
        <w:rPr>
          <w:iCs/>
        </w:rPr>
        <w:t xml:space="preserve"> the</w:t>
      </w:r>
      <w:r w:rsidR="00307109" w:rsidRPr="00A559A5">
        <w:rPr>
          <w:iCs/>
        </w:rPr>
        <w:t xml:space="preserve"> </w:t>
      </w:r>
      <w:r w:rsidR="00E76B6E" w:rsidRPr="00A559A5">
        <w:rPr>
          <w:iCs/>
        </w:rPr>
        <w:t>treatment duration</w:t>
      </w:r>
      <w:r w:rsidRPr="00A559A5">
        <w:rPr>
          <w:iCs/>
        </w:rPr>
        <w:t xml:space="preserve"> in MAVORIC is </w:t>
      </w:r>
      <w:r w:rsidR="00D73F3C" w:rsidRPr="00A559A5">
        <w:rPr>
          <w:iCs/>
        </w:rPr>
        <w:t xml:space="preserve">presented </w:t>
      </w:r>
      <w:r w:rsidR="00E76B6E" w:rsidRPr="00A559A5">
        <w:rPr>
          <w:iCs/>
        </w:rPr>
        <w:t xml:space="preserve">in </w:t>
      </w:r>
      <w:r w:rsidR="00463985" w:rsidRPr="00A559A5">
        <w:rPr>
          <w:iCs/>
        </w:rPr>
        <w:fldChar w:fldCharType="begin"/>
      </w:r>
      <w:r w:rsidR="00463985" w:rsidRPr="00A559A5">
        <w:rPr>
          <w:iCs/>
        </w:rPr>
        <w:instrText xml:space="preserve"> REF _Ref190862712 \h  \* MERGEFORMAT </w:instrText>
      </w:r>
      <w:r w:rsidR="00463985" w:rsidRPr="00A559A5">
        <w:rPr>
          <w:iCs/>
        </w:rPr>
      </w:r>
      <w:r w:rsidR="00463985" w:rsidRPr="00A559A5">
        <w:rPr>
          <w:iCs/>
        </w:rPr>
        <w:fldChar w:fldCharType="separate"/>
      </w:r>
      <w:r w:rsidR="00EF6B5D" w:rsidRPr="00A559A5">
        <w:rPr>
          <w:iCs/>
        </w:rPr>
        <w:t xml:space="preserve">Table </w:t>
      </w:r>
      <w:r w:rsidR="00EF6B5D">
        <w:rPr>
          <w:iCs/>
        </w:rPr>
        <w:t>10</w:t>
      </w:r>
      <w:r w:rsidR="00463985" w:rsidRPr="00A559A5">
        <w:rPr>
          <w:iCs/>
        </w:rPr>
        <w:fldChar w:fldCharType="end"/>
      </w:r>
      <w:r w:rsidR="00E76B6E" w:rsidRPr="00A559A5">
        <w:rPr>
          <w:iCs/>
        </w:rPr>
        <w:t xml:space="preserve">. </w:t>
      </w:r>
    </w:p>
    <w:p w14:paraId="17D6C821" w14:textId="7E180366" w:rsidR="00BD6E63" w:rsidRPr="00A559A5" w:rsidRDefault="00463985" w:rsidP="00463985">
      <w:pPr>
        <w:pStyle w:val="Caption"/>
        <w:rPr>
          <w:b w:val="0"/>
          <w:bCs w:val="0"/>
          <w:color w:val="000000" w:themeColor="text1"/>
          <w:szCs w:val="20"/>
        </w:rPr>
      </w:pPr>
      <w:bookmarkStart w:id="54" w:name="_Ref190862712"/>
      <w:r w:rsidRPr="00A559A5">
        <w:rPr>
          <w:iCs/>
        </w:rPr>
        <w:t xml:space="preserve">Table </w:t>
      </w:r>
      <w:r w:rsidRPr="00A559A5">
        <w:rPr>
          <w:b w:val="0"/>
          <w:bCs w:val="0"/>
          <w:iCs/>
        </w:rPr>
        <w:fldChar w:fldCharType="begin"/>
      </w:r>
      <w:r w:rsidRPr="00A559A5">
        <w:rPr>
          <w:iCs/>
        </w:rPr>
        <w:instrText xml:space="preserve"> SEQ Table \* ARABIC </w:instrText>
      </w:r>
      <w:r w:rsidRPr="00A559A5">
        <w:rPr>
          <w:b w:val="0"/>
          <w:bCs w:val="0"/>
          <w:iCs/>
        </w:rPr>
        <w:fldChar w:fldCharType="separate"/>
      </w:r>
      <w:r w:rsidR="00EF6B5D">
        <w:rPr>
          <w:iCs/>
          <w:noProof/>
        </w:rPr>
        <w:t>10</w:t>
      </w:r>
      <w:r w:rsidRPr="00A559A5">
        <w:rPr>
          <w:b w:val="0"/>
          <w:bCs w:val="0"/>
          <w:iCs/>
        </w:rPr>
        <w:fldChar w:fldCharType="end"/>
      </w:r>
      <w:bookmarkEnd w:id="54"/>
      <w:r w:rsidRPr="00A559A5">
        <w:rPr>
          <w:iCs/>
        </w:rPr>
        <w:t xml:space="preserve"> Revised cost-minimisation approach sensitivity analysis </w:t>
      </w:r>
    </w:p>
    <w:tbl>
      <w:tblPr>
        <w:tblStyle w:val="TableGrid"/>
        <w:tblW w:w="4992" w:type="pct"/>
        <w:tblLook w:val="04A0" w:firstRow="1" w:lastRow="0" w:firstColumn="1" w:lastColumn="0" w:noHBand="0" w:noVBand="1"/>
        <w:tblCaption w:val="Table 10 Revised cost-minimisation approach sensitivity analysis "/>
      </w:tblPr>
      <w:tblGrid>
        <w:gridCol w:w="3255"/>
        <w:gridCol w:w="2127"/>
        <w:gridCol w:w="1702"/>
        <w:gridCol w:w="1919"/>
      </w:tblGrid>
      <w:tr w:rsidR="003A07C7" w:rsidRPr="00A559A5" w14:paraId="45B63A7B" w14:textId="77777777" w:rsidTr="00F24992">
        <w:trPr>
          <w:trHeight w:val="20"/>
        </w:trPr>
        <w:tc>
          <w:tcPr>
            <w:tcW w:w="1808" w:type="pct"/>
          </w:tcPr>
          <w:p w14:paraId="2067896C" w14:textId="77777777" w:rsidR="003A07C7" w:rsidRPr="00A559A5" w:rsidRDefault="003A07C7" w:rsidP="00153279">
            <w:pPr>
              <w:keepNext/>
              <w:rPr>
                <w:rFonts w:ascii="Arial Narrow" w:hAnsi="Arial Narrow" w:cs="Calibri"/>
                <w:iCs/>
                <w:color w:val="000000"/>
                <w:sz w:val="20"/>
                <w:szCs w:val="20"/>
              </w:rPr>
            </w:pPr>
            <w:bookmarkStart w:id="55" w:name="_Hlk193115046"/>
          </w:p>
        </w:tc>
        <w:tc>
          <w:tcPr>
            <w:tcW w:w="2126" w:type="pct"/>
            <w:gridSpan w:val="2"/>
          </w:tcPr>
          <w:p w14:paraId="3F0FB2E0" w14:textId="31DA008A" w:rsidR="003A07C7" w:rsidRPr="00A559A5" w:rsidRDefault="003A07C7" w:rsidP="00205815">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Treatment duration (</w:t>
            </w:r>
            <w:r w:rsidR="002B7660" w:rsidRPr="00A559A5">
              <w:rPr>
                <w:rFonts w:ascii="Arial Narrow" w:hAnsi="Arial Narrow" w:cs="Calibri"/>
                <w:b/>
                <w:bCs/>
                <w:iCs/>
                <w:color w:val="000000"/>
                <w:sz w:val="20"/>
                <w:szCs w:val="20"/>
              </w:rPr>
              <w:t>28-day cycles</w:t>
            </w:r>
            <w:r w:rsidRPr="00A559A5">
              <w:rPr>
                <w:rFonts w:ascii="Arial Narrow" w:hAnsi="Arial Narrow" w:cs="Calibri"/>
                <w:b/>
                <w:bCs/>
                <w:iCs/>
                <w:color w:val="000000"/>
                <w:sz w:val="20"/>
                <w:szCs w:val="20"/>
              </w:rPr>
              <w:t>)</w:t>
            </w:r>
          </w:p>
        </w:tc>
        <w:tc>
          <w:tcPr>
            <w:tcW w:w="1066" w:type="pct"/>
            <w:vMerge w:val="restart"/>
          </w:tcPr>
          <w:p w14:paraId="0C5D1C1F" w14:textId="77777777" w:rsidR="003A25EA" w:rsidRDefault="003A07C7" w:rsidP="00153279">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 xml:space="preserve">AEMP per vial </w:t>
            </w:r>
          </w:p>
          <w:p w14:paraId="584E0F85" w14:textId="35F17D35" w:rsidR="003A07C7" w:rsidRPr="00A559A5" w:rsidRDefault="003A07C7" w:rsidP="00153279">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(20</w:t>
            </w:r>
            <w:r w:rsidR="00811038">
              <w:rPr>
                <w:rFonts w:ascii="Arial Narrow" w:hAnsi="Arial Narrow" w:cs="Calibri"/>
                <w:b/>
                <w:bCs/>
                <w:iCs/>
                <w:color w:val="000000"/>
                <w:sz w:val="20"/>
                <w:szCs w:val="20"/>
              </w:rPr>
              <w:t xml:space="preserve"> </w:t>
            </w:r>
            <w:r w:rsidRPr="00A559A5">
              <w:rPr>
                <w:rFonts w:ascii="Arial Narrow" w:hAnsi="Arial Narrow" w:cs="Calibri"/>
                <w:b/>
                <w:bCs/>
                <w:iCs/>
                <w:color w:val="000000"/>
                <w:sz w:val="20"/>
                <w:szCs w:val="20"/>
              </w:rPr>
              <w:t>mg)</w:t>
            </w:r>
          </w:p>
        </w:tc>
      </w:tr>
      <w:tr w:rsidR="00CA0559" w:rsidRPr="00A559A5" w14:paraId="0C19BEE2" w14:textId="77777777" w:rsidTr="003A25EA">
        <w:trPr>
          <w:trHeight w:val="20"/>
        </w:trPr>
        <w:tc>
          <w:tcPr>
            <w:tcW w:w="1808" w:type="pct"/>
          </w:tcPr>
          <w:p w14:paraId="7AEE605D" w14:textId="77777777" w:rsidR="003A07C7" w:rsidRPr="00A559A5" w:rsidRDefault="003A07C7"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 xml:space="preserve">Assumptions </w:t>
            </w:r>
          </w:p>
        </w:tc>
        <w:tc>
          <w:tcPr>
            <w:tcW w:w="1181" w:type="pct"/>
          </w:tcPr>
          <w:p w14:paraId="25F3CE44" w14:textId="19F0D509" w:rsidR="003A07C7" w:rsidRPr="00A559A5" w:rsidRDefault="003A07C7" w:rsidP="6A98AE7B">
            <w:pPr>
              <w:keepNext/>
              <w:jc w:val="center"/>
              <w:rPr>
                <w:rFonts w:ascii="Arial Narrow" w:hAnsi="Arial Narrow" w:cs="Calibri"/>
                <w:b/>
                <w:bCs/>
                <w:iCs/>
                <w:color w:val="000000"/>
                <w:sz w:val="20"/>
                <w:szCs w:val="20"/>
              </w:rPr>
            </w:pPr>
            <w:proofErr w:type="spellStart"/>
            <w:r w:rsidRPr="00A559A5">
              <w:rPr>
                <w:rFonts w:ascii="Arial Narrow" w:hAnsi="Arial Narrow" w:cs="Calibri"/>
                <w:b/>
                <w:bCs/>
                <w:iCs/>
                <w:color w:val="000000" w:themeColor="text1"/>
                <w:sz w:val="20"/>
                <w:szCs w:val="20"/>
              </w:rPr>
              <w:t>V</w:t>
            </w:r>
            <w:r w:rsidR="00B22D9E" w:rsidRPr="00A559A5">
              <w:rPr>
                <w:rFonts w:ascii="Arial Narrow" w:hAnsi="Arial Narrow" w:cs="Calibri"/>
                <w:b/>
                <w:bCs/>
                <w:iCs/>
                <w:color w:val="000000" w:themeColor="text1"/>
                <w:sz w:val="20"/>
                <w:szCs w:val="20"/>
              </w:rPr>
              <w:t>orinostat</w:t>
            </w:r>
            <w:proofErr w:type="spellEnd"/>
          </w:p>
        </w:tc>
        <w:tc>
          <w:tcPr>
            <w:tcW w:w="945" w:type="pct"/>
          </w:tcPr>
          <w:p w14:paraId="153CD18F" w14:textId="35EB8C2B" w:rsidR="003A07C7" w:rsidRPr="00A559A5" w:rsidRDefault="003A07C7" w:rsidP="00153279">
            <w:pPr>
              <w:keepNext/>
              <w:jc w:val="center"/>
              <w:rPr>
                <w:rFonts w:ascii="Arial Narrow" w:hAnsi="Arial Narrow" w:cs="Calibri"/>
                <w:b/>
                <w:bCs/>
                <w:iCs/>
                <w:color w:val="000000"/>
                <w:sz w:val="20"/>
                <w:szCs w:val="20"/>
              </w:rPr>
            </w:pPr>
            <w:r w:rsidRPr="00A559A5">
              <w:rPr>
                <w:rFonts w:ascii="Arial Narrow" w:hAnsi="Arial Narrow" w:cs="Calibri"/>
                <w:b/>
                <w:bCs/>
                <w:iCs/>
                <w:color w:val="000000"/>
                <w:sz w:val="20"/>
                <w:szCs w:val="20"/>
              </w:rPr>
              <w:t>M</w:t>
            </w:r>
            <w:r w:rsidR="00B22D9E" w:rsidRPr="00A559A5">
              <w:rPr>
                <w:rFonts w:ascii="Arial Narrow" w:hAnsi="Arial Narrow" w:cs="Calibri"/>
                <w:b/>
                <w:bCs/>
                <w:iCs/>
                <w:color w:val="000000"/>
                <w:sz w:val="20"/>
                <w:szCs w:val="20"/>
              </w:rPr>
              <w:t>ogamulizumab</w:t>
            </w:r>
          </w:p>
        </w:tc>
        <w:tc>
          <w:tcPr>
            <w:tcW w:w="1066" w:type="pct"/>
            <w:vMerge/>
          </w:tcPr>
          <w:p w14:paraId="59402008" w14:textId="77777777" w:rsidR="003A07C7" w:rsidRPr="00A559A5" w:rsidRDefault="003A07C7" w:rsidP="00153279">
            <w:pPr>
              <w:keepNext/>
              <w:rPr>
                <w:rFonts w:ascii="Arial Narrow" w:hAnsi="Arial Narrow" w:cs="Calibri"/>
                <w:iCs/>
                <w:color w:val="000000"/>
                <w:sz w:val="20"/>
                <w:szCs w:val="20"/>
              </w:rPr>
            </w:pPr>
          </w:p>
        </w:tc>
      </w:tr>
      <w:tr w:rsidR="0019076F" w:rsidRPr="00A559A5" w14:paraId="228A72E2" w14:textId="77777777" w:rsidTr="003A25EA">
        <w:trPr>
          <w:trHeight w:val="20"/>
        </w:trPr>
        <w:tc>
          <w:tcPr>
            <w:tcW w:w="1808" w:type="pct"/>
          </w:tcPr>
          <w:p w14:paraId="202B2975" w14:textId="02C927D6" w:rsidR="0019076F" w:rsidRPr="00A559A5" w:rsidRDefault="0019076F"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Base case (same treatment duration)</w:t>
            </w:r>
          </w:p>
        </w:tc>
        <w:tc>
          <w:tcPr>
            <w:tcW w:w="1181" w:type="pct"/>
          </w:tcPr>
          <w:p w14:paraId="32E230A4" w14:textId="07A779A5" w:rsidR="0019076F" w:rsidRPr="00A559A5" w:rsidRDefault="00B22D9E"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Same as mogamulizumab</w:t>
            </w:r>
          </w:p>
        </w:tc>
        <w:tc>
          <w:tcPr>
            <w:tcW w:w="945" w:type="pct"/>
          </w:tcPr>
          <w:p w14:paraId="2A70D3D4" w14:textId="09096567" w:rsidR="0019076F" w:rsidRPr="00A559A5" w:rsidRDefault="00B22D9E" w:rsidP="6A98AE7B">
            <w:pPr>
              <w:keepNext/>
              <w:jc w:val="center"/>
              <w:rPr>
                <w:rFonts w:ascii="Arial Narrow" w:hAnsi="Arial Narrow" w:cs="Calibri"/>
                <w:iCs/>
                <w:color w:val="000000"/>
                <w:sz w:val="20"/>
                <w:szCs w:val="20"/>
              </w:rPr>
            </w:pPr>
            <w:r w:rsidRPr="00A559A5">
              <w:rPr>
                <w:rFonts w:ascii="Arial Narrow" w:hAnsi="Arial Narrow" w:cs="Calibri"/>
                <w:iCs/>
                <w:color w:val="000000" w:themeColor="text1"/>
                <w:sz w:val="20"/>
                <w:szCs w:val="20"/>
              </w:rPr>
              <w:t xml:space="preserve">Same as </w:t>
            </w:r>
            <w:proofErr w:type="spellStart"/>
            <w:r w:rsidRPr="00A559A5">
              <w:rPr>
                <w:rFonts w:ascii="Arial Narrow" w:hAnsi="Arial Narrow" w:cs="Calibri"/>
                <w:iCs/>
                <w:color w:val="000000" w:themeColor="text1"/>
                <w:sz w:val="20"/>
                <w:szCs w:val="20"/>
              </w:rPr>
              <w:t>vorinostat</w:t>
            </w:r>
            <w:proofErr w:type="spellEnd"/>
          </w:p>
        </w:tc>
        <w:tc>
          <w:tcPr>
            <w:tcW w:w="1066" w:type="pct"/>
          </w:tcPr>
          <w:p w14:paraId="457B3419" w14:textId="4738FB8A" w:rsidR="0019076F" w:rsidRPr="00120F70" w:rsidRDefault="0019076F" w:rsidP="0019076F">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9"/>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9"/>
                <w14:textFill>
                  <w14:solidFill>
                    <w14:srgbClr w14:val="000000">
                      <w14:alpha w14:val="100000"/>
                    </w14:srgbClr>
                  </w14:solidFill>
                </w14:textFill>
              </w:rPr>
              <w:t>|</w:t>
            </w:r>
          </w:p>
        </w:tc>
      </w:tr>
      <w:bookmarkEnd w:id="55"/>
      <w:tr w:rsidR="00CA0559" w:rsidRPr="00A559A5" w14:paraId="457A6530" w14:textId="77777777" w:rsidTr="003A25EA">
        <w:trPr>
          <w:trHeight w:val="452"/>
        </w:trPr>
        <w:tc>
          <w:tcPr>
            <w:tcW w:w="1808" w:type="pct"/>
          </w:tcPr>
          <w:p w14:paraId="52BC8DC3" w14:textId="6C61D107" w:rsidR="003A07C7" w:rsidRPr="00A559A5" w:rsidRDefault="003A07C7"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MAVORIC</w:t>
            </w:r>
            <w:r w:rsidR="00850243" w:rsidRPr="00A559A5">
              <w:rPr>
                <w:rFonts w:ascii="Arial Narrow" w:hAnsi="Arial Narrow" w:cs="Calibri"/>
                <w:iCs/>
                <w:color w:val="000000"/>
                <w:sz w:val="20"/>
                <w:szCs w:val="20"/>
              </w:rPr>
              <w:t xml:space="preserve"> mean treatment duration</w:t>
            </w:r>
          </w:p>
        </w:tc>
        <w:tc>
          <w:tcPr>
            <w:tcW w:w="1181" w:type="pct"/>
          </w:tcPr>
          <w:p w14:paraId="26974B62" w14:textId="0C641FB3" w:rsidR="003A07C7" w:rsidRPr="00A559A5" w:rsidRDefault="002B7660"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w:t>
            </w:r>
            <w:r w:rsidR="0022390B" w:rsidRPr="00A559A5">
              <w:rPr>
                <w:rFonts w:ascii="Arial Narrow" w:hAnsi="Arial Narrow" w:cs="Calibri"/>
                <w:iCs/>
                <w:color w:val="000000"/>
                <w:sz w:val="20"/>
                <w:szCs w:val="20"/>
              </w:rPr>
              <w:t xml:space="preserve"> cycles</w:t>
            </w:r>
          </w:p>
        </w:tc>
        <w:tc>
          <w:tcPr>
            <w:tcW w:w="945" w:type="pct"/>
          </w:tcPr>
          <w:p w14:paraId="1533A467" w14:textId="3ADB2F12" w:rsidR="003A07C7" w:rsidRPr="00A559A5" w:rsidRDefault="002B7660"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9.1</w:t>
            </w:r>
            <w:r w:rsidR="0022390B" w:rsidRPr="00A559A5">
              <w:rPr>
                <w:rFonts w:ascii="Arial Narrow" w:hAnsi="Arial Narrow" w:cs="Calibri"/>
                <w:iCs/>
                <w:color w:val="000000"/>
                <w:sz w:val="20"/>
                <w:szCs w:val="20"/>
              </w:rPr>
              <w:t xml:space="preserve"> cycles</w:t>
            </w:r>
            <w:r w:rsidR="00287E0B" w:rsidRPr="00A559A5">
              <w:rPr>
                <w:rFonts w:ascii="Arial Narrow" w:hAnsi="Arial Narrow" w:cs="Calibri"/>
                <w:iCs/>
                <w:color w:val="000000"/>
                <w:sz w:val="20"/>
                <w:szCs w:val="20"/>
              </w:rPr>
              <w:t xml:space="preserve"> </w:t>
            </w:r>
            <w:r w:rsidR="00287E0B" w:rsidRPr="00A559A5">
              <w:rPr>
                <w:rFonts w:ascii="Arial Narrow" w:hAnsi="Arial Narrow" w:cs="Calibri"/>
                <w:iCs/>
                <w:color w:val="000000"/>
                <w:sz w:val="20"/>
                <w:szCs w:val="20"/>
              </w:rPr>
              <w:br/>
              <w:t>(18.2 infusions)</w:t>
            </w:r>
          </w:p>
        </w:tc>
        <w:tc>
          <w:tcPr>
            <w:tcW w:w="1066" w:type="pct"/>
          </w:tcPr>
          <w:p w14:paraId="7936C6ED" w14:textId="1A827965" w:rsidR="003A07C7" w:rsidRPr="00120F70" w:rsidRDefault="001C7765" w:rsidP="001F3618">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8"/>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8"/>
                <w14:textFill>
                  <w14:solidFill>
                    <w14:srgbClr w14:val="000000">
                      <w14:alpha w14:val="100000"/>
                    </w14:srgbClr>
                  </w14:solidFill>
                </w14:textFill>
              </w:rPr>
              <w:t>|</w:t>
            </w:r>
          </w:p>
        </w:tc>
      </w:tr>
      <w:tr w:rsidR="00AB0043" w:rsidRPr="00A559A5" w14:paraId="498CFAD9" w14:textId="77777777" w:rsidTr="003A25EA">
        <w:trPr>
          <w:trHeight w:val="452"/>
        </w:trPr>
        <w:tc>
          <w:tcPr>
            <w:tcW w:w="1808" w:type="pct"/>
          </w:tcPr>
          <w:p w14:paraId="451936DA" w14:textId="62581511" w:rsidR="00AB0043" w:rsidRPr="00A559A5" w:rsidRDefault="00040585" w:rsidP="00153279">
            <w:pPr>
              <w:keepNext/>
              <w:rPr>
                <w:rFonts w:ascii="Arial Narrow" w:hAnsi="Arial Narrow" w:cs="Calibri"/>
                <w:iCs/>
                <w:color w:val="000000"/>
                <w:sz w:val="20"/>
                <w:szCs w:val="20"/>
              </w:rPr>
            </w:pPr>
            <w:r w:rsidRPr="00A559A5">
              <w:rPr>
                <w:rFonts w:ascii="Arial Narrow" w:hAnsi="Arial Narrow" w:cs="Calibri"/>
                <w:iCs/>
                <w:color w:val="000000"/>
                <w:sz w:val="20"/>
                <w:szCs w:val="20"/>
              </w:rPr>
              <w:t xml:space="preserve">MAVORIC mean treatment duration </w:t>
            </w:r>
            <w:r w:rsidR="005C4FAF" w:rsidRPr="00A559A5">
              <w:rPr>
                <w:rFonts w:ascii="Arial Narrow" w:hAnsi="Arial Narrow" w:cs="Calibri"/>
                <w:iCs/>
                <w:color w:val="000000"/>
                <w:sz w:val="20"/>
                <w:szCs w:val="20"/>
              </w:rPr>
              <w:t xml:space="preserve">including </w:t>
            </w:r>
            <w:r w:rsidR="0007745E" w:rsidRPr="00A559A5">
              <w:rPr>
                <w:rFonts w:ascii="Arial Narrow" w:hAnsi="Arial Narrow" w:cs="Calibri"/>
                <w:iCs/>
                <w:color w:val="000000"/>
                <w:sz w:val="20"/>
                <w:szCs w:val="20"/>
              </w:rPr>
              <w:t>mogamulizumab loading dose</w:t>
            </w:r>
          </w:p>
        </w:tc>
        <w:tc>
          <w:tcPr>
            <w:tcW w:w="1181" w:type="pct"/>
          </w:tcPr>
          <w:p w14:paraId="735A1A31" w14:textId="6106A378" w:rsidR="00AB0043" w:rsidRPr="00A559A5" w:rsidRDefault="005C4FAF"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w:t>
            </w:r>
            <w:r w:rsidR="0022390B" w:rsidRPr="00A559A5">
              <w:rPr>
                <w:rFonts w:ascii="Arial Narrow" w:hAnsi="Arial Narrow" w:cs="Calibri"/>
                <w:iCs/>
                <w:color w:val="000000"/>
                <w:sz w:val="20"/>
                <w:szCs w:val="20"/>
              </w:rPr>
              <w:t xml:space="preserve"> cycles</w:t>
            </w:r>
          </w:p>
        </w:tc>
        <w:tc>
          <w:tcPr>
            <w:tcW w:w="945" w:type="pct"/>
          </w:tcPr>
          <w:p w14:paraId="62ABB133" w14:textId="215C4A66" w:rsidR="00AB0043" w:rsidRPr="00A559A5" w:rsidRDefault="0022390B"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9.1 cycles</w:t>
            </w:r>
            <w:r w:rsidR="00D040E7" w:rsidRPr="00A559A5">
              <w:rPr>
                <w:rFonts w:ascii="Arial Narrow" w:hAnsi="Arial Narrow" w:cs="Calibri"/>
                <w:iCs/>
                <w:color w:val="000000"/>
                <w:sz w:val="20"/>
                <w:szCs w:val="20"/>
              </w:rPr>
              <w:t xml:space="preserve"> </w:t>
            </w:r>
            <w:r w:rsidR="009177BB" w:rsidRPr="00A559A5">
              <w:rPr>
                <w:rFonts w:ascii="Arial Narrow" w:hAnsi="Arial Narrow" w:cs="Calibri"/>
                <w:iCs/>
                <w:color w:val="000000"/>
                <w:sz w:val="20"/>
                <w:szCs w:val="20"/>
              </w:rPr>
              <w:br/>
            </w:r>
            <w:r w:rsidR="00D040E7" w:rsidRPr="00A559A5">
              <w:rPr>
                <w:rFonts w:ascii="Arial Narrow" w:hAnsi="Arial Narrow" w:cs="Calibri"/>
                <w:iCs/>
                <w:color w:val="000000"/>
                <w:sz w:val="20"/>
                <w:szCs w:val="20"/>
              </w:rPr>
              <w:t>(</w:t>
            </w:r>
            <w:r w:rsidR="009177BB" w:rsidRPr="00A559A5">
              <w:rPr>
                <w:rFonts w:ascii="Arial Narrow" w:hAnsi="Arial Narrow" w:cs="Calibri"/>
                <w:iCs/>
                <w:color w:val="000000"/>
                <w:sz w:val="20"/>
                <w:szCs w:val="20"/>
              </w:rPr>
              <w:t>20.2 infusions)</w:t>
            </w:r>
          </w:p>
        </w:tc>
        <w:tc>
          <w:tcPr>
            <w:tcW w:w="1066" w:type="pct"/>
          </w:tcPr>
          <w:p w14:paraId="6FB9E4D7" w14:textId="28022131" w:rsidR="00AB0043" w:rsidRPr="00120F70" w:rsidRDefault="005C4FAF" w:rsidP="001F3618">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7"/>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7"/>
                <w14:textFill>
                  <w14:solidFill>
                    <w14:srgbClr w14:val="000000">
                      <w14:alpha w14:val="100000"/>
                    </w14:srgbClr>
                  </w14:solidFill>
                </w14:textFill>
              </w:rPr>
              <w:t>|</w:t>
            </w:r>
          </w:p>
        </w:tc>
      </w:tr>
      <w:tr w:rsidR="00D5453C" w:rsidRPr="00A559A5" w14:paraId="107BB674" w14:textId="77777777" w:rsidTr="003A25EA">
        <w:trPr>
          <w:trHeight w:val="452"/>
        </w:trPr>
        <w:tc>
          <w:tcPr>
            <w:tcW w:w="1808" w:type="pct"/>
          </w:tcPr>
          <w:p w14:paraId="7A1C1846" w14:textId="3E325559" w:rsidR="00D5453C" w:rsidRPr="00A559A5" w:rsidRDefault="00A42250" w:rsidP="6A98AE7B">
            <w:pPr>
              <w:keepNext/>
              <w:rPr>
                <w:rFonts w:ascii="Arial Narrow" w:hAnsi="Arial Narrow" w:cs="Calibri"/>
                <w:iCs/>
                <w:color w:val="000000"/>
                <w:sz w:val="20"/>
                <w:szCs w:val="20"/>
              </w:rPr>
            </w:pPr>
            <w:r w:rsidRPr="00A559A5">
              <w:rPr>
                <w:rFonts w:ascii="Arial Narrow" w:hAnsi="Arial Narrow" w:cs="Calibri"/>
                <w:iCs/>
                <w:color w:val="000000" w:themeColor="text1"/>
                <w:sz w:val="20"/>
                <w:szCs w:val="20"/>
              </w:rPr>
              <w:t>MAVORIC mean treatment duration f</w:t>
            </w:r>
            <w:r w:rsidR="00A06B29" w:rsidRPr="00A559A5">
              <w:rPr>
                <w:rFonts w:ascii="Arial Narrow" w:hAnsi="Arial Narrow" w:cs="Calibri"/>
                <w:iCs/>
                <w:color w:val="000000" w:themeColor="text1"/>
                <w:sz w:val="20"/>
                <w:szCs w:val="20"/>
              </w:rPr>
              <w:t xml:space="preserve">or </w:t>
            </w:r>
            <w:proofErr w:type="spellStart"/>
            <w:r w:rsidR="00A06B29" w:rsidRPr="00A559A5">
              <w:rPr>
                <w:rFonts w:ascii="Arial Narrow" w:hAnsi="Arial Narrow" w:cs="Calibri"/>
                <w:iCs/>
                <w:color w:val="000000" w:themeColor="text1"/>
                <w:sz w:val="20"/>
                <w:szCs w:val="20"/>
              </w:rPr>
              <w:t>vorinostat</w:t>
            </w:r>
            <w:proofErr w:type="spellEnd"/>
            <w:r w:rsidR="00A06B29" w:rsidRPr="00A559A5">
              <w:rPr>
                <w:rFonts w:ascii="Arial Narrow" w:hAnsi="Arial Narrow" w:cs="Calibri"/>
                <w:iCs/>
                <w:color w:val="000000" w:themeColor="text1"/>
                <w:sz w:val="20"/>
                <w:szCs w:val="20"/>
              </w:rPr>
              <w:t xml:space="preserve"> applied </w:t>
            </w:r>
            <w:r w:rsidR="00841D7F" w:rsidRPr="00A559A5">
              <w:rPr>
                <w:rFonts w:ascii="Arial Narrow" w:hAnsi="Arial Narrow" w:cs="Calibri"/>
                <w:iCs/>
                <w:color w:val="000000" w:themeColor="text1"/>
                <w:sz w:val="20"/>
                <w:szCs w:val="20"/>
              </w:rPr>
              <w:t>and mogamulizumab loading dose included</w:t>
            </w:r>
          </w:p>
        </w:tc>
        <w:tc>
          <w:tcPr>
            <w:tcW w:w="1181" w:type="pct"/>
          </w:tcPr>
          <w:p w14:paraId="22DC3170" w14:textId="0DE33C10" w:rsidR="00D5453C" w:rsidRPr="00A559A5" w:rsidRDefault="00A53A57"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 cycles</w:t>
            </w:r>
          </w:p>
        </w:tc>
        <w:tc>
          <w:tcPr>
            <w:tcW w:w="945" w:type="pct"/>
          </w:tcPr>
          <w:p w14:paraId="23A405AE" w14:textId="77777777" w:rsidR="00D5453C" w:rsidRPr="00A559A5" w:rsidRDefault="00A53A57"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5.4 cycles</w:t>
            </w:r>
          </w:p>
          <w:p w14:paraId="746160D6" w14:textId="0C65C002" w:rsidR="00912DBD" w:rsidRPr="00A559A5" w:rsidRDefault="00912DBD" w:rsidP="00153279">
            <w:pPr>
              <w:keepNext/>
              <w:jc w:val="center"/>
              <w:rPr>
                <w:rFonts w:ascii="Arial Narrow" w:hAnsi="Arial Narrow" w:cs="Calibri"/>
                <w:iCs/>
                <w:color w:val="000000"/>
                <w:sz w:val="20"/>
                <w:szCs w:val="20"/>
              </w:rPr>
            </w:pPr>
            <w:r w:rsidRPr="00A559A5">
              <w:rPr>
                <w:rFonts w:ascii="Arial Narrow" w:hAnsi="Arial Narrow" w:cs="Calibri"/>
                <w:iCs/>
                <w:color w:val="000000"/>
                <w:sz w:val="20"/>
                <w:szCs w:val="20"/>
              </w:rPr>
              <w:t>(12.8 infusions)</w:t>
            </w:r>
          </w:p>
        </w:tc>
        <w:tc>
          <w:tcPr>
            <w:tcW w:w="1066" w:type="pct"/>
          </w:tcPr>
          <w:p w14:paraId="56CCF910" w14:textId="367E7E30" w:rsidR="00D5453C" w:rsidRPr="00120F70" w:rsidRDefault="00912DBD" w:rsidP="001F3618">
            <w:pPr>
              <w:keepNext/>
              <w:jc w:val="center"/>
              <w:rPr>
                <w:rFonts w:ascii="Arial Narrow" w:hAnsi="Arial Narrow" w:cs="Calibri"/>
                <w:iCs/>
                <w:color w:val="000000"/>
                <w:sz w:val="20"/>
                <w:szCs w:val="20"/>
              </w:rPr>
            </w:pPr>
            <w:r w:rsidRPr="00120F70">
              <w:rPr>
                <w:rFonts w:ascii="Arial Narrow" w:hAnsi="Arial Narrow" w:cs="Calibri"/>
                <w:iCs/>
                <w:color w:val="000000"/>
                <w:sz w:val="20"/>
                <w:szCs w:val="20"/>
              </w:rPr>
              <w:t>$</w:t>
            </w:r>
            <w:r w:rsidR="00DC414F" w:rsidRPr="00DC414F">
              <w:rPr>
                <w:rFonts w:ascii="Arial Narrow" w:hAnsi="Arial Narrow" w:cs="Calibri"/>
                <w:iCs/>
                <w:color w:val="000000"/>
                <w:spacing w:val="54"/>
                <w:sz w:val="20"/>
                <w:szCs w:val="20"/>
                <w:shd w:val="solid" w:color="000000" w:fill="000000"/>
                <w:fitText w:val="333" w:id="-629370616"/>
                <w14:textFill>
                  <w14:solidFill>
                    <w14:srgbClr w14:val="000000">
                      <w14:alpha w14:val="100000"/>
                    </w14:srgbClr>
                  </w14:solidFill>
                </w14:textFill>
              </w:rPr>
              <w:t>|||</w:t>
            </w:r>
            <w:r w:rsidR="00DC414F" w:rsidRPr="00DC414F">
              <w:rPr>
                <w:rFonts w:ascii="Arial Narrow" w:hAnsi="Arial Narrow" w:cs="Calibri"/>
                <w:iCs/>
                <w:color w:val="000000"/>
                <w:spacing w:val="1"/>
                <w:sz w:val="20"/>
                <w:szCs w:val="20"/>
                <w:shd w:val="solid" w:color="000000" w:fill="000000"/>
                <w:fitText w:val="333" w:id="-629370616"/>
                <w14:textFill>
                  <w14:solidFill>
                    <w14:srgbClr w14:val="000000">
                      <w14:alpha w14:val="100000"/>
                    </w14:srgbClr>
                  </w14:solidFill>
                </w14:textFill>
              </w:rPr>
              <w:t>|</w:t>
            </w:r>
          </w:p>
        </w:tc>
      </w:tr>
    </w:tbl>
    <w:p w14:paraId="5E77CA53" w14:textId="77777777" w:rsidR="003A07C7" w:rsidRPr="00A559A5" w:rsidRDefault="003A07C7" w:rsidP="005D2F8B">
      <w:pPr>
        <w:pStyle w:val="3-BodyText"/>
        <w:numPr>
          <w:ilvl w:val="0"/>
          <w:numId w:val="0"/>
        </w:numPr>
        <w:spacing w:before="0" w:after="0"/>
        <w:rPr>
          <w:rFonts w:ascii="Arial Narrow" w:hAnsi="Arial Narrow"/>
          <w:color w:val="000000" w:themeColor="text1"/>
          <w:sz w:val="18"/>
          <w:szCs w:val="18"/>
        </w:rPr>
      </w:pPr>
      <w:r w:rsidRPr="00A559A5">
        <w:rPr>
          <w:rFonts w:ascii="Arial Narrow" w:hAnsi="Arial Narrow"/>
          <w:color w:val="000000" w:themeColor="text1"/>
          <w:sz w:val="18"/>
          <w:szCs w:val="18"/>
        </w:rPr>
        <w:t>Source: Compiled in preparation of the ESC Advice</w:t>
      </w:r>
    </w:p>
    <w:p w14:paraId="305775E0" w14:textId="0CE90B70" w:rsidR="003A07C7" w:rsidRPr="00A559A5" w:rsidRDefault="003A07C7" w:rsidP="005D2F8B">
      <w:pPr>
        <w:rPr>
          <w:rFonts w:ascii="Arial Narrow" w:hAnsi="Arial Narrow" w:cs="Calibri"/>
          <w:iCs/>
          <w:sz w:val="18"/>
          <w:szCs w:val="18"/>
        </w:rPr>
      </w:pPr>
      <w:r w:rsidRPr="00A559A5">
        <w:rPr>
          <w:rFonts w:ascii="Arial Narrow" w:hAnsi="Arial Narrow"/>
          <w:iCs/>
          <w:sz w:val="18"/>
          <w:szCs w:val="18"/>
        </w:rPr>
        <w:t>AEMP = approved ex-manufacturer price</w:t>
      </w:r>
    </w:p>
    <w:p w14:paraId="31FB0E23" w14:textId="2A4E2EEE" w:rsidR="00E82C63" w:rsidRPr="007427EF" w:rsidRDefault="00E82C63" w:rsidP="00E82C63">
      <w:pPr>
        <w:pStyle w:val="4-SubsectionHeading"/>
      </w:pPr>
      <w:bookmarkStart w:id="56" w:name="_Toc22897646"/>
      <w:bookmarkStart w:id="57" w:name="_Toc188431850"/>
      <w:r w:rsidRPr="007427EF">
        <w:lastRenderedPageBreak/>
        <w:t>Drug cost/patient</w:t>
      </w:r>
      <w:bookmarkEnd w:id="56"/>
      <w:bookmarkEnd w:id="57"/>
    </w:p>
    <w:p w14:paraId="075A2557" w14:textId="72ADA717" w:rsidR="00E82C63" w:rsidRPr="007427EF" w:rsidRDefault="002174EA" w:rsidP="00507AA6">
      <w:pPr>
        <w:pStyle w:val="3-BodyText"/>
        <w:spacing w:before="0"/>
        <w:rPr>
          <w:iCs/>
          <w:color w:val="0066FF"/>
        </w:rPr>
      </w:pPr>
      <w:r w:rsidRPr="00A559A5">
        <w:rPr>
          <w:iCs/>
        </w:rPr>
        <w:t xml:space="preserve">The PSCR proposed a CMA which resulted in a revised EMP </w:t>
      </w:r>
      <w:r w:rsidRPr="00120F70">
        <w:rPr>
          <w:iCs/>
        </w:rPr>
        <w:t>of $</w:t>
      </w:r>
      <w:r w:rsidR="00DC414F" w:rsidRPr="00DC414F">
        <w:rPr>
          <w:iCs/>
          <w:color w:val="000000"/>
          <w:w w:val="60"/>
          <w:shd w:val="solid" w:color="000000" w:fill="000000"/>
          <w:fitText w:val="468" w:id="-629370615"/>
          <w14:textFill>
            <w14:solidFill>
              <w14:srgbClr w14:val="000000">
                <w14:alpha w14:val="100000"/>
              </w14:srgbClr>
            </w14:solidFill>
          </w14:textFill>
        </w:rPr>
        <w:t>||</w:t>
      </w:r>
      <w:proofErr w:type="gramStart"/>
      <w:r w:rsidR="00DC414F" w:rsidRPr="00DC414F">
        <w:rPr>
          <w:iCs/>
          <w:color w:val="000000"/>
          <w:w w:val="60"/>
          <w:shd w:val="solid" w:color="000000" w:fill="000000"/>
          <w:fitText w:val="468" w:id="-629370615"/>
          <w14:textFill>
            <w14:solidFill>
              <w14:srgbClr w14:val="000000">
                <w14:alpha w14:val="100000"/>
              </w14:srgbClr>
            </w14:solidFill>
          </w14:textFill>
        </w:rPr>
        <w:t>|  |</w:t>
      </w:r>
      <w:proofErr w:type="gramEnd"/>
      <w:r w:rsidR="00DC414F" w:rsidRPr="00DC414F">
        <w:rPr>
          <w:iCs/>
          <w:color w:val="000000"/>
          <w:w w:val="60"/>
          <w:shd w:val="solid" w:color="000000" w:fill="000000"/>
          <w:fitText w:val="468" w:id="-629370615"/>
          <w14:textFill>
            <w14:solidFill>
              <w14:srgbClr w14:val="000000">
                <w14:alpha w14:val="100000"/>
              </w14:srgbClr>
            </w14:solidFill>
          </w14:textFill>
        </w:rPr>
        <w:t>|</w:t>
      </w:r>
      <w:r w:rsidR="00DC414F" w:rsidRPr="00DC414F">
        <w:rPr>
          <w:iCs/>
          <w:color w:val="000000"/>
          <w:spacing w:val="4"/>
          <w:w w:val="60"/>
          <w:shd w:val="solid" w:color="000000" w:fill="000000"/>
          <w:fitText w:val="468" w:id="-629370615"/>
          <w14:textFill>
            <w14:solidFill>
              <w14:srgbClr w14:val="000000">
                <w14:alpha w14:val="100000"/>
              </w14:srgbClr>
            </w14:solidFill>
          </w14:textFill>
        </w:rPr>
        <w:t>|</w:t>
      </w:r>
      <w:r w:rsidRPr="00120F70">
        <w:rPr>
          <w:iCs/>
        </w:rPr>
        <w:t xml:space="preserve"> per</w:t>
      </w:r>
      <w:r w:rsidRPr="00A559A5">
        <w:rPr>
          <w:iCs/>
        </w:rPr>
        <w:t xml:space="preserve"> vial</w:t>
      </w:r>
      <w:r w:rsidR="00512F2F" w:rsidRPr="00A559A5">
        <w:rPr>
          <w:iCs/>
        </w:rPr>
        <w:t xml:space="preserve">. </w:t>
      </w:r>
      <w:r w:rsidR="00E82C63" w:rsidRPr="00A559A5">
        <w:t>The drug cost per patient</w:t>
      </w:r>
      <w:r w:rsidR="00C07BE4" w:rsidRPr="00A559A5">
        <w:t xml:space="preserve"> </w:t>
      </w:r>
      <w:r w:rsidR="004122C6" w:rsidRPr="00A559A5">
        <w:t xml:space="preserve">based on the revised effective price proposed for mogamulizumab in the PSCR </w:t>
      </w:r>
      <w:r w:rsidR="001E2CFB" w:rsidRPr="00A559A5">
        <w:t>is</w:t>
      </w:r>
      <w:r w:rsidR="00FB139F" w:rsidRPr="00A559A5">
        <w:t xml:space="preserve"> </w:t>
      </w:r>
      <w:r w:rsidR="00E82C63" w:rsidRPr="00A559A5">
        <w:t xml:space="preserve">summarised in </w:t>
      </w:r>
      <w:r w:rsidR="00E82C63" w:rsidRPr="00A559A5">
        <w:fldChar w:fldCharType="begin"/>
      </w:r>
      <w:r w:rsidR="00E82C63" w:rsidRPr="00A559A5">
        <w:instrText xml:space="preserve"> REF _Ref185238799 \h </w:instrText>
      </w:r>
      <w:r w:rsidR="00AF4953" w:rsidRPr="00A559A5">
        <w:instrText xml:space="preserve"> \* MERGEFORMAT </w:instrText>
      </w:r>
      <w:r w:rsidR="00E82C63" w:rsidRPr="00A559A5">
        <w:fldChar w:fldCharType="separate"/>
      </w:r>
      <w:r w:rsidR="00EF6B5D" w:rsidRPr="00EF6B5D">
        <w:t>Table 11</w:t>
      </w:r>
      <w:r w:rsidR="00E82C63" w:rsidRPr="00A559A5">
        <w:fldChar w:fldCharType="end"/>
      </w:r>
      <w:r w:rsidR="00E82C63" w:rsidRPr="00A559A5">
        <w:t>.</w:t>
      </w:r>
    </w:p>
    <w:p w14:paraId="28573F2B" w14:textId="78637FF5" w:rsidR="00E82C63" w:rsidRPr="00A559A5" w:rsidRDefault="00E82C63" w:rsidP="6A98AE7B">
      <w:pPr>
        <w:pStyle w:val="Caption"/>
        <w:rPr>
          <w:rStyle w:val="CommentReference"/>
          <w:b/>
          <w:iCs/>
        </w:rPr>
      </w:pPr>
      <w:bookmarkStart w:id="58" w:name="_Ref185238799"/>
      <w:r w:rsidRPr="00A559A5">
        <w:rPr>
          <w:iCs/>
        </w:rPr>
        <w:t xml:space="preserve">Table </w:t>
      </w:r>
      <w:r w:rsidRPr="00A559A5">
        <w:rPr>
          <w:iCs/>
        </w:rPr>
        <w:fldChar w:fldCharType="begin"/>
      </w:r>
      <w:r w:rsidRPr="00A559A5">
        <w:rPr>
          <w:iCs/>
        </w:rPr>
        <w:instrText xml:space="preserve"> SEQ Table \* ARABIC </w:instrText>
      </w:r>
      <w:r w:rsidRPr="00A559A5">
        <w:rPr>
          <w:iCs/>
        </w:rPr>
        <w:fldChar w:fldCharType="separate"/>
      </w:r>
      <w:r w:rsidR="00EF6B5D">
        <w:rPr>
          <w:iCs/>
          <w:noProof/>
        </w:rPr>
        <w:t>11</w:t>
      </w:r>
      <w:r w:rsidRPr="00A559A5">
        <w:rPr>
          <w:iCs/>
        </w:rPr>
        <w:fldChar w:fldCharType="end"/>
      </w:r>
      <w:bookmarkEnd w:id="58"/>
      <w:r w:rsidRPr="00A559A5">
        <w:rPr>
          <w:rStyle w:val="CommentReference"/>
          <w:b/>
          <w:iCs/>
        </w:rPr>
        <w:t xml:space="preserve">: Drug cost per patient for mogamulizumab and </w:t>
      </w:r>
      <w:proofErr w:type="spellStart"/>
      <w:r w:rsidRPr="00A559A5">
        <w:rPr>
          <w:rStyle w:val="CommentReference"/>
          <w:b/>
          <w:iCs/>
        </w:rPr>
        <w:t>vorinostat</w:t>
      </w:r>
      <w:proofErr w:type="spellEnd"/>
      <w:r w:rsidR="00417708" w:rsidRPr="00A559A5">
        <w:rPr>
          <w:rStyle w:val="CommentReference"/>
          <w:b/>
          <w:iCs/>
        </w:rPr>
        <w:t xml:space="preserve"> based on the </w:t>
      </w:r>
      <w:r w:rsidR="00AB18B5" w:rsidRPr="00A559A5">
        <w:rPr>
          <w:rStyle w:val="CommentReference"/>
          <w:b/>
          <w:iCs/>
        </w:rPr>
        <w:t xml:space="preserve">revised effective price for mogamulizumab proposed in the </w:t>
      </w:r>
      <w:r w:rsidR="005F1625" w:rsidRPr="00A559A5">
        <w:rPr>
          <w:iCs/>
        </w:rPr>
        <w:t>Pre-Sub-Committee Response</w:t>
      </w:r>
      <w:r w:rsidR="005F1625" w:rsidRPr="00A559A5">
        <w:rPr>
          <w:rStyle w:val="CommentReference"/>
          <w:b/>
          <w:i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mogamulizumab and vorinostat based on the revised effective price for mogamulizumab proposed in the Pre-Sub-Committee Response "/>
      </w:tblPr>
      <w:tblGrid>
        <w:gridCol w:w="1556"/>
        <w:gridCol w:w="1170"/>
        <w:gridCol w:w="1255"/>
        <w:gridCol w:w="1259"/>
        <w:gridCol w:w="1255"/>
        <w:gridCol w:w="1261"/>
        <w:gridCol w:w="1261"/>
      </w:tblGrid>
      <w:tr w:rsidR="005301CD" w:rsidRPr="00A559A5" w14:paraId="75BCEEC2" w14:textId="77777777" w:rsidTr="009D3028">
        <w:trPr>
          <w:cantSplit/>
          <w:tblHeader/>
          <w:jc w:val="center"/>
        </w:trPr>
        <w:tc>
          <w:tcPr>
            <w:tcW w:w="862" w:type="pct"/>
            <w:vAlign w:val="center"/>
          </w:tcPr>
          <w:p w14:paraId="1D6BDAE5" w14:textId="77777777" w:rsidR="005301CD" w:rsidRPr="00A559A5" w:rsidRDefault="005301CD">
            <w:pPr>
              <w:pStyle w:val="In-tableHeading"/>
              <w:rPr>
                <w:lang w:val="en-AU"/>
              </w:rPr>
            </w:pPr>
          </w:p>
        </w:tc>
        <w:tc>
          <w:tcPr>
            <w:tcW w:w="2043" w:type="pct"/>
            <w:gridSpan w:val="3"/>
            <w:vAlign w:val="center"/>
          </w:tcPr>
          <w:p w14:paraId="1010F6E0" w14:textId="0C545ACD" w:rsidR="005301CD" w:rsidRPr="00A559A5" w:rsidRDefault="005301CD" w:rsidP="00BC22CE">
            <w:pPr>
              <w:pStyle w:val="In-tableHeading"/>
              <w:jc w:val="center"/>
              <w:rPr>
                <w:lang w:val="en-AU"/>
              </w:rPr>
            </w:pPr>
            <w:r w:rsidRPr="00A559A5">
              <w:rPr>
                <w:lang w:val="en-AU"/>
              </w:rPr>
              <w:t>Mogamulizumab</w:t>
            </w:r>
          </w:p>
        </w:tc>
        <w:tc>
          <w:tcPr>
            <w:tcW w:w="2094" w:type="pct"/>
            <w:gridSpan w:val="3"/>
            <w:vAlign w:val="center"/>
          </w:tcPr>
          <w:p w14:paraId="7E9358A7" w14:textId="16696785" w:rsidR="005301CD" w:rsidRPr="00A559A5" w:rsidRDefault="005301CD" w:rsidP="00BC22CE">
            <w:pPr>
              <w:pStyle w:val="In-tableHeading"/>
              <w:jc w:val="center"/>
              <w:rPr>
                <w:lang w:val="en-AU"/>
              </w:rPr>
            </w:pPr>
            <w:proofErr w:type="spellStart"/>
            <w:r w:rsidRPr="00A559A5">
              <w:rPr>
                <w:lang w:val="en-AU"/>
              </w:rPr>
              <w:t>Vorinostat</w:t>
            </w:r>
            <w:proofErr w:type="spellEnd"/>
          </w:p>
        </w:tc>
      </w:tr>
      <w:tr w:rsidR="00E82C63" w:rsidRPr="00A559A5" w14:paraId="4B756953" w14:textId="77777777" w:rsidTr="009D3028">
        <w:trPr>
          <w:cantSplit/>
          <w:tblHeader/>
          <w:jc w:val="center"/>
        </w:trPr>
        <w:tc>
          <w:tcPr>
            <w:tcW w:w="862" w:type="pct"/>
            <w:vAlign w:val="center"/>
          </w:tcPr>
          <w:p w14:paraId="361F0FD1" w14:textId="77777777" w:rsidR="00E82C63" w:rsidRPr="00A559A5" w:rsidRDefault="00E82C63">
            <w:pPr>
              <w:pStyle w:val="In-tableHeading"/>
              <w:rPr>
                <w:lang w:val="en-AU"/>
              </w:rPr>
            </w:pPr>
          </w:p>
        </w:tc>
        <w:tc>
          <w:tcPr>
            <w:tcW w:w="649" w:type="pct"/>
            <w:vAlign w:val="center"/>
          </w:tcPr>
          <w:p w14:paraId="60AE8B6E" w14:textId="36DC970C" w:rsidR="00E82C63" w:rsidRPr="00A559A5" w:rsidRDefault="00E82C63" w:rsidP="00BC22CE">
            <w:pPr>
              <w:pStyle w:val="In-tableHeading"/>
              <w:jc w:val="center"/>
              <w:rPr>
                <w:lang w:val="en-AU"/>
              </w:rPr>
            </w:pPr>
            <w:r w:rsidRPr="00A559A5">
              <w:rPr>
                <w:lang w:val="en-AU"/>
              </w:rPr>
              <w:t>Trial dose and duration (MAVORIC)</w:t>
            </w:r>
          </w:p>
        </w:tc>
        <w:tc>
          <w:tcPr>
            <w:tcW w:w="696" w:type="pct"/>
            <w:vAlign w:val="center"/>
          </w:tcPr>
          <w:p w14:paraId="2327F83E" w14:textId="3AB9EB07" w:rsidR="00E82C63" w:rsidRPr="00A559A5" w:rsidRDefault="0034240B" w:rsidP="00BC22CE">
            <w:pPr>
              <w:pStyle w:val="In-tableHeading"/>
              <w:jc w:val="center"/>
              <w:rPr>
                <w:lang w:val="en-AU"/>
              </w:rPr>
            </w:pPr>
            <w:r w:rsidRPr="00A559A5">
              <w:rPr>
                <w:lang w:val="en-AU"/>
              </w:rPr>
              <w:t>CMA</w:t>
            </w:r>
          </w:p>
        </w:tc>
        <w:tc>
          <w:tcPr>
            <w:tcW w:w="698" w:type="pct"/>
            <w:vAlign w:val="center"/>
          </w:tcPr>
          <w:p w14:paraId="4F6B30F9" w14:textId="32B59ED7" w:rsidR="00E82C63" w:rsidRPr="00A559A5" w:rsidRDefault="00E82C63" w:rsidP="00BC22CE">
            <w:pPr>
              <w:pStyle w:val="In-tableHeading"/>
              <w:jc w:val="center"/>
              <w:rPr>
                <w:lang w:val="en-AU"/>
              </w:rPr>
            </w:pPr>
            <w:r w:rsidRPr="00A559A5">
              <w:rPr>
                <w:lang w:val="en-AU"/>
              </w:rPr>
              <w:t>Financial estimates</w:t>
            </w:r>
          </w:p>
        </w:tc>
        <w:tc>
          <w:tcPr>
            <w:tcW w:w="696" w:type="pct"/>
            <w:vAlign w:val="center"/>
          </w:tcPr>
          <w:p w14:paraId="3D2BBB83" w14:textId="3E958A90" w:rsidR="00E82C63" w:rsidRPr="00A559A5" w:rsidRDefault="00E82C63" w:rsidP="00BC22CE">
            <w:pPr>
              <w:pStyle w:val="In-tableHeading"/>
              <w:jc w:val="center"/>
              <w:rPr>
                <w:lang w:val="en-AU"/>
              </w:rPr>
            </w:pPr>
            <w:r w:rsidRPr="00A559A5">
              <w:rPr>
                <w:lang w:val="en-AU"/>
              </w:rPr>
              <w:t>Trial dose and duration (ANCLD)</w:t>
            </w:r>
          </w:p>
        </w:tc>
        <w:tc>
          <w:tcPr>
            <w:tcW w:w="699" w:type="pct"/>
            <w:vAlign w:val="center"/>
          </w:tcPr>
          <w:p w14:paraId="51C57298" w14:textId="442A41BA" w:rsidR="00E82C63" w:rsidRPr="00A559A5" w:rsidRDefault="0034240B" w:rsidP="00BC22CE">
            <w:pPr>
              <w:pStyle w:val="In-tableHeading"/>
              <w:jc w:val="center"/>
              <w:rPr>
                <w:lang w:val="en-AU"/>
              </w:rPr>
            </w:pPr>
            <w:r w:rsidRPr="00A559A5">
              <w:rPr>
                <w:lang w:val="en-AU"/>
              </w:rPr>
              <w:t>CMA</w:t>
            </w:r>
          </w:p>
        </w:tc>
        <w:tc>
          <w:tcPr>
            <w:tcW w:w="699" w:type="pct"/>
          </w:tcPr>
          <w:p w14:paraId="1ECA218A" w14:textId="2AF03F75" w:rsidR="00E82C63" w:rsidRPr="00A559A5" w:rsidRDefault="00E82C63" w:rsidP="00BC22CE">
            <w:pPr>
              <w:pStyle w:val="In-tableHeading"/>
              <w:jc w:val="center"/>
              <w:rPr>
                <w:lang w:val="en-AU"/>
              </w:rPr>
            </w:pPr>
            <w:r w:rsidRPr="00A559A5">
              <w:rPr>
                <w:lang w:val="en-AU"/>
              </w:rPr>
              <w:t>Financial estimates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Drug cost per patient for mogamulizumab and vorinostat based on the revised effective price for mogamulizumab proposed in the Pre-Sub-Committee Response "/>
      </w:tblPr>
      <w:tblGrid>
        <w:gridCol w:w="1556"/>
        <w:gridCol w:w="1170"/>
        <w:gridCol w:w="1255"/>
        <w:gridCol w:w="1259"/>
        <w:gridCol w:w="1255"/>
        <w:gridCol w:w="1261"/>
        <w:gridCol w:w="1261"/>
      </w:tblGrid>
      <w:tr w:rsidR="00E82C63" w:rsidRPr="00A559A5" w14:paraId="557018FE" w14:textId="77777777" w:rsidTr="6A98AE7B">
        <w:trPr>
          <w:cantSplit/>
          <w:jc w:val="center"/>
        </w:trPr>
        <w:tc>
          <w:tcPr>
            <w:tcW w:w="862" w:type="pct"/>
            <w:vAlign w:val="center"/>
          </w:tcPr>
          <w:p w14:paraId="725665D9" w14:textId="77777777" w:rsidR="00E82C63" w:rsidRPr="00A559A5" w:rsidRDefault="00E82C63" w:rsidP="00736226">
            <w:pPr>
              <w:pStyle w:val="TableText0"/>
              <w:framePr w:wrap="around"/>
              <w:rPr>
                <w:iCs w:val="0"/>
              </w:rPr>
            </w:pPr>
            <w:r w:rsidRPr="00A559A5">
              <w:rPr>
                <w:iCs w:val="0"/>
              </w:rPr>
              <w:t>Mean dose intensity</w:t>
            </w:r>
          </w:p>
        </w:tc>
        <w:tc>
          <w:tcPr>
            <w:tcW w:w="649" w:type="pct"/>
            <w:vAlign w:val="center"/>
          </w:tcPr>
          <w:p w14:paraId="778E27B8" w14:textId="77777777" w:rsidR="00E82C63" w:rsidRPr="00A559A5" w:rsidRDefault="00E82C63" w:rsidP="00736226">
            <w:pPr>
              <w:pStyle w:val="TableText0"/>
              <w:framePr w:wrap="around"/>
              <w:rPr>
                <w:iCs w:val="0"/>
              </w:rPr>
            </w:pPr>
            <w:r w:rsidRPr="00A559A5">
              <w:rPr>
                <w:iCs w:val="0"/>
              </w:rPr>
              <w:t>94.41%</w:t>
            </w:r>
          </w:p>
        </w:tc>
        <w:tc>
          <w:tcPr>
            <w:tcW w:w="696" w:type="pct"/>
            <w:vAlign w:val="center"/>
          </w:tcPr>
          <w:p w14:paraId="2396C1A5" w14:textId="77777777" w:rsidR="00E82C63" w:rsidRPr="00A559A5" w:rsidRDefault="00E82C63" w:rsidP="00736226">
            <w:pPr>
              <w:pStyle w:val="TableText0"/>
              <w:framePr w:wrap="around"/>
              <w:rPr>
                <w:iCs w:val="0"/>
              </w:rPr>
            </w:pPr>
            <w:r w:rsidRPr="00A559A5">
              <w:rPr>
                <w:iCs w:val="0"/>
              </w:rPr>
              <w:t>100%</w:t>
            </w:r>
          </w:p>
        </w:tc>
        <w:tc>
          <w:tcPr>
            <w:tcW w:w="698" w:type="pct"/>
            <w:vAlign w:val="center"/>
          </w:tcPr>
          <w:p w14:paraId="698F9DE5" w14:textId="77777777" w:rsidR="00E82C63" w:rsidRPr="00A559A5" w:rsidRDefault="00E82C63" w:rsidP="00736226">
            <w:pPr>
              <w:pStyle w:val="TableText0"/>
              <w:framePr w:wrap="around"/>
              <w:rPr>
                <w:iCs w:val="0"/>
              </w:rPr>
            </w:pPr>
            <w:r w:rsidRPr="00A559A5">
              <w:rPr>
                <w:iCs w:val="0"/>
              </w:rPr>
              <w:t>100%</w:t>
            </w:r>
          </w:p>
        </w:tc>
        <w:tc>
          <w:tcPr>
            <w:tcW w:w="696" w:type="pct"/>
            <w:vAlign w:val="center"/>
          </w:tcPr>
          <w:p w14:paraId="45A95AEB" w14:textId="77777777" w:rsidR="00E82C63" w:rsidRPr="00A559A5" w:rsidRDefault="00E82C63" w:rsidP="00736226">
            <w:pPr>
              <w:pStyle w:val="TableText0"/>
              <w:framePr w:wrap="around"/>
              <w:rPr>
                <w:iCs w:val="0"/>
              </w:rPr>
            </w:pPr>
            <w:r w:rsidRPr="00A559A5">
              <w:rPr>
                <w:iCs w:val="0"/>
              </w:rPr>
              <w:t>NR</w:t>
            </w:r>
          </w:p>
        </w:tc>
        <w:tc>
          <w:tcPr>
            <w:tcW w:w="699" w:type="pct"/>
            <w:vAlign w:val="center"/>
          </w:tcPr>
          <w:p w14:paraId="0D11C576" w14:textId="77777777" w:rsidR="00E82C63" w:rsidRPr="00A559A5" w:rsidRDefault="00E82C63" w:rsidP="00736226">
            <w:pPr>
              <w:pStyle w:val="TableText0"/>
              <w:framePr w:wrap="around"/>
              <w:rPr>
                <w:iCs w:val="0"/>
              </w:rPr>
            </w:pPr>
            <w:r w:rsidRPr="00A559A5">
              <w:rPr>
                <w:iCs w:val="0"/>
              </w:rPr>
              <w:t>100%</w:t>
            </w:r>
          </w:p>
        </w:tc>
        <w:tc>
          <w:tcPr>
            <w:tcW w:w="699" w:type="pct"/>
            <w:vAlign w:val="center"/>
          </w:tcPr>
          <w:p w14:paraId="7DD0FC68" w14:textId="77777777" w:rsidR="00E82C63" w:rsidRPr="00A559A5" w:rsidRDefault="00E82C63" w:rsidP="00736226">
            <w:pPr>
              <w:pStyle w:val="TableText0"/>
              <w:framePr w:wrap="around"/>
              <w:rPr>
                <w:iCs w:val="0"/>
              </w:rPr>
            </w:pPr>
            <w:r w:rsidRPr="00A559A5">
              <w:rPr>
                <w:iCs w:val="0"/>
              </w:rPr>
              <w:t>100%</w:t>
            </w:r>
          </w:p>
        </w:tc>
      </w:tr>
      <w:tr w:rsidR="00E82C63" w:rsidRPr="00A559A5" w14:paraId="7A6278D5" w14:textId="77777777" w:rsidTr="6A98AE7B">
        <w:trPr>
          <w:cantSplit/>
          <w:jc w:val="center"/>
        </w:trPr>
        <w:tc>
          <w:tcPr>
            <w:tcW w:w="862" w:type="pct"/>
            <w:vAlign w:val="center"/>
          </w:tcPr>
          <w:p w14:paraId="487BA1D0" w14:textId="77777777" w:rsidR="00E82C63" w:rsidRPr="00A559A5" w:rsidRDefault="00E82C63" w:rsidP="00736226">
            <w:pPr>
              <w:pStyle w:val="TableText0"/>
              <w:framePr w:wrap="around"/>
              <w:rPr>
                <w:iCs w:val="0"/>
              </w:rPr>
            </w:pPr>
            <w:r w:rsidRPr="00A559A5">
              <w:rPr>
                <w:iCs w:val="0"/>
              </w:rPr>
              <w:t>Mean duration</w:t>
            </w:r>
          </w:p>
        </w:tc>
        <w:tc>
          <w:tcPr>
            <w:tcW w:w="649" w:type="pct"/>
            <w:vAlign w:val="center"/>
          </w:tcPr>
          <w:p w14:paraId="49FB84B9" w14:textId="77777777" w:rsidR="00E82C63" w:rsidRPr="00A559A5" w:rsidRDefault="00E82C63" w:rsidP="00736226">
            <w:pPr>
              <w:pStyle w:val="TableText0"/>
              <w:framePr w:wrap="around"/>
              <w:rPr>
                <w:iCs w:val="0"/>
              </w:rPr>
            </w:pPr>
            <w:r w:rsidRPr="00A559A5">
              <w:rPr>
                <w:iCs w:val="0"/>
              </w:rPr>
              <w:t>19.10 infusions</w:t>
            </w:r>
          </w:p>
        </w:tc>
        <w:tc>
          <w:tcPr>
            <w:tcW w:w="696" w:type="pct"/>
            <w:vAlign w:val="center"/>
          </w:tcPr>
          <w:p w14:paraId="511F9714" w14:textId="3F52BC85" w:rsidR="00E82C63" w:rsidRPr="00A559A5" w:rsidRDefault="0027497E" w:rsidP="5695CB93">
            <w:pPr>
              <w:pStyle w:val="TableText0"/>
              <w:framePr w:wrap="around"/>
              <w:rPr>
                <w:vertAlign w:val="superscript"/>
              </w:rPr>
            </w:pPr>
            <w:r w:rsidRPr="00A559A5">
              <w:t xml:space="preserve">Not </w:t>
            </w:r>
            <w:r w:rsidR="00401CC7" w:rsidRPr="00A559A5">
              <w:t>included</w:t>
            </w:r>
          </w:p>
        </w:tc>
        <w:tc>
          <w:tcPr>
            <w:tcW w:w="698" w:type="pct"/>
            <w:vAlign w:val="center"/>
          </w:tcPr>
          <w:p w14:paraId="43F3CD5B" w14:textId="77777777" w:rsidR="00E82C63" w:rsidRPr="00A559A5" w:rsidRDefault="00E82C63" w:rsidP="6A98AE7B">
            <w:pPr>
              <w:pStyle w:val="TableText0"/>
              <w:framePr w:wrap="around"/>
              <w:rPr>
                <w:vertAlign w:val="superscript"/>
              </w:rPr>
            </w:pPr>
            <w:r w:rsidRPr="00A559A5">
              <w:t xml:space="preserve">20 </w:t>
            </w:r>
            <w:proofErr w:type="spellStart"/>
            <w:r w:rsidRPr="00A559A5">
              <w:t>infusions</w:t>
            </w:r>
            <w:r w:rsidRPr="00A559A5">
              <w:rPr>
                <w:vertAlign w:val="superscript"/>
              </w:rPr>
              <w:t>b</w:t>
            </w:r>
            <w:proofErr w:type="spellEnd"/>
          </w:p>
        </w:tc>
        <w:tc>
          <w:tcPr>
            <w:tcW w:w="696" w:type="pct"/>
            <w:vAlign w:val="center"/>
          </w:tcPr>
          <w:p w14:paraId="7B19F5E5" w14:textId="3EA76BF4" w:rsidR="00E82C63" w:rsidRPr="00A559A5" w:rsidRDefault="00E82C63" w:rsidP="6A98AE7B">
            <w:pPr>
              <w:pStyle w:val="TableText0"/>
              <w:framePr w:wrap="around"/>
              <w:rPr>
                <w:vertAlign w:val="superscript"/>
              </w:rPr>
            </w:pPr>
            <w:r w:rsidRPr="00A559A5">
              <w:t xml:space="preserve">21.73 </w:t>
            </w:r>
            <w:proofErr w:type="spellStart"/>
            <w:r w:rsidRPr="00A559A5">
              <w:t>weeks</w:t>
            </w:r>
            <w:r w:rsidR="00F02011" w:rsidRPr="00A559A5">
              <w:rPr>
                <w:vertAlign w:val="superscript"/>
              </w:rPr>
              <w:t>c</w:t>
            </w:r>
            <w:proofErr w:type="spellEnd"/>
          </w:p>
        </w:tc>
        <w:tc>
          <w:tcPr>
            <w:tcW w:w="699" w:type="pct"/>
            <w:vAlign w:val="center"/>
          </w:tcPr>
          <w:p w14:paraId="2DFB4A3A" w14:textId="6355C88F" w:rsidR="00E82C63" w:rsidRPr="00A559A5" w:rsidRDefault="00875ABA" w:rsidP="00736226">
            <w:pPr>
              <w:pStyle w:val="TableText0"/>
              <w:framePr w:wrap="around"/>
              <w:rPr>
                <w:iCs w:val="0"/>
                <w:vertAlign w:val="superscript"/>
              </w:rPr>
            </w:pPr>
            <w:r w:rsidRPr="00A559A5">
              <w:rPr>
                <w:iCs w:val="0"/>
              </w:rPr>
              <w:t xml:space="preserve">Not </w:t>
            </w:r>
            <w:r w:rsidR="00401CC7" w:rsidRPr="00A559A5">
              <w:rPr>
                <w:iCs w:val="0"/>
              </w:rPr>
              <w:t>included</w:t>
            </w:r>
          </w:p>
        </w:tc>
        <w:tc>
          <w:tcPr>
            <w:tcW w:w="699" w:type="pct"/>
          </w:tcPr>
          <w:p w14:paraId="1C5B6C9D" w14:textId="37E53BB2" w:rsidR="00E82C63" w:rsidRPr="00A559A5" w:rsidRDefault="00E82C63" w:rsidP="6A98AE7B">
            <w:pPr>
              <w:pStyle w:val="TableText0"/>
              <w:framePr w:wrap="around"/>
              <w:rPr>
                <w:vertAlign w:val="superscript"/>
              </w:rPr>
            </w:pPr>
            <w:r w:rsidRPr="00A559A5">
              <w:t xml:space="preserve">5.07 (30-day </w:t>
            </w:r>
            <w:proofErr w:type="gramStart"/>
            <w:r w:rsidRPr="00A559A5">
              <w:t>scripts)</w:t>
            </w:r>
            <w:r w:rsidR="00CF60F0" w:rsidRPr="00A559A5">
              <w:rPr>
                <w:vertAlign w:val="superscript"/>
              </w:rPr>
              <w:t>d</w:t>
            </w:r>
            <w:proofErr w:type="gramEnd"/>
          </w:p>
        </w:tc>
      </w:tr>
      <w:tr w:rsidR="00E82C63" w:rsidRPr="00A559A5" w14:paraId="78D568B2" w14:textId="77777777" w:rsidTr="6A98AE7B">
        <w:trPr>
          <w:cantSplit/>
          <w:jc w:val="center"/>
        </w:trPr>
        <w:tc>
          <w:tcPr>
            <w:tcW w:w="862" w:type="pct"/>
            <w:vAlign w:val="center"/>
          </w:tcPr>
          <w:p w14:paraId="2EC26D41" w14:textId="2634DA49" w:rsidR="00E82C63" w:rsidRPr="00A559A5" w:rsidRDefault="00E82C63" w:rsidP="00736226">
            <w:pPr>
              <w:pStyle w:val="TableText0"/>
              <w:framePr w:wrap="around"/>
              <w:rPr>
                <w:iCs w:val="0"/>
              </w:rPr>
            </w:pPr>
            <w:r w:rsidRPr="00A559A5">
              <w:rPr>
                <w:iCs w:val="0"/>
              </w:rPr>
              <w:t>Cost</w:t>
            </w:r>
            <w:r w:rsidR="00591C12" w:rsidRPr="00A559A5">
              <w:rPr>
                <w:iCs w:val="0"/>
              </w:rPr>
              <w:t xml:space="preserve"> (AEMP)</w:t>
            </w:r>
          </w:p>
        </w:tc>
        <w:tc>
          <w:tcPr>
            <w:tcW w:w="649" w:type="pct"/>
            <w:vAlign w:val="center"/>
          </w:tcPr>
          <w:p w14:paraId="73E62369" w14:textId="6BD73B0D" w:rsidR="00E82C63" w:rsidRPr="008116B0" w:rsidRDefault="00E82C63" w:rsidP="6A98AE7B">
            <w:pPr>
              <w:pStyle w:val="TableText0"/>
              <w:framePr w:wrap="around"/>
              <w:rPr>
                <w:vertAlign w:val="superscript"/>
              </w:rPr>
            </w:pPr>
            <w:r w:rsidRPr="008116B0">
              <w:t>$</w:t>
            </w:r>
            <w:r w:rsidR="00DC414F" w:rsidRPr="00DC414F">
              <w:rPr>
                <w:color w:val="000000"/>
                <w:spacing w:val="54"/>
                <w:shd w:val="solid" w:color="000000" w:fill="000000"/>
                <w:fitText w:val="333" w:id="-629370614"/>
                <w14:textFill>
                  <w14:solidFill>
                    <w14:srgbClr w14:val="000000">
                      <w14:alpha w14:val="100000"/>
                    </w14:srgbClr>
                  </w14:solidFill>
                </w14:textFill>
              </w:rPr>
              <w:t>|||</w:t>
            </w:r>
            <w:r w:rsidR="00DC414F" w:rsidRPr="00DC414F">
              <w:rPr>
                <w:color w:val="000000"/>
                <w:spacing w:val="1"/>
                <w:shd w:val="solid" w:color="000000" w:fill="000000"/>
                <w:fitText w:val="333" w:id="-629370614"/>
                <w14:textFill>
                  <w14:solidFill>
                    <w14:srgbClr w14:val="000000">
                      <w14:alpha w14:val="100000"/>
                    </w14:srgbClr>
                  </w14:solidFill>
                </w14:textFill>
              </w:rPr>
              <w:t>|</w:t>
            </w:r>
            <w:r w:rsidRPr="008116B0">
              <w:t xml:space="preserve"> (per </w:t>
            </w:r>
            <w:proofErr w:type="gramStart"/>
            <w:r w:rsidRPr="008116B0">
              <w:t>infusion)</w:t>
            </w:r>
            <w:r w:rsidRPr="008116B0">
              <w:rPr>
                <w:vertAlign w:val="superscript"/>
              </w:rPr>
              <w:t>a</w:t>
            </w:r>
            <w:proofErr w:type="gramEnd"/>
          </w:p>
        </w:tc>
        <w:tc>
          <w:tcPr>
            <w:tcW w:w="696" w:type="pct"/>
            <w:vAlign w:val="center"/>
          </w:tcPr>
          <w:p w14:paraId="5EE97A50" w14:textId="351C1E15" w:rsidR="00E82C63" w:rsidRPr="008116B0" w:rsidRDefault="00E82C63" w:rsidP="6A98AE7B">
            <w:pPr>
              <w:pStyle w:val="TableText0"/>
              <w:framePr w:wrap="around"/>
            </w:pPr>
            <w:r w:rsidRPr="008116B0">
              <w:t>$</w:t>
            </w:r>
            <w:r w:rsidR="00DC414F" w:rsidRPr="00DC414F">
              <w:rPr>
                <w:color w:val="000000"/>
                <w:spacing w:val="53"/>
                <w:shd w:val="solid" w:color="000000" w:fill="000000"/>
                <w:fitText w:val="332" w:id="-629370613"/>
                <w14:textFill>
                  <w14:solidFill>
                    <w14:srgbClr w14:val="000000">
                      <w14:alpha w14:val="100000"/>
                    </w14:srgbClr>
                  </w14:solidFill>
                </w14:textFill>
              </w:rPr>
              <w:t>|||</w:t>
            </w:r>
            <w:r w:rsidR="00DC414F" w:rsidRPr="00DC414F">
              <w:rPr>
                <w:color w:val="000000"/>
                <w:spacing w:val="3"/>
                <w:shd w:val="solid" w:color="000000" w:fill="000000"/>
                <w:fitText w:val="332" w:id="-629370613"/>
                <w14:textFill>
                  <w14:solidFill>
                    <w14:srgbClr w14:val="000000">
                      <w14:alpha w14:val="100000"/>
                    </w14:srgbClr>
                  </w14:solidFill>
                </w14:textFill>
              </w:rPr>
              <w:t>|</w:t>
            </w:r>
            <w:r w:rsidRPr="008116B0">
              <w:t xml:space="preserve"> (per </w:t>
            </w:r>
            <w:proofErr w:type="gramStart"/>
            <w:r w:rsidRPr="008116B0">
              <w:t>infusion)</w:t>
            </w:r>
            <w:r w:rsidR="0097141B" w:rsidRPr="008116B0">
              <w:rPr>
                <w:vertAlign w:val="superscript"/>
              </w:rPr>
              <w:t>a</w:t>
            </w:r>
            <w:proofErr w:type="gramEnd"/>
          </w:p>
        </w:tc>
        <w:tc>
          <w:tcPr>
            <w:tcW w:w="698" w:type="pct"/>
            <w:vAlign w:val="center"/>
          </w:tcPr>
          <w:p w14:paraId="3E0642FA" w14:textId="6B4ED3DD" w:rsidR="00E82C63" w:rsidRPr="008116B0" w:rsidRDefault="00521881" w:rsidP="6A98AE7B">
            <w:pPr>
              <w:pStyle w:val="TableText0"/>
              <w:framePr w:wrap="around"/>
            </w:pPr>
            <w:r w:rsidRPr="008116B0">
              <w:t>$</w:t>
            </w:r>
            <w:r w:rsidR="00DC414F" w:rsidRPr="00DC414F">
              <w:rPr>
                <w:color w:val="000000"/>
                <w:spacing w:val="54"/>
                <w:shd w:val="solid" w:color="000000" w:fill="000000"/>
                <w:fitText w:val="333" w:id="-629370612"/>
                <w14:textFill>
                  <w14:solidFill>
                    <w14:srgbClr w14:val="000000">
                      <w14:alpha w14:val="100000"/>
                    </w14:srgbClr>
                  </w14:solidFill>
                </w14:textFill>
              </w:rPr>
              <w:t>|||</w:t>
            </w:r>
            <w:r w:rsidR="00DC414F" w:rsidRPr="00DC414F">
              <w:rPr>
                <w:color w:val="000000"/>
                <w:spacing w:val="1"/>
                <w:shd w:val="solid" w:color="000000" w:fill="000000"/>
                <w:fitText w:val="333" w:id="-629370612"/>
                <w14:textFill>
                  <w14:solidFill>
                    <w14:srgbClr w14:val="000000">
                      <w14:alpha w14:val="100000"/>
                    </w14:srgbClr>
                  </w14:solidFill>
                </w14:textFill>
              </w:rPr>
              <w:t>|</w:t>
            </w:r>
            <w:r w:rsidRPr="008116B0">
              <w:t xml:space="preserve"> (per </w:t>
            </w:r>
            <w:proofErr w:type="gramStart"/>
            <w:r w:rsidRPr="008116B0">
              <w:t>infusion)</w:t>
            </w:r>
            <w:r w:rsidRPr="008116B0">
              <w:rPr>
                <w:vertAlign w:val="superscript"/>
              </w:rPr>
              <w:t>a</w:t>
            </w:r>
            <w:proofErr w:type="gramEnd"/>
          </w:p>
        </w:tc>
        <w:tc>
          <w:tcPr>
            <w:tcW w:w="696" w:type="pct"/>
            <w:vAlign w:val="center"/>
          </w:tcPr>
          <w:p w14:paraId="11444A96" w14:textId="73FB27EF" w:rsidR="00E82C63" w:rsidRPr="00A559A5" w:rsidRDefault="00E82C63" w:rsidP="00736226">
            <w:pPr>
              <w:pStyle w:val="TableText0"/>
              <w:framePr w:wrap="around"/>
              <w:rPr>
                <w:iCs w:val="0"/>
              </w:rPr>
            </w:pPr>
            <w:r w:rsidRPr="00A559A5">
              <w:rPr>
                <w:iCs w:val="0"/>
              </w:rPr>
              <w:t>$9</w:t>
            </w:r>
            <w:r w:rsidR="002B6D79" w:rsidRPr="00A559A5">
              <w:rPr>
                <w:iCs w:val="0"/>
              </w:rPr>
              <w:t>53.</w:t>
            </w:r>
            <w:r w:rsidR="002B6802" w:rsidRPr="00A559A5">
              <w:rPr>
                <w:iCs w:val="0"/>
              </w:rPr>
              <w:t>64</w:t>
            </w:r>
            <w:r w:rsidRPr="00A559A5">
              <w:rPr>
                <w:iCs w:val="0"/>
              </w:rPr>
              <w:t xml:space="preserve"> (per week)</w:t>
            </w:r>
          </w:p>
        </w:tc>
        <w:tc>
          <w:tcPr>
            <w:tcW w:w="699" w:type="pct"/>
            <w:vAlign w:val="center"/>
          </w:tcPr>
          <w:p w14:paraId="44912130" w14:textId="4D0805EF" w:rsidR="00E82C63" w:rsidRPr="0040056F" w:rsidRDefault="00E82C63" w:rsidP="00736226">
            <w:pPr>
              <w:pStyle w:val="TableText0"/>
              <w:framePr w:wrap="around"/>
              <w:rPr>
                <w:iCs w:val="0"/>
              </w:rPr>
            </w:pPr>
            <w:r w:rsidRPr="00A559A5">
              <w:rPr>
                <w:iCs w:val="0"/>
              </w:rPr>
              <w:t>$</w:t>
            </w:r>
            <w:r w:rsidR="00BB20A8" w:rsidRPr="00A559A5">
              <w:rPr>
                <w:iCs w:val="0"/>
              </w:rPr>
              <w:t>4</w:t>
            </w:r>
            <w:r w:rsidR="005F7020" w:rsidRPr="00A559A5">
              <w:rPr>
                <w:iCs w:val="0"/>
              </w:rPr>
              <w:t>,</w:t>
            </w:r>
            <w:r w:rsidR="00BB20A8" w:rsidRPr="00A559A5">
              <w:rPr>
                <w:iCs w:val="0"/>
              </w:rPr>
              <w:t>087.01</w:t>
            </w:r>
            <w:r w:rsidRPr="00A559A5">
              <w:rPr>
                <w:iCs w:val="0"/>
              </w:rPr>
              <w:t xml:space="preserve"> (per </w:t>
            </w:r>
            <w:r w:rsidR="004F50AB" w:rsidRPr="0040056F">
              <w:rPr>
                <w:iCs w:val="0"/>
              </w:rPr>
              <w:t xml:space="preserve">30-day </w:t>
            </w:r>
            <w:r w:rsidR="00BB20A8" w:rsidRPr="0040056F">
              <w:rPr>
                <w:iCs w:val="0"/>
              </w:rPr>
              <w:t>pack</w:t>
            </w:r>
            <w:r w:rsidRPr="0040056F">
              <w:rPr>
                <w:iCs w:val="0"/>
              </w:rPr>
              <w:t>)</w:t>
            </w:r>
          </w:p>
          <w:p w14:paraId="03EE2733" w14:textId="407BF870" w:rsidR="00A56C42" w:rsidRPr="00A559A5" w:rsidRDefault="00B518D1" w:rsidP="00736226">
            <w:pPr>
              <w:pStyle w:val="TableText0"/>
              <w:framePr w:wrap="around"/>
              <w:rPr>
                <w:iCs w:val="0"/>
              </w:rPr>
            </w:pPr>
            <w:r w:rsidRPr="0040056F">
              <w:rPr>
                <w:iCs w:val="0"/>
              </w:rPr>
              <w:t>= $1907.27</w:t>
            </w:r>
            <w:r w:rsidRPr="00A559A5">
              <w:rPr>
                <w:iCs w:val="0"/>
              </w:rPr>
              <w:t xml:space="preserve"> every 2 weeks</w:t>
            </w:r>
          </w:p>
        </w:tc>
        <w:tc>
          <w:tcPr>
            <w:tcW w:w="699" w:type="pct"/>
          </w:tcPr>
          <w:p w14:paraId="626286AC" w14:textId="3395BE59" w:rsidR="00E82C63" w:rsidRPr="00A559A5" w:rsidRDefault="00E82C63" w:rsidP="00736226">
            <w:pPr>
              <w:pStyle w:val="TableText0"/>
              <w:framePr w:wrap="around"/>
              <w:rPr>
                <w:iCs w:val="0"/>
              </w:rPr>
            </w:pPr>
            <w:r w:rsidRPr="00A559A5">
              <w:rPr>
                <w:iCs w:val="0"/>
              </w:rPr>
              <w:t>$</w:t>
            </w:r>
            <w:r w:rsidR="00805824" w:rsidRPr="00A559A5">
              <w:rPr>
                <w:iCs w:val="0"/>
              </w:rPr>
              <w:t>4,087.01</w:t>
            </w:r>
            <w:r w:rsidRPr="00A559A5">
              <w:rPr>
                <w:iCs w:val="0"/>
              </w:rPr>
              <w:t xml:space="preserve"> (per pack)</w:t>
            </w:r>
          </w:p>
        </w:tc>
      </w:tr>
      <w:tr w:rsidR="00E82C63" w:rsidRPr="00A559A5" w14:paraId="240787C5" w14:textId="77777777" w:rsidTr="6A98AE7B">
        <w:trPr>
          <w:cantSplit/>
          <w:jc w:val="center"/>
        </w:trPr>
        <w:tc>
          <w:tcPr>
            <w:tcW w:w="862" w:type="pct"/>
            <w:vAlign w:val="center"/>
          </w:tcPr>
          <w:p w14:paraId="2E1E6A4E" w14:textId="7DCF0843" w:rsidR="00E82C63" w:rsidRPr="00A559A5" w:rsidRDefault="00E82C63" w:rsidP="00736226">
            <w:pPr>
              <w:pStyle w:val="TableText0"/>
              <w:framePr w:wrap="around"/>
              <w:rPr>
                <w:iCs w:val="0"/>
                <w:vertAlign w:val="superscript"/>
              </w:rPr>
            </w:pPr>
            <w:r w:rsidRPr="00A559A5">
              <w:rPr>
                <w:iCs w:val="0"/>
              </w:rPr>
              <w:t>Cost/patient</w:t>
            </w:r>
            <w:r w:rsidR="00D50128" w:rsidRPr="00A559A5">
              <w:rPr>
                <w:iCs w:val="0"/>
              </w:rPr>
              <w:t xml:space="preserve"> (AEMP)</w:t>
            </w:r>
          </w:p>
        </w:tc>
        <w:tc>
          <w:tcPr>
            <w:tcW w:w="649" w:type="pct"/>
            <w:vAlign w:val="center"/>
          </w:tcPr>
          <w:p w14:paraId="5FE0ECB4" w14:textId="3409F71A" w:rsidR="00E82C63" w:rsidRPr="008116B0" w:rsidRDefault="00E82C63" w:rsidP="00736226">
            <w:pPr>
              <w:pStyle w:val="TableText0"/>
              <w:framePr w:wrap="around"/>
              <w:rPr>
                <w:iCs w:val="0"/>
              </w:rPr>
            </w:pPr>
            <w:r w:rsidRPr="008116B0">
              <w:rPr>
                <w:iCs w:val="0"/>
              </w:rPr>
              <w:t>$</w:t>
            </w:r>
            <w:r w:rsidR="00DC414F" w:rsidRPr="00DC414F">
              <w:rPr>
                <w:iCs w:val="0"/>
                <w:color w:val="000000"/>
                <w:spacing w:val="54"/>
                <w:shd w:val="solid" w:color="000000" w:fill="000000"/>
                <w:fitText w:val="333" w:id="-629370611"/>
                <w14:textFill>
                  <w14:solidFill>
                    <w14:srgbClr w14:val="000000">
                      <w14:alpha w14:val="100000"/>
                    </w14:srgbClr>
                  </w14:solidFill>
                </w14:textFill>
              </w:rPr>
              <w:t>|||</w:t>
            </w:r>
            <w:r w:rsidR="00DC414F" w:rsidRPr="00DC414F">
              <w:rPr>
                <w:iCs w:val="0"/>
                <w:color w:val="000000"/>
                <w:spacing w:val="1"/>
                <w:shd w:val="solid" w:color="000000" w:fill="000000"/>
                <w:fitText w:val="333" w:id="-629370611"/>
                <w14:textFill>
                  <w14:solidFill>
                    <w14:srgbClr w14:val="000000">
                      <w14:alpha w14:val="100000"/>
                    </w14:srgbClr>
                  </w14:solidFill>
                </w14:textFill>
              </w:rPr>
              <w:t>|</w:t>
            </w:r>
          </w:p>
        </w:tc>
        <w:tc>
          <w:tcPr>
            <w:tcW w:w="696" w:type="pct"/>
            <w:vAlign w:val="center"/>
          </w:tcPr>
          <w:p w14:paraId="52E5A256" w14:textId="0D1C2C58" w:rsidR="00E82C63" w:rsidRPr="008116B0" w:rsidRDefault="003722FA" w:rsidP="00736226">
            <w:pPr>
              <w:pStyle w:val="TableText0"/>
              <w:framePr w:wrap="around"/>
              <w:rPr>
                <w:iCs w:val="0"/>
              </w:rPr>
            </w:pPr>
            <w:r w:rsidRPr="008116B0">
              <w:rPr>
                <w:iCs w:val="0"/>
              </w:rPr>
              <w:t>-</w:t>
            </w:r>
          </w:p>
        </w:tc>
        <w:tc>
          <w:tcPr>
            <w:tcW w:w="698" w:type="pct"/>
            <w:vAlign w:val="center"/>
          </w:tcPr>
          <w:p w14:paraId="4E919B20" w14:textId="22493D73" w:rsidR="00E82C63" w:rsidRPr="008116B0" w:rsidRDefault="00387E63" w:rsidP="00736226">
            <w:pPr>
              <w:pStyle w:val="TableText0"/>
              <w:framePr w:wrap="around"/>
              <w:rPr>
                <w:iCs w:val="0"/>
              </w:rPr>
            </w:pPr>
            <w:r w:rsidRPr="008116B0">
              <w:rPr>
                <w:iCs w:val="0"/>
              </w:rPr>
              <w:t>$</w:t>
            </w:r>
            <w:r w:rsidR="00DC414F" w:rsidRPr="00DC414F">
              <w:rPr>
                <w:iCs w:val="0"/>
                <w:color w:val="000000"/>
                <w:spacing w:val="54"/>
                <w:shd w:val="solid" w:color="000000" w:fill="000000"/>
                <w:fitText w:val="333" w:id="-629370610"/>
                <w14:textFill>
                  <w14:solidFill>
                    <w14:srgbClr w14:val="000000">
                      <w14:alpha w14:val="100000"/>
                    </w14:srgbClr>
                  </w14:solidFill>
                </w14:textFill>
              </w:rPr>
              <w:t>|||</w:t>
            </w:r>
            <w:r w:rsidR="00DC414F" w:rsidRPr="00DC414F">
              <w:rPr>
                <w:iCs w:val="0"/>
                <w:color w:val="000000"/>
                <w:spacing w:val="1"/>
                <w:shd w:val="solid" w:color="000000" w:fill="000000"/>
                <w:fitText w:val="333" w:id="-629370610"/>
                <w14:textFill>
                  <w14:solidFill>
                    <w14:srgbClr w14:val="000000">
                      <w14:alpha w14:val="100000"/>
                    </w14:srgbClr>
                  </w14:solidFill>
                </w14:textFill>
              </w:rPr>
              <w:t>|</w:t>
            </w:r>
          </w:p>
        </w:tc>
        <w:tc>
          <w:tcPr>
            <w:tcW w:w="696" w:type="pct"/>
            <w:vAlign w:val="center"/>
          </w:tcPr>
          <w:p w14:paraId="42F90B51" w14:textId="1EE7D0F7" w:rsidR="00E82C63" w:rsidRPr="00A559A5" w:rsidRDefault="00E82C63" w:rsidP="00736226">
            <w:pPr>
              <w:pStyle w:val="TableText0"/>
              <w:framePr w:wrap="around"/>
              <w:rPr>
                <w:iCs w:val="0"/>
              </w:rPr>
            </w:pPr>
            <w:r w:rsidRPr="00A559A5">
              <w:rPr>
                <w:iCs w:val="0"/>
              </w:rPr>
              <w:t>$2</w:t>
            </w:r>
            <w:r w:rsidR="002B6802" w:rsidRPr="00A559A5">
              <w:rPr>
                <w:iCs w:val="0"/>
              </w:rPr>
              <w:t>0</w:t>
            </w:r>
            <w:r w:rsidRPr="00A559A5">
              <w:rPr>
                <w:iCs w:val="0"/>
              </w:rPr>
              <w:t>,</w:t>
            </w:r>
            <w:r w:rsidR="002B6802" w:rsidRPr="00A559A5">
              <w:rPr>
                <w:iCs w:val="0"/>
              </w:rPr>
              <w:t>722.</w:t>
            </w:r>
            <w:r w:rsidR="008D7461" w:rsidRPr="00A559A5">
              <w:rPr>
                <w:iCs w:val="0"/>
              </w:rPr>
              <w:t>5</w:t>
            </w:r>
            <w:r w:rsidR="002B6802" w:rsidRPr="00A559A5">
              <w:rPr>
                <w:iCs w:val="0"/>
              </w:rPr>
              <w:t>9</w:t>
            </w:r>
          </w:p>
        </w:tc>
        <w:tc>
          <w:tcPr>
            <w:tcW w:w="699" w:type="pct"/>
            <w:vAlign w:val="center"/>
          </w:tcPr>
          <w:p w14:paraId="67340375" w14:textId="5C3E7226" w:rsidR="00E82C63" w:rsidRPr="00A559A5" w:rsidRDefault="003722FA" w:rsidP="00736226">
            <w:pPr>
              <w:pStyle w:val="TableText0"/>
              <w:framePr w:wrap="around"/>
              <w:rPr>
                <w:iCs w:val="0"/>
              </w:rPr>
            </w:pPr>
            <w:r w:rsidRPr="00A559A5">
              <w:rPr>
                <w:iCs w:val="0"/>
              </w:rPr>
              <w:t>-</w:t>
            </w:r>
          </w:p>
        </w:tc>
        <w:tc>
          <w:tcPr>
            <w:tcW w:w="699" w:type="pct"/>
            <w:vAlign w:val="center"/>
          </w:tcPr>
          <w:p w14:paraId="517581F5" w14:textId="00C018DF" w:rsidR="00E82C63" w:rsidRPr="00A559A5" w:rsidRDefault="00E82C63" w:rsidP="00736226">
            <w:pPr>
              <w:pStyle w:val="TableText0"/>
              <w:framePr w:wrap="around"/>
              <w:rPr>
                <w:iCs w:val="0"/>
              </w:rPr>
            </w:pPr>
            <w:r w:rsidRPr="00A559A5">
              <w:rPr>
                <w:iCs w:val="0"/>
              </w:rPr>
              <w:t>$</w:t>
            </w:r>
            <w:r w:rsidR="00B63D68" w:rsidRPr="00A559A5">
              <w:rPr>
                <w:iCs w:val="0"/>
              </w:rPr>
              <w:t>20,721.14</w:t>
            </w:r>
          </w:p>
        </w:tc>
      </w:tr>
    </w:tbl>
    <w:p w14:paraId="4FF05C65" w14:textId="77777777" w:rsidR="00E82C63" w:rsidRPr="007427EF" w:rsidRDefault="00E82C63" w:rsidP="00E82C63">
      <w:pPr>
        <w:pStyle w:val="TableFigureFooter"/>
        <w:rPr>
          <w:iCs/>
        </w:rPr>
      </w:pPr>
      <w:r w:rsidRPr="007427EF">
        <w:rPr>
          <w:iCs/>
        </w:rPr>
        <w:t xml:space="preserve">Source: Table 12.1.1-1 p167-168 of the CSR; Section 3 workbook; Section 4 workbook; Table 1 p3, ANCLD Report </w:t>
      </w:r>
    </w:p>
    <w:p w14:paraId="531561A3" w14:textId="77777777" w:rsidR="00E82C63" w:rsidRPr="007427EF" w:rsidRDefault="00E82C63" w:rsidP="00E82C63">
      <w:pPr>
        <w:pStyle w:val="TableFigureFooter"/>
        <w:rPr>
          <w:iCs/>
        </w:rPr>
      </w:pPr>
      <w:r w:rsidRPr="007427EF">
        <w:rPr>
          <w:iCs/>
        </w:rPr>
        <w:t>ANCLD = Australian National Cutaneous Lymphoma Database</w:t>
      </w:r>
    </w:p>
    <w:p w14:paraId="764F86F9" w14:textId="40ACDD66" w:rsidR="00E82C63" w:rsidRPr="007427EF" w:rsidRDefault="00E82C63" w:rsidP="00E82C63">
      <w:pPr>
        <w:pStyle w:val="TableFigureFooter"/>
      </w:pPr>
      <w:r w:rsidRPr="007427EF">
        <w:t xml:space="preserve">Note: cost/patient/year = mean dose intensity x </w:t>
      </w:r>
      <w:proofErr w:type="gramStart"/>
      <w:r w:rsidRPr="007427EF">
        <w:t>mean</w:t>
      </w:r>
      <w:proofErr w:type="gramEnd"/>
      <w:r w:rsidRPr="007427EF">
        <w:t xml:space="preserve"> duration x cost (per infusion or per week or per 30-day script) </w:t>
      </w:r>
    </w:p>
    <w:p w14:paraId="63F9F9B6" w14:textId="496DEB53" w:rsidR="00E82C63" w:rsidRPr="007427EF" w:rsidRDefault="00E82C63" w:rsidP="00B474C4">
      <w:pPr>
        <w:pStyle w:val="TableFigureFooter"/>
        <w:numPr>
          <w:ilvl w:val="1"/>
          <w:numId w:val="14"/>
        </w:numPr>
        <w:ind w:left="284" w:hanging="284"/>
        <w:rPr>
          <w:iCs/>
        </w:rPr>
      </w:pPr>
      <w:r w:rsidRPr="007427EF">
        <w:rPr>
          <w:iCs/>
        </w:rPr>
        <w:t xml:space="preserve">Assuming 4 x 20 </w:t>
      </w:r>
      <w:r w:rsidR="00A34783" w:rsidRPr="007427EF">
        <w:rPr>
          <w:iCs/>
        </w:rPr>
        <w:t xml:space="preserve">mg </w:t>
      </w:r>
      <w:r w:rsidRPr="007427EF">
        <w:rPr>
          <w:iCs/>
        </w:rPr>
        <w:t>vials</w:t>
      </w:r>
    </w:p>
    <w:p w14:paraId="4512D7A7" w14:textId="3E59FEDF" w:rsidR="00E82C63" w:rsidRPr="007427EF" w:rsidRDefault="00E82C63" w:rsidP="00B474C4">
      <w:pPr>
        <w:pStyle w:val="TableFigureFooter"/>
        <w:numPr>
          <w:ilvl w:val="1"/>
          <w:numId w:val="14"/>
        </w:numPr>
        <w:ind w:left="284" w:hanging="284"/>
      </w:pPr>
      <w:r w:rsidRPr="007427EF">
        <w:t>Mean TOT = 35 weeks; This approximates to 20 scripts (5 scripts for first 5 weeks, then 15 scripts for the 30 subsequent weeks) x 100% dose intensity to produce 20 scripts</w:t>
      </w:r>
    </w:p>
    <w:p w14:paraId="7EE7F968" w14:textId="77777777" w:rsidR="00E82C63" w:rsidRPr="007427EF" w:rsidRDefault="00E82C63" w:rsidP="00B474C4">
      <w:pPr>
        <w:pStyle w:val="TableFigureFooter"/>
        <w:numPr>
          <w:ilvl w:val="1"/>
          <w:numId w:val="14"/>
        </w:numPr>
        <w:ind w:left="284" w:hanging="284"/>
        <w:rPr>
          <w:iCs/>
        </w:rPr>
      </w:pPr>
      <w:r w:rsidRPr="007427EF">
        <w:rPr>
          <w:iCs/>
        </w:rPr>
        <w:t>Assuming median treatment duration in ANCLD (5 months)</w:t>
      </w:r>
    </w:p>
    <w:p w14:paraId="2457FF86" w14:textId="77777777" w:rsidR="00E82C63" w:rsidRPr="007427EF" w:rsidRDefault="00E82C63" w:rsidP="00E73959">
      <w:pPr>
        <w:pStyle w:val="TableFigureFooter"/>
        <w:keepNext w:val="0"/>
        <w:numPr>
          <w:ilvl w:val="1"/>
          <w:numId w:val="14"/>
        </w:numPr>
        <w:ind w:left="284" w:hanging="284"/>
        <w:rPr>
          <w:iCs/>
        </w:rPr>
      </w:pPr>
      <w:r w:rsidRPr="007427EF">
        <w:rPr>
          <w:iCs/>
        </w:rPr>
        <w:t>Assuming median treatment duration in ANCLD (21.73 weeks): 152.11/30</w:t>
      </w:r>
    </w:p>
    <w:p w14:paraId="5EF26B27" w14:textId="6954E3AB" w:rsidR="00E82C63" w:rsidRPr="007427EF" w:rsidRDefault="00E82C63" w:rsidP="00E82C63">
      <w:pPr>
        <w:pStyle w:val="3-BodyText"/>
        <w:ind w:left="709" w:hanging="709"/>
        <w:rPr>
          <w:iCs/>
          <w:color w:val="0066FF"/>
        </w:rPr>
      </w:pPr>
      <w:r w:rsidRPr="007427EF">
        <w:rPr>
          <w:iCs/>
        </w:rPr>
        <w:t xml:space="preserve">The mean </w:t>
      </w:r>
      <w:r w:rsidR="00391E6B" w:rsidRPr="007427EF">
        <w:rPr>
          <w:iCs/>
        </w:rPr>
        <w:t xml:space="preserve">treatment </w:t>
      </w:r>
      <w:r w:rsidRPr="007427EF">
        <w:rPr>
          <w:iCs/>
        </w:rPr>
        <w:t xml:space="preserve">duration </w:t>
      </w:r>
      <w:r w:rsidR="00821125" w:rsidRPr="007427EF">
        <w:rPr>
          <w:iCs/>
        </w:rPr>
        <w:t xml:space="preserve">for mogamulizumab </w:t>
      </w:r>
      <w:r w:rsidRPr="007427EF">
        <w:rPr>
          <w:iCs/>
        </w:rPr>
        <w:t xml:space="preserve">used for the financial estimates in the resubmission was based on the average time on treatment reported in MAVORIC (35 weeks: 20 infusions). This was lower than that reported in </w:t>
      </w:r>
      <w:r w:rsidR="00391E6B" w:rsidRPr="007427EF">
        <w:rPr>
          <w:iCs/>
        </w:rPr>
        <w:t xml:space="preserve">the </w:t>
      </w:r>
      <w:r w:rsidRPr="007427EF">
        <w:rPr>
          <w:iCs/>
        </w:rPr>
        <w:t xml:space="preserve">July 2020 submission (24.89 infusions), which was based on </w:t>
      </w:r>
      <w:r w:rsidR="00E86E87" w:rsidRPr="007427EF">
        <w:rPr>
          <w:iCs/>
        </w:rPr>
        <w:t xml:space="preserve">the </w:t>
      </w:r>
      <w:r w:rsidRPr="007427EF">
        <w:rPr>
          <w:iCs/>
        </w:rPr>
        <w:t>average time on treatment estimated from the economic evaluation model</w:t>
      </w:r>
      <w:r w:rsidR="00E86E87" w:rsidRPr="007427EF">
        <w:rPr>
          <w:iCs/>
        </w:rPr>
        <w:t xml:space="preserve"> at that time</w:t>
      </w:r>
      <w:r w:rsidRPr="007427EF">
        <w:rPr>
          <w:iCs/>
        </w:rPr>
        <w:t xml:space="preserve"> (45 weeks; para 6.68, mogamulizumab PSD, July 2020 PBAC Meeting).</w:t>
      </w:r>
    </w:p>
    <w:p w14:paraId="1505AF35" w14:textId="037E5C06" w:rsidR="00E82C63" w:rsidRPr="007427EF" w:rsidRDefault="00E82C63" w:rsidP="6A98AE7B">
      <w:pPr>
        <w:pStyle w:val="3-BodyText"/>
        <w:ind w:left="709" w:hanging="709"/>
        <w:rPr>
          <w:color w:val="0066FF"/>
        </w:rPr>
      </w:pPr>
      <w:bookmarkStart w:id="59" w:name="_Hlk107307804"/>
      <w:r w:rsidRPr="00A559A5">
        <w:rPr>
          <w:iCs/>
        </w:rPr>
        <w:t xml:space="preserve">At the </w:t>
      </w:r>
      <w:r w:rsidR="007C14B8" w:rsidRPr="00A559A5">
        <w:rPr>
          <w:iCs/>
        </w:rPr>
        <w:t xml:space="preserve">revised </w:t>
      </w:r>
      <w:r w:rsidRPr="00A559A5">
        <w:rPr>
          <w:iCs/>
        </w:rPr>
        <w:t>effective price</w:t>
      </w:r>
      <w:r w:rsidR="007C14B8" w:rsidRPr="00A559A5">
        <w:rPr>
          <w:iCs/>
        </w:rPr>
        <w:t xml:space="preserve"> proposed in the PSCR</w:t>
      </w:r>
      <w:r w:rsidRPr="00A559A5">
        <w:rPr>
          <w:iCs/>
        </w:rPr>
        <w:t>, the treatment cost per patient per infusion of mogamulizumab</w:t>
      </w:r>
      <w:r w:rsidR="007C14B8" w:rsidRPr="00A559A5">
        <w:rPr>
          <w:iCs/>
        </w:rPr>
        <w:t xml:space="preserve"> was </w:t>
      </w:r>
      <w:r w:rsidR="007C14B8" w:rsidRPr="006C449F">
        <w:rPr>
          <w:iCs/>
        </w:rPr>
        <w:t>estimated to be $</w:t>
      </w:r>
      <w:r w:rsidR="00DC414F" w:rsidRPr="00F021FD">
        <w:rPr>
          <w:iCs/>
          <w:color w:val="000000"/>
          <w:w w:val="60"/>
          <w:shd w:val="solid" w:color="000000" w:fill="000000"/>
          <w:fitText w:val="467" w:id="-629370609"/>
          <w14:textFill>
            <w14:solidFill>
              <w14:srgbClr w14:val="000000">
                <w14:alpha w14:val="100000"/>
              </w14:srgbClr>
            </w14:solidFill>
          </w14:textFill>
        </w:rPr>
        <w:t>||</w:t>
      </w:r>
      <w:proofErr w:type="gramStart"/>
      <w:r w:rsidR="00DC414F" w:rsidRPr="00F021FD">
        <w:rPr>
          <w:iCs/>
          <w:color w:val="000000"/>
          <w:w w:val="60"/>
          <w:shd w:val="solid" w:color="000000" w:fill="000000"/>
          <w:fitText w:val="467" w:id="-629370609"/>
          <w14:textFill>
            <w14:solidFill>
              <w14:srgbClr w14:val="000000">
                <w14:alpha w14:val="100000"/>
              </w14:srgbClr>
            </w14:solidFill>
          </w14:textFill>
        </w:rPr>
        <w:t>|  |</w:t>
      </w:r>
      <w:proofErr w:type="gramEnd"/>
      <w:r w:rsidR="00DC414F" w:rsidRPr="00F021FD">
        <w:rPr>
          <w:iCs/>
          <w:color w:val="000000"/>
          <w:w w:val="60"/>
          <w:shd w:val="solid" w:color="000000" w:fill="000000"/>
          <w:fitText w:val="467" w:id="-629370609"/>
          <w14:textFill>
            <w14:solidFill>
              <w14:srgbClr w14:val="000000">
                <w14:alpha w14:val="100000"/>
              </w14:srgbClr>
            </w14:solidFill>
          </w14:textFill>
        </w:rPr>
        <w:t>|</w:t>
      </w:r>
      <w:r w:rsidR="00DC414F" w:rsidRPr="00F021FD">
        <w:rPr>
          <w:iCs/>
          <w:color w:val="000000"/>
          <w:spacing w:val="3"/>
          <w:w w:val="60"/>
          <w:shd w:val="solid" w:color="000000" w:fill="000000"/>
          <w:fitText w:val="467" w:id="-629370609"/>
          <w14:textFill>
            <w14:solidFill>
              <w14:srgbClr w14:val="000000">
                <w14:alpha w14:val="100000"/>
              </w14:srgbClr>
            </w14:solidFill>
          </w14:textFill>
        </w:rPr>
        <w:t>|</w:t>
      </w:r>
      <w:r w:rsidRPr="006C449F">
        <w:rPr>
          <w:iCs/>
        </w:rPr>
        <w:t>.</w:t>
      </w:r>
      <w:r w:rsidRPr="006C449F">
        <w:t xml:space="preserve"> </w:t>
      </w:r>
      <w:r w:rsidRPr="006C449F">
        <w:rPr>
          <w:iCs/>
        </w:rPr>
        <w:t xml:space="preserve">The </w:t>
      </w:r>
      <w:r w:rsidR="008E0AEA" w:rsidRPr="006C449F">
        <w:rPr>
          <w:iCs/>
        </w:rPr>
        <w:t>revised effective price assumed steady-state doses</w:t>
      </w:r>
      <w:r w:rsidR="009D1DCD" w:rsidRPr="006C449F">
        <w:rPr>
          <w:iCs/>
        </w:rPr>
        <w:t xml:space="preserve"> with one infusion every 2 weeks.</w:t>
      </w:r>
      <w:r w:rsidR="009D1DCD" w:rsidRPr="00A559A5">
        <w:rPr>
          <w:iCs/>
        </w:rPr>
        <w:t xml:space="preserve"> Th</w:t>
      </w:r>
      <w:r w:rsidR="00F05629" w:rsidRPr="00A559A5">
        <w:rPr>
          <w:iCs/>
        </w:rPr>
        <w:t xml:space="preserve">is differed from </w:t>
      </w:r>
      <w:r w:rsidR="00454DEE" w:rsidRPr="00A559A5">
        <w:rPr>
          <w:iCs/>
        </w:rPr>
        <w:t>th</w:t>
      </w:r>
      <w:r w:rsidR="009D1DCD" w:rsidRPr="00A559A5">
        <w:rPr>
          <w:iCs/>
        </w:rPr>
        <w:t>e cost per patient</w:t>
      </w:r>
      <w:r w:rsidR="00F05629" w:rsidRPr="00A559A5">
        <w:rPr>
          <w:iCs/>
        </w:rPr>
        <w:t xml:space="preserve"> </w:t>
      </w:r>
      <w:r w:rsidR="00403F94" w:rsidRPr="00A559A5">
        <w:rPr>
          <w:iCs/>
        </w:rPr>
        <w:t xml:space="preserve">based on </w:t>
      </w:r>
      <w:r w:rsidR="00F05629" w:rsidRPr="00A559A5">
        <w:rPr>
          <w:iCs/>
        </w:rPr>
        <w:t xml:space="preserve">the </w:t>
      </w:r>
      <w:r w:rsidR="00454DEE" w:rsidRPr="00A559A5">
        <w:rPr>
          <w:iCs/>
        </w:rPr>
        <w:t xml:space="preserve">trial and </w:t>
      </w:r>
      <w:r w:rsidR="009E1275" w:rsidRPr="00A559A5">
        <w:rPr>
          <w:iCs/>
        </w:rPr>
        <w:t xml:space="preserve">assumed </w:t>
      </w:r>
      <w:r w:rsidR="00454DEE" w:rsidRPr="00A559A5">
        <w:rPr>
          <w:iCs/>
        </w:rPr>
        <w:t xml:space="preserve">in the financial estimates, which incorporate the cost of </w:t>
      </w:r>
      <w:r w:rsidR="00050911" w:rsidRPr="00A559A5">
        <w:rPr>
          <w:iCs/>
        </w:rPr>
        <w:t>one infusion every 4 weeks, followed by one infusion every 2 weeks thereafter</w:t>
      </w:r>
      <w:r w:rsidRPr="007427EF">
        <w:t xml:space="preserve">. </w:t>
      </w:r>
    </w:p>
    <w:p w14:paraId="161F3748" w14:textId="77777777" w:rsidR="00E82C63" w:rsidRPr="007427EF" w:rsidRDefault="00E82C63" w:rsidP="00E82C63">
      <w:pPr>
        <w:pStyle w:val="4-SubsectionHeading"/>
      </w:pPr>
      <w:bookmarkStart w:id="60" w:name="_Toc22897647"/>
      <w:bookmarkStart w:id="61" w:name="_Toc188431851"/>
      <w:bookmarkEnd w:id="59"/>
      <w:r w:rsidRPr="007427EF">
        <w:t>Estimated PBS usage &amp; financial implications</w:t>
      </w:r>
      <w:bookmarkEnd w:id="60"/>
      <w:bookmarkEnd w:id="61"/>
    </w:p>
    <w:p w14:paraId="05508A55" w14:textId="7180A351" w:rsidR="006E087F" w:rsidRPr="007427EF" w:rsidRDefault="00E82C63" w:rsidP="00E63C20">
      <w:pPr>
        <w:pStyle w:val="3-BodyText"/>
        <w:numPr>
          <w:ilvl w:val="0"/>
          <w:numId w:val="0"/>
        </w:numPr>
        <w:rPr>
          <w:rFonts w:ascii="Calibri" w:hAnsi="Calibri" w:cs="Calibri"/>
          <w:color w:val="000000"/>
        </w:rPr>
      </w:pPr>
      <w:r w:rsidRPr="007427EF">
        <w:rPr>
          <w:rFonts w:ascii="Calibri" w:hAnsi="Calibri" w:cs="Calibri"/>
          <w:color w:val="000000"/>
        </w:rPr>
        <w:t xml:space="preserve">This resubmission </w:t>
      </w:r>
      <w:r w:rsidR="00AF4953" w:rsidRPr="007427EF">
        <w:rPr>
          <w:rFonts w:ascii="Calibri" w:hAnsi="Calibri" w:cs="Calibri"/>
          <w:color w:val="000000"/>
        </w:rPr>
        <w:t>was not</w:t>
      </w:r>
      <w:r w:rsidRPr="007427EF">
        <w:rPr>
          <w:rFonts w:ascii="Calibri" w:hAnsi="Calibri" w:cs="Calibri"/>
          <w:color w:val="000000"/>
        </w:rPr>
        <w:t xml:space="preserve"> considered by DUSC. The resubmission used a market share approach to estimate the financial impact of listing mogamulizumab (</w:t>
      </w:r>
      <w:r w:rsidR="00E63C20">
        <w:rPr>
          <w:rFonts w:ascii="Calibri" w:hAnsi="Calibri" w:cs="Calibri"/>
          <w:color w:val="000000"/>
        </w:rPr>
        <w:fldChar w:fldCharType="begin"/>
      </w:r>
      <w:r w:rsidR="00E63C20">
        <w:rPr>
          <w:rFonts w:ascii="Calibri" w:hAnsi="Calibri" w:cs="Calibri"/>
          <w:color w:val="000000"/>
        </w:rPr>
        <w:instrText xml:space="preserve"> REF _Ref217047056 \h </w:instrText>
      </w:r>
      <w:r w:rsidR="00E63C20">
        <w:rPr>
          <w:rFonts w:ascii="Calibri" w:hAnsi="Calibri" w:cs="Calibri"/>
          <w:color w:val="000000"/>
        </w:rPr>
      </w:r>
      <w:r w:rsidR="00E63C20">
        <w:rPr>
          <w:rFonts w:ascii="Calibri" w:hAnsi="Calibri" w:cs="Calibri"/>
          <w:color w:val="000000"/>
        </w:rPr>
        <w:fldChar w:fldCharType="separate"/>
      </w:r>
      <w:r w:rsidR="00EF6B5D" w:rsidRPr="007427EF">
        <w:t xml:space="preserve">Table </w:t>
      </w:r>
      <w:r w:rsidR="00EF6B5D">
        <w:rPr>
          <w:noProof/>
        </w:rPr>
        <w:t>12</w:t>
      </w:r>
      <w:r w:rsidR="00E63C20">
        <w:rPr>
          <w:rFonts w:ascii="Calibri" w:hAnsi="Calibri" w:cs="Calibri"/>
          <w:color w:val="000000"/>
        </w:rPr>
        <w:fldChar w:fldCharType="end"/>
      </w:r>
      <w:r w:rsidRPr="007427EF">
        <w:rPr>
          <w:rFonts w:ascii="Calibri" w:hAnsi="Calibri" w:cs="Calibri"/>
          <w:color w:val="000000"/>
        </w:rPr>
        <w:t>).</w:t>
      </w:r>
    </w:p>
    <w:p w14:paraId="41B467FD" w14:textId="1F30D3E5" w:rsidR="00B0671D" w:rsidRPr="007427EF" w:rsidRDefault="00B0671D" w:rsidP="00582900">
      <w:pPr>
        <w:pStyle w:val="Caption"/>
        <w:rPr>
          <w:rStyle w:val="CommentReference"/>
          <w:b/>
          <w:szCs w:val="24"/>
        </w:rPr>
      </w:pPr>
      <w:bookmarkStart w:id="62" w:name="_Ref217047056"/>
      <w:bookmarkStart w:id="63" w:name="_Ref104805262"/>
      <w:r w:rsidRPr="007427EF">
        <w:lastRenderedPageBreak/>
        <w:t xml:space="preserve">Table </w:t>
      </w:r>
      <w:r>
        <w:fldChar w:fldCharType="begin"/>
      </w:r>
      <w:r>
        <w:instrText xml:space="preserve"> SEQ Table \* ARABIC </w:instrText>
      </w:r>
      <w:r>
        <w:fldChar w:fldCharType="separate"/>
      </w:r>
      <w:r w:rsidR="00EF6B5D">
        <w:rPr>
          <w:noProof/>
        </w:rPr>
        <w:t>12</w:t>
      </w:r>
      <w:r>
        <w:fldChar w:fldCharType="end"/>
      </w:r>
      <w:bookmarkEnd w:id="62"/>
      <w:r w:rsidRPr="007427EF">
        <w:t>:</w:t>
      </w:r>
      <w:r w:rsidRPr="007427EF">
        <w:rPr>
          <w:rStyle w:val="CommentReference"/>
          <w:b/>
          <w:szCs w:val="24"/>
        </w:rPr>
        <w:t xml:space="preserve">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inputs for financial estimates"/>
      </w:tblPr>
      <w:tblGrid>
        <w:gridCol w:w="2102"/>
        <w:gridCol w:w="3502"/>
        <w:gridCol w:w="3413"/>
      </w:tblGrid>
      <w:tr w:rsidR="00B0671D" w:rsidRPr="007427EF" w14:paraId="3B48D939" w14:textId="77777777" w:rsidTr="00582900">
        <w:trPr>
          <w:trHeight w:val="20"/>
          <w:tblHeader/>
        </w:trPr>
        <w:tc>
          <w:tcPr>
            <w:tcW w:w="0" w:type="auto"/>
            <w:vAlign w:val="center"/>
          </w:tcPr>
          <w:p w14:paraId="41063618" w14:textId="77777777" w:rsidR="00B0671D" w:rsidRPr="007427EF" w:rsidRDefault="00B0671D" w:rsidP="00582900">
            <w:pPr>
              <w:pStyle w:val="In-tableHeading"/>
              <w:rPr>
                <w:b w:val="0"/>
                <w:bCs/>
                <w:lang w:val="en-AU"/>
              </w:rPr>
            </w:pPr>
            <w:r w:rsidRPr="007427EF">
              <w:rPr>
                <w:lang w:val="en-AU"/>
              </w:rPr>
              <w:t>Data</w:t>
            </w:r>
          </w:p>
        </w:tc>
        <w:tc>
          <w:tcPr>
            <w:tcW w:w="0" w:type="auto"/>
            <w:vAlign w:val="center"/>
          </w:tcPr>
          <w:p w14:paraId="265600C0" w14:textId="77777777" w:rsidR="00B0671D" w:rsidRPr="007427EF" w:rsidRDefault="00B0671D" w:rsidP="00582900">
            <w:pPr>
              <w:pStyle w:val="In-tableHeading"/>
              <w:rPr>
                <w:b w:val="0"/>
                <w:bCs/>
                <w:lang w:val="en-AU"/>
              </w:rPr>
            </w:pPr>
            <w:r w:rsidRPr="007427EF">
              <w:rPr>
                <w:lang w:val="en-AU"/>
              </w:rPr>
              <w:t>Value applied and source</w:t>
            </w:r>
          </w:p>
        </w:tc>
        <w:tc>
          <w:tcPr>
            <w:tcW w:w="0" w:type="auto"/>
            <w:vAlign w:val="center"/>
          </w:tcPr>
          <w:p w14:paraId="4C678AE9" w14:textId="77777777" w:rsidR="00B0671D" w:rsidRPr="007427EF" w:rsidRDefault="00B0671D" w:rsidP="00582900">
            <w:pPr>
              <w:pStyle w:val="In-tableHeading"/>
              <w:rPr>
                <w:b w:val="0"/>
                <w:bCs/>
                <w:lang w:val="en-AU"/>
              </w:rPr>
            </w:pPr>
            <w:r w:rsidRPr="007427EF">
              <w:rPr>
                <w:lang w:val="en-AU"/>
              </w:rPr>
              <w:t>Comment</w:t>
            </w:r>
          </w:p>
        </w:tc>
      </w:tr>
      <w:tr w:rsidR="00B0671D" w:rsidRPr="007427EF" w14:paraId="580FD996" w14:textId="77777777" w:rsidTr="00582900">
        <w:trPr>
          <w:trHeight w:val="20"/>
        </w:trPr>
        <w:tc>
          <w:tcPr>
            <w:tcW w:w="0" w:type="auto"/>
            <w:gridSpan w:val="3"/>
            <w:vAlign w:val="center"/>
          </w:tcPr>
          <w:p w14:paraId="74C22B9B" w14:textId="77777777" w:rsidR="00B0671D" w:rsidRPr="007427EF" w:rsidRDefault="00B0671D" w:rsidP="00582900">
            <w:pPr>
              <w:pStyle w:val="TableText0"/>
              <w:framePr w:hSpace="0" w:wrap="auto" w:vAnchor="margin" w:yAlign="inline"/>
              <w:suppressOverlap w:val="0"/>
            </w:pPr>
            <w:r w:rsidRPr="007427EF">
              <w:t xml:space="preserve">Market for relapsed/refractory MF/SS therapies without listing of mogamulizumab </w:t>
            </w:r>
          </w:p>
        </w:tc>
      </w:tr>
      <w:tr w:rsidR="00B0671D" w:rsidRPr="007427EF" w14:paraId="264F2ED6" w14:textId="77777777" w:rsidTr="00582900">
        <w:trPr>
          <w:trHeight w:val="20"/>
        </w:trPr>
        <w:tc>
          <w:tcPr>
            <w:tcW w:w="0" w:type="auto"/>
            <w:vAlign w:val="center"/>
          </w:tcPr>
          <w:p w14:paraId="731B2821" w14:textId="77777777" w:rsidR="00B0671D" w:rsidRPr="007427EF" w:rsidRDefault="00B0671D" w:rsidP="00582900">
            <w:pPr>
              <w:pStyle w:val="TableText0"/>
              <w:framePr w:hSpace="0" w:wrap="auto" w:vAnchor="margin" w:yAlign="inline"/>
              <w:suppressOverlap w:val="0"/>
            </w:pPr>
            <w:r w:rsidRPr="007427EF">
              <w:t xml:space="preserve">Estimated market (scripts) in 2024 </w:t>
            </w:r>
          </w:p>
        </w:tc>
        <w:tc>
          <w:tcPr>
            <w:tcW w:w="0" w:type="auto"/>
            <w:vAlign w:val="center"/>
          </w:tcPr>
          <w:p w14:paraId="73DF759E" w14:textId="77777777" w:rsidR="00B0671D" w:rsidRPr="007427EF" w:rsidRDefault="00B0671D" w:rsidP="00582900">
            <w:pPr>
              <w:pStyle w:val="TableText0"/>
              <w:framePr w:hSpace="0" w:wrap="auto" w:vAnchor="margin" w:yAlign="inline"/>
              <w:suppressOverlap w:val="0"/>
            </w:pPr>
            <w:r w:rsidRPr="007427EF">
              <w:t xml:space="preserve">435; Estimated as the number of scripts for </w:t>
            </w:r>
            <w:proofErr w:type="spellStart"/>
            <w:r w:rsidRPr="007427EF">
              <w:t>vorinostat</w:t>
            </w:r>
            <w:proofErr w:type="spellEnd"/>
            <w:r w:rsidRPr="007427EF">
              <w:t xml:space="preserve">, brentuximab and </w:t>
            </w:r>
            <w:proofErr w:type="spellStart"/>
            <w:r w:rsidRPr="007427EF">
              <w:t>methoxsalen</w:t>
            </w:r>
            <w:proofErr w:type="spellEnd"/>
            <w:r w:rsidRPr="007427EF">
              <w:t xml:space="preserve"> during the most recent financial year (2023/2024) based on Medicare statistics. </w:t>
            </w:r>
          </w:p>
        </w:tc>
        <w:tc>
          <w:tcPr>
            <w:tcW w:w="0" w:type="auto"/>
            <w:vAlign w:val="center"/>
          </w:tcPr>
          <w:p w14:paraId="5EB02383" w14:textId="77777777" w:rsidR="00B0671D" w:rsidRPr="007427EF" w:rsidRDefault="00B0671D" w:rsidP="00582900">
            <w:pPr>
              <w:pStyle w:val="TableText0"/>
              <w:framePr w:hSpace="0" w:wrap="auto" w:vAnchor="margin" w:yAlign="inline"/>
              <w:suppressOverlap w:val="0"/>
            </w:pPr>
            <w:r w:rsidRPr="007427EF">
              <w:t xml:space="preserve">This was appropriate. However, the estimated total number of scripts reported in the PBS statistics was lower than the total number of scripts in the FY 2023/2024 provided by the DUSC Secretariat (640). </w:t>
            </w:r>
          </w:p>
        </w:tc>
      </w:tr>
      <w:tr w:rsidR="00B0671D" w:rsidRPr="007427EF" w14:paraId="5ADE5ACA" w14:textId="77777777" w:rsidTr="00582900">
        <w:trPr>
          <w:trHeight w:val="20"/>
        </w:trPr>
        <w:tc>
          <w:tcPr>
            <w:tcW w:w="0" w:type="auto"/>
            <w:vAlign w:val="center"/>
          </w:tcPr>
          <w:p w14:paraId="46C47DD7" w14:textId="77777777" w:rsidR="00B0671D" w:rsidRPr="007427EF" w:rsidRDefault="00B0671D" w:rsidP="00582900">
            <w:pPr>
              <w:pStyle w:val="TableText0"/>
              <w:framePr w:hSpace="0" w:wrap="auto" w:vAnchor="margin" w:yAlign="inline"/>
              <w:suppressOverlap w:val="0"/>
            </w:pPr>
            <w:r w:rsidRPr="007427EF">
              <w:t>Annual market growth</w:t>
            </w:r>
          </w:p>
        </w:tc>
        <w:tc>
          <w:tcPr>
            <w:tcW w:w="0" w:type="auto"/>
            <w:vAlign w:val="center"/>
          </w:tcPr>
          <w:p w14:paraId="7B1C807C" w14:textId="77777777" w:rsidR="00B0671D" w:rsidRPr="007427EF" w:rsidRDefault="00B0671D" w:rsidP="00582900">
            <w:pPr>
              <w:pStyle w:val="TableText0"/>
              <w:framePr w:hSpace="0" w:wrap="auto" w:vAnchor="margin" w:yAlign="inline"/>
              <w:suppressOverlap w:val="0"/>
            </w:pPr>
            <w:r w:rsidRPr="007427EF">
              <w:t xml:space="preserve">2.08% in year 1 to 1.78% in year 6; consistent with predicted growth in the Australian population aged 40 years or more. </w:t>
            </w:r>
          </w:p>
        </w:tc>
        <w:tc>
          <w:tcPr>
            <w:tcW w:w="0" w:type="auto"/>
            <w:vAlign w:val="center"/>
          </w:tcPr>
          <w:p w14:paraId="0F7A1E05" w14:textId="77777777" w:rsidR="00B0671D" w:rsidRPr="007427EF" w:rsidRDefault="00B0671D" w:rsidP="00582900">
            <w:pPr>
              <w:pStyle w:val="TableText0"/>
              <w:framePr w:hSpace="0" w:wrap="auto" w:vAnchor="margin" w:yAlign="inline"/>
              <w:suppressOverlap w:val="0"/>
            </w:pPr>
            <w:r w:rsidRPr="007427EF">
              <w:t xml:space="preserve">The magnitude of market growth was reasonable. </w:t>
            </w:r>
          </w:p>
        </w:tc>
      </w:tr>
      <w:tr w:rsidR="00B0671D" w:rsidRPr="007427EF" w14:paraId="2139354F" w14:textId="77777777" w:rsidTr="00582900">
        <w:trPr>
          <w:trHeight w:val="20"/>
        </w:trPr>
        <w:tc>
          <w:tcPr>
            <w:tcW w:w="0" w:type="auto"/>
            <w:vAlign w:val="center"/>
          </w:tcPr>
          <w:p w14:paraId="1F4DE155" w14:textId="77777777" w:rsidR="00B0671D" w:rsidRPr="007427EF" w:rsidRDefault="00B0671D" w:rsidP="00582900">
            <w:pPr>
              <w:pStyle w:val="TableText0"/>
              <w:framePr w:hSpace="0" w:wrap="auto" w:vAnchor="margin" w:yAlign="inline"/>
              <w:suppressOverlap w:val="0"/>
            </w:pPr>
            <w:r w:rsidRPr="007427EF">
              <w:t>Projected size of the current anti-CTCL market</w:t>
            </w:r>
          </w:p>
        </w:tc>
        <w:tc>
          <w:tcPr>
            <w:tcW w:w="0" w:type="auto"/>
            <w:vAlign w:val="center"/>
          </w:tcPr>
          <w:p w14:paraId="09CA4D94" w14:textId="77777777" w:rsidR="00B0671D" w:rsidRPr="007427EF" w:rsidRDefault="00B0671D" w:rsidP="00582900">
            <w:pPr>
              <w:pStyle w:val="TableText0"/>
              <w:framePr w:hSpace="0" w:wrap="auto" w:vAnchor="margin" w:yAlign="inline"/>
              <w:suppressOverlap w:val="0"/>
            </w:pPr>
            <w:r w:rsidRPr="007427EF">
              <w:t xml:space="preserve">81 in year 1 to 264 in year 6; Calculated 2023/24 scripts for </w:t>
            </w:r>
            <w:proofErr w:type="spellStart"/>
            <w:r w:rsidRPr="007427EF">
              <w:t>vorinostat</w:t>
            </w:r>
            <w:proofErr w:type="spellEnd"/>
            <w:r w:rsidRPr="007427EF">
              <w:t xml:space="preserve">, brentuximab and </w:t>
            </w:r>
            <w:proofErr w:type="spellStart"/>
            <w:r w:rsidRPr="007427EF">
              <w:t>methoxsalen</w:t>
            </w:r>
            <w:proofErr w:type="spellEnd"/>
            <w:r w:rsidRPr="007427EF">
              <w:t xml:space="preserve"> and the assumed annual growth of anti-CTCL market.</w:t>
            </w:r>
          </w:p>
        </w:tc>
        <w:tc>
          <w:tcPr>
            <w:tcW w:w="0" w:type="auto"/>
            <w:vAlign w:val="center"/>
          </w:tcPr>
          <w:p w14:paraId="310ED61F" w14:textId="77777777" w:rsidR="00B0671D" w:rsidRPr="007427EF" w:rsidRDefault="00B0671D" w:rsidP="00582900">
            <w:pPr>
              <w:pStyle w:val="TableText0"/>
              <w:framePr w:hSpace="0" w:wrap="auto" w:vAnchor="margin" w:yAlign="inline"/>
              <w:suppressOverlap w:val="0"/>
            </w:pPr>
            <w:r w:rsidRPr="007427EF">
              <w:t xml:space="preserve">This was appropriate. </w:t>
            </w:r>
          </w:p>
        </w:tc>
      </w:tr>
      <w:tr w:rsidR="00B0671D" w:rsidRPr="007427EF" w14:paraId="60596FE1" w14:textId="77777777" w:rsidTr="00582900">
        <w:trPr>
          <w:trHeight w:val="20"/>
        </w:trPr>
        <w:tc>
          <w:tcPr>
            <w:tcW w:w="0" w:type="auto"/>
            <w:vAlign w:val="center"/>
          </w:tcPr>
          <w:p w14:paraId="2ABEED92" w14:textId="77777777" w:rsidR="00B0671D" w:rsidRPr="007427EF" w:rsidRDefault="00B0671D" w:rsidP="00582900">
            <w:pPr>
              <w:pStyle w:val="TableText0"/>
              <w:framePr w:hSpace="0" w:wrap="auto" w:vAnchor="margin" w:yAlign="inline"/>
              <w:suppressOverlap w:val="0"/>
            </w:pPr>
            <w:r w:rsidRPr="007427EF">
              <w:t>Share of current market (status quo scenario without listing of mogamulizumab)</w:t>
            </w:r>
          </w:p>
        </w:tc>
        <w:tc>
          <w:tcPr>
            <w:tcW w:w="0" w:type="auto"/>
            <w:vAlign w:val="center"/>
          </w:tcPr>
          <w:p w14:paraId="79ACB3A8" w14:textId="77777777" w:rsidR="00B0671D" w:rsidRPr="007427EF" w:rsidRDefault="00B0671D" w:rsidP="00582900">
            <w:pPr>
              <w:pStyle w:val="TableText0"/>
              <w:framePr w:hSpace="0" w:wrap="auto" w:vAnchor="margin" w:yAlign="inline"/>
              <w:suppressOverlap w:val="0"/>
            </w:pPr>
            <w:proofErr w:type="spellStart"/>
            <w:r w:rsidRPr="007427EF">
              <w:t>Vorinostat</w:t>
            </w:r>
            <w:proofErr w:type="spellEnd"/>
            <w:r w:rsidRPr="007427EF">
              <w:t xml:space="preserve">, 33% year 1 to 45% year 6; Brentuximab, 48% year 1 to 16% year 6; </w:t>
            </w:r>
            <w:proofErr w:type="spellStart"/>
            <w:r w:rsidRPr="007427EF">
              <w:t>Methoxsalen</w:t>
            </w:r>
            <w:proofErr w:type="spellEnd"/>
            <w:r w:rsidRPr="007427EF">
              <w:t xml:space="preserve">, 19% year 1 to 39% year 6. Based on PBS utilisation data for 2023/24 of respective drugs in the absence of mogamulizumab. </w:t>
            </w:r>
          </w:p>
        </w:tc>
        <w:tc>
          <w:tcPr>
            <w:tcW w:w="0" w:type="auto"/>
            <w:vAlign w:val="center"/>
          </w:tcPr>
          <w:p w14:paraId="71752804" w14:textId="77777777" w:rsidR="00B0671D" w:rsidRPr="007427EF" w:rsidRDefault="00B0671D" w:rsidP="00582900">
            <w:pPr>
              <w:pStyle w:val="TableText0"/>
              <w:framePr w:hSpace="0" w:wrap="auto" w:vAnchor="margin" w:yAlign="inline"/>
              <w:suppressOverlap w:val="0"/>
            </w:pPr>
            <w:r w:rsidRPr="007427EF">
              <w:t xml:space="preserve">The market share of </w:t>
            </w:r>
            <w:proofErr w:type="spellStart"/>
            <w:r w:rsidRPr="007427EF">
              <w:t>vorinostat</w:t>
            </w:r>
            <w:proofErr w:type="spellEnd"/>
            <w:r w:rsidRPr="007427EF">
              <w:t xml:space="preserve"> for 2023/24 was reasonable based on 2023/24 Medicare Statistics (31%, until June 2024). </w:t>
            </w:r>
          </w:p>
          <w:p w14:paraId="368D288D" w14:textId="77777777" w:rsidR="00B0671D" w:rsidRPr="007427EF" w:rsidRDefault="00B0671D" w:rsidP="00582900">
            <w:pPr>
              <w:pStyle w:val="TableText0"/>
              <w:framePr w:hSpace="0" w:wrap="auto" w:vAnchor="margin" w:yAlign="inline"/>
              <w:suppressOverlap w:val="0"/>
            </w:pPr>
            <w:r w:rsidRPr="007427EF">
              <w:t xml:space="preserve">The market share of brentuximab was overestimated and that of </w:t>
            </w:r>
            <w:proofErr w:type="spellStart"/>
            <w:r w:rsidRPr="007427EF">
              <w:t>methoxsalen</w:t>
            </w:r>
            <w:proofErr w:type="spellEnd"/>
            <w:r w:rsidRPr="007427EF">
              <w:t xml:space="preserve"> was underestimated compared to Medicare Statistics for 2023/24 (35% for brentuximab and 35% for </w:t>
            </w:r>
            <w:proofErr w:type="spellStart"/>
            <w:r w:rsidRPr="007427EF">
              <w:t>methoxsalen</w:t>
            </w:r>
            <w:proofErr w:type="spellEnd"/>
            <w:r w:rsidRPr="007427EF">
              <w:t>, until June 2024).</w:t>
            </w:r>
          </w:p>
        </w:tc>
      </w:tr>
      <w:tr w:rsidR="00B0671D" w:rsidRPr="007427EF" w14:paraId="6465606D" w14:textId="77777777" w:rsidTr="00582900">
        <w:trPr>
          <w:trHeight w:val="20"/>
        </w:trPr>
        <w:tc>
          <w:tcPr>
            <w:tcW w:w="0" w:type="auto"/>
            <w:gridSpan w:val="3"/>
            <w:vAlign w:val="center"/>
          </w:tcPr>
          <w:p w14:paraId="6225EF97" w14:textId="77777777" w:rsidR="00B0671D" w:rsidRPr="007427EF" w:rsidRDefault="00B0671D" w:rsidP="00582900">
            <w:pPr>
              <w:pStyle w:val="TableText0"/>
              <w:framePr w:hSpace="0" w:wrap="auto" w:vAnchor="margin" w:yAlign="inline"/>
              <w:suppressOverlap w:val="0"/>
            </w:pPr>
            <w:r w:rsidRPr="007427EF">
              <w:t>Market for relapsed/refractory MF/SS therapies with listing of mogamulizumab</w:t>
            </w:r>
          </w:p>
        </w:tc>
      </w:tr>
      <w:tr w:rsidR="00B0671D" w:rsidRPr="007427EF" w14:paraId="119DAD45" w14:textId="77777777" w:rsidTr="00582900">
        <w:trPr>
          <w:trHeight w:val="20"/>
        </w:trPr>
        <w:tc>
          <w:tcPr>
            <w:tcW w:w="0" w:type="auto"/>
            <w:vAlign w:val="center"/>
          </w:tcPr>
          <w:p w14:paraId="20311702" w14:textId="77777777" w:rsidR="00B0671D" w:rsidRPr="007427EF" w:rsidRDefault="00B0671D" w:rsidP="00582900">
            <w:pPr>
              <w:pStyle w:val="TableText0"/>
              <w:framePr w:hSpace="0" w:wrap="auto" w:vAnchor="margin" w:yAlign="inline"/>
              <w:suppressOverlap w:val="0"/>
            </w:pPr>
            <w:r w:rsidRPr="007427EF">
              <w:t xml:space="preserve">Uptake rate (rate of substitution) for </w:t>
            </w:r>
            <w:proofErr w:type="spellStart"/>
            <w:r w:rsidRPr="007427EF">
              <w:t>vorinostat</w:t>
            </w:r>
            <w:proofErr w:type="spellEnd"/>
          </w:p>
        </w:tc>
        <w:tc>
          <w:tcPr>
            <w:tcW w:w="0" w:type="auto"/>
            <w:vAlign w:val="center"/>
          </w:tcPr>
          <w:p w14:paraId="164C604D" w14:textId="77777777" w:rsidR="00B0671D" w:rsidRPr="007427EF" w:rsidRDefault="00B0671D" w:rsidP="00582900">
            <w:pPr>
              <w:pStyle w:val="TableText0"/>
              <w:framePr w:hSpace="0" w:wrap="auto" w:vAnchor="margin" w:yAlign="inline"/>
              <w:suppressOverlap w:val="0"/>
            </w:pPr>
            <w:r w:rsidRPr="007427EF">
              <w:t>Assumed from 20% in year 1 up to 80% in year 6.</w:t>
            </w:r>
          </w:p>
        </w:tc>
        <w:tc>
          <w:tcPr>
            <w:tcW w:w="0" w:type="auto"/>
            <w:vAlign w:val="center"/>
          </w:tcPr>
          <w:p w14:paraId="0B1722C6" w14:textId="77777777" w:rsidR="00B0671D" w:rsidRPr="007427EF" w:rsidRDefault="00B0671D" w:rsidP="00582900">
            <w:pPr>
              <w:pStyle w:val="TableText0"/>
              <w:framePr w:hSpace="0" w:wrap="auto" w:vAnchor="margin" w:yAlign="inline"/>
              <w:suppressOverlap w:val="0"/>
            </w:pPr>
            <w:r w:rsidRPr="007427EF">
              <w:t>The extent of substitution was uncertain and likely overestimated. Some patients may prefer treatment in the form of oral tablets.</w:t>
            </w:r>
          </w:p>
        </w:tc>
      </w:tr>
      <w:tr w:rsidR="00B0671D" w:rsidRPr="007427EF" w14:paraId="66E93AD3" w14:textId="77777777" w:rsidTr="00582900">
        <w:trPr>
          <w:trHeight w:val="20"/>
        </w:trPr>
        <w:tc>
          <w:tcPr>
            <w:tcW w:w="0" w:type="auto"/>
            <w:vAlign w:val="center"/>
          </w:tcPr>
          <w:p w14:paraId="690CF167" w14:textId="77777777" w:rsidR="00B0671D" w:rsidRPr="007427EF" w:rsidRDefault="00B0671D" w:rsidP="00582900">
            <w:pPr>
              <w:pStyle w:val="TableText0"/>
              <w:framePr w:hSpace="0" w:wrap="auto" w:vAnchor="margin" w:yAlign="inline"/>
              <w:suppressOverlap w:val="0"/>
            </w:pPr>
            <w:r w:rsidRPr="007427EF">
              <w:t>Uptake rate (rate of substitution) for brentuximab</w:t>
            </w:r>
          </w:p>
        </w:tc>
        <w:tc>
          <w:tcPr>
            <w:tcW w:w="0" w:type="auto"/>
            <w:vAlign w:val="center"/>
          </w:tcPr>
          <w:p w14:paraId="3095E53E" w14:textId="77777777" w:rsidR="00B0671D" w:rsidRPr="007427EF" w:rsidRDefault="00B0671D" w:rsidP="00582900">
            <w:pPr>
              <w:pStyle w:val="TableText0"/>
              <w:framePr w:hSpace="0" w:wrap="auto" w:vAnchor="margin" w:yAlign="inline"/>
              <w:suppressOverlap w:val="0"/>
            </w:pPr>
            <w:r w:rsidRPr="007427EF">
              <w:t>Assumed constant 25% across six years.</w:t>
            </w:r>
          </w:p>
        </w:tc>
        <w:tc>
          <w:tcPr>
            <w:tcW w:w="0" w:type="auto"/>
            <w:vAlign w:val="center"/>
          </w:tcPr>
          <w:p w14:paraId="018859CA" w14:textId="77777777" w:rsidR="00B0671D" w:rsidRPr="007427EF" w:rsidRDefault="00B0671D" w:rsidP="00582900">
            <w:pPr>
              <w:pStyle w:val="TableText0"/>
              <w:framePr w:hSpace="0" w:wrap="auto" w:vAnchor="margin" w:yAlign="inline"/>
              <w:suppressOverlap w:val="0"/>
            </w:pPr>
            <w:r w:rsidRPr="007427EF">
              <w:t>This was reasonable given the projected decline in its use.</w:t>
            </w:r>
          </w:p>
        </w:tc>
      </w:tr>
      <w:tr w:rsidR="00B0671D" w:rsidRPr="007427EF" w14:paraId="211FFCDB" w14:textId="77777777" w:rsidTr="00582900">
        <w:trPr>
          <w:trHeight w:val="20"/>
        </w:trPr>
        <w:tc>
          <w:tcPr>
            <w:tcW w:w="0" w:type="auto"/>
            <w:vAlign w:val="center"/>
          </w:tcPr>
          <w:p w14:paraId="1C82A372" w14:textId="77777777" w:rsidR="00B0671D" w:rsidRPr="007427EF" w:rsidRDefault="00B0671D" w:rsidP="00582900">
            <w:pPr>
              <w:pStyle w:val="TableText0"/>
              <w:framePr w:hSpace="0" w:wrap="auto" w:vAnchor="margin" w:yAlign="inline"/>
              <w:suppressOverlap w:val="0"/>
            </w:pPr>
            <w:r w:rsidRPr="007427EF">
              <w:t xml:space="preserve">Uptake rate (rate of substitution) for </w:t>
            </w:r>
            <w:proofErr w:type="spellStart"/>
            <w:r w:rsidRPr="007427EF">
              <w:t>methoxsalen</w:t>
            </w:r>
            <w:proofErr w:type="spellEnd"/>
            <w:r w:rsidRPr="007427EF">
              <w:t xml:space="preserve"> </w:t>
            </w:r>
          </w:p>
        </w:tc>
        <w:tc>
          <w:tcPr>
            <w:tcW w:w="0" w:type="auto"/>
            <w:vAlign w:val="center"/>
          </w:tcPr>
          <w:p w14:paraId="5AC515D8" w14:textId="77777777" w:rsidR="00B0671D" w:rsidRPr="007427EF" w:rsidRDefault="00B0671D" w:rsidP="00582900">
            <w:pPr>
              <w:pStyle w:val="TableText0"/>
              <w:framePr w:hSpace="0" w:wrap="auto" w:vAnchor="margin" w:yAlign="inline"/>
              <w:suppressOverlap w:val="0"/>
            </w:pPr>
            <w:r w:rsidRPr="007427EF">
              <w:t>Assumed from 10% in year 1 up to 60% by year 6.</w:t>
            </w:r>
          </w:p>
        </w:tc>
        <w:tc>
          <w:tcPr>
            <w:tcW w:w="0" w:type="auto"/>
            <w:vAlign w:val="center"/>
          </w:tcPr>
          <w:p w14:paraId="55E3D99B" w14:textId="77777777" w:rsidR="00B0671D" w:rsidRPr="007427EF" w:rsidRDefault="00B0671D" w:rsidP="00582900">
            <w:pPr>
              <w:pStyle w:val="TableText0"/>
              <w:framePr w:hSpace="0" w:wrap="auto" w:vAnchor="margin" w:yAlign="inline"/>
              <w:suppressOverlap w:val="0"/>
            </w:pPr>
            <w:r w:rsidRPr="007427EF">
              <w:t>This was reasonable given relatively stable projected market share.</w:t>
            </w:r>
          </w:p>
        </w:tc>
      </w:tr>
      <w:tr w:rsidR="00B0671D" w:rsidRPr="007427EF" w14:paraId="306F1594" w14:textId="77777777" w:rsidTr="00582900">
        <w:trPr>
          <w:trHeight w:val="20"/>
        </w:trPr>
        <w:tc>
          <w:tcPr>
            <w:tcW w:w="0" w:type="auto"/>
            <w:vAlign w:val="center"/>
          </w:tcPr>
          <w:p w14:paraId="63342676" w14:textId="77777777" w:rsidR="00B0671D" w:rsidRPr="007427EF" w:rsidRDefault="00B0671D" w:rsidP="00582900">
            <w:pPr>
              <w:pStyle w:val="TableText0"/>
              <w:framePr w:hSpace="0" w:wrap="auto" w:vAnchor="margin" w:yAlign="inline"/>
              <w:suppressOverlap w:val="0"/>
            </w:pPr>
            <w:r w:rsidRPr="007427EF">
              <w:t>Patient copayment</w:t>
            </w:r>
          </w:p>
        </w:tc>
        <w:tc>
          <w:tcPr>
            <w:tcW w:w="0" w:type="auto"/>
            <w:vAlign w:val="center"/>
          </w:tcPr>
          <w:p w14:paraId="62B472F4" w14:textId="77777777" w:rsidR="00B0671D" w:rsidRPr="007427EF" w:rsidRDefault="00B0671D" w:rsidP="00582900">
            <w:pPr>
              <w:pStyle w:val="TableText0"/>
              <w:framePr w:hSpace="0" w:wrap="auto" w:vAnchor="margin" w:yAlign="inline"/>
              <w:suppressOverlap w:val="0"/>
            </w:pPr>
            <w:r w:rsidRPr="007427EF">
              <w:t>PBS: $28.19</w:t>
            </w:r>
          </w:p>
          <w:p w14:paraId="3FAADEAC" w14:textId="77777777" w:rsidR="00B0671D" w:rsidRPr="007427EF" w:rsidRDefault="00B0671D" w:rsidP="00582900">
            <w:pPr>
              <w:pStyle w:val="TableText0"/>
              <w:framePr w:hSpace="0" w:wrap="auto" w:vAnchor="margin" w:yAlign="inline"/>
              <w:suppressOverlap w:val="0"/>
            </w:pPr>
            <w:r w:rsidRPr="007427EF">
              <w:t>RPBS: $3.11</w:t>
            </w:r>
          </w:p>
          <w:p w14:paraId="192D32C5" w14:textId="77777777" w:rsidR="00B0671D" w:rsidRPr="007427EF" w:rsidRDefault="00B0671D" w:rsidP="00582900">
            <w:pPr>
              <w:pStyle w:val="TableText0"/>
              <w:framePr w:hSpace="0" w:wrap="auto" w:vAnchor="margin" w:yAlign="inline"/>
              <w:suppressOverlap w:val="0"/>
            </w:pPr>
            <w:r w:rsidRPr="007427EF">
              <w:t xml:space="preserve">Calculated as the mean of all PBS/RPBS services for </w:t>
            </w:r>
            <w:proofErr w:type="spellStart"/>
            <w:r w:rsidRPr="007427EF">
              <w:t>vorinostat</w:t>
            </w:r>
            <w:proofErr w:type="spellEnd"/>
            <w:r w:rsidRPr="007427EF">
              <w:t xml:space="preserve">, brentuximab and </w:t>
            </w:r>
            <w:proofErr w:type="spellStart"/>
            <w:r w:rsidRPr="007427EF">
              <w:t>methoxsalen</w:t>
            </w:r>
            <w:proofErr w:type="spellEnd"/>
            <w:r w:rsidRPr="007427EF">
              <w:t xml:space="preserve"> sourced from PBS item statistics.</w:t>
            </w:r>
          </w:p>
        </w:tc>
        <w:tc>
          <w:tcPr>
            <w:tcW w:w="0" w:type="auto"/>
            <w:vAlign w:val="center"/>
          </w:tcPr>
          <w:p w14:paraId="76017193" w14:textId="77777777" w:rsidR="00B0671D" w:rsidRPr="007427EF" w:rsidRDefault="00B0671D" w:rsidP="00582900">
            <w:pPr>
              <w:pStyle w:val="TableText0"/>
              <w:framePr w:hSpace="0" w:wrap="auto" w:vAnchor="margin" w:yAlign="inline"/>
              <w:suppressOverlap w:val="0"/>
            </w:pPr>
            <w:r w:rsidRPr="007427EF">
              <w:t>This was not appropriate as the resubmission applied the co-payment amounts from 2021. The impact of updating the co-payments was tested in a SA.</w:t>
            </w:r>
          </w:p>
        </w:tc>
      </w:tr>
      <w:tr w:rsidR="00B0671D" w:rsidRPr="007427EF" w14:paraId="50DF4249" w14:textId="77777777" w:rsidTr="00582900">
        <w:trPr>
          <w:trHeight w:val="20"/>
        </w:trPr>
        <w:tc>
          <w:tcPr>
            <w:tcW w:w="0" w:type="auto"/>
            <w:vAlign w:val="center"/>
          </w:tcPr>
          <w:p w14:paraId="309BAE4D" w14:textId="77777777" w:rsidR="00B0671D" w:rsidRPr="007427EF" w:rsidRDefault="00B0671D" w:rsidP="00582900">
            <w:pPr>
              <w:pStyle w:val="TableText0"/>
              <w:framePr w:hSpace="0" w:wrap="auto" w:vAnchor="margin" w:yAlign="inline"/>
              <w:suppressOverlap w:val="0"/>
            </w:pPr>
            <w:r w:rsidRPr="007427EF">
              <w:t>MBS costs</w:t>
            </w:r>
          </w:p>
        </w:tc>
        <w:tc>
          <w:tcPr>
            <w:tcW w:w="0" w:type="auto"/>
            <w:vAlign w:val="center"/>
          </w:tcPr>
          <w:p w14:paraId="5F7A8A26" w14:textId="77777777" w:rsidR="00B0671D" w:rsidRPr="007427EF" w:rsidRDefault="00B0671D" w:rsidP="00582900">
            <w:pPr>
              <w:pStyle w:val="TableText0"/>
              <w:framePr w:hSpace="0" w:wrap="auto" w:vAnchor="margin" w:yAlign="inline"/>
              <w:suppressOverlap w:val="0"/>
            </w:pPr>
            <w:r w:rsidRPr="007427EF">
              <w:t xml:space="preserve">ECP: </w:t>
            </w:r>
            <w:r w:rsidRPr="007427EF">
              <w:rPr>
                <w:rFonts w:ascii="Arial" w:hAnsi="Arial" w:cs="Arial"/>
                <w:color w:val="000000"/>
              </w:rPr>
              <w:t>$</w:t>
            </w:r>
            <w:r w:rsidRPr="007427EF">
              <w:t>2,108.25</w:t>
            </w:r>
          </w:p>
          <w:p w14:paraId="7B12CD43" w14:textId="77777777" w:rsidR="00B0671D" w:rsidRPr="007427EF" w:rsidRDefault="00B0671D" w:rsidP="00582900">
            <w:pPr>
              <w:pStyle w:val="TableText0"/>
              <w:framePr w:hSpace="0" w:wrap="auto" w:vAnchor="margin" w:yAlign="inline"/>
              <w:suppressOverlap w:val="0"/>
            </w:pPr>
            <w:r w:rsidRPr="007427EF">
              <w:t>MBS items 14247; 14249</w:t>
            </w:r>
          </w:p>
        </w:tc>
        <w:tc>
          <w:tcPr>
            <w:tcW w:w="0" w:type="auto"/>
            <w:vAlign w:val="center"/>
          </w:tcPr>
          <w:p w14:paraId="1B596E0A" w14:textId="77777777" w:rsidR="00B0671D" w:rsidRPr="007427EF" w:rsidRDefault="00B0671D" w:rsidP="00582900">
            <w:pPr>
              <w:pStyle w:val="TableText0"/>
              <w:framePr w:hSpace="0" w:wrap="auto" w:vAnchor="margin" w:yAlign="inline"/>
              <w:suppressOverlap w:val="0"/>
            </w:pPr>
            <w:r w:rsidRPr="007427EF">
              <w:t>This was appropriate. However, the resubmission did not include administration costs per infusion of mogamulizumab.</w:t>
            </w:r>
          </w:p>
        </w:tc>
      </w:tr>
    </w:tbl>
    <w:p w14:paraId="1FFEBD64" w14:textId="14422650" w:rsidR="00B0671D" w:rsidRPr="007427EF" w:rsidRDefault="00B0671D" w:rsidP="00582900">
      <w:pPr>
        <w:pStyle w:val="FooterTableFigure"/>
        <w:keepNext/>
        <w:keepLines/>
      </w:pPr>
      <w:r w:rsidRPr="007427EF">
        <w:t>Source: Table 4-1 p178, Table 4-3 p179, Table 4-4 p180, Table 4-5 p180, Table 4-6 p181 of the resubmission, Section 4 Workbook</w:t>
      </w:r>
    </w:p>
    <w:p w14:paraId="0AB47B20" w14:textId="77777777" w:rsidR="00B0671D" w:rsidRPr="007427EF" w:rsidRDefault="00B0671D" w:rsidP="00B0671D">
      <w:pPr>
        <w:pStyle w:val="FooterTableFigure"/>
      </w:pPr>
      <w:r w:rsidRPr="007427EF">
        <w:t xml:space="preserve">CTCL = Cutaneous T-Cell Lymphoma; </w:t>
      </w:r>
      <w:bookmarkStart w:id="64" w:name="OLE_LINK1"/>
      <w:r w:rsidRPr="007427EF">
        <w:t>ECP = extracorporeal photopheresis</w:t>
      </w:r>
      <w:bookmarkEnd w:id="64"/>
      <w:r w:rsidRPr="007427EF">
        <w:t>; FY = financial year; MBS = Medicare Benefits Schedule MF = mycosis fungoides; PBS = Pharmaceutical Benefits Scheme; RPBS = Repatriation Pharmaceutical Benefits Scheme; SA = sensitivity analysis; SS = Sezary syndrome</w:t>
      </w:r>
    </w:p>
    <w:p w14:paraId="43109609" w14:textId="77777777" w:rsidR="00E956FC" w:rsidRPr="007427EF" w:rsidRDefault="00E956FC" w:rsidP="00E956FC">
      <w:pPr>
        <w:pStyle w:val="3-BodyText"/>
      </w:pPr>
      <w:r w:rsidRPr="007427EF">
        <w:t xml:space="preserve">The resubmission projected the use and market share of existing treatments on the PBS/RPBS for CTCL i.e., </w:t>
      </w:r>
      <w:proofErr w:type="spellStart"/>
      <w:r w:rsidRPr="007427EF">
        <w:t>vorinostat</w:t>
      </w:r>
      <w:proofErr w:type="spellEnd"/>
      <w:r w:rsidRPr="007427EF">
        <w:t xml:space="preserve">, brentuximab, </w:t>
      </w:r>
      <w:proofErr w:type="spellStart"/>
      <w:r w:rsidRPr="007427EF">
        <w:t>methoxsalen</w:t>
      </w:r>
      <w:proofErr w:type="spellEnd"/>
      <w:r w:rsidRPr="007427EF">
        <w:t xml:space="preserve"> and ECP in the absence of mogamulizumab. Subsequently, the resubmission estimated the substitution effect of listing mogamulizumab on the existing treatments to estimate the financial impact on Government health budgets over the 6-year forward estimates. </w:t>
      </w:r>
      <w:r w:rsidRPr="007427EF">
        <w:rPr>
          <w:color w:val="000000" w:themeColor="text1"/>
        </w:rPr>
        <w:t xml:space="preserve">The total number of scripts in FY 2023/2024 in the utilisation data provided by the DUSC Secretariat was </w:t>
      </w:r>
      <w:r w:rsidRPr="007427EF">
        <w:rPr>
          <w:color w:val="000000" w:themeColor="text1"/>
        </w:rPr>
        <w:lastRenderedPageBreak/>
        <w:t xml:space="preserve">640, compared with the 435 scripts processed from July 2023-June 2024 as applied by the March 2025 resubmission in forming its financial estimates. This suggests that the number of scripts in the current market without mogamulizumab as presented by the resubmission was likely underestimated. The impact of applying the DUSC </w:t>
      </w:r>
      <w:r>
        <w:rPr>
          <w:color w:val="000000" w:themeColor="text1"/>
        </w:rPr>
        <w:t xml:space="preserve">Secretariat </w:t>
      </w:r>
      <w:r w:rsidRPr="007427EF">
        <w:rPr>
          <w:color w:val="000000" w:themeColor="text1"/>
        </w:rPr>
        <w:t xml:space="preserve">data for 2023/2024 was tested in a sensitivity analysis and </w:t>
      </w:r>
      <w:r w:rsidRPr="007427EF">
        <w:rPr>
          <w:rFonts w:ascii="Calibri" w:hAnsi="Calibri" w:cs="Calibri"/>
          <w:color w:val="000000" w:themeColor="text1"/>
        </w:rPr>
        <w:t>resulted in a higher financial expenditure over the 6 years compared with the base case results.</w:t>
      </w:r>
    </w:p>
    <w:p w14:paraId="6E58BC7F" w14:textId="77777777" w:rsidR="00E956FC" w:rsidRPr="007427EF" w:rsidRDefault="00E956FC" w:rsidP="00E956FC">
      <w:pPr>
        <w:pStyle w:val="3-BodyText"/>
      </w:pPr>
      <w:r w:rsidRPr="007427EF">
        <w:rPr>
          <w:color w:val="000000" w:themeColor="text1"/>
        </w:rPr>
        <w:t xml:space="preserve">The resubmission assumed the market growth rate (2.12% to 1.85%) was consistent with predicted growth in the Australian population aged 40 years or more from which the vast majority of CTCL patients are diagnosed. </w:t>
      </w:r>
      <w:r w:rsidRPr="007427EF">
        <w:t xml:space="preserve">This was reasonable. </w:t>
      </w:r>
    </w:p>
    <w:p w14:paraId="5D443D2F" w14:textId="77777777" w:rsidR="00E956FC" w:rsidRPr="007427EF" w:rsidRDefault="00E956FC" w:rsidP="00E956FC">
      <w:pPr>
        <w:pStyle w:val="3-BodyText"/>
      </w:pPr>
      <w:r w:rsidRPr="007427EF">
        <w:t xml:space="preserve">The resubmission claimed that </w:t>
      </w:r>
      <w:proofErr w:type="gramStart"/>
      <w:r w:rsidRPr="007427EF">
        <w:t>the majority of</w:t>
      </w:r>
      <w:proofErr w:type="gramEnd"/>
      <w:r w:rsidRPr="007427EF">
        <w:t xml:space="preserve"> substitution would be from </w:t>
      </w:r>
      <w:proofErr w:type="spellStart"/>
      <w:r w:rsidRPr="007427EF">
        <w:t>vorinostat</w:t>
      </w:r>
      <w:proofErr w:type="spellEnd"/>
      <w:r w:rsidRPr="007427EF">
        <w:t xml:space="preserve"> for which there is the greatest overlap in the respective treated populations. The resubmission assumed that substitution would be gradual and incremental, mainly at the point of initiation of a new line of therapy. The substitution for </w:t>
      </w:r>
      <w:proofErr w:type="spellStart"/>
      <w:r w:rsidRPr="007427EF">
        <w:t>vorinostat</w:t>
      </w:r>
      <w:proofErr w:type="spellEnd"/>
      <w:r w:rsidRPr="007427EF">
        <w:t xml:space="preserve"> was 20% in year 1, increasing to 80% in year 6 of listing. The extent of substitution was uncertain and likely overestimated as some patients may prefer treatment with tablets (</w:t>
      </w:r>
      <w:proofErr w:type="spellStart"/>
      <w:r w:rsidRPr="007427EF">
        <w:t>vorinostat</w:t>
      </w:r>
      <w:proofErr w:type="spellEnd"/>
      <w:r w:rsidRPr="007427EF">
        <w:t>), which may impact on the rate of substitution. The resubmission acknowledged that the substitution rate was uncertain.</w:t>
      </w:r>
    </w:p>
    <w:p w14:paraId="2AE8D7A8" w14:textId="5DBA76B0" w:rsidR="00193A41" w:rsidRPr="007427EF" w:rsidRDefault="00193A41" w:rsidP="00193A41">
      <w:pPr>
        <w:pStyle w:val="3-BodyText"/>
      </w:pPr>
      <w:r w:rsidRPr="007427EF">
        <w:t xml:space="preserve">The substitution of mogamulizumab for ECP and </w:t>
      </w:r>
      <w:proofErr w:type="spellStart"/>
      <w:r w:rsidRPr="007427EF">
        <w:t>methoxsalen</w:t>
      </w:r>
      <w:proofErr w:type="spellEnd"/>
      <w:r w:rsidRPr="007427EF">
        <w:t xml:space="preserve"> was assumed to be driven by clinician and patients' preferences. This was reasonable, but the extent of substitution was uncertain. The March 2025 resubmission assumed substitution for ECP and </w:t>
      </w:r>
      <w:proofErr w:type="spellStart"/>
      <w:r w:rsidRPr="007427EF">
        <w:t>methoxsalen</w:t>
      </w:r>
      <w:proofErr w:type="spellEnd"/>
      <w:r w:rsidRPr="007427EF">
        <w:t xml:space="preserve"> of 10% in year 1, increasing to 60% in year 6. However, the MSAC Evaluation Subcommittee noted that there was potential for ECP and </w:t>
      </w:r>
      <w:proofErr w:type="spellStart"/>
      <w:r w:rsidRPr="007427EF">
        <w:t>methoxsalen</w:t>
      </w:r>
      <w:proofErr w:type="spellEnd"/>
      <w:r w:rsidRPr="007427EF">
        <w:t xml:space="preserve"> to be used as combination therapy with other systemic treatments (p17</w:t>
      </w:r>
      <w:r w:rsidRPr="007427EF">
        <w:rPr>
          <w:rFonts w:ascii="Calibri" w:hAnsi="Calibri" w:cs="Calibri"/>
        </w:rPr>
        <w:t>, Application No. 1420.1 MSAC PSD, April 2020</w:t>
      </w:r>
      <w:r w:rsidRPr="007427EF">
        <w:t xml:space="preserve">). The MSAC Evaluation Subcommittee also noted that ECP would only be available in major cities (p21, </w:t>
      </w:r>
      <w:r w:rsidRPr="007427EF">
        <w:rPr>
          <w:rFonts w:ascii="Calibri" w:hAnsi="Calibri" w:cs="Calibri"/>
        </w:rPr>
        <w:t>Application No. 1420.1 MSAC PSD, April 2020</w:t>
      </w:r>
      <w:r w:rsidRPr="007427EF">
        <w:t>), which may imply that patients would prefer treatment with mogamulizumab.</w:t>
      </w:r>
    </w:p>
    <w:p w14:paraId="4EE5ACD1" w14:textId="77777777" w:rsidR="00787FCD" w:rsidRPr="007427EF" w:rsidRDefault="00787FCD" w:rsidP="00787FCD">
      <w:pPr>
        <w:pStyle w:val="3-BodyText"/>
      </w:pPr>
      <w:bookmarkStart w:id="65" w:name="_Ref190960397"/>
      <w:r w:rsidRPr="007427EF">
        <w:t xml:space="preserve">The resubmission acknowledged the differences in dose relativities between mogamulizumab and all three comparators, weight-based dosing schedules (mogamulizumab and brentuximab), alternative recommended treatment regimens (ECP + </w:t>
      </w:r>
      <w:proofErr w:type="spellStart"/>
      <w:r w:rsidRPr="007427EF">
        <w:t>methoxsalen</w:t>
      </w:r>
      <w:proofErr w:type="spellEnd"/>
      <w:r w:rsidRPr="007427EF">
        <w:t xml:space="preserve">) and differently timed loading phases (mogamulizumab and ECP + </w:t>
      </w:r>
      <w:proofErr w:type="spellStart"/>
      <w:r w:rsidRPr="007427EF">
        <w:t>methoxsalen</w:t>
      </w:r>
      <w:proofErr w:type="spellEnd"/>
      <w:r w:rsidRPr="007427EF">
        <w:t>). To address these differences, the March 2025 resubmission assumed different script equivalence for the initial (3 month) and continuing phases of treatment. This was reasonable.</w:t>
      </w:r>
      <w:bookmarkEnd w:id="65"/>
      <w:r w:rsidRPr="007427EF">
        <w:t xml:space="preserve"> </w:t>
      </w:r>
    </w:p>
    <w:p w14:paraId="4CEF2613" w14:textId="0CDCE2AB" w:rsidR="00787FCD" w:rsidRPr="007427EF" w:rsidRDefault="00787FCD" w:rsidP="00E63C20">
      <w:pPr>
        <w:pStyle w:val="3-BodyText"/>
      </w:pPr>
      <w:r w:rsidRPr="007427EF">
        <w:t>The estimated number of scripts dispensed, and financial implications of the proposed listing are summarised in</w:t>
      </w:r>
      <w:r w:rsidR="00E63C20">
        <w:t xml:space="preserve"> </w:t>
      </w:r>
      <w:r w:rsidR="00E63C20">
        <w:fldChar w:fldCharType="begin"/>
      </w:r>
      <w:r w:rsidR="00E63C20">
        <w:instrText xml:space="preserve"> REF _Ref217047077 \h </w:instrText>
      </w:r>
      <w:r w:rsidR="00E63C20">
        <w:fldChar w:fldCharType="separate"/>
      </w:r>
      <w:r w:rsidR="00EF6B5D" w:rsidRPr="007427EF">
        <w:t xml:space="preserve">Table </w:t>
      </w:r>
      <w:r w:rsidR="00EF6B5D">
        <w:rPr>
          <w:noProof/>
        </w:rPr>
        <w:t>13</w:t>
      </w:r>
      <w:r w:rsidR="00E63C20">
        <w:fldChar w:fldCharType="end"/>
      </w:r>
      <w:r w:rsidRPr="007427EF">
        <w:t>.</w:t>
      </w:r>
    </w:p>
    <w:p w14:paraId="0D947B0D" w14:textId="2AE0E254" w:rsidR="00787FCD" w:rsidRPr="007427EF" w:rsidRDefault="00787FCD" w:rsidP="00787FCD">
      <w:pPr>
        <w:pStyle w:val="3-BodyText"/>
      </w:pPr>
      <w:r w:rsidRPr="007427EF">
        <w:t xml:space="preserve">The resubmission stated that the estimated number of items dispensed was consistent with a (point) prevalent treated population of approximately </w:t>
      </w:r>
      <w:r w:rsidR="00D600FD" w:rsidRPr="00D600FD">
        <w:t>&lt; 500</w:t>
      </w:r>
      <w:r w:rsidRPr="007427EF">
        <w:t xml:space="preserve"> patients in year 1, increasing to </w:t>
      </w:r>
      <w:r w:rsidR="00D600FD" w:rsidRPr="00D600FD">
        <w:t>&lt; 500</w:t>
      </w:r>
      <w:r w:rsidRPr="007427EF">
        <w:t xml:space="preserve"> by year 6. This was likely underestimated, particularly compared with the estimated number of patients presented in the July 2020 </w:t>
      </w:r>
      <w:r w:rsidRPr="007427EF">
        <w:lastRenderedPageBreak/>
        <w:t>submission (</w:t>
      </w:r>
      <w:r w:rsidR="00D600FD" w:rsidRPr="00D600FD">
        <w:t>&lt; 500</w:t>
      </w:r>
      <w:r w:rsidRPr="007427EF">
        <w:t xml:space="preserve"> in year 1 to </w:t>
      </w:r>
      <w:r w:rsidR="00D600FD" w:rsidRPr="00D600FD">
        <w:t>&lt; 500</w:t>
      </w:r>
      <w:r w:rsidRPr="007427EF">
        <w:t xml:space="preserve"> in year 6) and November 2020 minor submission (</w:t>
      </w:r>
      <w:r w:rsidR="00D600FD" w:rsidRPr="00D600FD">
        <w:t>&lt; 500</w:t>
      </w:r>
      <w:r w:rsidRPr="007427EF">
        <w:t xml:space="preserve"> in year 1 to </w:t>
      </w:r>
      <w:r w:rsidR="00D600FD" w:rsidRPr="00D600FD">
        <w:t>&lt; 500</w:t>
      </w:r>
      <w:r w:rsidRPr="007427EF">
        <w:t xml:space="preserve"> in year 6).</w:t>
      </w:r>
    </w:p>
    <w:p w14:paraId="771C83BA" w14:textId="17E166FA" w:rsidR="00787FCD" w:rsidRPr="007427EF" w:rsidRDefault="00787FCD" w:rsidP="00787FCD">
      <w:pPr>
        <w:pStyle w:val="Caption"/>
        <w:rPr>
          <w:rStyle w:val="CommentReference"/>
          <w:b/>
          <w:bCs w:val="0"/>
        </w:rPr>
      </w:pPr>
      <w:bookmarkStart w:id="66" w:name="_Ref217047077"/>
      <w:r w:rsidRPr="007427EF">
        <w:t xml:space="preserve">Table </w:t>
      </w:r>
      <w:r>
        <w:fldChar w:fldCharType="begin"/>
      </w:r>
      <w:r>
        <w:instrText xml:space="preserve"> SEQ Table \* ARABIC </w:instrText>
      </w:r>
      <w:r>
        <w:fldChar w:fldCharType="separate"/>
      </w:r>
      <w:r w:rsidR="00EF6B5D">
        <w:rPr>
          <w:noProof/>
        </w:rPr>
        <w:t>13</w:t>
      </w:r>
      <w:r>
        <w:fldChar w:fldCharType="end"/>
      </w:r>
      <w:bookmarkEnd w:id="66"/>
      <w:r w:rsidRPr="007427EF">
        <w:rPr>
          <w:rStyle w:val="CommentReference"/>
          <w:b/>
          <w:bCs w:val="0"/>
        </w:rPr>
        <w:t>: Estimated use and financial implications</w:t>
      </w:r>
      <w:r w:rsidR="00512766">
        <w:rPr>
          <w:rStyle w:val="CommentReference"/>
          <w:b/>
          <w:bCs w:val="0"/>
        </w:rPr>
        <w:t xml:space="preserve"> (using published price of brentuximab vedotin)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5A079BA3" w14:textId="77777777" w:rsidTr="001B45D5">
        <w:trPr>
          <w:tblHeader/>
        </w:trPr>
        <w:tc>
          <w:tcPr>
            <w:tcW w:w="1116" w:type="pct"/>
            <w:vAlign w:val="center"/>
          </w:tcPr>
          <w:p w14:paraId="1BF660D2" w14:textId="77777777" w:rsidR="00787FCD" w:rsidRPr="007427EF" w:rsidRDefault="00787FCD" w:rsidP="001B45D5">
            <w:pPr>
              <w:pStyle w:val="In-tableHeading"/>
              <w:rPr>
                <w:lang w:val="en-AU"/>
              </w:rPr>
            </w:pPr>
          </w:p>
        </w:tc>
        <w:tc>
          <w:tcPr>
            <w:tcW w:w="647" w:type="pct"/>
            <w:vAlign w:val="center"/>
          </w:tcPr>
          <w:p w14:paraId="55ED21A5" w14:textId="77777777" w:rsidR="00787FCD" w:rsidRPr="007427EF" w:rsidRDefault="00787FCD" w:rsidP="001B45D5">
            <w:pPr>
              <w:pStyle w:val="In-tableHeading"/>
              <w:jc w:val="center"/>
              <w:rPr>
                <w:b w:val="0"/>
                <w:lang w:val="en-AU"/>
              </w:rPr>
            </w:pPr>
            <w:r w:rsidRPr="007427EF">
              <w:rPr>
                <w:lang w:val="en-AU"/>
              </w:rPr>
              <w:t>Year 1</w:t>
            </w:r>
          </w:p>
        </w:tc>
        <w:tc>
          <w:tcPr>
            <w:tcW w:w="647" w:type="pct"/>
            <w:vAlign w:val="center"/>
          </w:tcPr>
          <w:p w14:paraId="05308A1E" w14:textId="77777777" w:rsidR="00787FCD" w:rsidRPr="007427EF" w:rsidRDefault="00787FCD" w:rsidP="001B45D5">
            <w:pPr>
              <w:pStyle w:val="In-tableHeading"/>
              <w:jc w:val="center"/>
              <w:rPr>
                <w:b w:val="0"/>
                <w:lang w:val="en-AU"/>
              </w:rPr>
            </w:pPr>
            <w:r w:rsidRPr="007427EF">
              <w:rPr>
                <w:lang w:val="en-AU"/>
              </w:rPr>
              <w:t>Year 2</w:t>
            </w:r>
          </w:p>
        </w:tc>
        <w:tc>
          <w:tcPr>
            <w:tcW w:w="647" w:type="pct"/>
            <w:vAlign w:val="center"/>
          </w:tcPr>
          <w:p w14:paraId="322F45D7" w14:textId="77777777" w:rsidR="00787FCD" w:rsidRPr="007427EF" w:rsidRDefault="00787FCD" w:rsidP="001B45D5">
            <w:pPr>
              <w:pStyle w:val="In-tableHeading"/>
              <w:jc w:val="center"/>
              <w:rPr>
                <w:b w:val="0"/>
                <w:lang w:val="en-AU"/>
              </w:rPr>
            </w:pPr>
            <w:r w:rsidRPr="007427EF">
              <w:rPr>
                <w:lang w:val="en-AU"/>
              </w:rPr>
              <w:t>Year 3</w:t>
            </w:r>
          </w:p>
        </w:tc>
        <w:tc>
          <w:tcPr>
            <w:tcW w:w="647" w:type="pct"/>
            <w:vAlign w:val="center"/>
          </w:tcPr>
          <w:p w14:paraId="5A9711A2" w14:textId="77777777" w:rsidR="00787FCD" w:rsidRPr="007427EF" w:rsidRDefault="00787FCD" w:rsidP="001B45D5">
            <w:pPr>
              <w:pStyle w:val="In-tableHeading"/>
              <w:jc w:val="center"/>
              <w:rPr>
                <w:b w:val="0"/>
                <w:lang w:val="en-AU"/>
              </w:rPr>
            </w:pPr>
            <w:r w:rsidRPr="007427EF">
              <w:rPr>
                <w:lang w:val="en-AU"/>
              </w:rPr>
              <w:t>Year 4</w:t>
            </w:r>
          </w:p>
        </w:tc>
        <w:tc>
          <w:tcPr>
            <w:tcW w:w="647" w:type="pct"/>
            <w:vAlign w:val="center"/>
          </w:tcPr>
          <w:p w14:paraId="708C6D75" w14:textId="77777777" w:rsidR="00787FCD" w:rsidRPr="007427EF" w:rsidRDefault="00787FCD" w:rsidP="001B45D5">
            <w:pPr>
              <w:pStyle w:val="In-tableHeading"/>
              <w:jc w:val="center"/>
              <w:rPr>
                <w:b w:val="0"/>
                <w:lang w:val="en-AU"/>
              </w:rPr>
            </w:pPr>
            <w:r w:rsidRPr="007427EF">
              <w:rPr>
                <w:lang w:val="en-AU"/>
              </w:rPr>
              <w:t>Year 5</w:t>
            </w:r>
          </w:p>
        </w:tc>
        <w:tc>
          <w:tcPr>
            <w:tcW w:w="649" w:type="pct"/>
            <w:vAlign w:val="center"/>
          </w:tcPr>
          <w:p w14:paraId="56501A23" w14:textId="77777777" w:rsidR="00787FCD" w:rsidRPr="007427EF" w:rsidRDefault="00787FCD" w:rsidP="001B45D5">
            <w:pPr>
              <w:pStyle w:val="In-tableHeading"/>
              <w:jc w:val="center"/>
              <w:rPr>
                <w:b w:val="0"/>
                <w:lang w:val="en-AU"/>
              </w:rPr>
            </w:pPr>
            <w:r w:rsidRPr="007427EF">
              <w:rPr>
                <w:lang w:val="en-AU"/>
              </w:rPr>
              <w:t>Year 6</w:t>
            </w:r>
          </w:p>
        </w:tc>
      </w:tr>
      <w:tr w:rsidR="00787FCD" w:rsidRPr="007427EF" w14:paraId="73B37B6F" w14:textId="77777777" w:rsidTr="001B45D5">
        <w:tc>
          <w:tcPr>
            <w:tcW w:w="5000" w:type="pct"/>
            <w:gridSpan w:val="7"/>
            <w:vAlign w:val="center"/>
          </w:tcPr>
          <w:p w14:paraId="70EA9DC5" w14:textId="77777777" w:rsidR="00787FCD" w:rsidRPr="007427EF" w:rsidRDefault="00787FCD" w:rsidP="001B45D5">
            <w:pPr>
              <w:pStyle w:val="In-tableHeading"/>
              <w:rPr>
                <w:lang w:val="en-AU"/>
              </w:rPr>
            </w:pPr>
            <w:r w:rsidRPr="007427EF">
              <w:rPr>
                <w:lang w:val="en-AU"/>
              </w:rPr>
              <w:t>Estimated extent of use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68727B6D" w14:textId="77777777" w:rsidTr="001B45D5">
        <w:tc>
          <w:tcPr>
            <w:tcW w:w="1116" w:type="pct"/>
            <w:vAlign w:val="center"/>
          </w:tcPr>
          <w:p w14:paraId="47934EAE" w14:textId="77777777" w:rsidR="00787FCD" w:rsidRPr="007427EF" w:rsidRDefault="00787FCD" w:rsidP="001B45D5">
            <w:pPr>
              <w:pStyle w:val="TableText0"/>
              <w:framePr w:wrap="around"/>
              <w:rPr>
                <w:rFonts w:ascii="Times" w:hAnsi="Times"/>
              </w:rPr>
            </w:pPr>
            <w:r w:rsidRPr="007427EF">
              <w:t>Number of scripts dispensed</w:t>
            </w:r>
          </w:p>
        </w:tc>
        <w:tc>
          <w:tcPr>
            <w:tcW w:w="647" w:type="pct"/>
            <w:vAlign w:val="center"/>
          </w:tcPr>
          <w:p w14:paraId="793E3EB3" w14:textId="43A8F2AC"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1</w:t>
            </w:r>
          </w:p>
        </w:tc>
        <w:tc>
          <w:tcPr>
            <w:tcW w:w="647" w:type="pct"/>
            <w:vAlign w:val="center"/>
          </w:tcPr>
          <w:p w14:paraId="63F862E5" w14:textId="45DB2C83"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1</w:t>
            </w:r>
          </w:p>
        </w:tc>
        <w:tc>
          <w:tcPr>
            <w:tcW w:w="647" w:type="pct"/>
            <w:vAlign w:val="center"/>
          </w:tcPr>
          <w:p w14:paraId="4AF6CD6C" w14:textId="7BB3142D"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2</w:t>
            </w:r>
          </w:p>
        </w:tc>
        <w:tc>
          <w:tcPr>
            <w:tcW w:w="647" w:type="pct"/>
            <w:vAlign w:val="center"/>
          </w:tcPr>
          <w:p w14:paraId="79338717" w14:textId="3FAEF56F"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2</w:t>
            </w:r>
          </w:p>
        </w:tc>
        <w:tc>
          <w:tcPr>
            <w:tcW w:w="647" w:type="pct"/>
            <w:vAlign w:val="center"/>
          </w:tcPr>
          <w:p w14:paraId="48D27BE9" w14:textId="018A0FD4"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854D8A" w:rsidRPr="00854D8A">
              <w:rPr>
                <w:vertAlign w:val="superscript"/>
              </w:rPr>
              <w:t>2</w:t>
            </w:r>
          </w:p>
        </w:tc>
        <w:tc>
          <w:tcPr>
            <w:tcW w:w="649" w:type="pct"/>
            <w:vAlign w:val="center"/>
          </w:tcPr>
          <w:p w14:paraId="4DE86B8A" w14:textId="02680753" w:rsidR="00787FCD" w:rsidRPr="00B06BB6" w:rsidRDefault="00A80A9D" w:rsidP="001B45D5">
            <w:pPr>
              <w:pStyle w:val="TableText0"/>
              <w:framePr w:wrap="around"/>
              <w:rPr>
                <w:color w:val="000000"/>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854D8A" w:rsidRPr="00854D8A">
              <w:rPr>
                <w:vertAlign w:val="superscript"/>
              </w:rPr>
              <w:t>2</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9017"/>
      </w:tblGrid>
      <w:tr w:rsidR="00787FCD" w:rsidRPr="007427EF" w14:paraId="178B2788" w14:textId="77777777" w:rsidTr="001B45D5">
        <w:tc>
          <w:tcPr>
            <w:tcW w:w="5000" w:type="pct"/>
            <w:vAlign w:val="center"/>
          </w:tcPr>
          <w:p w14:paraId="0AF5ECD4" w14:textId="77777777" w:rsidR="00787FCD" w:rsidRPr="007427EF" w:rsidRDefault="00787FCD" w:rsidP="001B45D5">
            <w:pPr>
              <w:pStyle w:val="In-tableHeading"/>
              <w:rPr>
                <w:lang w:val="en-AU"/>
              </w:rPr>
            </w:pPr>
            <w:r w:rsidRPr="007427EF">
              <w:rPr>
                <w:lang w:val="en-AU"/>
              </w:rPr>
              <w:t>Estimated financial implications of mogamulizumab</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30C6D6F1" w14:textId="77777777" w:rsidTr="001B45D5">
        <w:tc>
          <w:tcPr>
            <w:tcW w:w="1116" w:type="pct"/>
            <w:vAlign w:val="center"/>
          </w:tcPr>
          <w:p w14:paraId="50784DD1" w14:textId="77777777" w:rsidR="00787FCD" w:rsidRPr="007427EF" w:rsidRDefault="00787FCD" w:rsidP="001B45D5">
            <w:pPr>
              <w:pStyle w:val="TableText0"/>
              <w:framePr w:wrap="around"/>
            </w:pPr>
            <w:r w:rsidRPr="007427EF">
              <w:t>Cost to PBS/RPBS less copayments resubmission</w:t>
            </w:r>
          </w:p>
        </w:tc>
        <w:tc>
          <w:tcPr>
            <w:tcW w:w="647" w:type="pct"/>
            <w:vAlign w:val="center"/>
          </w:tcPr>
          <w:p w14:paraId="324E3AB8" w14:textId="667381E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854D8A" w:rsidRPr="00854D8A">
              <w:rPr>
                <w:vertAlign w:val="superscript"/>
              </w:rPr>
              <w:t>3</w:t>
            </w:r>
          </w:p>
        </w:tc>
        <w:tc>
          <w:tcPr>
            <w:tcW w:w="647" w:type="pct"/>
            <w:vAlign w:val="center"/>
          </w:tcPr>
          <w:p w14:paraId="7E2F7EFB" w14:textId="7D34A52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854D8A" w:rsidRPr="00854D8A">
              <w:rPr>
                <w:vertAlign w:val="superscript"/>
              </w:rPr>
              <w:t>3</w:t>
            </w:r>
          </w:p>
        </w:tc>
        <w:tc>
          <w:tcPr>
            <w:tcW w:w="647" w:type="pct"/>
            <w:vAlign w:val="center"/>
          </w:tcPr>
          <w:p w14:paraId="7F2750BA" w14:textId="7F8E32F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3</w:t>
            </w:r>
          </w:p>
        </w:tc>
        <w:tc>
          <w:tcPr>
            <w:tcW w:w="647" w:type="pct"/>
            <w:vAlign w:val="center"/>
          </w:tcPr>
          <w:p w14:paraId="2250DEFE" w14:textId="1D32667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3</w:t>
            </w:r>
          </w:p>
        </w:tc>
        <w:tc>
          <w:tcPr>
            <w:tcW w:w="647" w:type="pct"/>
            <w:vAlign w:val="center"/>
          </w:tcPr>
          <w:p w14:paraId="13876DA6" w14:textId="387F89B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3</w:t>
            </w:r>
          </w:p>
        </w:tc>
        <w:tc>
          <w:tcPr>
            <w:tcW w:w="649" w:type="pct"/>
            <w:vAlign w:val="center"/>
          </w:tcPr>
          <w:p w14:paraId="4D8635B2" w14:textId="1E3C13B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3</w:t>
            </w:r>
          </w:p>
        </w:tc>
      </w:tr>
      <w:tr w:rsidR="00787FCD" w:rsidRPr="00A559A5" w14:paraId="763EADA4" w14:textId="77777777" w:rsidTr="001B45D5">
        <w:tc>
          <w:tcPr>
            <w:tcW w:w="1116" w:type="pct"/>
            <w:vAlign w:val="center"/>
          </w:tcPr>
          <w:p w14:paraId="573096E5" w14:textId="77777777" w:rsidR="00787FCD" w:rsidRPr="00A559A5" w:rsidRDefault="00787FCD" w:rsidP="001B45D5">
            <w:pPr>
              <w:pStyle w:val="TableText0"/>
              <w:framePr w:wrap="around"/>
              <w:rPr>
                <w:vertAlign w:val="superscript"/>
              </w:rPr>
            </w:pPr>
            <w:r w:rsidRPr="00A559A5">
              <w:t xml:space="preserve">Cost to PBS/RPBS less copayments </w:t>
            </w:r>
            <w:proofErr w:type="spellStart"/>
            <w:r w:rsidRPr="00A559A5">
              <w:t>PSCR</w:t>
            </w:r>
            <w:r w:rsidRPr="00A559A5">
              <w:rPr>
                <w:vertAlign w:val="superscript"/>
              </w:rPr>
              <w:t>a</w:t>
            </w:r>
            <w:proofErr w:type="spellEnd"/>
          </w:p>
        </w:tc>
        <w:tc>
          <w:tcPr>
            <w:tcW w:w="647" w:type="pct"/>
            <w:vAlign w:val="center"/>
          </w:tcPr>
          <w:p w14:paraId="7E19A3A2" w14:textId="5A3DACD7"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7"/>
                <w14:textFill>
                  <w14:solidFill>
                    <w14:srgbClr w14:val="000000">
                      <w14:alpha w14:val="100000"/>
                    </w14:srgbClr>
                  </w14:solidFill>
                </w14:textFill>
              </w:rPr>
              <w:t>|||</w:t>
            </w:r>
            <w:r w:rsidRPr="00A80A9D">
              <w:rPr>
                <w:iCs w:val="0"/>
                <w:color w:val="000000"/>
                <w:spacing w:val="1"/>
                <w:shd w:val="solid" w:color="000000" w:fill="000000"/>
                <w:fitText w:val="330" w:id="-694963957"/>
                <w14:textFill>
                  <w14:solidFill>
                    <w14:srgbClr w14:val="000000">
                      <w14:alpha w14:val="100000"/>
                    </w14:srgbClr>
                  </w14:solidFill>
                </w14:textFill>
              </w:rPr>
              <w:t>|</w:t>
            </w:r>
            <w:r w:rsidR="00515C2A" w:rsidRPr="00515C2A">
              <w:rPr>
                <w:iCs w:val="0"/>
                <w:vertAlign w:val="superscript"/>
              </w:rPr>
              <w:t>3</w:t>
            </w:r>
          </w:p>
        </w:tc>
        <w:tc>
          <w:tcPr>
            <w:tcW w:w="647" w:type="pct"/>
            <w:vAlign w:val="center"/>
          </w:tcPr>
          <w:p w14:paraId="38A772E4" w14:textId="54331B46"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6"/>
                <w14:textFill>
                  <w14:solidFill>
                    <w14:srgbClr w14:val="000000">
                      <w14:alpha w14:val="100000"/>
                    </w14:srgbClr>
                  </w14:solidFill>
                </w14:textFill>
              </w:rPr>
              <w:t>|||</w:t>
            </w:r>
            <w:r w:rsidRPr="00A80A9D">
              <w:rPr>
                <w:iCs w:val="0"/>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3</w:t>
            </w:r>
          </w:p>
        </w:tc>
        <w:tc>
          <w:tcPr>
            <w:tcW w:w="647" w:type="pct"/>
            <w:vAlign w:val="center"/>
          </w:tcPr>
          <w:p w14:paraId="0AEF642E" w14:textId="16AD31C4"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00854D8A" w:rsidRPr="00854D8A">
              <w:rPr>
                <w:vertAlign w:val="superscript"/>
              </w:rPr>
              <w:t>3</w:t>
            </w:r>
          </w:p>
        </w:tc>
        <w:tc>
          <w:tcPr>
            <w:tcW w:w="647" w:type="pct"/>
            <w:vAlign w:val="center"/>
          </w:tcPr>
          <w:p w14:paraId="1CE2F9E7" w14:textId="3C286406"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3</w:t>
            </w:r>
          </w:p>
        </w:tc>
        <w:tc>
          <w:tcPr>
            <w:tcW w:w="647" w:type="pct"/>
            <w:vAlign w:val="center"/>
          </w:tcPr>
          <w:p w14:paraId="4A99C771" w14:textId="26C06C10"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9" w:type="pct"/>
            <w:vAlign w:val="center"/>
          </w:tcPr>
          <w:p w14:paraId="0885208E" w14:textId="0C4D643A"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r>
      <w:tr w:rsidR="00787FCD" w:rsidRPr="007427EF" w14:paraId="3A9DB179" w14:textId="77777777" w:rsidTr="001B45D5">
        <w:tc>
          <w:tcPr>
            <w:tcW w:w="5000" w:type="pct"/>
            <w:gridSpan w:val="7"/>
            <w:vAlign w:val="center"/>
          </w:tcPr>
          <w:p w14:paraId="5D986669" w14:textId="2CECE873" w:rsidR="00787FCD" w:rsidRPr="007427EF" w:rsidRDefault="00787FCD" w:rsidP="001B45D5">
            <w:pPr>
              <w:pStyle w:val="TableText0"/>
              <w:framePr w:wrap="around"/>
            </w:pPr>
            <w:r w:rsidRPr="007427EF">
              <w:t xml:space="preserve">Estimated financial implications for </w:t>
            </w:r>
            <w:proofErr w:type="spellStart"/>
            <w:r w:rsidRPr="007427EF">
              <w:t>vorinostat</w:t>
            </w:r>
            <w:proofErr w:type="spellEnd"/>
            <w:r w:rsidRPr="007427EF">
              <w:t xml:space="preserve"> and brentuximab</w:t>
            </w:r>
            <w:r w:rsidR="00596681">
              <w:t xml:space="preserve"> (published price)</w:t>
            </w:r>
            <w:r w:rsidRPr="007427EF">
              <w:t xml:space="preserve">, ECP + </w:t>
            </w:r>
            <w:proofErr w:type="spellStart"/>
            <w:r w:rsidRPr="007427EF">
              <w:t>methoxsalen</w:t>
            </w:r>
            <w:proofErr w:type="spellEnd"/>
          </w:p>
        </w:tc>
      </w:tr>
      <w:tr w:rsidR="00787FCD" w:rsidRPr="007427EF" w14:paraId="78C569B8" w14:textId="77777777" w:rsidTr="001B45D5">
        <w:tc>
          <w:tcPr>
            <w:tcW w:w="1116" w:type="pct"/>
            <w:vAlign w:val="center"/>
          </w:tcPr>
          <w:p w14:paraId="4EAE34F1" w14:textId="77777777" w:rsidR="00787FCD" w:rsidRPr="007427EF" w:rsidRDefault="00787FCD" w:rsidP="001B45D5">
            <w:pPr>
              <w:pStyle w:val="TableText0"/>
              <w:framePr w:wrap="around"/>
            </w:pPr>
            <w:r w:rsidRPr="007427EF">
              <w:t>Cost to PBS/RPBS less copayments</w:t>
            </w:r>
          </w:p>
        </w:tc>
        <w:tc>
          <w:tcPr>
            <w:tcW w:w="647" w:type="pct"/>
            <w:vAlign w:val="center"/>
          </w:tcPr>
          <w:p w14:paraId="0C31CE0E" w14:textId="55E5987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FC0AEF">
              <w:rPr>
                <w:vertAlign w:val="superscript"/>
              </w:rPr>
              <w:t>4</w:t>
            </w:r>
          </w:p>
        </w:tc>
        <w:tc>
          <w:tcPr>
            <w:tcW w:w="647" w:type="pct"/>
            <w:vAlign w:val="center"/>
          </w:tcPr>
          <w:p w14:paraId="6DBAB404" w14:textId="330CEED5"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FC0AEF" w:rsidRPr="00FC0AEF">
              <w:rPr>
                <w:vertAlign w:val="superscript"/>
              </w:rPr>
              <w:t>4</w:t>
            </w:r>
          </w:p>
        </w:tc>
        <w:tc>
          <w:tcPr>
            <w:tcW w:w="647" w:type="pct"/>
            <w:vAlign w:val="center"/>
          </w:tcPr>
          <w:p w14:paraId="2E9901DA" w14:textId="50E34B7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FC0AEF" w:rsidRPr="00FC0AEF">
              <w:rPr>
                <w:vertAlign w:val="superscript"/>
              </w:rPr>
              <w:t>4</w:t>
            </w:r>
          </w:p>
        </w:tc>
        <w:tc>
          <w:tcPr>
            <w:tcW w:w="647" w:type="pct"/>
            <w:vAlign w:val="center"/>
          </w:tcPr>
          <w:p w14:paraId="3EE8E089" w14:textId="525E818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FC0AEF">
              <w:rPr>
                <w:vertAlign w:val="superscript"/>
              </w:rPr>
              <w:t>4</w:t>
            </w:r>
          </w:p>
        </w:tc>
        <w:tc>
          <w:tcPr>
            <w:tcW w:w="647" w:type="pct"/>
            <w:vAlign w:val="center"/>
          </w:tcPr>
          <w:p w14:paraId="06FAC788" w14:textId="7CAF243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FC0AEF">
              <w:rPr>
                <w:vertAlign w:val="superscript"/>
              </w:rPr>
              <w:t>4</w:t>
            </w:r>
          </w:p>
        </w:tc>
        <w:tc>
          <w:tcPr>
            <w:tcW w:w="649" w:type="pct"/>
            <w:vAlign w:val="center"/>
          </w:tcPr>
          <w:p w14:paraId="5DC56520" w14:textId="51CEFF0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FC0AEF">
              <w:rPr>
                <w:vertAlign w:val="superscript"/>
              </w:rPr>
              <w:t>4</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9017"/>
      </w:tblGrid>
      <w:tr w:rsidR="00787FCD" w:rsidRPr="007427EF" w14:paraId="64149948" w14:textId="77777777" w:rsidTr="001B45D5">
        <w:tc>
          <w:tcPr>
            <w:tcW w:w="5000" w:type="pct"/>
            <w:vAlign w:val="center"/>
          </w:tcPr>
          <w:p w14:paraId="4875A3AA" w14:textId="77777777" w:rsidR="00787FCD" w:rsidRPr="007427EF" w:rsidRDefault="00787FCD" w:rsidP="001B45D5">
            <w:pPr>
              <w:pStyle w:val="In-tableHeading"/>
              <w:rPr>
                <w:lang w:val="en-AU"/>
              </w:rPr>
            </w:pPr>
            <w:r w:rsidRPr="007427EF">
              <w:rPr>
                <w:lang w:val="en-AU"/>
              </w:rPr>
              <w:t>Net financial implications</w:t>
            </w:r>
          </w:p>
        </w:tc>
      </w:tr>
    </w:tbl>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using published price of brentuximab vedotin)"/>
      </w:tblPr>
      <w:tblGrid>
        <w:gridCol w:w="2012"/>
        <w:gridCol w:w="1167"/>
        <w:gridCol w:w="1167"/>
        <w:gridCol w:w="1167"/>
        <w:gridCol w:w="1167"/>
        <w:gridCol w:w="1167"/>
        <w:gridCol w:w="1170"/>
      </w:tblGrid>
      <w:tr w:rsidR="00787FCD" w:rsidRPr="007427EF" w14:paraId="1137F706" w14:textId="77777777" w:rsidTr="001B45D5">
        <w:tc>
          <w:tcPr>
            <w:tcW w:w="1116" w:type="pct"/>
            <w:vAlign w:val="center"/>
          </w:tcPr>
          <w:p w14:paraId="054947E9" w14:textId="77777777" w:rsidR="00787FCD" w:rsidRPr="007427EF" w:rsidRDefault="00787FCD" w:rsidP="001B45D5">
            <w:pPr>
              <w:pStyle w:val="TableText0"/>
              <w:framePr w:wrap="around"/>
            </w:pPr>
            <w:r w:rsidRPr="007427EF">
              <w:t>Net cost to PBS/RPBS</w:t>
            </w:r>
          </w:p>
        </w:tc>
        <w:tc>
          <w:tcPr>
            <w:tcW w:w="647" w:type="pct"/>
            <w:tcBorders>
              <w:top w:val="nil"/>
              <w:left w:val="nil"/>
              <w:bottom w:val="single" w:sz="8" w:space="0" w:color="auto"/>
              <w:right w:val="single" w:sz="8" w:space="0" w:color="auto"/>
            </w:tcBorders>
            <w:vAlign w:val="center"/>
          </w:tcPr>
          <w:p w14:paraId="67586692" w14:textId="1CCE4DA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FC0AEF">
              <w:rPr>
                <w:vertAlign w:val="superscript"/>
              </w:rPr>
              <w:t>4</w:t>
            </w:r>
          </w:p>
        </w:tc>
        <w:tc>
          <w:tcPr>
            <w:tcW w:w="647" w:type="pct"/>
            <w:tcBorders>
              <w:top w:val="nil"/>
              <w:left w:val="nil"/>
              <w:bottom w:val="single" w:sz="8" w:space="0" w:color="auto"/>
              <w:right w:val="single" w:sz="8" w:space="0" w:color="auto"/>
            </w:tcBorders>
            <w:vAlign w:val="center"/>
          </w:tcPr>
          <w:p w14:paraId="4563E055" w14:textId="501B424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23A1E8EF" w14:textId="2B8BAB0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1571DA51" w14:textId="01CEA7C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4BD0FF76" w14:textId="47C0E9B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3</w:t>
            </w:r>
          </w:p>
        </w:tc>
        <w:tc>
          <w:tcPr>
            <w:tcW w:w="649" w:type="pct"/>
            <w:tcBorders>
              <w:top w:val="nil"/>
              <w:left w:val="nil"/>
              <w:bottom w:val="single" w:sz="8" w:space="0" w:color="auto"/>
              <w:right w:val="single" w:sz="8" w:space="0" w:color="auto"/>
            </w:tcBorders>
            <w:vAlign w:val="center"/>
          </w:tcPr>
          <w:p w14:paraId="2BE527E3" w14:textId="405E2F5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3</w:t>
            </w:r>
          </w:p>
        </w:tc>
      </w:tr>
      <w:tr w:rsidR="00787FCD" w:rsidRPr="00A559A5" w14:paraId="7FB567CE" w14:textId="77777777" w:rsidTr="001B45D5">
        <w:tc>
          <w:tcPr>
            <w:tcW w:w="1116" w:type="pct"/>
            <w:vAlign w:val="center"/>
          </w:tcPr>
          <w:p w14:paraId="2B0C6691" w14:textId="77777777" w:rsidR="00787FCD" w:rsidRPr="00A559A5" w:rsidRDefault="00787FCD" w:rsidP="001B45D5">
            <w:pPr>
              <w:pStyle w:val="TableText0"/>
              <w:framePr w:wrap="around"/>
              <w:rPr>
                <w:vertAlign w:val="superscript"/>
              </w:rPr>
            </w:pPr>
            <w:r w:rsidRPr="00A559A5">
              <w:t xml:space="preserve">Net cost to PBS/RPBS </w:t>
            </w:r>
            <w:proofErr w:type="spellStart"/>
            <w:r w:rsidRPr="00A559A5">
              <w:t>PSCR</w:t>
            </w:r>
            <w:r w:rsidRPr="00A559A5">
              <w:rPr>
                <w:vertAlign w:val="superscript"/>
              </w:rPr>
              <w:t>a</w:t>
            </w:r>
            <w:proofErr w:type="spellEnd"/>
          </w:p>
        </w:tc>
        <w:tc>
          <w:tcPr>
            <w:tcW w:w="647" w:type="pct"/>
            <w:tcBorders>
              <w:top w:val="nil"/>
              <w:left w:val="nil"/>
              <w:bottom w:val="single" w:sz="8" w:space="0" w:color="auto"/>
              <w:right w:val="single" w:sz="8" w:space="0" w:color="auto"/>
            </w:tcBorders>
            <w:vAlign w:val="center"/>
          </w:tcPr>
          <w:p w14:paraId="15C783CC" w14:textId="607BD3D1"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6"/>
                <w14:textFill>
                  <w14:solidFill>
                    <w14:srgbClr w14:val="000000">
                      <w14:alpha w14:val="100000"/>
                    </w14:srgbClr>
                  </w14:solidFill>
                </w14:textFill>
              </w:rPr>
              <w:t>|||</w:t>
            </w:r>
            <w:r w:rsidRPr="00A80A9D">
              <w:rPr>
                <w:iCs w:val="0"/>
                <w:color w:val="000000"/>
                <w:spacing w:val="1"/>
                <w:shd w:val="solid" w:color="000000" w:fill="000000"/>
                <w:fitText w:val="330" w:id="-694963956"/>
                <w14:textFill>
                  <w14:solidFill>
                    <w14:srgbClr w14:val="000000">
                      <w14:alpha w14:val="100000"/>
                    </w14:srgbClr>
                  </w14:solidFill>
                </w14:textFill>
              </w:rPr>
              <w:t>|</w:t>
            </w:r>
            <w:r w:rsidR="00FC0AEF">
              <w:rPr>
                <w:vertAlign w:val="superscript"/>
              </w:rPr>
              <w:t>4</w:t>
            </w:r>
          </w:p>
        </w:tc>
        <w:tc>
          <w:tcPr>
            <w:tcW w:w="647" w:type="pct"/>
            <w:tcBorders>
              <w:top w:val="nil"/>
              <w:left w:val="nil"/>
              <w:bottom w:val="single" w:sz="8" w:space="0" w:color="auto"/>
              <w:right w:val="single" w:sz="8" w:space="0" w:color="auto"/>
            </w:tcBorders>
            <w:vAlign w:val="center"/>
          </w:tcPr>
          <w:p w14:paraId="2217E8A7" w14:textId="0752D1F2"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00FC0AEF">
              <w:rPr>
                <w:vertAlign w:val="superscript"/>
              </w:rPr>
              <w:t>4</w:t>
            </w:r>
          </w:p>
        </w:tc>
        <w:tc>
          <w:tcPr>
            <w:tcW w:w="647" w:type="pct"/>
            <w:tcBorders>
              <w:top w:val="nil"/>
              <w:left w:val="nil"/>
              <w:bottom w:val="single" w:sz="8" w:space="0" w:color="auto"/>
              <w:right w:val="single" w:sz="8" w:space="0" w:color="auto"/>
            </w:tcBorders>
            <w:vAlign w:val="center"/>
          </w:tcPr>
          <w:p w14:paraId="0A450359" w14:textId="66E735E7"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149E150C" w14:textId="5D163249"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tcBorders>
              <w:top w:val="nil"/>
              <w:left w:val="nil"/>
              <w:bottom w:val="single" w:sz="8" w:space="0" w:color="auto"/>
              <w:right w:val="single" w:sz="8" w:space="0" w:color="auto"/>
            </w:tcBorders>
            <w:vAlign w:val="center"/>
          </w:tcPr>
          <w:p w14:paraId="0F9A2B2E" w14:textId="4353841F"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9" w:type="pct"/>
            <w:tcBorders>
              <w:top w:val="nil"/>
              <w:left w:val="nil"/>
              <w:bottom w:val="single" w:sz="8" w:space="0" w:color="auto"/>
              <w:right w:val="single" w:sz="8" w:space="0" w:color="auto"/>
            </w:tcBorders>
            <w:vAlign w:val="center"/>
          </w:tcPr>
          <w:p w14:paraId="28773192" w14:textId="10C3EEAA"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68"/>
                <w14:textFill>
                  <w14:solidFill>
                    <w14:srgbClr w14:val="000000">
                      <w14:alpha w14:val="100000"/>
                    </w14:srgbClr>
                  </w14:solidFill>
                </w14:textFill>
              </w:rPr>
              <w:t>|||</w:t>
            </w:r>
            <w:r w:rsidRPr="00A80A9D">
              <w:rPr>
                <w:iCs w:val="0"/>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r>
      <w:tr w:rsidR="00787FCD" w:rsidRPr="007427EF" w14:paraId="6953A2AC" w14:textId="77777777" w:rsidTr="001B45D5">
        <w:tc>
          <w:tcPr>
            <w:tcW w:w="1116" w:type="pct"/>
            <w:vAlign w:val="center"/>
          </w:tcPr>
          <w:p w14:paraId="6D5C4BC2" w14:textId="77777777" w:rsidR="00787FCD" w:rsidRPr="007427EF" w:rsidRDefault="00787FCD" w:rsidP="001B45D5">
            <w:pPr>
              <w:pStyle w:val="TableText0"/>
              <w:framePr w:wrap="around"/>
              <w:rPr>
                <w:rFonts w:ascii="Times" w:hAnsi="Times"/>
              </w:rPr>
            </w:pPr>
            <w:r w:rsidRPr="007427EF">
              <w:t>Net cost to MBS/ Services Australia/other</w:t>
            </w:r>
          </w:p>
        </w:tc>
        <w:tc>
          <w:tcPr>
            <w:tcW w:w="647" w:type="pct"/>
            <w:vAlign w:val="center"/>
          </w:tcPr>
          <w:p w14:paraId="08D3507C" w14:textId="471086B8"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FC0AEF">
              <w:rPr>
                <w:vertAlign w:val="superscript"/>
              </w:rPr>
              <w:t>4</w:t>
            </w:r>
          </w:p>
        </w:tc>
        <w:tc>
          <w:tcPr>
            <w:tcW w:w="647" w:type="pct"/>
            <w:vAlign w:val="center"/>
          </w:tcPr>
          <w:p w14:paraId="2DC35407" w14:textId="1ACBE7D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FC0AEF">
              <w:rPr>
                <w:vertAlign w:val="superscript"/>
              </w:rPr>
              <w:t>4</w:t>
            </w:r>
          </w:p>
        </w:tc>
        <w:tc>
          <w:tcPr>
            <w:tcW w:w="647" w:type="pct"/>
            <w:vAlign w:val="center"/>
          </w:tcPr>
          <w:p w14:paraId="397B661D" w14:textId="694A6E2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FC0AEF">
              <w:rPr>
                <w:vertAlign w:val="superscript"/>
              </w:rPr>
              <w:t>4</w:t>
            </w:r>
          </w:p>
        </w:tc>
        <w:tc>
          <w:tcPr>
            <w:tcW w:w="647" w:type="pct"/>
            <w:vAlign w:val="center"/>
          </w:tcPr>
          <w:p w14:paraId="4E092AA5" w14:textId="41E6B81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FC0AEF">
              <w:rPr>
                <w:vertAlign w:val="superscript"/>
              </w:rPr>
              <w:t>4</w:t>
            </w:r>
          </w:p>
        </w:tc>
        <w:tc>
          <w:tcPr>
            <w:tcW w:w="647" w:type="pct"/>
            <w:vAlign w:val="center"/>
          </w:tcPr>
          <w:p w14:paraId="50B5DA0D" w14:textId="589A2067"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FC0AEF">
              <w:rPr>
                <w:vertAlign w:val="superscript"/>
              </w:rPr>
              <w:t>4</w:t>
            </w:r>
          </w:p>
        </w:tc>
        <w:tc>
          <w:tcPr>
            <w:tcW w:w="649" w:type="pct"/>
            <w:vAlign w:val="center"/>
          </w:tcPr>
          <w:p w14:paraId="6B7B03F4" w14:textId="30B0A52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FC0AEF">
              <w:rPr>
                <w:vertAlign w:val="superscript"/>
              </w:rPr>
              <w:t>4</w:t>
            </w:r>
          </w:p>
        </w:tc>
      </w:tr>
      <w:tr w:rsidR="00787FCD" w:rsidRPr="007427EF" w14:paraId="4872FD10" w14:textId="77777777" w:rsidTr="001B45D5">
        <w:tc>
          <w:tcPr>
            <w:tcW w:w="1116" w:type="pct"/>
            <w:vAlign w:val="center"/>
          </w:tcPr>
          <w:p w14:paraId="48948437" w14:textId="77777777" w:rsidR="00787FCD" w:rsidRPr="007427EF" w:rsidRDefault="00787FCD" w:rsidP="001B45D5">
            <w:pPr>
              <w:pStyle w:val="TableText0"/>
              <w:framePr w:wrap="around"/>
            </w:pPr>
            <w:r w:rsidRPr="007427EF">
              <w:t>Net cost to PBS/RPBS/MBS/Services Australia</w:t>
            </w:r>
          </w:p>
        </w:tc>
        <w:tc>
          <w:tcPr>
            <w:tcW w:w="647" w:type="pct"/>
            <w:vAlign w:val="center"/>
          </w:tcPr>
          <w:p w14:paraId="04A102C2" w14:textId="6BAFFEA5"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FC0AEF">
              <w:rPr>
                <w:vertAlign w:val="superscript"/>
              </w:rPr>
              <w:t>4</w:t>
            </w:r>
          </w:p>
        </w:tc>
        <w:tc>
          <w:tcPr>
            <w:tcW w:w="647" w:type="pct"/>
            <w:vAlign w:val="center"/>
          </w:tcPr>
          <w:p w14:paraId="2FF3789C" w14:textId="51892D1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3</w:t>
            </w:r>
          </w:p>
        </w:tc>
        <w:tc>
          <w:tcPr>
            <w:tcW w:w="647" w:type="pct"/>
            <w:vAlign w:val="center"/>
          </w:tcPr>
          <w:p w14:paraId="2A66D1FD" w14:textId="59EA3EF8"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3</w:t>
            </w:r>
          </w:p>
        </w:tc>
        <w:tc>
          <w:tcPr>
            <w:tcW w:w="647" w:type="pct"/>
            <w:vAlign w:val="center"/>
          </w:tcPr>
          <w:p w14:paraId="45929E2B" w14:textId="092BC22C"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3</w:t>
            </w:r>
          </w:p>
        </w:tc>
        <w:tc>
          <w:tcPr>
            <w:tcW w:w="647" w:type="pct"/>
            <w:vAlign w:val="center"/>
          </w:tcPr>
          <w:p w14:paraId="24CAA77F" w14:textId="6ABC084F"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3</w:t>
            </w:r>
          </w:p>
        </w:tc>
        <w:tc>
          <w:tcPr>
            <w:tcW w:w="649" w:type="pct"/>
            <w:vAlign w:val="center"/>
          </w:tcPr>
          <w:p w14:paraId="0D887EBE" w14:textId="40EF8395"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3</w:t>
            </w:r>
          </w:p>
        </w:tc>
      </w:tr>
      <w:tr w:rsidR="00787FCD" w:rsidRPr="00A559A5" w14:paraId="45685E4E" w14:textId="77777777" w:rsidTr="001B45D5">
        <w:tc>
          <w:tcPr>
            <w:tcW w:w="1116" w:type="pct"/>
            <w:vAlign w:val="center"/>
          </w:tcPr>
          <w:p w14:paraId="7E6337EF" w14:textId="77777777" w:rsidR="00787FCD" w:rsidRPr="00A559A5" w:rsidRDefault="00787FCD" w:rsidP="001B45D5">
            <w:pPr>
              <w:pStyle w:val="TableText0"/>
              <w:framePr w:wrap="around"/>
              <w:rPr>
                <w:vertAlign w:val="superscript"/>
              </w:rPr>
            </w:pPr>
            <w:r w:rsidRPr="00A559A5">
              <w:t xml:space="preserve">Net cost to PBS/RPBS/MBS/Services Australia in </w:t>
            </w:r>
            <w:proofErr w:type="spellStart"/>
            <w:r w:rsidRPr="00A559A5">
              <w:t>PSCR</w:t>
            </w:r>
            <w:r w:rsidRPr="00A559A5">
              <w:rPr>
                <w:vertAlign w:val="superscript"/>
              </w:rPr>
              <w:t>a</w:t>
            </w:r>
            <w:proofErr w:type="spellEnd"/>
          </w:p>
        </w:tc>
        <w:tc>
          <w:tcPr>
            <w:tcW w:w="647" w:type="pct"/>
            <w:vAlign w:val="center"/>
          </w:tcPr>
          <w:p w14:paraId="3F65C5F5" w14:textId="7DBF31DA"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5"/>
                <w14:textFill>
                  <w14:solidFill>
                    <w14:srgbClr w14:val="000000">
                      <w14:alpha w14:val="100000"/>
                    </w14:srgbClr>
                  </w14:solidFill>
                </w14:textFill>
              </w:rPr>
              <w:t>|||</w:t>
            </w:r>
            <w:r w:rsidRPr="00A80A9D">
              <w:rPr>
                <w:iCs w:val="0"/>
                <w:color w:val="000000"/>
                <w:spacing w:val="1"/>
                <w:shd w:val="solid" w:color="000000" w:fill="000000"/>
                <w:fitText w:val="330" w:id="-694963955"/>
                <w14:textFill>
                  <w14:solidFill>
                    <w14:srgbClr w14:val="000000">
                      <w14:alpha w14:val="100000"/>
                    </w14:srgbClr>
                  </w14:solidFill>
                </w14:textFill>
              </w:rPr>
              <w:t>|</w:t>
            </w:r>
            <w:r w:rsidR="00FC0AEF">
              <w:rPr>
                <w:vertAlign w:val="superscript"/>
              </w:rPr>
              <w:t>4</w:t>
            </w:r>
          </w:p>
        </w:tc>
        <w:tc>
          <w:tcPr>
            <w:tcW w:w="647" w:type="pct"/>
            <w:vAlign w:val="center"/>
          </w:tcPr>
          <w:p w14:paraId="3E6824D7" w14:textId="4409855F"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4"/>
                <w14:textFill>
                  <w14:solidFill>
                    <w14:srgbClr w14:val="000000">
                      <w14:alpha w14:val="100000"/>
                    </w14:srgbClr>
                  </w14:solidFill>
                </w14:textFill>
              </w:rPr>
              <w:t>|||</w:t>
            </w:r>
            <w:r w:rsidRPr="00A80A9D">
              <w:rPr>
                <w:iCs w:val="0"/>
                <w:color w:val="000000"/>
                <w:spacing w:val="1"/>
                <w:shd w:val="solid" w:color="000000" w:fill="000000"/>
                <w:fitText w:val="330" w:id="-694963954"/>
                <w14:textFill>
                  <w14:solidFill>
                    <w14:srgbClr w14:val="000000">
                      <w14:alpha w14:val="100000"/>
                    </w14:srgbClr>
                  </w14:solidFill>
                </w14:textFill>
              </w:rPr>
              <w:t>|</w:t>
            </w:r>
            <w:r w:rsidR="00FC0AEF">
              <w:rPr>
                <w:vertAlign w:val="superscript"/>
              </w:rPr>
              <w:t>4</w:t>
            </w:r>
          </w:p>
        </w:tc>
        <w:tc>
          <w:tcPr>
            <w:tcW w:w="647" w:type="pct"/>
            <w:vAlign w:val="center"/>
          </w:tcPr>
          <w:p w14:paraId="3C5A27F8" w14:textId="0B7C1E66"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3"/>
                <w14:textFill>
                  <w14:solidFill>
                    <w14:srgbClr w14:val="000000">
                      <w14:alpha w14:val="100000"/>
                    </w14:srgbClr>
                  </w14:solidFill>
                </w14:textFill>
              </w:rPr>
              <w:t>|||</w:t>
            </w:r>
            <w:r w:rsidRPr="00A80A9D">
              <w:rPr>
                <w:iCs w:val="0"/>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vAlign w:val="center"/>
          </w:tcPr>
          <w:p w14:paraId="69BC2318" w14:textId="1B585E71"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52"/>
                <w14:textFill>
                  <w14:solidFill>
                    <w14:srgbClr w14:val="000000">
                      <w14:alpha w14:val="100000"/>
                    </w14:srgbClr>
                  </w14:solidFill>
                </w14:textFill>
              </w:rPr>
              <w:t>|||</w:t>
            </w:r>
            <w:r w:rsidRPr="00A80A9D">
              <w:rPr>
                <w:iCs w:val="0"/>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7" w:type="pct"/>
            <w:vAlign w:val="center"/>
          </w:tcPr>
          <w:p w14:paraId="719B2CED" w14:textId="71C54328"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68"/>
                <w14:textFill>
                  <w14:solidFill>
                    <w14:srgbClr w14:val="000000">
                      <w14:alpha w14:val="100000"/>
                    </w14:srgbClr>
                  </w14:solidFill>
                </w14:textFill>
              </w:rPr>
              <w:t>|||</w:t>
            </w:r>
            <w:r w:rsidRPr="00A80A9D">
              <w:rPr>
                <w:iCs w:val="0"/>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c>
          <w:tcPr>
            <w:tcW w:w="649" w:type="pct"/>
            <w:vAlign w:val="center"/>
          </w:tcPr>
          <w:p w14:paraId="69177ECD" w14:textId="3AA5F60D" w:rsidR="00787FCD" w:rsidRPr="00B06BB6" w:rsidRDefault="00A80A9D" w:rsidP="001B45D5">
            <w:pPr>
              <w:pStyle w:val="TableText0"/>
              <w:framePr w:wrap="around"/>
              <w:rPr>
                <w:iCs w:val="0"/>
                <w:highlight w:val="darkGray"/>
              </w:rPr>
            </w:pPr>
            <w:r w:rsidRPr="00A80A9D">
              <w:rPr>
                <w:iCs w:val="0"/>
                <w:color w:val="000000"/>
                <w:spacing w:val="53"/>
                <w:shd w:val="solid" w:color="000000" w:fill="000000"/>
                <w:fitText w:val="330" w:id="-694963967"/>
                <w14:textFill>
                  <w14:solidFill>
                    <w14:srgbClr w14:val="000000">
                      <w14:alpha w14:val="100000"/>
                    </w14:srgbClr>
                  </w14:solidFill>
                </w14:textFill>
              </w:rPr>
              <w:t>|||</w:t>
            </w:r>
            <w:r w:rsidRPr="00A80A9D">
              <w:rPr>
                <w:iCs w:val="0"/>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3</w:t>
            </w:r>
          </w:p>
        </w:tc>
      </w:tr>
      <w:tr w:rsidR="00787FCD" w:rsidRPr="007427EF" w14:paraId="47A60AF0" w14:textId="77777777" w:rsidTr="001B45D5">
        <w:tc>
          <w:tcPr>
            <w:tcW w:w="5000" w:type="pct"/>
            <w:gridSpan w:val="7"/>
            <w:shd w:val="clear" w:color="auto" w:fill="C6D9F1" w:themeFill="text2" w:themeFillTint="33"/>
            <w:vAlign w:val="center"/>
          </w:tcPr>
          <w:p w14:paraId="4FF6BC63" w14:textId="77777777" w:rsidR="00787FCD" w:rsidRPr="007427EF" w:rsidRDefault="00787FCD" w:rsidP="001B45D5">
            <w:pPr>
              <w:pStyle w:val="TableText0"/>
              <w:framePr w:wrap="around"/>
              <w:rPr>
                <w:b/>
                <w:bCs/>
              </w:rPr>
            </w:pPr>
            <w:r w:rsidRPr="007427EF">
              <w:rPr>
                <w:b/>
                <w:bCs/>
              </w:rPr>
              <w:t>July 2020 submission - estimated use and financial implications</w:t>
            </w:r>
          </w:p>
        </w:tc>
      </w:tr>
      <w:tr w:rsidR="00787FCD" w:rsidRPr="007427EF" w14:paraId="3FCF4424" w14:textId="77777777" w:rsidTr="001B45D5">
        <w:tc>
          <w:tcPr>
            <w:tcW w:w="1116" w:type="pct"/>
            <w:shd w:val="clear" w:color="auto" w:fill="C6D9F1" w:themeFill="text2" w:themeFillTint="33"/>
            <w:vAlign w:val="center"/>
          </w:tcPr>
          <w:p w14:paraId="47FE8562" w14:textId="77777777" w:rsidR="00787FCD" w:rsidRPr="007427EF" w:rsidRDefault="00787FCD" w:rsidP="001B45D5">
            <w:pPr>
              <w:pStyle w:val="TableText0"/>
              <w:framePr w:wrap="around"/>
            </w:pPr>
            <w:r w:rsidRPr="007427EF">
              <w:t xml:space="preserve">Number of patients treated </w:t>
            </w:r>
          </w:p>
        </w:tc>
        <w:tc>
          <w:tcPr>
            <w:tcW w:w="647" w:type="pct"/>
            <w:shd w:val="clear" w:color="auto" w:fill="C6D9F1" w:themeFill="text2" w:themeFillTint="33"/>
          </w:tcPr>
          <w:p w14:paraId="0A4FE589" w14:textId="282737EB"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36255F95" w14:textId="5959F9B4"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52D0B46A" w14:textId="33CAE915"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2BA625D1" w14:textId="6CD61BD2"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tcPr>
          <w:p w14:paraId="20059E91" w14:textId="34DA26C6"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854D8A" w:rsidRPr="00854D8A">
              <w:rPr>
                <w:vertAlign w:val="superscript"/>
              </w:rPr>
              <w:t>1</w:t>
            </w:r>
          </w:p>
        </w:tc>
        <w:tc>
          <w:tcPr>
            <w:tcW w:w="649" w:type="pct"/>
            <w:shd w:val="clear" w:color="auto" w:fill="C6D9F1" w:themeFill="text2" w:themeFillTint="33"/>
          </w:tcPr>
          <w:p w14:paraId="12A0D9C6" w14:textId="61FEE954" w:rsidR="00787FCD" w:rsidRPr="00854D8A"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1</w:t>
            </w:r>
          </w:p>
        </w:tc>
      </w:tr>
      <w:tr w:rsidR="00787FCD" w:rsidRPr="007427EF" w14:paraId="288AEA66" w14:textId="77777777" w:rsidTr="001B45D5">
        <w:tc>
          <w:tcPr>
            <w:tcW w:w="1116" w:type="pct"/>
            <w:shd w:val="clear" w:color="auto" w:fill="C6D9F1" w:themeFill="text2" w:themeFillTint="33"/>
            <w:vAlign w:val="center"/>
          </w:tcPr>
          <w:p w14:paraId="0D75F04C" w14:textId="77777777" w:rsidR="00787FCD" w:rsidRPr="007427EF" w:rsidRDefault="00787FCD" w:rsidP="001B45D5">
            <w:pPr>
              <w:pStyle w:val="TableText0"/>
              <w:framePr w:wrap="around"/>
            </w:pPr>
            <w:r w:rsidRPr="007427EF">
              <w:t xml:space="preserve">Number of scripts dispensed </w:t>
            </w:r>
          </w:p>
        </w:tc>
        <w:tc>
          <w:tcPr>
            <w:tcW w:w="647" w:type="pct"/>
            <w:shd w:val="clear" w:color="auto" w:fill="C6D9F1" w:themeFill="text2" w:themeFillTint="33"/>
          </w:tcPr>
          <w:p w14:paraId="00905793" w14:textId="710B484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3C7C4C36" w14:textId="58BB262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07849B19" w14:textId="3BF3090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053EC71B" w14:textId="27EC390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tcPr>
          <w:p w14:paraId="5469130D" w14:textId="0DCC2C8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2</w:t>
            </w:r>
          </w:p>
        </w:tc>
        <w:tc>
          <w:tcPr>
            <w:tcW w:w="649" w:type="pct"/>
            <w:shd w:val="clear" w:color="auto" w:fill="C6D9F1" w:themeFill="text2" w:themeFillTint="33"/>
          </w:tcPr>
          <w:p w14:paraId="5E0CB50F" w14:textId="5B154BEA"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5"/>
                <w14:textFill>
                  <w14:solidFill>
                    <w14:srgbClr w14:val="000000">
                      <w14:alpha w14:val="100000"/>
                    </w14:srgbClr>
                  </w14:solidFill>
                </w14:textFill>
              </w:rPr>
              <w:t>|||</w:t>
            </w:r>
            <w:r w:rsidRPr="00A80A9D">
              <w:rPr>
                <w:color w:val="000000"/>
                <w:spacing w:val="1"/>
                <w:shd w:val="solid" w:color="000000" w:fill="000000"/>
                <w:fitText w:val="330" w:id="-694963955"/>
                <w14:textFill>
                  <w14:solidFill>
                    <w14:srgbClr w14:val="000000">
                      <w14:alpha w14:val="100000"/>
                    </w14:srgbClr>
                  </w14:solidFill>
                </w14:textFill>
              </w:rPr>
              <w:t>|</w:t>
            </w:r>
            <w:r w:rsidR="00854D8A" w:rsidRPr="00854D8A">
              <w:rPr>
                <w:vertAlign w:val="superscript"/>
              </w:rPr>
              <w:t>2</w:t>
            </w:r>
          </w:p>
        </w:tc>
      </w:tr>
      <w:tr w:rsidR="00787FCD" w:rsidRPr="007427EF" w14:paraId="654B7B7F" w14:textId="77777777" w:rsidTr="001B45D5">
        <w:tc>
          <w:tcPr>
            <w:tcW w:w="1116" w:type="pct"/>
            <w:shd w:val="clear" w:color="auto" w:fill="C6D9F1" w:themeFill="text2" w:themeFillTint="33"/>
            <w:vAlign w:val="center"/>
          </w:tcPr>
          <w:p w14:paraId="744F1EBF" w14:textId="77777777" w:rsidR="00787FCD" w:rsidRPr="007427EF" w:rsidRDefault="00787FCD" w:rsidP="001B45D5">
            <w:pPr>
              <w:pStyle w:val="TableText0"/>
              <w:framePr w:wrap="around"/>
            </w:pPr>
            <w:r w:rsidRPr="007427EF">
              <w:t>Net cost to PBS/RPBS</w:t>
            </w:r>
          </w:p>
        </w:tc>
        <w:tc>
          <w:tcPr>
            <w:tcW w:w="647" w:type="pct"/>
            <w:shd w:val="clear" w:color="auto" w:fill="C6D9F1" w:themeFill="text2" w:themeFillTint="33"/>
          </w:tcPr>
          <w:p w14:paraId="1A5B8178" w14:textId="6C50A644"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4"/>
                <w14:textFill>
                  <w14:solidFill>
                    <w14:srgbClr w14:val="000000">
                      <w14:alpha w14:val="100000"/>
                    </w14:srgbClr>
                  </w14:solidFill>
                </w14:textFill>
              </w:rPr>
              <w:t>|||</w:t>
            </w:r>
            <w:r w:rsidRPr="00A80A9D">
              <w:rPr>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4382AAA4" w14:textId="5CAB22F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3"/>
                <w14:textFill>
                  <w14:solidFill>
                    <w14:srgbClr w14:val="000000">
                      <w14:alpha w14:val="100000"/>
                    </w14:srgbClr>
                  </w14:solidFill>
                </w14:textFill>
              </w:rPr>
              <w:t>|||</w:t>
            </w:r>
            <w:r w:rsidRPr="00A80A9D">
              <w:rPr>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06D92B73" w14:textId="250BE53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54649465" w14:textId="713AA50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tcPr>
          <w:p w14:paraId="319DDAAE" w14:textId="3B4A656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3</w:t>
            </w:r>
          </w:p>
        </w:tc>
        <w:tc>
          <w:tcPr>
            <w:tcW w:w="649" w:type="pct"/>
            <w:shd w:val="clear" w:color="auto" w:fill="C6D9F1" w:themeFill="text2" w:themeFillTint="33"/>
          </w:tcPr>
          <w:p w14:paraId="0FDB25F2" w14:textId="0DCB1437"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3</w:t>
            </w:r>
          </w:p>
        </w:tc>
      </w:tr>
      <w:tr w:rsidR="00787FCD" w:rsidRPr="007427EF" w14:paraId="38DAD182" w14:textId="77777777" w:rsidTr="001B45D5">
        <w:tc>
          <w:tcPr>
            <w:tcW w:w="5000" w:type="pct"/>
            <w:gridSpan w:val="7"/>
            <w:shd w:val="clear" w:color="auto" w:fill="C6D9F1" w:themeFill="text2" w:themeFillTint="33"/>
            <w:vAlign w:val="center"/>
          </w:tcPr>
          <w:p w14:paraId="1BCD9506" w14:textId="77777777" w:rsidR="00787FCD" w:rsidRPr="007427EF" w:rsidRDefault="00787FCD" w:rsidP="001B45D5">
            <w:pPr>
              <w:pStyle w:val="TableText0"/>
              <w:framePr w:wrap="around"/>
              <w:rPr>
                <w:b/>
                <w:bCs/>
              </w:rPr>
            </w:pPr>
            <w:r w:rsidRPr="007427EF">
              <w:rPr>
                <w:b/>
                <w:bCs/>
              </w:rPr>
              <w:t>November 2020 resubmission - estimated use and financial implications</w:t>
            </w:r>
          </w:p>
        </w:tc>
      </w:tr>
      <w:tr w:rsidR="00787FCD" w:rsidRPr="007427EF" w14:paraId="002DB07F" w14:textId="77777777" w:rsidTr="001B45D5">
        <w:tc>
          <w:tcPr>
            <w:tcW w:w="1116" w:type="pct"/>
            <w:shd w:val="clear" w:color="auto" w:fill="C6D9F1" w:themeFill="text2" w:themeFillTint="33"/>
            <w:vAlign w:val="center"/>
          </w:tcPr>
          <w:p w14:paraId="3DA44942" w14:textId="77777777" w:rsidR="00787FCD" w:rsidRPr="007427EF" w:rsidRDefault="00787FCD" w:rsidP="001B45D5">
            <w:pPr>
              <w:pStyle w:val="TableText0"/>
              <w:framePr w:wrap="around"/>
            </w:pPr>
            <w:r w:rsidRPr="007427EF">
              <w:t xml:space="preserve">Number of patients treated </w:t>
            </w:r>
          </w:p>
        </w:tc>
        <w:tc>
          <w:tcPr>
            <w:tcW w:w="647" w:type="pct"/>
            <w:shd w:val="clear" w:color="auto" w:fill="C6D9F1" w:themeFill="text2" w:themeFillTint="33"/>
            <w:vAlign w:val="center"/>
          </w:tcPr>
          <w:p w14:paraId="629B4B6E" w14:textId="318F131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5"/>
                <w14:textFill>
                  <w14:solidFill>
                    <w14:srgbClr w14:val="000000">
                      <w14:alpha w14:val="100000"/>
                    </w14:srgbClr>
                  </w14:solidFill>
                </w14:textFill>
              </w:rPr>
              <w:t>|||</w:t>
            </w:r>
            <w:r w:rsidRPr="00A80A9D">
              <w:rPr>
                <w:color w:val="000000"/>
                <w:spacing w:val="1"/>
                <w:shd w:val="solid" w:color="000000" w:fill="000000"/>
                <w:fitText w:val="330" w:id="-694963965"/>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7AA9AEB9" w14:textId="1A3C3C2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4"/>
                <w14:textFill>
                  <w14:solidFill>
                    <w14:srgbClr w14:val="000000">
                      <w14:alpha w14:val="100000"/>
                    </w14:srgbClr>
                  </w14:solidFill>
                </w14:textFill>
              </w:rPr>
              <w:t>|||</w:t>
            </w:r>
            <w:r w:rsidRPr="00A80A9D">
              <w:rPr>
                <w:color w:val="000000"/>
                <w:spacing w:val="1"/>
                <w:shd w:val="solid" w:color="000000" w:fill="000000"/>
                <w:fitText w:val="330" w:id="-694963964"/>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5AA0E165" w14:textId="30DEE2C0"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3"/>
                <w14:textFill>
                  <w14:solidFill>
                    <w14:srgbClr w14:val="000000">
                      <w14:alpha w14:val="100000"/>
                    </w14:srgbClr>
                  </w14:solidFill>
                </w14:textFill>
              </w:rPr>
              <w:t>|||</w:t>
            </w:r>
            <w:r w:rsidRPr="00A80A9D">
              <w:rPr>
                <w:color w:val="000000"/>
                <w:spacing w:val="1"/>
                <w:shd w:val="solid" w:color="000000" w:fill="000000"/>
                <w:fitText w:val="330" w:id="-694963963"/>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68F3D900" w14:textId="335A6D5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2"/>
                <w14:textFill>
                  <w14:solidFill>
                    <w14:srgbClr w14:val="000000">
                      <w14:alpha w14:val="100000"/>
                    </w14:srgbClr>
                  </w14:solidFill>
                </w14:textFill>
              </w:rPr>
              <w:t>|||</w:t>
            </w:r>
            <w:r w:rsidRPr="00A80A9D">
              <w:rPr>
                <w:color w:val="000000"/>
                <w:spacing w:val="1"/>
                <w:shd w:val="solid" w:color="000000" w:fill="000000"/>
                <w:fitText w:val="330" w:id="-694963962"/>
                <w14:textFill>
                  <w14:solidFill>
                    <w14:srgbClr w14:val="000000">
                      <w14:alpha w14:val="100000"/>
                    </w14:srgbClr>
                  </w14:solidFill>
                </w14:textFill>
              </w:rPr>
              <w:t>|</w:t>
            </w:r>
            <w:r w:rsidR="00854D8A" w:rsidRPr="00854D8A">
              <w:rPr>
                <w:vertAlign w:val="superscript"/>
              </w:rPr>
              <w:t>1</w:t>
            </w:r>
          </w:p>
        </w:tc>
        <w:tc>
          <w:tcPr>
            <w:tcW w:w="647" w:type="pct"/>
            <w:shd w:val="clear" w:color="auto" w:fill="C6D9F1" w:themeFill="text2" w:themeFillTint="33"/>
            <w:vAlign w:val="center"/>
          </w:tcPr>
          <w:p w14:paraId="6DD8B1C2" w14:textId="61B1E003"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1"/>
                <w14:textFill>
                  <w14:solidFill>
                    <w14:srgbClr w14:val="000000">
                      <w14:alpha w14:val="100000"/>
                    </w14:srgbClr>
                  </w14:solidFill>
                </w14:textFill>
              </w:rPr>
              <w:t>|||</w:t>
            </w:r>
            <w:r w:rsidRPr="00A80A9D">
              <w:rPr>
                <w:color w:val="000000"/>
                <w:spacing w:val="1"/>
                <w:shd w:val="solid" w:color="000000" w:fill="000000"/>
                <w:fitText w:val="330" w:id="-694963961"/>
                <w14:textFill>
                  <w14:solidFill>
                    <w14:srgbClr w14:val="000000">
                      <w14:alpha w14:val="100000"/>
                    </w14:srgbClr>
                  </w14:solidFill>
                </w14:textFill>
              </w:rPr>
              <w:t>|</w:t>
            </w:r>
            <w:r w:rsidR="00854D8A" w:rsidRPr="00854D8A">
              <w:rPr>
                <w:vertAlign w:val="superscript"/>
              </w:rPr>
              <w:t>1</w:t>
            </w:r>
          </w:p>
        </w:tc>
        <w:tc>
          <w:tcPr>
            <w:tcW w:w="649" w:type="pct"/>
            <w:shd w:val="clear" w:color="auto" w:fill="C6D9F1" w:themeFill="text2" w:themeFillTint="33"/>
            <w:vAlign w:val="center"/>
          </w:tcPr>
          <w:p w14:paraId="2D285ABC" w14:textId="3930B7B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0"/>
                <w14:textFill>
                  <w14:solidFill>
                    <w14:srgbClr w14:val="000000">
                      <w14:alpha w14:val="100000"/>
                    </w14:srgbClr>
                  </w14:solidFill>
                </w14:textFill>
              </w:rPr>
              <w:t>|||</w:t>
            </w:r>
            <w:r w:rsidRPr="00A80A9D">
              <w:rPr>
                <w:color w:val="000000"/>
                <w:spacing w:val="1"/>
                <w:shd w:val="solid" w:color="000000" w:fill="000000"/>
                <w:fitText w:val="330" w:id="-694963960"/>
                <w14:textFill>
                  <w14:solidFill>
                    <w14:srgbClr w14:val="000000">
                      <w14:alpha w14:val="100000"/>
                    </w14:srgbClr>
                  </w14:solidFill>
                </w14:textFill>
              </w:rPr>
              <w:t>|</w:t>
            </w:r>
            <w:r w:rsidR="00854D8A" w:rsidRPr="00854D8A">
              <w:rPr>
                <w:vertAlign w:val="superscript"/>
              </w:rPr>
              <w:t>1</w:t>
            </w:r>
          </w:p>
        </w:tc>
      </w:tr>
      <w:tr w:rsidR="00787FCD" w:rsidRPr="007427EF" w14:paraId="3F68FC00" w14:textId="77777777" w:rsidTr="001B45D5">
        <w:tc>
          <w:tcPr>
            <w:tcW w:w="1116" w:type="pct"/>
            <w:shd w:val="clear" w:color="auto" w:fill="C6D9F1" w:themeFill="text2" w:themeFillTint="33"/>
            <w:vAlign w:val="center"/>
          </w:tcPr>
          <w:p w14:paraId="73D8B593" w14:textId="77777777" w:rsidR="00787FCD" w:rsidRPr="007427EF" w:rsidRDefault="00787FCD" w:rsidP="001B45D5">
            <w:pPr>
              <w:pStyle w:val="TableText0"/>
              <w:framePr w:wrap="around"/>
            </w:pPr>
            <w:r w:rsidRPr="007427EF">
              <w:t xml:space="preserve">Number of scripts dispensed </w:t>
            </w:r>
          </w:p>
        </w:tc>
        <w:tc>
          <w:tcPr>
            <w:tcW w:w="647" w:type="pct"/>
            <w:shd w:val="clear" w:color="auto" w:fill="C6D9F1" w:themeFill="text2" w:themeFillTint="33"/>
            <w:vAlign w:val="center"/>
          </w:tcPr>
          <w:p w14:paraId="5BBAC682" w14:textId="7ECED05F"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9"/>
                <w14:textFill>
                  <w14:solidFill>
                    <w14:srgbClr w14:val="000000">
                      <w14:alpha w14:val="100000"/>
                    </w14:srgbClr>
                  </w14:solidFill>
                </w14:textFill>
              </w:rPr>
              <w:t>|||</w:t>
            </w:r>
            <w:r w:rsidRPr="00A80A9D">
              <w:rPr>
                <w:color w:val="000000"/>
                <w:spacing w:val="1"/>
                <w:shd w:val="solid" w:color="000000" w:fill="000000"/>
                <w:fitText w:val="330" w:id="-694963959"/>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275E4611" w14:textId="15714C9A"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8"/>
                <w14:textFill>
                  <w14:solidFill>
                    <w14:srgbClr w14:val="000000">
                      <w14:alpha w14:val="100000"/>
                    </w14:srgbClr>
                  </w14:solidFill>
                </w14:textFill>
              </w:rPr>
              <w:t>|||</w:t>
            </w:r>
            <w:r w:rsidRPr="00A80A9D">
              <w:rPr>
                <w:color w:val="000000"/>
                <w:spacing w:val="1"/>
                <w:shd w:val="solid" w:color="000000" w:fill="000000"/>
                <w:fitText w:val="330" w:id="-694963958"/>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66B2AFAC" w14:textId="1D4F43CD"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7"/>
                <w14:textFill>
                  <w14:solidFill>
                    <w14:srgbClr w14:val="000000">
                      <w14:alpha w14:val="100000"/>
                    </w14:srgbClr>
                  </w14:solidFill>
                </w14:textFill>
              </w:rPr>
              <w:t>|||</w:t>
            </w:r>
            <w:r w:rsidRPr="00A80A9D">
              <w:rPr>
                <w:color w:val="000000"/>
                <w:spacing w:val="1"/>
                <w:shd w:val="solid" w:color="000000" w:fill="000000"/>
                <w:fitText w:val="330" w:id="-694963957"/>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700A4DD8" w14:textId="58F0D6D9"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6"/>
                <w14:textFill>
                  <w14:solidFill>
                    <w14:srgbClr w14:val="000000">
                      <w14:alpha w14:val="100000"/>
                    </w14:srgbClr>
                  </w14:solidFill>
                </w14:textFill>
              </w:rPr>
              <w:t>|||</w:t>
            </w:r>
            <w:r w:rsidRPr="00A80A9D">
              <w:rPr>
                <w:color w:val="000000"/>
                <w:spacing w:val="1"/>
                <w:shd w:val="solid" w:color="000000" w:fill="000000"/>
                <w:fitText w:val="330" w:id="-694963956"/>
                <w14:textFill>
                  <w14:solidFill>
                    <w14:srgbClr w14:val="000000">
                      <w14:alpha w14:val="100000"/>
                    </w14:srgbClr>
                  </w14:solidFill>
                </w14:textFill>
              </w:rPr>
              <w:t>|</w:t>
            </w:r>
            <w:r w:rsidR="00854D8A" w:rsidRPr="00854D8A">
              <w:rPr>
                <w:vertAlign w:val="superscript"/>
              </w:rPr>
              <w:t>2</w:t>
            </w:r>
          </w:p>
        </w:tc>
        <w:tc>
          <w:tcPr>
            <w:tcW w:w="647" w:type="pct"/>
            <w:shd w:val="clear" w:color="auto" w:fill="C6D9F1" w:themeFill="text2" w:themeFillTint="33"/>
            <w:vAlign w:val="center"/>
          </w:tcPr>
          <w:p w14:paraId="56595B0B" w14:textId="35ACAE8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5"/>
                <w14:textFill>
                  <w14:solidFill>
                    <w14:srgbClr w14:val="000000">
                      <w14:alpha w14:val="100000"/>
                    </w14:srgbClr>
                  </w14:solidFill>
                </w14:textFill>
              </w:rPr>
              <w:t>|||</w:t>
            </w:r>
            <w:r w:rsidRPr="00A80A9D">
              <w:rPr>
                <w:color w:val="000000"/>
                <w:spacing w:val="1"/>
                <w:shd w:val="solid" w:color="000000" w:fill="000000"/>
                <w:fitText w:val="330" w:id="-694963955"/>
                <w14:textFill>
                  <w14:solidFill>
                    <w14:srgbClr w14:val="000000">
                      <w14:alpha w14:val="100000"/>
                    </w14:srgbClr>
                  </w14:solidFill>
                </w14:textFill>
              </w:rPr>
              <w:t>|</w:t>
            </w:r>
            <w:r w:rsidR="00854D8A" w:rsidRPr="00854D8A">
              <w:rPr>
                <w:vertAlign w:val="superscript"/>
              </w:rPr>
              <w:t>2</w:t>
            </w:r>
          </w:p>
        </w:tc>
        <w:tc>
          <w:tcPr>
            <w:tcW w:w="649" w:type="pct"/>
            <w:shd w:val="clear" w:color="auto" w:fill="C6D9F1" w:themeFill="text2" w:themeFillTint="33"/>
            <w:vAlign w:val="center"/>
          </w:tcPr>
          <w:p w14:paraId="3D068D56" w14:textId="23A41292"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4"/>
                <w14:textFill>
                  <w14:solidFill>
                    <w14:srgbClr w14:val="000000">
                      <w14:alpha w14:val="100000"/>
                    </w14:srgbClr>
                  </w14:solidFill>
                </w14:textFill>
              </w:rPr>
              <w:t>|||</w:t>
            </w:r>
            <w:r w:rsidRPr="00A80A9D">
              <w:rPr>
                <w:color w:val="000000"/>
                <w:spacing w:val="1"/>
                <w:shd w:val="solid" w:color="000000" w:fill="000000"/>
                <w:fitText w:val="330" w:id="-694963954"/>
                <w14:textFill>
                  <w14:solidFill>
                    <w14:srgbClr w14:val="000000">
                      <w14:alpha w14:val="100000"/>
                    </w14:srgbClr>
                  </w14:solidFill>
                </w14:textFill>
              </w:rPr>
              <w:t>|</w:t>
            </w:r>
            <w:r w:rsidR="00854D8A" w:rsidRPr="00854D8A">
              <w:rPr>
                <w:vertAlign w:val="superscript"/>
              </w:rPr>
              <w:t>2</w:t>
            </w:r>
          </w:p>
        </w:tc>
      </w:tr>
      <w:tr w:rsidR="00787FCD" w:rsidRPr="007427EF" w14:paraId="69ED938C" w14:textId="77777777" w:rsidTr="001B45D5">
        <w:tc>
          <w:tcPr>
            <w:tcW w:w="1116" w:type="pct"/>
            <w:shd w:val="clear" w:color="auto" w:fill="C6D9F1" w:themeFill="text2" w:themeFillTint="33"/>
            <w:vAlign w:val="center"/>
          </w:tcPr>
          <w:p w14:paraId="39986B16" w14:textId="77777777" w:rsidR="00787FCD" w:rsidRPr="007427EF" w:rsidRDefault="00787FCD" w:rsidP="001B45D5">
            <w:pPr>
              <w:pStyle w:val="TableText0"/>
              <w:framePr w:wrap="around"/>
            </w:pPr>
            <w:r w:rsidRPr="007427EF">
              <w:t>Net cost to PBS/RPBS</w:t>
            </w:r>
          </w:p>
        </w:tc>
        <w:tc>
          <w:tcPr>
            <w:tcW w:w="647" w:type="pct"/>
            <w:shd w:val="clear" w:color="auto" w:fill="C6D9F1" w:themeFill="text2" w:themeFillTint="33"/>
            <w:vAlign w:val="center"/>
          </w:tcPr>
          <w:p w14:paraId="2750F1BA" w14:textId="11D27B96"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3"/>
                <w14:textFill>
                  <w14:solidFill>
                    <w14:srgbClr w14:val="000000">
                      <w14:alpha w14:val="100000"/>
                    </w14:srgbClr>
                  </w14:solidFill>
                </w14:textFill>
              </w:rPr>
              <w:t>|||</w:t>
            </w:r>
            <w:r w:rsidRPr="00A80A9D">
              <w:rPr>
                <w:color w:val="000000"/>
                <w:spacing w:val="1"/>
                <w:shd w:val="solid" w:color="000000" w:fill="000000"/>
                <w:fitText w:val="330" w:id="-694963953"/>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67563207" w14:textId="3E59A5AB"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52"/>
                <w14:textFill>
                  <w14:solidFill>
                    <w14:srgbClr w14:val="000000">
                      <w14:alpha w14:val="100000"/>
                    </w14:srgbClr>
                  </w14:solidFill>
                </w14:textFill>
              </w:rPr>
              <w:t>|||</w:t>
            </w:r>
            <w:r w:rsidRPr="00A80A9D">
              <w:rPr>
                <w:color w:val="000000"/>
                <w:spacing w:val="1"/>
                <w:shd w:val="solid" w:color="000000" w:fill="000000"/>
                <w:fitText w:val="330" w:id="-694963952"/>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70CA1EFE" w14:textId="611F8AEE"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8"/>
                <w14:textFill>
                  <w14:solidFill>
                    <w14:srgbClr w14:val="000000">
                      <w14:alpha w14:val="100000"/>
                    </w14:srgbClr>
                  </w14:solidFill>
                </w14:textFill>
              </w:rPr>
              <w:t>|||</w:t>
            </w:r>
            <w:r w:rsidRPr="00A80A9D">
              <w:rPr>
                <w:color w:val="000000"/>
                <w:spacing w:val="1"/>
                <w:shd w:val="solid" w:color="000000" w:fill="000000"/>
                <w:fitText w:val="330" w:id="-694963968"/>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1513D80F" w14:textId="1A3E72BF"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7"/>
                <w14:textFill>
                  <w14:solidFill>
                    <w14:srgbClr w14:val="000000">
                      <w14:alpha w14:val="100000"/>
                    </w14:srgbClr>
                  </w14:solidFill>
                </w14:textFill>
              </w:rPr>
              <w:t>|||</w:t>
            </w:r>
            <w:r w:rsidRPr="00A80A9D">
              <w:rPr>
                <w:color w:val="000000"/>
                <w:spacing w:val="1"/>
                <w:shd w:val="solid" w:color="000000" w:fill="000000"/>
                <w:fitText w:val="330" w:id="-694963967"/>
                <w14:textFill>
                  <w14:solidFill>
                    <w14:srgbClr w14:val="000000">
                      <w14:alpha w14:val="100000"/>
                    </w14:srgbClr>
                  </w14:solidFill>
                </w14:textFill>
              </w:rPr>
              <w:t>|</w:t>
            </w:r>
            <w:r w:rsidR="00854D8A" w:rsidRPr="00854D8A">
              <w:rPr>
                <w:vertAlign w:val="superscript"/>
              </w:rPr>
              <w:t>3</w:t>
            </w:r>
          </w:p>
        </w:tc>
        <w:tc>
          <w:tcPr>
            <w:tcW w:w="647" w:type="pct"/>
            <w:shd w:val="clear" w:color="auto" w:fill="C6D9F1" w:themeFill="text2" w:themeFillTint="33"/>
            <w:vAlign w:val="center"/>
          </w:tcPr>
          <w:p w14:paraId="35546C93" w14:textId="3F6A90F1" w:rsidR="00787FCD" w:rsidRPr="00B06BB6" w:rsidRDefault="00A80A9D" w:rsidP="001B45D5">
            <w:pPr>
              <w:pStyle w:val="TableText0"/>
              <w:framePr w:wrap="around"/>
              <w:rPr>
                <w:highlight w:val="darkGray"/>
              </w:rPr>
            </w:pPr>
            <w:r w:rsidRPr="00A80A9D">
              <w:rPr>
                <w:color w:val="000000"/>
                <w:spacing w:val="53"/>
                <w:shd w:val="solid" w:color="000000" w:fill="000000"/>
                <w:fitText w:val="330" w:id="-694963966"/>
                <w14:textFill>
                  <w14:solidFill>
                    <w14:srgbClr w14:val="000000">
                      <w14:alpha w14:val="100000"/>
                    </w14:srgbClr>
                  </w14:solidFill>
                </w14:textFill>
              </w:rPr>
              <w:t>|||</w:t>
            </w:r>
            <w:r w:rsidRPr="00A80A9D">
              <w:rPr>
                <w:color w:val="000000"/>
                <w:spacing w:val="1"/>
                <w:shd w:val="solid" w:color="000000" w:fill="000000"/>
                <w:fitText w:val="330" w:id="-694963966"/>
                <w14:textFill>
                  <w14:solidFill>
                    <w14:srgbClr w14:val="000000">
                      <w14:alpha w14:val="100000"/>
                    </w14:srgbClr>
                  </w14:solidFill>
                </w14:textFill>
              </w:rPr>
              <w:t>|</w:t>
            </w:r>
            <w:r w:rsidR="00854D8A" w:rsidRPr="00854D8A">
              <w:rPr>
                <w:vertAlign w:val="superscript"/>
              </w:rPr>
              <w:t>3</w:t>
            </w:r>
          </w:p>
        </w:tc>
        <w:tc>
          <w:tcPr>
            <w:tcW w:w="649" w:type="pct"/>
            <w:shd w:val="clear" w:color="auto" w:fill="C6D9F1" w:themeFill="text2" w:themeFillTint="33"/>
            <w:vAlign w:val="center"/>
          </w:tcPr>
          <w:p w14:paraId="02D614EE" w14:textId="088DC845" w:rsidR="00787FCD" w:rsidRPr="00B06BB6" w:rsidRDefault="00A80A9D" w:rsidP="001B45D5">
            <w:pPr>
              <w:pStyle w:val="TableText0"/>
              <w:framePr w:wrap="around"/>
              <w:rPr>
                <w:highlight w:val="darkGray"/>
              </w:rPr>
            </w:pPr>
            <w:r>
              <w:rPr>
                <w:color w:val="000000"/>
                <w:spacing w:val="52"/>
                <w:shd w:val="solid" w:color="000000" w:fill="000000"/>
                <w:fitText w:val="330" w:id="-694963965"/>
                <w14:textFill>
                  <w14:solidFill>
                    <w14:srgbClr w14:val="000000">
                      <w14:alpha w14:val="100000"/>
                    </w14:srgbClr>
                  </w14:solidFill>
                </w14:textFill>
              </w:rPr>
              <w:t>|||</w:t>
            </w:r>
            <w:r>
              <w:rPr>
                <w:color w:val="000000"/>
                <w:spacing w:val="2"/>
                <w:shd w:val="solid" w:color="000000" w:fill="000000"/>
                <w:fitText w:val="330" w:id="-694963965"/>
                <w14:textFill>
                  <w14:solidFill>
                    <w14:srgbClr w14:val="000000">
                      <w14:alpha w14:val="100000"/>
                    </w14:srgbClr>
                  </w14:solidFill>
                </w14:textFill>
              </w:rPr>
              <w:t>|</w:t>
            </w:r>
            <w:r w:rsidR="00854D8A" w:rsidRPr="00854D8A">
              <w:rPr>
                <w:vertAlign w:val="superscript"/>
              </w:rPr>
              <w:t>3</w:t>
            </w:r>
          </w:p>
        </w:tc>
      </w:tr>
    </w:tbl>
    <w:p w14:paraId="5A425EB1" w14:textId="65C1BA8B" w:rsidR="00787FCD" w:rsidRPr="007427EF" w:rsidRDefault="00787FCD" w:rsidP="00787FCD">
      <w:pPr>
        <w:pStyle w:val="TableFigureFooter"/>
      </w:pPr>
      <w:r w:rsidRPr="007427EF">
        <w:t>Source: Table 4-7 p181 of the resubmission, Table 4.9 p182 and Section 4 workbook (Sheet 4b), Table 4.9 p182 and Section 4 workbook (Sheet 4b), Table 4-11 p184 of the resubmission, Table 10, mogamulizumab Minutes, November 2020 PBAC Meeting</w:t>
      </w:r>
    </w:p>
    <w:p w14:paraId="3F378E4F" w14:textId="4BA2C64C" w:rsidR="00787FCD" w:rsidRPr="007427EF" w:rsidRDefault="00787FCD" w:rsidP="00787FCD">
      <w:pPr>
        <w:pStyle w:val="TableFigureFooter"/>
      </w:pPr>
      <w:r w:rsidRPr="007427EF">
        <w:rPr>
          <w:vertAlign w:val="superscript"/>
        </w:rPr>
        <w:t xml:space="preserve">a </w:t>
      </w:r>
      <w:r w:rsidRPr="007427EF">
        <w:t xml:space="preserve">Incorporates revised </w:t>
      </w:r>
      <w:r w:rsidRPr="00046F52">
        <w:t>EMP of $</w:t>
      </w:r>
      <w:r w:rsidR="00DC414F" w:rsidRPr="00F021FD">
        <w:rPr>
          <w:color w:val="000000"/>
          <w:spacing w:val="211"/>
          <w:shd w:val="solid" w:color="000000" w:fill="000000"/>
          <w:fitText w:val="288" w:id="-629370608"/>
          <w14:textFill>
            <w14:solidFill>
              <w14:srgbClr w14:val="000000">
                <w14:alpha w14:val="100000"/>
              </w14:srgbClr>
            </w14:solidFill>
          </w14:textFill>
        </w:rPr>
        <w:t>|</w:t>
      </w:r>
      <w:r w:rsidR="00DC414F" w:rsidRPr="00F021FD">
        <w:rPr>
          <w:color w:val="000000"/>
          <w:spacing w:val="1"/>
          <w:shd w:val="solid" w:color="000000" w:fill="000000"/>
          <w:fitText w:val="288" w:id="-629370608"/>
          <w14:textFill>
            <w14:solidFill>
              <w14:srgbClr w14:val="000000">
                <w14:alpha w14:val="100000"/>
              </w14:srgbClr>
            </w14:solidFill>
          </w14:textFill>
        </w:rPr>
        <w:t>|</w:t>
      </w:r>
      <w:r w:rsidRPr="00046F52">
        <w:t xml:space="preserve"> per</w:t>
      </w:r>
      <w:r w:rsidRPr="007427EF">
        <w:t xml:space="preserve"> vial offered in PSCR</w:t>
      </w:r>
    </w:p>
    <w:p w14:paraId="515B36A7" w14:textId="77777777" w:rsidR="00787FCD" w:rsidRPr="007427EF" w:rsidRDefault="00787FCD" w:rsidP="00787FCD">
      <w:pPr>
        <w:pStyle w:val="TableFigureFooter"/>
      </w:pPr>
      <w:r w:rsidRPr="007427EF">
        <w:t xml:space="preserve">ECP = extracorporeal photopheresis; MBS = </w:t>
      </w:r>
      <w:r w:rsidRPr="007427EF">
        <w:rPr>
          <w:szCs w:val="18"/>
        </w:rPr>
        <w:t>Medical Benefits Schedule;</w:t>
      </w:r>
      <w:r w:rsidRPr="007427EF">
        <w:t xml:space="preserve"> PBS = Pharmaceutical Benefits Scheme; RPBS = Repatriation Pharmaceutical Benefits Scheme. </w:t>
      </w:r>
    </w:p>
    <w:p w14:paraId="04EF0BF5" w14:textId="77777777" w:rsidR="00854D8A" w:rsidRDefault="00787FCD" w:rsidP="00854D8A">
      <w:pPr>
        <w:pStyle w:val="TableFigureFooter"/>
      </w:pPr>
      <w:r w:rsidRPr="007427EF">
        <w:t>Blue shading indicates data previously seen by the PBAC.</w:t>
      </w:r>
      <w:r w:rsidR="00854D8A" w:rsidRPr="00854D8A">
        <w:t xml:space="preserve"> </w:t>
      </w:r>
    </w:p>
    <w:p w14:paraId="3A96AFF0" w14:textId="6FAAC25B" w:rsidR="00854D8A" w:rsidRPr="00327AA7" w:rsidRDefault="00854D8A" w:rsidP="00854D8A">
      <w:pPr>
        <w:pStyle w:val="TableFigureFooter"/>
        <w:rPr>
          <w:i/>
          <w:iCs/>
        </w:rPr>
      </w:pPr>
      <w:r w:rsidRPr="00327AA7">
        <w:rPr>
          <w:i/>
          <w:iCs/>
        </w:rPr>
        <w:t>The redacted values correspond to the following ranges:</w:t>
      </w:r>
    </w:p>
    <w:p w14:paraId="41E8642D" w14:textId="5976AFC6" w:rsidR="00854D8A" w:rsidRPr="00327AA7" w:rsidRDefault="00854D8A" w:rsidP="00854D8A">
      <w:pPr>
        <w:pStyle w:val="TableFigureFooter"/>
        <w:rPr>
          <w:i/>
          <w:iCs/>
        </w:rPr>
      </w:pPr>
      <w:r w:rsidRPr="00327AA7">
        <w:rPr>
          <w:i/>
          <w:iCs/>
          <w:vertAlign w:val="superscript"/>
        </w:rPr>
        <w:t>1</w:t>
      </w:r>
      <w:r w:rsidR="00600FDD" w:rsidRPr="00327AA7">
        <w:rPr>
          <w:i/>
          <w:iCs/>
        </w:rPr>
        <w:t xml:space="preserve"> </w:t>
      </w:r>
      <w:r w:rsidRPr="00327AA7">
        <w:rPr>
          <w:i/>
          <w:iCs/>
        </w:rPr>
        <w:t>&lt;500</w:t>
      </w:r>
    </w:p>
    <w:p w14:paraId="0B57F1F6" w14:textId="4853FF51" w:rsidR="00854D8A" w:rsidRPr="00327AA7" w:rsidRDefault="00854D8A" w:rsidP="00854D8A">
      <w:pPr>
        <w:pStyle w:val="TableFigureFooter"/>
        <w:rPr>
          <w:i/>
          <w:iCs/>
        </w:rPr>
      </w:pPr>
      <w:proofErr w:type="gramStart"/>
      <w:r w:rsidRPr="00327AA7">
        <w:rPr>
          <w:i/>
          <w:iCs/>
          <w:vertAlign w:val="superscript"/>
        </w:rPr>
        <w:t>2</w:t>
      </w:r>
      <w:r w:rsidR="00600FDD" w:rsidRPr="00327AA7">
        <w:rPr>
          <w:i/>
          <w:iCs/>
          <w:vertAlign w:val="superscript"/>
        </w:rPr>
        <w:t xml:space="preserve"> </w:t>
      </w:r>
      <w:r w:rsidR="00600FDD" w:rsidRPr="00327AA7">
        <w:rPr>
          <w:i/>
          <w:iCs/>
        </w:rPr>
        <w:t xml:space="preserve"> </w:t>
      </w:r>
      <w:r w:rsidRPr="00327AA7">
        <w:rPr>
          <w:i/>
          <w:iCs/>
        </w:rPr>
        <w:t>500</w:t>
      </w:r>
      <w:proofErr w:type="gramEnd"/>
      <w:r w:rsidRPr="00327AA7">
        <w:rPr>
          <w:i/>
          <w:iCs/>
        </w:rPr>
        <w:t xml:space="preserve"> to &lt;5,000</w:t>
      </w:r>
    </w:p>
    <w:p w14:paraId="52C38330" w14:textId="77777777" w:rsidR="001602F7" w:rsidRPr="00327AA7" w:rsidRDefault="00854D8A" w:rsidP="00854D8A">
      <w:pPr>
        <w:pStyle w:val="TableFigureFooter"/>
        <w:keepNext w:val="0"/>
        <w:rPr>
          <w:i/>
          <w:iCs/>
        </w:rPr>
      </w:pPr>
      <w:r w:rsidRPr="00327AA7">
        <w:rPr>
          <w:i/>
          <w:iCs/>
          <w:vertAlign w:val="superscript"/>
        </w:rPr>
        <w:t>3</w:t>
      </w:r>
      <w:r w:rsidR="00600FDD" w:rsidRPr="00327AA7">
        <w:rPr>
          <w:i/>
          <w:iCs/>
        </w:rPr>
        <w:t xml:space="preserve"> </w:t>
      </w:r>
      <w:r w:rsidRPr="00327AA7">
        <w:rPr>
          <w:i/>
          <w:iCs/>
        </w:rPr>
        <w:t>$0 to &lt;$10 million</w:t>
      </w:r>
      <w:r w:rsidR="001602F7" w:rsidRPr="00327AA7">
        <w:rPr>
          <w:i/>
          <w:iCs/>
        </w:rPr>
        <w:t xml:space="preserve"> </w:t>
      </w:r>
    </w:p>
    <w:p w14:paraId="334C8939" w14:textId="75F1A7E9" w:rsidR="00787FCD" w:rsidRPr="00327AA7" w:rsidRDefault="001602F7" w:rsidP="00854D8A">
      <w:pPr>
        <w:pStyle w:val="TableFigureFooter"/>
        <w:keepNext w:val="0"/>
        <w:rPr>
          <w:i/>
          <w:iCs/>
        </w:rPr>
      </w:pPr>
      <w:r w:rsidRPr="00327AA7">
        <w:rPr>
          <w:i/>
          <w:iCs/>
          <w:vertAlign w:val="superscript"/>
        </w:rPr>
        <w:t>4</w:t>
      </w:r>
      <w:r w:rsidRPr="00327AA7">
        <w:rPr>
          <w:i/>
          <w:iCs/>
        </w:rPr>
        <w:t xml:space="preserve"> net cost saving</w:t>
      </w:r>
    </w:p>
    <w:p w14:paraId="1B335687" w14:textId="20983273" w:rsidR="00787FCD" w:rsidRPr="007427EF" w:rsidRDefault="00787FCD" w:rsidP="00787FCD">
      <w:pPr>
        <w:pStyle w:val="3-BodyText"/>
      </w:pPr>
      <w:bookmarkStart w:id="67" w:name="_Ref184892529"/>
      <w:bookmarkEnd w:id="63"/>
      <w:r w:rsidRPr="00A559A5">
        <w:t>Based on the revised effective price proposed in the PSCR, the net cost</w:t>
      </w:r>
      <w:r w:rsidR="00E21A48">
        <w:t xml:space="preserve"> </w:t>
      </w:r>
      <w:r w:rsidRPr="00A559A5">
        <w:t xml:space="preserve">to the PBS/RPBS in year 6 of listing was estimated to be </w:t>
      </w:r>
      <w:r w:rsidR="00756835" w:rsidRPr="00756835">
        <w:t>$0 to &lt;$10 million</w:t>
      </w:r>
      <w:r w:rsidRPr="00A559A5">
        <w:t>,</w:t>
      </w:r>
      <w:r w:rsidRPr="007427EF">
        <w:t xml:space="preserve"> compared with </w:t>
      </w:r>
      <w:r w:rsidR="00756835" w:rsidRPr="00756835">
        <w:t xml:space="preserve">$0 to &lt;$10 million </w:t>
      </w:r>
      <w:r w:rsidRPr="007427EF">
        <w:t xml:space="preserve">in the November 2020 resubmission. This difference was due to the </w:t>
      </w:r>
      <w:r w:rsidRPr="007427EF">
        <w:lastRenderedPageBreak/>
        <w:t xml:space="preserve">lower price for mogamulizumab and changes in the assumptions about the substitution for current medicines. </w:t>
      </w:r>
    </w:p>
    <w:p w14:paraId="1B8B3237" w14:textId="09D42F5C" w:rsidR="00787FCD" w:rsidRPr="007427EF" w:rsidRDefault="00787FCD" w:rsidP="00787FCD">
      <w:pPr>
        <w:pStyle w:val="3-BodyText"/>
      </w:pPr>
      <w:r w:rsidRPr="00A559A5">
        <w:rPr>
          <w:iCs/>
        </w:rPr>
        <w:t xml:space="preserve">The cost-saving to the PBS/RPBS in year 1 of listing was estimated to be </w:t>
      </w:r>
      <w:r w:rsidR="009211D8" w:rsidRPr="009211D8">
        <w:rPr>
          <w:iCs/>
        </w:rPr>
        <w:t>net cost saving</w:t>
      </w:r>
      <w:r w:rsidRPr="00A559A5">
        <w:rPr>
          <w:iCs/>
        </w:rPr>
        <w:t>.</w:t>
      </w:r>
      <w:r w:rsidRPr="007427EF">
        <w:t xml:space="preserve"> However, the existence and extent of this reduction was uncertain, based on its use of the published price for brentuximab and its reliance on </w:t>
      </w:r>
      <w:r w:rsidRPr="007427EF">
        <w:rPr>
          <w:color w:val="000000" w:themeColor="text1"/>
        </w:rPr>
        <w:t>script numbers for the current market (2023/2024), which were lower than the total number of scripts for the same period provided by the DUSC Secretariat</w:t>
      </w:r>
      <w:r w:rsidRPr="007427EF">
        <w:t xml:space="preserve">. The financial estimates over 6 years re-estimated using the </w:t>
      </w:r>
      <w:r>
        <w:t xml:space="preserve">data provided by the </w:t>
      </w:r>
      <w:r w:rsidRPr="007427EF">
        <w:t>DUSC</w:t>
      </w:r>
      <w:r>
        <w:t xml:space="preserve"> Secretariat</w:t>
      </w:r>
      <w:r w:rsidRPr="007427EF">
        <w:t xml:space="preserve"> were </w:t>
      </w:r>
      <w:r w:rsidRPr="00A559A5">
        <w:rPr>
          <w:iCs/>
        </w:rPr>
        <w:t>substantially</w:t>
      </w:r>
      <w:r w:rsidRPr="007427EF">
        <w:t xml:space="preserve"> higher than the base case. In addition, the magnitude of the mogamulizumab estimates </w:t>
      </w:r>
      <w:proofErr w:type="gramStart"/>
      <w:r w:rsidRPr="007427EF">
        <w:t>was</w:t>
      </w:r>
      <w:r>
        <w:t xml:space="preserve"> considered to be</w:t>
      </w:r>
      <w:proofErr w:type="gramEnd"/>
      <w:r w:rsidRPr="007427EF">
        <w:t xml:space="preserve"> uncertain as the distribution of </w:t>
      </w:r>
      <w:proofErr w:type="spellStart"/>
      <w:r w:rsidRPr="007427EF">
        <w:t>vorinostat</w:t>
      </w:r>
      <w:proofErr w:type="spellEnd"/>
      <w:r w:rsidRPr="007427EF">
        <w:t xml:space="preserve"> community scripts between public and private scripts for mogamulizumab could not be verified</w:t>
      </w:r>
      <w:r w:rsidRPr="007427EF">
        <w:rPr>
          <w:rFonts w:ascii="Calibri" w:hAnsi="Calibri" w:cs="Calibri"/>
          <w:color w:val="000000" w:themeColor="text1"/>
        </w:rPr>
        <w:t xml:space="preserve">. </w:t>
      </w:r>
    </w:p>
    <w:p w14:paraId="46123229" w14:textId="73169356" w:rsidR="00787FCD" w:rsidRPr="007427EF" w:rsidRDefault="00787FCD" w:rsidP="00787FCD">
      <w:pPr>
        <w:pStyle w:val="3-BodyText"/>
      </w:pPr>
      <w:bookmarkStart w:id="68" w:name="_Ref193553704"/>
      <w:r w:rsidRPr="00A559A5">
        <w:rPr>
          <w:iCs/>
        </w:rPr>
        <w:t xml:space="preserve">The ESC noted that the resulting financial estimates were not cost neutral for this CMA and considered that this was likely due to mogamulizumab being estimated to impact the market share of not only </w:t>
      </w:r>
      <w:proofErr w:type="spellStart"/>
      <w:r w:rsidRPr="00A559A5">
        <w:rPr>
          <w:iCs/>
        </w:rPr>
        <w:t>vorinostat</w:t>
      </w:r>
      <w:proofErr w:type="spellEnd"/>
      <w:r w:rsidRPr="00A559A5">
        <w:rPr>
          <w:iCs/>
        </w:rPr>
        <w:t xml:space="preserve"> but also brentuximab and </w:t>
      </w:r>
      <w:proofErr w:type="spellStart"/>
      <w:r w:rsidRPr="00A559A5">
        <w:rPr>
          <w:iCs/>
        </w:rPr>
        <w:t>methoxsalen</w:t>
      </w:r>
      <w:proofErr w:type="spellEnd"/>
      <w:r w:rsidRPr="00A559A5">
        <w:rPr>
          <w:iCs/>
        </w:rPr>
        <w:t xml:space="preserve">. The ESC noted that there were differences in dose relativities (see paragraph </w:t>
      </w:r>
      <w:r w:rsidRPr="00A559A5">
        <w:rPr>
          <w:iCs/>
        </w:rPr>
        <w:fldChar w:fldCharType="begin"/>
      </w:r>
      <w:r w:rsidRPr="00A559A5">
        <w:rPr>
          <w:iCs/>
        </w:rPr>
        <w:instrText xml:space="preserve"> REF _Ref190960397 \r \h </w:instrText>
      </w:r>
      <w:r w:rsidRPr="00A559A5">
        <w:rPr>
          <w:iCs/>
        </w:rPr>
      </w:r>
      <w:r w:rsidRPr="00A559A5">
        <w:rPr>
          <w:iCs/>
        </w:rPr>
        <w:fldChar w:fldCharType="separate"/>
      </w:r>
      <w:r w:rsidR="00EF6B5D">
        <w:rPr>
          <w:iCs/>
        </w:rPr>
        <w:t>6.40</w:t>
      </w:r>
      <w:r w:rsidRPr="00A559A5">
        <w:rPr>
          <w:iCs/>
        </w:rPr>
        <w:fldChar w:fldCharType="end"/>
      </w:r>
      <w:r w:rsidRPr="00A559A5">
        <w:rPr>
          <w:iCs/>
        </w:rPr>
        <w:t>) resulting in mogamulizumab requiring a higher number of scripts compared to each of these agents. The CMA proposed in the PSCR was based on steady state dosing and hence did not account for the higher number of doses of mogamulizumab in the first cycle.</w:t>
      </w:r>
      <w:bookmarkEnd w:id="68"/>
    </w:p>
    <w:p w14:paraId="0044904F" w14:textId="77777777" w:rsidR="00787FCD" w:rsidRPr="007427EF" w:rsidRDefault="00787FCD" w:rsidP="00787FCD">
      <w:pPr>
        <w:pStyle w:val="4-SubsectionHeading"/>
      </w:pPr>
      <w:bookmarkStart w:id="69" w:name="_Toc22897649"/>
      <w:bookmarkStart w:id="70" w:name="_Toc188431853"/>
      <w:r w:rsidRPr="007427EF">
        <w:t>Financial Management – Risk Sharing Arrangements</w:t>
      </w:r>
      <w:bookmarkEnd w:id="69"/>
      <w:bookmarkEnd w:id="70"/>
    </w:p>
    <w:p w14:paraId="6160E8DC" w14:textId="77777777" w:rsidR="00787FCD" w:rsidRPr="007427EF" w:rsidRDefault="00787FCD" w:rsidP="00787FCD">
      <w:pPr>
        <w:pStyle w:val="3-BodyText"/>
        <w:rPr>
          <w:color w:val="0066FF"/>
        </w:rPr>
      </w:pPr>
      <w:r w:rsidRPr="007427EF">
        <w:t xml:space="preserve">No risk-sharing arrangement (RSA) was proposed. </w:t>
      </w:r>
      <w:proofErr w:type="gramStart"/>
      <w:r w:rsidRPr="007427EF">
        <w:t>A</w:t>
      </w:r>
      <w:proofErr w:type="gramEnd"/>
      <w:r w:rsidRPr="007427EF">
        <w:t xml:space="preserve"> RSA was not considered during the July 2020 and November 2020 PBAC Meetings. </w:t>
      </w:r>
    </w:p>
    <w:p w14:paraId="5DD228AC" w14:textId="77777777" w:rsidR="00787FCD" w:rsidRDefault="00787FCD" w:rsidP="00787FCD">
      <w:pPr>
        <w:spacing w:before="120"/>
        <w:ind w:firstLine="709"/>
        <w:rPr>
          <w:rFonts w:asciiTheme="minorHAnsi" w:hAnsiTheme="minorHAnsi"/>
          <w:i/>
        </w:rPr>
      </w:pPr>
      <w:r w:rsidRPr="00825FB7">
        <w:rPr>
          <w:rFonts w:asciiTheme="minorHAnsi" w:hAnsiTheme="minorHAnsi"/>
          <w:i/>
        </w:rPr>
        <w:t>For more detail on PBAC’s view, see section 7 PBAC outcome.</w:t>
      </w:r>
    </w:p>
    <w:p w14:paraId="05974B13" w14:textId="77777777" w:rsidR="007476BA" w:rsidRDefault="007476BA">
      <w:pPr>
        <w:jc w:val="left"/>
        <w:rPr>
          <w:rFonts w:ascii="Arial Narrow" w:hAnsi="Arial Narrow"/>
          <w:b/>
          <w:bCs/>
          <w:sz w:val="20"/>
          <w:szCs w:val="18"/>
        </w:rPr>
      </w:pPr>
      <w:r>
        <w:br w:type="page"/>
      </w:r>
    </w:p>
    <w:p w14:paraId="59711066" w14:textId="77777777" w:rsidR="008E4308" w:rsidRPr="008E4308" w:rsidRDefault="008E4308" w:rsidP="008E4308">
      <w:pPr>
        <w:keepNext/>
        <w:numPr>
          <w:ilvl w:val="0"/>
          <w:numId w:val="1"/>
        </w:numPr>
        <w:spacing w:before="240" w:after="120"/>
        <w:jc w:val="left"/>
        <w:outlineLvl w:val="0"/>
        <w:rPr>
          <w:rFonts w:asciiTheme="minorHAnsi" w:hAnsiTheme="minorHAnsi"/>
          <w:b/>
          <w:snapToGrid w:val="0"/>
          <w:sz w:val="32"/>
          <w:szCs w:val="32"/>
        </w:rPr>
      </w:pPr>
      <w:bookmarkStart w:id="71" w:name="_Hlk76381249"/>
      <w:bookmarkStart w:id="72" w:name="_Hlk76377955"/>
      <w:bookmarkStart w:id="73" w:name="_Toc188431857"/>
      <w:bookmarkEnd w:id="47"/>
      <w:bookmarkEnd w:id="67"/>
      <w:r w:rsidRPr="008E4308">
        <w:rPr>
          <w:rFonts w:asciiTheme="minorHAnsi" w:hAnsiTheme="minorHAnsi"/>
          <w:b/>
          <w:snapToGrid w:val="0"/>
          <w:sz w:val="32"/>
          <w:szCs w:val="32"/>
        </w:rPr>
        <w:lastRenderedPageBreak/>
        <w:t>PBAC Outcome</w:t>
      </w:r>
    </w:p>
    <w:p w14:paraId="78EF32E2" w14:textId="77777777" w:rsidR="00BC3C7D" w:rsidRPr="00BC3C7D" w:rsidRDefault="008E4308" w:rsidP="00B80088">
      <w:pPr>
        <w:pStyle w:val="3-BodyText"/>
        <w:rPr>
          <w:rFonts w:eastAsia="Times New Roman" w:cs="Arial"/>
          <w:snapToGrid w:val="0"/>
          <w:szCs w:val="24"/>
          <w:lang w:val="en-GB" w:eastAsia="en-US"/>
        </w:rPr>
      </w:pPr>
      <w:r w:rsidRPr="001F59BC">
        <w:rPr>
          <w:snapToGrid w:val="0"/>
          <w:lang w:val="en-GB" w:eastAsia="en-US"/>
        </w:rPr>
        <w:t xml:space="preserve">The PBAC recommended the </w:t>
      </w:r>
      <w:r w:rsidR="00AA4FF8" w:rsidRPr="001F59BC">
        <w:rPr>
          <w:snapToGrid w:val="0"/>
          <w:lang w:val="en-GB" w:eastAsia="en-US"/>
        </w:rPr>
        <w:t xml:space="preserve">Authority Required </w:t>
      </w:r>
      <w:r w:rsidRPr="001F59BC">
        <w:rPr>
          <w:snapToGrid w:val="0"/>
          <w:lang w:val="en-GB" w:eastAsia="en-US"/>
        </w:rPr>
        <w:t xml:space="preserve">listing of </w:t>
      </w:r>
      <w:r w:rsidR="001B70FF" w:rsidRPr="001F59BC">
        <w:rPr>
          <w:snapToGrid w:val="0"/>
          <w:lang w:val="en-GB" w:eastAsia="en-US"/>
        </w:rPr>
        <w:t>mogamulizumab</w:t>
      </w:r>
      <w:r w:rsidR="00AA4FF8" w:rsidRPr="001F59BC">
        <w:rPr>
          <w:snapToGrid w:val="0"/>
          <w:lang w:val="en-GB" w:eastAsia="en-US"/>
        </w:rPr>
        <w:t xml:space="preserve"> for the treatment of patients with relapsed or refractory cutaneous T cell lymphoma (CTCL)</w:t>
      </w:r>
      <w:r w:rsidRPr="001F59BC">
        <w:rPr>
          <w:snapToGrid w:val="0"/>
          <w:lang w:val="en-GB" w:eastAsia="en-US"/>
        </w:rPr>
        <w:t>, on the basis that it should be available only under special arrangements under Section 100</w:t>
      </w:r>
      <w:r w:rsidR="00AD0E1B">
        <w:rPr>
          <w:snapToGrid w:val="0"/>
          <w:lang w:val="en-GB" w:eastAsia="en-US"/>
        </w:rPr>
        <w:t xml:space="preserve"> (</w:t>
      </w:r>
      <w:r w:rsidR="00BA1382" w:rsidRPr="007427EF">
        <w:t>Efficient Funding of Chemotherapy Program</w:t>
      </w:r>
      <w:r w:rsidRPr="001F59BC">
        <w:rPr>
          <w:snapToGrid w:val="0"/>
          <w:lang w:val="en-GB" w:eastAsia="en-US"/>
        </w:rPr>
        <w:t>).</w:t>
      </w:r>
      <w:r w:rsidR="00BA5CB1" w:rsidRPr="001F59BC">
        <w:rPr>
          <w:snapToGrid w:val="0"/>
          <w:lang w:val="en-GB" w:eastAsia="en-US"/>
        </w:rPr>
        <w:t xml:space="preserve"> The PBAC</w:t>
      </w:r>
      <w:r w:rsidR="00DB477A" w:rsidRPr="001F59BC">
        <w:rPr>
          <w:snapToGrid w:val="0"/>
          <w:lang w:val="en-GB" w:eastAsia="en-US"/>
        </w:rPr>
        <w:t xml:space="preserve">’s recommendation for listing was based on, among other matters, its assessment that the cost-effectiveness of mogamulizumab would be acceptable </w:t>
      </w:r>
      <w:r w:rsidR="009175C6">
        <w:rPr>
          <w:snapToGrid w:val="0"/>
          <w:lang w:val="en-GB" w:eastAsia="en-US"/>
        </w:rPr>
        <w:t xml:space="preserve">if </w:t>
      </w:r>
      <w:r w:rsidR="00A24818">
        <w:rPr>
          <w:snapToGrid w:val="0"/>
          <w:lang w:val="en-GB" w:eastAsia="en-US"/>
        </w:rPr>
        <w:t xml:space="preserve">it were cost-minimised against </w:t>
      </w:r>
      <w:proofErr w:type="spellStart"/>
      <w:r w:rsidR="00A24818">
        <w:rPr>
          <w:snapToGrid w:val="0"/>
          <w:lang w:val="en-GB" w:eastAsia="en-US"/>
        </w:rPr>
        <w:t>vorinostat</w:t>
      </w:r>
      <w:proofErr w:type="spellEnd"/>
      <w:r w:rsidR="00A24818">
        <w:rPr>
          <w:snapToGrid w:val="0"/>
          <w:lang w:val="en-GB" w:eastAsia="en-US"/>
        </w:rPr>
        <w:t>.</w:t>
      </w:r>
    </w:p>
    <w:p w14:paraId="0FFB678D" w14:textId="2E2F95F8" w:rsidR="007F3E68" w:rsidRPr="00596BAA" w:rsidRDefault="007F3E68" w:rsidP="00596BAA">
      <w:pPr>
        <w:pStyle w:val="3-BodyText"/>
        <w:widowControl w:val="0"/>
        <w:rPr>
          <w:snapToGrid w:val="0"/>
          <w:lang w:val="en-GB" w:eastAsia="en-US"/>
        </w:rPr>
      </w:pPr>
      <w:r w:rsidRPr="001F59BC">
        <w:rPr>
          <w:iCs/>
        </w:rPr>
        <w:t>The PBAC welcomed the input from</w:t>
      </w:r>
      <w:r w:rsidR="00731522" w:rsidRPr="001F59BC">
        <w:rPr>
          <w:iCs/>
        </w:rPr>
        <w:t xml:space="preserve"> individuals </w:t>
      </w:r>
      <w:r w:rsidR="00ED244E">
        <w:rPr>
          <w:iCs/>
        </w:rPr>
        <w:t>who described</w:t>
      </w:r>
      <w:r w:rsidR="001F2F93">
        <w:rPr>
          <w:iCs/>
        </w:rPr>
        <w:t xml:space="preserve"> the impact of </w:t>
      </w:r>
      <w:r w:rsidR="00C3005C">
        <w:rPr>
          <w:iCs/>
        </w:rPr>
        <w:t>relapsed or refractory CTCL</w:t>
      </w:r>
      <w:r w:rsidR="001F2F93">
        <w:rPr>
          <w:iCs/>
        </w:rPr>
        <w:t xml:space="preserve"> on </w:t>
      </w:r>
      <w:r w:rsidR="002D651E">
        <w:rPr>
          <w:iCs/>
        </w:rPr>
        <w:t xml:space="preserve">their </w:t>
      </w:r>
      <w:r w:rsidR="001F2F93">
        <w:rPr>
          <w:iCs/>
        </w:rPr>
        <w:t>quality of life</w:t>
      </w:r>
      <w:r w:rsidR="00ED244E">
        <w:rPr>
          <w:iCs/>
        </w:rPr>
        <w:t>,</w:t>
      </w:r>
      <w:r w:rsidR="001F2F93">
        <w:rPr>
          <w:iCs/>
        </w:rPr>
        <w:t xml:space="preserve"> and from </w:t>
      </w:r>
      <w:r w:rsidR="00731522" w:rsidRPr="001F59BC">
        <w:rPr>
          <w:iCs/>
        </w:rPr>
        <w:t>health care professionals who high</w:t>
      </w:r>
      <w:r w:rsidR="00841285" w:rsidRPr="001F59BC">
        <w:rPr>
          <w:iCs/>
        </w:rPr>
        <w:t>lighted that durable remissions are not attained with one line of treatment.</w:t>
      </w:r>
      <w:r w:rsidR="00797627">
        <w:rPr>
          <w:iCs/>
        </w:rPr>
        <w:t xml:space="preserve"> </w:t>
      </w:r>
      <w:r w:rsidR="00981717">
        <w:rPr>
          <w:bCs/>
          <w:snapToGrid w:val="0"/>
        </w:rPr>
        <w:t xml:space="preserve">The PBAC noted the input from clinicians in the sponsor hearing </w:t>
      </w:r>
      <w:r w:rsidR="001722A3">
        <w:rPr>
          <w:bCs/>
          <w:snapToGrid w:val="0"/>
        </w:rPr>
        <w:t xml:space="preserve">regarding the </w:t>
      </w:r>
      <w:r w:rsidR="00B069FC">
        <w:rPr>
          <w:bCs/>
          <w:snapToGrid w:val="0"/>
        </w:rPr>
        <w:t xml:space="preserve">limitations of </w:t>
      </w:r>
      <w:r w:rsidR="00295655">
        <w:rPr>
          <w:bCs/>
          <w:snapToGrid w:val="0"/>
        </w:rPr>
        <w:t xml:space="preserve">treatment options currently available. The </w:t>
      </w:r>
      <w:r w:rsidR="00A12B79">
        <w:rPr>
          <w:bCs/>
          <w:snapToGrid w:val="0"/>
        </w:rPr>
        <w:t xml:space="preserve">PBAC acknowledged </w:t>
      </w:r>
      <w:r w:rsidR="002872B8">
        <w:rPr>
          <w:bCs/>
          <w:snapToGrid w:val="0"/>
        </w:rPr>
        <w:t>that</w:t>
      </w:r>
      <w:r w:rsidR="003321D7">
        <w:rPr>
          <w:bCs/>
          <w:snapToGrid w:val="0"/>
        </w:rPr>
        <w:t xml:space="preserve"> </w:t>
      </w:r>
      <w:r w:rsidR="002872B8">
        <w:rPr>
          <w:bCs/>
          <w:snapToGrid w:val="0"/>
        </w:rPr>
        <w:t>mogamulizumab ha</w:t>
      </w:r>
      <w:r w:rsidR="00613EEF">
        <w:rPr>
          <w:bCs/>
          <w:snapToGrid w:val="0"/>
        </w:rPr>
        <w:t>s</w:t>
      </w:r>
      <w:r w:rsidR="002872B8">
        <w:rPr>
          <w:bCs/>
          <w:snapToGrid w:val="0"/>
        </w:rPr>
        <w:t xml:space="preserve"> a</w:t>
      </w:r>
      <w:r w:rsidR="004549BF">
        <w:rPr>
          <w:bCs/>
          <w:snapToGrid w:val="0"/>
        </w:rPr>
        <w:t xml:space="preserve"> </w:t>
      </w:r>
      <w:r w:rsidR="00745FD9">
        <w:rPr>
          <w:bCs/>
          <w:snapToGrid w:val="0"/>
        </w:rPr>
        <w:t>unique</w:t>
      </w:r>
      <w:r w:rsidR="00981717">
        <w:rPr>
          <w:bCs/>
          <w:snapToGrid w:val="0"/>
        </w:rPr>
        <w:t xml:space="preserve"> mechanism of action </w:t>
      </w:r>
      <w:r w:rsidR="00275A1F">
        <w:rPr>
          <w:bCs/>
          <w:snapToGrid w:val="0"/>
        </w:rPr>
        <w:t xml:space="preserve">and </w:t>
      </w:r>
      <w:r w:rsidR="003A471A">
        <w:rPr>
          <w:bCs/>
          <w:snapToGrid w:val="0"/>
        </w:rPr>
        <w:t xml:space="preserve">agreed with </w:t>
      </w:r>
      <w:r w:rsidR="00275A1F">
        <w:rPr>
          <w:bCs/>
          <w:snapToGrid w:val="0"/>
        </w:rPr>
        <w:t xml:space="preserve">clinician advice </w:t>
      </w:r>
      <w:r w:rsidR="00ED7A19">
        <w:rPr>
          <w:bCs/>
          <w:snapToGrid w:val="0"/>
        </w:rPr>
        <w:t xml:space="preserve">that this agent </w:t>
      </w:r>
      <w:r w:rsidR="00617BA2">
        <w:rPr>
          <w:bCs/>
          <w:snapToGrid w:val="0"/>
        </w:rPr>
        <w:t xml:space="preserve">would be </w:t>
      </w:r>
      <w:r w:rsidR="00981717">
        <w:rPr>
          <w:bCs/>
          <w:snapToGrid w:val="0"/>
        </w:rPr>
        <w:t>particularly useful in patients with blood compartment involvement.</w:t>
      </w:r>
      <w:r w:rsidR="00275A1F">
        <w:rPr>
          <w:bCs/>
          <w:snapToGrid w:val="0"/>
        </w:rPr>
        <w:t xml:space="preserve"> </w:t>
      </w:r>
      <w:r w:rsidR="003321D7">
        <w:rPr>
          <w:iCs/>
        </w:rPr>
        <w:t>T</w:t>
      </w:r>
      <w:r w:rsidR="003321D7" w:rsidRPr="001F59BC">
        <w:rPr>
          <w:iCs/>
        </w:rPr>
        <w:t xml:space="preserve">he </w:t>
      </w:r>
      <w:r w:rsidR="003321D7">
        <w:rPr>
          <w:iCs/>
        </w:rPr>
        <w:t xml:space="preserve">PBAC noted that all input, including that from the </w:t>
      </w:r>
      <w:r w:rsidR="003321D7" w:rsidRPr="001F59BC">
        <w:rPr>
          <w:bCs/>
          <w:snapToGrid w:val="0"/>
        </w:rPr>
        <w:t>Leukaemia Foundation and Rare Cancers Australia</w:t>
      </w:r>
      <w:r w:rsidR="003321D7">
        <w:rPr>
          <w:bCs/>
          <w:snapToGrid w:val="0"/>
        </w:rPr>
        <w:t>,</w:t>
      </w:r>
      <w:r w:rsidR="003321D7" w:rsidRPr="001F59BC">
        <w:rPr>
          <w:iCs/>
        </w:rPr>
        <w:t xml:space="preserve"> highlighted the need for new treatment options</w:t>
      </w:r>
      <w:r w:rsidR="003321D7">
        <w:rPr>
          <w:iCs/>
        </w:rPr>
        <w:t xml:space="preserve">. </w:t>
      </w:r>
      <w:r w:rsidR="0016591C">
        <w:rPr>
          <w:iCs/>
        </w:rPr>
        <w:t xml:space="preserve">Overall, </w:t>
      </w:r>
      <w:r w:rsidR="0016591C">
        <w:rPr>
          <w:bCs/>
          <w:snapToGrid w:val="0"/>
        </w:rPr>
        <w:t>t</w:t>
      </w:r>
      <w:r w:rsidR="00841285" w:rsidRPr="001F59BC">
        <w:rPr>
          <w:iCs/>
        </w:rPr>
        <w:t xml:space="preserve">he PBAC </w:t>
      </w:r>
      <w:r w:rsidR="00275A1F">
        <w:rPr>
          <w:iCs/>
        </w:rPr>
        <w:t>a</w:t>
      </w:r>
      <w:r w:rsidR="00914596">
        <w:rPr>
          <w:iCs/>
        </w:rPr>
        <w:t xml:space="preserve">greed with the input </w:t>
      </w:r>
      <w:proofErr w:type="gramStart"/>
      <w:r w:rsidR="00914596">
        <w:rPr>
          <w:iCs/>
        </w:rPr>
        <w:t>provided</w:t>
      </w:r>
      <w:r w:rsidR="00745FD9">
        <w:rPr>
          <w:iCs/>
        </w:rPr>
        <w:t xml:space="preserve"> </w:t>
      </w:r>
      <w:r w:rsidR="00915F1B" w:rsidRPr="00C45B58">
        <w:rPr>
          <w:snapToGrid w:val="0"/>
          <w:lang w:val="en-GB" w:eastAsia="en-US"/>
        </w:rPr>
        <w:t>that</w:t>
      </w:r>
      <w:proofErr w:type="gramEnd"/>
      <w:r w:rsidR="00915F1B" w:rsidRPr="00C45B58">
        <w:rPr>
          <w:snapToGrid w:val="0"/>
          <w:lang w:val="en-GB" w:eastAsia="en-US"/>
        </w:rPr>
        <w:t xml:space="preserve"> there </w:t>
      </w:r>
      <w:r w:rsidR="00A1200B">
        <w:rPr>
          <w:snapToGrid w:val="0"/>
          <w:lang w:val="en-GB" w:eastAsia="en-US"/>
        </w:rPr>
        <w:t>wa</w:t>
      </w:r>
      <w:r w:rsidR="00915F1B" w:rsidRPr="00C45B58">
        <w:rPr>
          <w:snapToGrid w:val="0"/>
          <w:lang w:val="en-GB" w:eastAsia="en-US"/>
        </w:rPr>
        <w:t>s a high clinical need for alternate thera</w:t>
      </w:r>
      <w:r w:rsidR="00967F0D">
        <w:rPr>
          <w:snapToGrid w:val="0"/>
          <w:lang w:val="en-GB" w:eastAsia="en-US"/>
        </w:rPr>
        <w:t>py</w:t>
      </w:r>
      <w:r w:rsidR="003966FC">
        <w:rPr>
          <w:snapToGrid w:val="0"/>
          <w:lang w:val="en-GB" w:eastAsia="en-US"/>
        </w:rPr>
        <w:t xml:space="preserve"> options</w:t>
      </w:r>
      <w:r w:rsidR="00984810">
        <w:rPr>
          <w:snapToGrid w:val="0"/>
          <w:lang w:val="en-GB" w:eastAsia="en-US"/>
        </w:rPr>
        <w:t xml:space="preserve"> </w:t>
      </w:r>
      <w:r w:rsidR="00984810" w:rsidRPr="001F59BC">
        <w:rPr>
          <w:iCs/>
        </w:rPr>
        <w:t xml:space="preserve">for patients with </w:t>
      </w:r>
      <w:r w:rsidR="00984810">
        <w:rPr>
          <w:iCs/>
        </w:rPr>
        <w:t>this rare condition</w:t>
      </w:r>
      <w:r w:rsidR="00967F0D">
        <w:rPr>
          <w:snapToGrid w:val="0"/>
          <w:lang w:val="en-GB" w:eastAsia="en-US"/>
        </w:rPr>
        <w:t>.</w:t>
      </w:r>
      <w:r w:rsidR="00915F1B" w:rsidRPr="00C45B58">
        <w:rPr>
          <w:snapToGrid w:val="0"/>
          <w:lang w:val="en-GB" w:eastAsia="en-US"/>
        </w:rPr>
        <w:t xml:space="preserve"> </w:t>
      </w:r>
    </w:p>
    <w:p w14:paraId="3570185D" w14:textId="77777777" w:rsidR="00A21FEB" w:rsidRDefault="00A21FEB" w:rsidP="006C1A72">
      <w:pPr>
        <w:widowControl w:val="0"/>
        <w:numPr>
          <w:ilvl w:val="1"/>
          <w:numId w:val="1"/>
        </w:numPr>
        <w:spacing w:after="120"/>
        <w:contextualSpacing/>
        <w:rPr>
          <w:rFonts w:asciiTheme="minorHAnsi" w:hAnsiTheme="minorHAnsi"/>
          <w:snapToGrid w:val="0"/>
          <w:lang w:val="en-GB" w:eastAsia="en-US"/>
        </w:rPr>
      </w:pPr>
      <w:proofErr w:type="gramStart"/>
      <w:r>
        <w:rPr>
          <w:rFonts w:asciiTheme="minorHAnsi" w:hAnsiTheme="minorHAnsi"/>
          <w:snapToGrid w:val="0"/>
          <w:lang w:val="en-GB" w:eastAsia="en-US"/>
        </w:rPr>
        <w:t>With regard to</w:t>
      </w:r>
      <w:proofErr w:type="gramEnd"/>
      <w:r>
        <w:rPr>
          <w:rFonts w:asciiTheme="minorHAnsi" w:hAnsiTheme="minorHAnsi"/>
          <w:snapToGrid w:val="0"/>
          <w:lang w:val="en-GB" w:eastAsia="en-US"/>
        </w:rPr>
        <w:t xml:space="preserve"> the requested listing and restriction, the PBAC advised that: </w:t>
      </w:r>
    </w:p>
    <w:p w14:paraId="6FD67098" w14:textId="0DFEB4C3" w:rsidR="004A70B9" w:rsidRDefault="006F2522"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An Authority Required (</w:t>
      </w:r>
      <w:r w:rsidR="007B231C">
        <w:rPr>
          <w:rFonts w:eastAsia="Times New Roman" w:cs="Arial"/>
          <w:snapToGrid w:val="0"/>
          <w:szCs w:val="24"/>
          <w:lang w:val="en-GB" w:eastAsia="en-US"/>
        </w:rPr>
        <w:t>W</w:t>
      </w:r>
      <w:r>
        <w:rPr>
          <w:rFonts w:eastAsia="Times New Roman" w:cs="Arial"/>
          <w:snapToGrid w:val="0"/>
          <w:szCs w:val="24"/>
          <w:lang w:val="en-GB" w:eastAsia="en-US"/>
        </w:rPr>
        <w:t xml:space="preserve">ritten) listing was appropriate for </w:t>
      </w:r>
      <w:r w:rsidR="002A53F8">
        <w:rPr>
          <w:rFonts w:eastAsia="Times New Roman" w:cs="Arial"/>
          <w:snapToGrid w:val="0"/>
          <w:szCs w:val="24"/>
          <w:lang w:val="en-GB" w:eastAsia="en-US"/>
        </w:rPr>
        <w:t>the initial treatment phase and an Authority Required (</w:t>
      </w:r>
      <w:r w:rsidR="007B231C">
        <w:rPr>
          <w:rFonts w:eastAsia="Times New Roman" w:cs="Arial"/>
          <w:snapToGrid w:val="0"/>
          <w:szCs w:val="24"/>
          <w:lang w:val="en-GB" w:eastAsia="en-US"/>
        </w:rPr>
        <w:t xml:space="preserve">Telephone) listing was appropriate for the continuing treatment phase. </w:t>
      </w:r>
    </w:p>
    <w:p w14:paraId="7EBA830C" w14:textId="7EEDCF5D" w:rsidR="00CF35C3" w:rsidRPr="000576F9" w:rsidRDefault="00075F66"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I</w:t>
      </w:r>
      <w:r w:rsidR="00B743D1" w:rsidRPr="000576F9">
        <w:rPr>
          <w:rFonts w:eastAsia="Times New Roman" w:cs="Arial"/>
          <w:snapToGrid w:val="0"/>
          <w:szCs w:val="24"/>
          <w:lang w:val="en-GB" w:eastAsia="en-US"/>
        </w:rPr>
        <w:t>t w</w:t>
      </w:r>
      <w:r w:rsidR="005E08A8">
        <w:rPr>
          <w:rFonts w:eastAsia="Times New Roman" w:cs="Arial"/>
          <w:snapToGrid w:val="0"/>
          <w:szCs w:val="24"/>
          <w:lang w:val="en-GB" w:eastAsia="en-US"/>
        </w:rPr>
        <w:t xml:space="preserve">as appropriate </w:t>
      </w:r>
      <w:r w:rsidR="00B743D1" w:rsidRPr="000576F9">
        <w:rPr>
          <w:rFonts w:eastAsia="Times New Roman" w:cs="Arial"/>
          <w:snapToGrid w:val="0"/>
          <w:szCs w:val="24"/>
          <w:lang w:val="en-GB" w:eastAsia="en-US"/>
        </w:rPr>
        <w:t xml:space="preserve">to align the </w:t>
      </w:r>
      <w:r w:rsidR="009F27E5">
        <w:rPr>
          <w:rFonts w:eastAsia="Times New Roman" w:cs="Arial"/>
          <w:snapToGrid w:val="0"/>
          <w:szCs w:val="24"/>
          <w:lang w:val="en-GB" w:eastAsia="en-US"/>
        </w:rPr>
        <w:t xml:space="preserve">clinical criteria of the </w:t>
      </w:r>
      <w:r w:rsidR="00B743D1" w:rsidRPr="000576F9">
        <w:rPr>
          <w:rFonts w:eastAsia="Times New Roman" w:cs="Arial"/>
          <w:snapToGrid w:val="0"/>
          <w:szCs w:val="24"/>
          <w:lang w:val="en-GB" w:eastAsia="en-US"/>
        </w:rPr>
        <w:t xml:space="preserve">restriction with </w:t>
      </w:r>
      <w:r w:rsidR="009F27E5">
        <w:rPr>
          <w:rFonts w:eastAsia="Times New Roman" w:cs="Arial"/>
          <w:snapToGrid w:val="0"/>
          <w:szCs w:val="24"/>
          <w:lang w:val="en-GB" w:eastAsia="en-US"/>
        </w:rPr>
        <w:t xml:space="preserve">that of </w:t>
      </w:r>
      <w:r w:rsidR="00B743D1" w:rsidRPr="000576F9">
        <w:rPr>
          <w:rFonts w:eastAsia="Times New Roman" w:cs="Arial"/>
          <w:snapToGrid w:val="0"/>
          <w:szCs w:val="24"/>
          <w:lang w:val="en-GB" w:eastAsia="en-US"/>
        </w:rPr>
        <w:t>th</w:t>
      </w:r>
      <w:r w:rsidR="00EB6214" w:rsidRPr="000576F9">
        <w:rPr>
          <w:rFonts w:eastAsia="Times New Roman" w:cs="Arial"/>
          <w:snapToGrid w:val="0"/>
          <w:szCs w:val="24"/>
          <w:lang w:val="en-GB" w:eastAsia="en-US"/>
        </w:rPr>
        <w:t xml:space="preserve">e current </w:t>
      </w:r>
      <w:proofErr w:type="spellStart"/>
      <w:r w:rsidR="00EB6214" w:rsidRPr="000576F9">
        <w:rPr>
          <w:rFonts w:eastAsia="Times New Roman" w:cs="Arial"/>
          <w:snapToGrid w:val="0"/>
          <w:szCs w:val="24"/>
          <w:lang w:val="en-GB" w:eastAsia="en-US"/>
        </w:rPr>
        <w:t>vorinostat</w:t>
      </w:r>
      <w:proofErr w:type="spellEnd"/>
      <w:r w:rsidR="00EB6214" w:rsidRPr="000576F9">
        <w:rPr>
          <w:rFonts w:eastAsia="Times New Roman" w:cs="Arial"/>
          <w:snapToGrid w:val="0"/>
          <w:szCs w:val="24"/>
          <w:lang w:val="en-GB" w:eastAsia="en-US"/>
        </w:rPr>
        <w:t xml:space="preserve"> restriction as specified in paragraph </w:t>
      </w:r>
      <w:r w:rsidR="000C045E">
        <w:rPr>
          <w:rFonts w:eastAsia="Times New Roman" w:cs="Arial"/>
          <w:snapToGrid w:val="0"/>
          <w:szCs w:val="24"/>
          <w:lang w:val="en-GB" w:eastAsia="en-US"/>
        </w:rPr>
        <w:fldChar w:fldCharType="begin"/>
      </w:r>
      <w:r w:rsidR="000C045E">
        <w:rPr>
          <w:rFonts w:eastAsia="Times New Roman" w:cs="Arial"/>
          <w:snapToGrid w:val="0"/>
          <w:szCs w:val="24"/>
          <w:lang w:val="en-GB" w:eastAsia="en-US"/>
        </w:rPr>
        <w:instrText xml:space="preserve"> REF _Ref190780995 \r \h </w:instrText>
      </w:r>
      <w:r w:rsidR="000C045E">
        <w:rPr>
          <w:rFonts w:eastAsia="Times New Roman" w:cs="Arial"/>
          <w:snapToGrid w:val="0"/>
          <w:szCs w:val="24"/>
          <w:lang w:val="en-GB" w:eastAsia="en-US"/>
        </w:rPr>
      </w:r>
      <w:r w:rsidR="000C045E">
        <w:rPr>
          <w:rFonts w:eastAsia="Times New Roman" w:cs="Arial"/>
          <w:snapToGrid w:val="0"/>
          <w:szCs w:val="24"/>
          <w:lang w:val="en-GB" w:eastAsia="en-US"/>
        </w:rPr>
        <w:fldChar w:fldCharType="separate"/>
      </w:r>
      <w:r w:rsidR="00EF6B5D">
        <w:rPr>
          <w:rFonts w:eastAsia="Times New Roman" w:cs="Arial"/>
          <w:snapToGrid w:val="0"/>
          <w:szCs w:val="24"/>
          <w:lang w:val="en-GB" w:eastAsia="en-US"/>
        </w:rPr>
        <w:t>3.2</w:t>
      </w:r>
      <w:r w:rsidR="000C045E">
        <w:rPr>
          <w:rFonts w:eastAsia="Times New Roman" w:cs="Arial"/>
          <w:snapToGrid w:val="0"/>
          <w:szCs w:val="24"/>
          <w:lang w:val="en-GB" w:eastAsia="en-US"/>
        </w:rPr>
        <w:fldChar w:fldCharType="end"/>
      </w:r>
      <w:r w:rsidR="00683F96">
        <w:rPr>
          <w:rFonts w:eastAsia="Times New Roman" w:cs="Arial"/>
          <w:snapToGrid w:val="0"/>
          <w:szCs w:val="24"/>
          <w:lang w:val="en-GB" w:eastAsia="en-US"/>
        </w:rPr>
        <w:t xml:space="preserve">. </w:t>
      </w:r>
      <w:r w:rsidR="000A6928" w:rsidRPr="000576F9">
        <w:rPr>
          <w:rFonts w:eastAsia="Times New Roman" w:cs="Arial"/>
          <w:snapToGrid w:val="0"/>
          <w:szCs w:val="24"/>
          <w:lang w:val="en-GB" w:eastAsia="en-US"/>
        </w:rPr>
        <w:t xml:space="preserve"> </w:t>
      </w:r>
    </w:p>
    <w:p w14:paraId="16830947" w14:textId="77777777" w:rsidR="00BB169F" w:rsidRDefault="00CE0DC9"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Specification of a</w:t>
      </w:r>
      <w:r w:rsidR="001803DC">
        <w:rPr>
          <w:rFonts w:eastAsia="Times New Roman" w:cs="Arial"/>
          <w:snapToGrid w:val="0"/>
          <w:szCs w:val="24"/>
          <w:lang w:val="en-GB" w:eastAsia="en-US"/>
        </w:rPr>
        <w:t xml:space="preserve"> </w:t>
      </w:r>
      <w:r w:rsidR="007C2E43" w:rsidRPr="000576F9">
        <w:rPr>
          <w:rFonts w:eastAsia="Times New Roman" w:cs="Arial"/>
          <w:snapToGrid w:val="0"/>
          <w:szCs w:val="24"/>
          <w:lang w:val="en-GB" w:eastAsia="en-US"/>
        </w:rPr>
        <w:t xml:space="preserve">maximum </w:t>
      </w:r>
      <w:r w:rsidR="007C6D6F" w:rsidRPr="000576F9">
        <w:rPr>
          <w:rFonts w:eastAsia="Times New Roman" w:cs="Arial"/>
          <w:snapToGrid w:val="0"/>
          <w:szCs w:val="24"/>
          <w:lang w:val="en-GB" w:eastAsia="en-US"/>
        </w:rPr>
        <w:t>amount of 120 mg</w:t>
      </w:r>
      <w:r w:rsidR="007C2E43" w:rsidRPr="000576F9">
        <w:rPr>
          <w:rFonts w:eastAsia="Times New Roman" w:cs="Arial"/>
          <w:snapToGrid w:val="0"/>
          <w:szCs w:val="24"/>
          <w:lang w:val="en-GB" w:eastAsia="en-US"/>
        </w:rPr>
        <w:t xml:space="preserve"> </w:t>
      </w:r>
      <w:r w:rsidR="00372D7B">
        <w:rPr>
          <w:rFonts w:eastAsia="Times New Roman" w:cs="Arial"/>
          <w:snapToGrid w:val="0"/>
          <w:szCs w:val="24"/>
          <w:lang w:val="en-GB" w:eastAsia="en-US"/>
        </w:rPr>
        <w:t xml:space="preserve">(without further administrative advice </w:t>
      </w:r>
      <w:r w:rsidR="00BB169F">
        <w:rPr>
          <w:rFonts w:eastAsia="Times New Roman" w:cs="Arial"/>
          <w:snapToGrid w:val="0"/>
          <w:szCs w:val="24"/>
          <w:lang w:val="en-GB" w:eastAsia="en-US"/>
        </w:rPr>
        <w:t xml:space="preserve">prohibiting requests for increased maximum quantities) </w:t>
      </w:r>
      <w:r w:rsidR="004528CB">
        <w:rPr>
          <w:rFonts w:eastAsia="Times New Roman" w:cs="Arial"/>
          <w:snapToGrid w:val="0"/>
          <w:szCs w:val="24"/>
          <w:lang w:val="en-GB" w:eastAsia="en-US"/>
        </w:rPr>
        <w:t>wa</w:t>
      </w:r>
      <w:r w:rsidR="007C2E43" w:rsidRPr="000576F9">
        <w:rPr>
          <w:rFonts w:eastAsia="Times New Roman" w:cs="Arial"/>
          <w:snapToGrid w:val="0"/>
          <w:szCs w:val="24"/>
          <w:lang w:val="en-GB" w:eastAsia="en-US"/>
        </w:rPr>
        <w:t xml:space="preserve">s </w:t>
      </w:r>
      <w:r w:rsidR="001803DC">
        <w:rPr>
          <w:rFonts w:eastAsia="Times New Roman" w:cs="Arial"/>
          <w:snapToGrid w:val="0"/>
          <w:szCs w:val="24"/>
          <w:lang w:val="en-GB" w:eastAsia="en-US"/>
        </w:rPr>
        <w:t>appropriate</w:t>
      </w:r>
      <w:r w:rsidR="00681336">
        <w:rPr>
          <w:rFonts w:eastAsia="Times New Roman" w:cs="Arial"/>
          <w:snapToGrid w:val="0"/>
          <w:szCs w:val="24"/>
          <w:lang w:val="en-GB" w:eastAsia="en-US"/>
        </w:rPr>
        <w:t xml:space="preserve">. </w:t>
      </w:r>
    </w:p>
    <w:p w14:paraId="519C2701" w14:textId="30482CE4" w:rsidR="006009F2" w:rsidRPr="00B11F8D" w:rsidRDefault="00797A53" w:rsidP="00B11F8D">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 xml:space="preserve">Three repeats for the </w:t>
      </w:r>
      <w:r w:rsidR="008C7AA8">
        <w:rPr>
          <w:rFonts w:eastAsia="Times New Roman" w:cs="Arial"/>
          <w:snapToGrid w:val="0"/>
          <w:szCs w:val="24"/>
          <w:lang w:val="en-GB" w:eastAsia="en-US"/>
        </w:rPr>
        <w:t xml:space="preserve">initial treatment restriction </w:t>
      </w:r>
      <w:proofErr w:type="gramStart"/>
      <w:r w:rsidR="008C7AA8">
        <w:rPr>
          <w:rFonts w:eastAsia="Times New Roman" w:cs="Arial"/>
          <w:snapToGrid w:val="0"/>
          <w:szCs w:val="24"/>
          <w:lang w:val="en-GB" w:eastAsia="en-US"/>
        </w:rPr>
        <w:t>was</w:t>
      </w:r>
      <w:proofErr w:type="gramEnd"/>
      <w:r w:rsidR="008C7AA8">
        <w:rPr>
          <w:rFonts w:eastAsia="Times New Roman" w:cs="Arial"/>
          <w:snapToGrid w:val="0"/>
          <w:szCs w:val="24"/>
          <w:lang w:val="en-GB" w:eastAsia="en-US"/>
        </w:rPr>
        <w:t xml:space="preserve"> appropriate as this would </w:t>
      </w:r>
      <w:r w:rsidR="004E3F4C">
        <w:rPr>
          <w:rFonts w:eastAsia="Times New Roman" w:cs="Arial"/>
          <w:snapToGrid w:val="0"/>
          <w:szCs w:val="24"/>
          <w:lang w:val="en-GB" w:eastAsia="en-US"/>
        </w:rPr>
        <w:t>accommodate the weekly dosing</w:t>
      </w:r>
      <w:r w:rsidR="009E08A7">
        <w:rPr>
          <w:rFonts w:eastAsia="Times New Roman" w:cs="Arial"/>
          <w:snapToGrid w:val="0"/>
          <w:szCs w:val="24"/>
          <w:lang w:val="en-GB" w:eastAsia="en-US"/>
        </w:rPr>
        <w:t xml:space="preserve"> on days 1, 8, 15 and 22 used for the first 28-day cycle. The PBAC considered that s</w:t>
      </w:r>
      <w:r w:rsidR="00B11F8D">
        <w:rPr>
          <w:rFonts w:eastAsia="Times New Roman" w:cs="Arial"/>
          <w:snapToGrid w:val="0"/>
          <w:szCs w:val="24"/>
          <w:lang w:val="en-GB" w:eastAsia="en-US"/>
        </w:rPr>
        <w:t>even repeats</w:t>
      </w:r>
      <w:r w:rsidR="00BA4820" w:rsidRPr="00B11F8D">
        <w:rPr>
          <w:rFonts w:eastAsia="Times New Roman" w:cs="Arial"/>
          <w:snapToGrid w:val="0"/>
          <w:szCs w:val="24"/>
          <w:lang w:val="en-GB" w:eastAsia="en-US"/>
        </w:rPr>
        <w:t xml:space="preserve"> </w:t>
      </w:r>
      <w:proofErr w:type="gramStart"/>
      <w:r w:rsidR="002054B4" w:rsidRPr="00B11F8D">
        <w:rPr>
          <w:rFonts w:eastAsia="Times New Roman" w:cs="Arial"/>
          <w:snapToGrid w:val="0"/>
          <w:szCs w:val="24"/>
          <w:lang w:val="en-GB" w:eastAsia="en-US"/>
        </w:rPr>
        <w:t>was</w:t>
      </w:r>
      <w:proofErr w:type="gramEnd"/>
      <w:r w:rsidR="002054B4" w:rsidRPr="00B11F8D">
        <w:rPr>
          <w:rFonts w:eastAsia="Times New Roman" w:cs="Arial"/>
          <w:snapToGrid w:val="0"/>
          <w:szCs w:val="24"/>
          <w:lang w:val="en-GB" w:eastAsia="en-US"/>
        </w:rPr>
        <w:t xml:space="preserve"> appropriate</w:t>
      </w:r>
      <w:r w:rsidR="00FA71EC">
        <w:rPr>
          <w:rFonts w:eastAsia="Times New Roman" w:cs="Arial"/>
          <w:snapToGrid w:val="0"/>
          <w:szCs w:val="24"/>
          <w:lang w:val="en-GB" w:eastAsia="en-US"/>
        </w:rPr>
        <w:t xml:space="preserve"> for the continuing treatment restriction where dosing would be administered every two weeks </w:t>
      </w:r>
      <w:r w:rsidR="00720082">
        <w:rPr>
          <w:rFonts w:eastAsia="Times New Roman" w:cs="Arial"/>
          <w:snapToGrid w:val="0"/>
          <w:szCs w:val="24"/>
          <w:lang w:val="en-GB" w:eastAsia="en-US"/>
        </w:rPr>
        <w:t>on days 1 and 15 of each subsequent 28-day cycle until disease progression or unacceptable toxicity</w:t>
      </w:r>
      <w:r w:rsidR="007C1B58">
        <w:rPr>
          <w:rFonts w:eastAsia="Times New Roman" w:cs="Arial"/>
          <w:snapToGrid w:val="0"/>
          <w:szCs w:val="24"/>
          <w:lang w:val="en-GB" w:eastAsia="en-US"/>
        </w:rPr>
        <w:t xml:space="preserve">. </w:t>
      </w:r>
    </w:p>
    <w:p w14:paraId="5C3D340E" w14:textId="580263F7" w:rsidR="00F64942" w:rsidRPr="000576F9" w:rsidRDefault="00E8147B" w:rsidP="000576F9">
      <w:pPr>
        <w:pStyle w:val="3-BodyText"/>
        <w:numPr>
          <w:ilvl w:val="0"/>
          <w:numId w:val="43"/>
        </w:numPr>
        <w:rPr>
          <w:rFonts w:eastAsia="Times New Roman" w:cs="Arial"/>
          <w:snapToGrid w:val="0"/>
          <w:szCs w:val="24"/>
          <w:lang w:val="en-GB" w:eastAsia="en-US"/>
        </w:rPr>
      </w:pPr>
      <w:r>
        <w:rPr>
          <w:rFonts w:eastAsia="Times New Roman" w:cs="Arial"/>
          <w:snapToGrid w:val="0"/>
          <w:szCs w:val="24"/>
          <w:lang w:val="en-GB" w:eastAsia="en-US"/>
        </w:rPr>
        <w:t>While a</w:t>
      </w:r>
      <w:r w:rsidR="00EA4829" w:rsidRPr="000576F9">
        <w:rPr>
          <w:rFonts w:eastAsia="Times New Roman" w:cs="Arial"/>
          <w:snapToGrid w:val="0"/>
          <w:szCs w:val="24"/>
          <w:lang w:val="en-GB" w:eastAsia="en-US"/>
        </w:rPr>
        <w:t xml:space="preserve"> Special Pricing Arrangement</w:t>
      </w:r>
      <w:r w:rsidR="00C45B58" w:rsidRPr="000576F9">
        <w:rPr>
          <w:rFonts w:eastAsia="Times New Roman" w:cs="Arial"/>
          <w:snapToGrid w:val="0"/>
          <w:szCs w:val="24"/>
          <w:lang w:val="en-GB" w:eastAsia="en-US"/>
        </w:rPr>
        <w:t xml:space="preserve"> (SPA)</w:t>
      </w:r>
      <w:r w:rsidR="00E5769D">
        <w:rPr>
          <w:rFonts w:eastAsia="Times New Roman" w:cs="Arial"/>
          <w:snapToGrid w:val="0"/>
          <w:szCs w:val="24"/>
          <w:lang w:val="en-GB" w:eastAsia="en-US"/>
        </w:rPr>
        <w:t xml:space="preserve"> </w:t>
      </w:r>
      <w:r w:rsidR="00205C24">
        <w:rPr>
          <w:rFonts w:eastAsia="Times New Roman" w:cs="Arial"/>
          <w:snapToGrid w:val="0"/>
          <w:szCs w:val="24"/>
          <w:lang w:val="en-GB" w:eastAsia="en-US"/>
        </w:rPr>
        <w:t>was requested</w:t>
      </w:r>
      <w:r>
        <w:rPr>
          <w:rFonts w:eastAsia="Times New Roman" w:cs="Arial"/>
          <w:snapToGrid w:val="0"/>
          <w:szCs w:val="24"/>
          <w:lang w:val="en-GB" w:eastAsia="en-US"/>
        </w:rPr>
        <w:t xml:space="preserve">, </w:t>
      </w:r>
      <w:r w:rsidR="00E5769D">
        <w:rPr>
          <w:rFonts w:eastAsia="Times New Roman" w:cs="Arial"/>
          <w:snapToGrid w:val="0"/>
          <w:szCs w:val="24"/>
          <w:lang w:val="en-GB" w:eastAsia="en-US"/>
        </w:rPr>
        <w:t xml:space="preserve">one </w:t>
      </w:r>
      <w:r w:rsidR="00C45B58" w:rsidRPr="000576F9">
        <w:rPr>
          <w:rFonts w:eastAsia="Times New Roman" w:cs="Arial"/>
          <w:snapToGrid w:val="0"/>
          <w:szCs w:val="24"/>
          <w:lang w:val="en-GB" w:eastAsia="en-US"/>
        </w:rPr>
        <w:t xml:space="preserve">does not apply to </w:t>
      </w:r>
      <w:proofErr w:type="spellStart"/>
      <w:r w:rsidR="00C45B58" w:rsidRPr="000576F9">
        <w:rPr>
          <w:rFonts w:eastAsia="Times New Roman" w:cs="Arial"/>
          <w:snapToGrid w:val="0"/>
          <w:szCs w:val="24"/>
          <w:lang w:val="en-GB" w:eastAsia="en-US"/>
        </w:rPr>
        <w:t>vorinostat</w:t>
      </w:r>
      <w:proofErr w:type="spellEnd"/>
      <w:r w:rsidR="00204E1F">
        <w:rPr>
          <w:rFonts w:eastAsia="Times New Roman" w:cs="Arial"/>
          <w:snapToGrid w:val="0"/>
          <w:szCs w:val="24"/>
          <w:lang w:val="en-GB" w:eastAsia="en-US"/>
        </w:rPr>
        <w:t xml:space="preserve"> which mogamulizumab is </w:t>
      </w:r>
      <w:r w:rsidR="00FB782A">
        <w:rPr>
          <w:rFonts w:eastAsia="Times New Roman" w:cs="Arial"/>
          <w:snapToGrid w:val="0"/>
          <w:szCs w:val="24"/>
          <w:lang w:val="en-GB" w:eastAsia="en-US"/>
        </w:rPr>
        <w:t>cost-minimised against</w:t>
      </w:r>
      <w:r w:rsidR="00E5769D">
        <w:rPr>
          <w:rFonts w:eastAsia="Times New Roman" w:cs="Arial"/>
          <w:snapToGrid w:val="0"/>
          <w:szCs w:val="24"/>
          <w:lang w:val="en-GB" w:eastAsia="en-US"/>
        </w:rPr>
        <w:t xml:space="preserve">. The PBAC </w:t>
      </w:r>
      <w:r w:rsidR="00C03AF0">
        <w:rPr>
          <w:rFonts w:eastAsia="Times New Roman" w:cs="Arial"/>
          <w:snapToGrid w:val="0"/>
          <w:szCs w:val="24"/>
          <w:lang w:val="en-GB" w:eastAsia="en-US"/>
        </w:rPr>
        <w:t>noted</w:t>
      </w:r>
      <w:r w:rsidR="00615653" w:rsidRPr="000576F9">
        <w:rPr>
          <w:rFonts w:eastAsia="Times New Roman" w:cs="Arial"/>
          <w:snapToGrid w:val="0"/>
          <w:szCs w:val="24"/>
          <w:lang w:val="en-GB" w:eastAsia="en-US"/>
        </w:rPr>
        <w:t xml:space="preserve"> that </w:t>
      </w:r>
      <w:r w:rsidR="00A01448" w:rsidRPr="000576F9">
        <w:rPr>
          <w:rFonts w:eastAsia="Times New Roman" w:cs="Arial"/>
          <w:snapToGrid w:val="0"/>
          <w:szCs w:val="24"/>
          <w:lang w:val="en-GB" w:eastAsia="en-US"/>
        </w:rPr>
        <w:t>a</w:t>
      </w:r>
      <w:r w:rsidR="00615653" w:rsidRPr="000576F9">
        <w:rPr>
          <w:rFonts w:eastAsia="Times New Roman" w:cs="Arial"/>
          <w:snapToGrid w:val="0"/>
          <w:szCs w:val="24"/>
          <w:lang w:val="en-GB" w:eastAsia="en-US"/>
        </w:rPr>
        <w:t xml:space="preserve"> </w:t>
      </w:r>
      <w:r w:rsidR="00405CE7" w:rsidRPr="000576F9">
        <w:rPr>
          <w:rFonts w:eastAsia="Times New Roman" w:cs="Arial"/>
          <w:snapToGrid w:val="0"/>
          <w:szCs w:val="24"/>
          <w:lang w:val="en-GB" w:eastAsia="en-US"/>
        </w:rPr>
        <w:t xml:space="preserve">decision on whether mogamulizumab would be eligible for a SPA would be a </w:t>
      </w:r>
      <w:r w:rsidR="00C45B58" w:rsidRPr="000576F9">
        <w:rPr>
          <w:rFonts w:eastAsia="Times New Roman" w:cs="Arial"/>
          <w:snapToGrid w:val="0"/>
          <w:szCs w:val="24"/>
          <w:lang w:val="en-GB" w:eastAsia="en-US"/>
        </w:rPr>
        <w:t xml:space="preserve">matter for </w:t>
      </w:r>
      <w:r w:rsidR="00F60A59" w:rsidRPr="000576F9">
        <w:rPr>
          <w:rFonts w:eastAsia="Times New Roman" w:cs="Arial"/>
          <w:snapToGrid w:val="0"/>
          <w:szCs w:val="24"/>
          <w:lang w:val="en-GB" w:eastAsia="en-US"/>
        </w:rPr>
        <w:t xml:space="preserve">the </w:t>
      </w:r>
      <w:r w:rsidR="00C45B58" w:rsidRPr="000576F9">
        <w:rPr>
          <w:rFonts w:eastAsia="Times New Roman" w:cs="Arial"/>
          <w:snapToGrid w:val="0"/>
          <w:szCs w:val="24"/>
          <w:lang w:val="en-GB" w:eastAsia="en-US"/>
        </w:rPr>
        <w:t xml:space="preserve">Government and not the PBAC. </w:t>
      </w:r>
    </w:p>
    <w:p w14:paraId="1955B1CC" w14:textId="23DA2B35" w:rsidR="008E4308" w:rsidRPr="00C6720D" w:rsidRDefault="00166029" w:rsidP="006C1A72">
      <w:pPr>
        <w:widowControl w:val="0"/>
        <w:numPr>
          <w:ilvl w:val="1"/>
          <w:numId w:val="1"/>
        </w:numPr>
        <w:spacing w:after="120"/>
        <w:rPr>
          <w:rFonts w:asciiTheme="minorHAnsi" w:hAnsiTheme="minorHAnsi"/>
          <w:snapToGrid w:val="0"/>
          <w:lang w:val="en-GB" w:eastAsia="en-US"/>
        </w:rPr>
      </w:pPr>
      <w:r w:rsidRPr="00175DCB">
        <w:rPr>
          <w:iCs/>
        </w:rPr>
        <w:t>The PBAC re</w:t>
      </w:r>
      <w:r w:rsidR="000531BC">
        <w:rPr>
          <w:iCs/>
        </w:rPr>
        <w:t xml:space="preserve">affirmed its previously expressed view that the proposed comparator of </w:t>
      </w:r>
      <w:proofErr w:type="spellStart"/>
      <w:r w:rsidR="000531BC">
        <w:rPr>
          <w:iCs/>
        </w:rPr>
        <w:t>vorinostat</w:t>
      </w:r>
      <w:proofErr w:type="spellEnd"/>
      <w:r w:rsidR="000531BC">
        <w:rPr>
          <w:iCs/>
        </w:rPr>
        <w:t xml:space="preserve"> was </w:t>
      </w:r>
      <w:r w:rsidR="00C6720D">
        <w:rPr>
          <w:iCs/>
        </w:rPr>
        <w:t>appropriat</w:t>
      </w:r>
      <w:r w:rsidR="000531BC">
        <w:rPr>
          <w:iCs/>
        </w:rPr>
        <w:t>e</w:t>
      </w:r>
      <w:r w:rsidRPr="00175DCB">
        <w:rPr>
          <w:iCs/>
        </w:rPr>
        <w:t xml:space="preserve"> (paragraph 7.3,</w:t>
      </w:r>
      <w:r w:rsidRPr="00175DCB">
        <w:rPr>
          <w:rFonts w:cs="Calibri"/>
          <w:iCs/>
        </w:rPr>
        <w:t xml:space="preserve"> mogamulizumab </w:t>
      </w:r>
      <w:r w:rsidR="00DF6FB8">
        <w:rPr>
          <w:rFonts w:cs="Calibri"/>
          <w:iCs/>
        </w:rPr>
        <w:t>PSD</w:t>
      </w:r>
      <w:r w:rsidRPr="00175DCB">
        <w:rPr>
          <w:rFonts w:cs="Calibri"/>
          <w:iCs/>
        </w:rPr>
        <w:t>, July 2020 PBAC Meeting)</w:t>
      </w:r>
      <w:r w:rsidRPr="00175DCB">
        <w:rPr>
          <w:iCs/>
        </w:rPr>
        <w:t xml:space="preserve">. </w:t>
      </w:r>
      <w:r w:rsidR="00D321A3" w:rsidRPr="00175DCB">
        <w:rPr>
          <w:iCs/>
        </w:rPr>
        <w:t xml:space="preserve">The PBAC noted that no formal claim was made in relation to the secondary </w:t>
      </w:r>
      <w:r w:rsidR="00D321A3" w:rsidRPr="00175DCB">
        <w:rPr>
          <w:iCs/>
        </w:rPr>
        <w:lastRenderedPageBreak/>
        <w:t>comparator</w:t>
      </w:r>
      <w:r w:rsidR="002873B0" w:rsidRPr="002873B0">
        <w:t xml:space="preserve"> </w:t>
      </w:r>
      <w:r w:rsidR="002873B0" w:rsidRPr="007427EF">
        <w:t>extracorporeal photopheresis</w:t>
      </w:r>
      <w:r w:rsidR="00D321A3">
        <w:rPr>
          <w:iCs/>
        </w:rPr>
        <w:t xml:space="preserve"> or the tertiary comparator brentuximab vedotin </w:t>
      </w:r>
      <w:r w:rsidR="00D321A3" w:rsidRPr="00175DCB">
        <w:rPr>
          <w:iCs/>
        </w:rPr>
        <w:t>in the</w:t>
      </w:r>
      <w:r w:rsidR="00D321A3">
        <w:rPr>
          <w:iCs/>
        </w:rPr>
        <w:t xml:space="preserve"> resubmission.</w:t>
      </w:r>
    </w:p>
    <w:p w14:paraId="5A4B288A" w14:textId="53A463A7" w:rsidR="001452EF" w:rsidRPr="001452EF" w:rsidRDefault="00C6720D" w:rsidP="006C1A72">
      <w:pPr>
        <w:widowControl w:val="0"/>
        <w:numPr>
          <w:ilvl w:val="1"/>
          <w:numId w:val="1"/>
        </w:numPr>
        <w:spacing w:after="120"/>
        <w:rPr>
          <w:rFonts w:asciiTheme="minorHAnsi" w:hAnsiTheme="minorHAnsi"/>
          <w:snapToGrid w:val="0"/>
          <w:lang w:val="en-GB" w:eastAsia="en-US"/>
        </w:rPr>
      </w:pPr>
      <w:r>
        <w:rPr>
          <w:iCs/>
        </w:rPr>
        <w:t xml:space="preserve">The PBAC noted the key clinical evidence </w:t>
      </w:r>
      <w:r w:rsidR="00B86C15">
        <w:rPr>
          <w:iCs/>
        </w:rPr>
        <w:t xml:space="preserve">provided </w:t>
      </w:r>
      <w:r>
        <w:rPr>
          <w:iCs/>
        </w:rPr>
        <w:t xml:space="preserve">in the resubmission was based on the </w:t>
      </w:r>
      <w:r w:rsidR="005309B4">
        <w:rPr>
          <w:iCs/>
        </w:rPr>
        <w:t>MAVORIC trial</w:t>
      </w:r>
      <w:r w:rsidR="00B86C15">
        <w:rPr>
          <w:iCs/>
        </w:rPr>
        <w:t xml:space="preserve"> </w:t>
      </w:r>
      <w:r w:rsidR="00850248">
        <w:rPr>
          <w:iCs/>
        </w:rPr>
        <w:t>(N=372)</w:t>
      </w:r>
      <w:r w:rsidR="00814A29">
        <w:rPr>
          <w:iCs/>
        </w:rPr>
        <w:t xml:space="preserve">, which compared </w:t>
      </w:r>
      <w:r w:rsidR="00B86C15">
        <w:rPr>
          <w:iCs/>
        </w:rPr>
        <w:t>mogamulizumab</w:t>
      </w:r>
      <w:r w:rsidR="00814A29">
        <w:rPr>
          <w:iCs/>
        </w:rPr>
        <w:t xml:space="preserve"> and </w:t>
      </w:r>
      <w:proofErr w:type="spellStart"/>
      <w:r w:rsidR="00814A29">
        <w:rPr>
          <w:iCs/>
        </w:rPr>
        <w:t>vorinostat</w:t>
      </w:r>
      <w:proofErr w:type="spellEnd"/>
      <w:r w:rsidR="005309B4">
        <w:rPr>
          <w:iCs/>
        </w:rPr>
        <w:t xml:space="preserve">, </w:t>
      </w:r>
      <w:r w:rsidR="00514EFB">
        <w:rPr>
          <w:iCs/>
        </w:rPr>
        <w:t xml:space="preserve">and the </w:t>
      </w:r>
      <w:r w:rsidR="00CE3B00">
        <w:rPr>
          <w:iCs/>
        </w:rPr>
        <w:t xml:space="preserve">ANCLD </w:t>
      </w:r>
      <w:r w:rsidR="00295A0E" w:rsidRPr="007427EF">
        <w:t>(Australian National Cutaneous Lymphoma Database)</w:t>
      </w:r>
      <w:r w:rsidR="00295A0E" w:rsidRPr="007427EF">
        <w:rPr>
          <w:color w:val="0066FF"/>
        </w:rPr>
        <w:t xml:space="preserve"> </w:t>
      </w:r>
      <w:r w:rsidR="00514EFB">
        <w:rPr>
          <w:iCs/>
        </w:rPr>
        <w:t>study</w:t>
      </w:r>
      <w:r w:rsidR="00B86C15">
        <w:rPr>
          <w:iCs/>
        </w:rPr>
        <w:t xml:space="preserve"> for </w:t>
      </w:r>
      <w:proofErr w:type="spellStart"/>
      <w:r w:rsidR="00B86C15">
        <w:rPr>
          <w:iCs/>
        </w:rPr>
        <w:t>vorinostat</w:t>
      </w:r>
      <w:proofErr w:type="spellEnd"/>
      <w:r w:rsidR="007E7237">
        <w:rPr>
          <w:iCs/>
        </w:rPr>
        <w:t xml:space="preserve"> (N=64)</w:t>
      </w:r>
      <w:r w:rsidR="00514EFB">
        <w:rPr>
          <w:iCs/>
        </w:rPr>
        <w:t xml:space="preserve">. </w:t>
      </w:r>
      <w:r w:rsidR="0024325A">
        <w:rPr>
          <w:iCs/>
        </w:rPr>
        <w:t xml:space="preserve">The PBAC recalled that </w:t>
      </w:r>
      <w:r w:rsidR="00A96721">
        <w:rPr>
          <w:iCs/>
        </w:rPr>
        <w:t xml:space="preserve">it had previously considered that the extent of benefit for mogamulizumab versus </w:t>
      </w:r>
      <w:proofErr w:type="spellStart"/>
      <w:r w:rsidR="00A96721">
        <w:rPr>
          <w:iCs/>
        </w:rPr>
        <w:t>vorinostat</w:t>
      </w:r>
      <w:proofErr w:type="spellEnd"/>
      <w:r w:rsidR="00A96721">
        <w:rPr>
          <w:iCs/>
        </w:rPr>
        <w:t xml:space="preserve"> could not be determined </w:t>
      </w:r>
      <w:r w:rsidR="002C439A">
        <w:rPr>
          <w:iCs/>
        </w:rPr>
        <w:t xml:space="preserve">from the </w:t>
      </w:r>
      <w:r w:rsidR="00CE3B00">
        <w:rPr>
          <w:iCs/>
        </w:rPr>
        <w:t xml:space="preserve">MAVORIC </w:t>
      </w:r>
      <w:r w:rsidR="002C439A">
        <w:rPr>
          <w:iCs/>
        </w:rPr>
        <w:t>trial</w:t>
      </w:r>
      <w:r w:rsidR="0012131C">
        <w:rPr>
          <w:iCs/>
        </w:rPr>
        <w:t xml:space="preserve"> given the </w:t>
      </w:r>
      <w:r w:rsidR="0012784A">
        <w:rPr>
          <w:iCs/>
        </w:rPr>
        <w:t xml:space="preserve">high and early </w:t>
      </w:r>
      <w:r w:rsidR="004E3D69">
        <w:rPr>
          <w:iCs/>
        </w:rPr>
        <w:t xml:space="preserve">level of crossover </w:t>
      </w:r>
      <w:r w:rsidR="0012784A">
        <w:rPr>
          <w:iCs/>
        </w:rPr>
        <w:t xml:space="preserve">of </w:t>
      </w:r>
      <w:proofErr w:type="spellStart"/>
      <w:r w:rsidR="0012784A">
        <w:rPr>
          <w:iCs/>
        </w:rPr>
        <w:t>vorinostat</w:t>
      </w:r>
      <w:proofErr w:type="spellEnd"/>
      <w:r w:rsidR="0012784A">
        <w:rPr>
          <w:iCs/>
        </w:rPr>
        <w:t xml:space="preserve"> patients to mogamulizumab </w:t>
      </w:r>
      <w:r w:rsidR="002C439A">
        <w:rPr>
          <w:iCs/>
        </w:rPr>
        <w:t>(para</w:t>
      </w:r>
      <w:r w:rsidR="0012131C">
        <w:rPr>
          <w:iCs/>
        </w:rPr>
        <w:t>graph</w:t>
      </w:r>
      <w:r w:rsidR="004E3D69">
        <w:rPr>
          <w:iCs/>
        </w:rPr>
        <w:t>s</w:t>
      </w:r>
      <w:r w:rsidR="002C439A">
        <w:rPr>
          <w:iCs/>
        </w:rPr>
        <w:t xml:space="preserve"> 7.</w:t>
      </w:r>
      <w:r w:rsidR="00FD209C">
        <w:rPr>
          <w:iCs/>
        </w:rPr>
        <w:t>4, 7.</w:t>
      </w:r>
      <w:r w:rsidR="0012784A">
        <w:rPr>
          <w:iCs/>
        </w:rPr>
        <w:t>5, and 7</w:t>
      </w:r>
      <w:r w:rsidR="004E3D69">
        <w:rPr>
          <w:iCs/>
        </w:rPr>
        <w:t>.</w:t>
      </w:r>
      <w:r w:rsidR="002C439A">
        <w:rPr>
          <w:iCs/>
        </w:rPr>
        <w:t xml:space="preserve">7, mogamulizumab PSD, </w:t>
      </w:r>
      <w:r w:rsidR="0012131C">
        <w:rPr>
          <w:iCs/>
        </w:rPr>
        <w:t>July 2020 PBAC Meeting)</w:t>
      </w:r>
      <w:r w:rsidR="00406AAC">
        <w:rPr>
          <w:iCs/>
        </w:rPr>
        <w:t xml:space="preserve">. </w:t>
      </w:r>
    </w:p>
    <w:p w14:paraId="4E735BF7" w14:textId="648FEDAF" w:rsidR="00F36369" w:rsidRPr="00CC23AB" w:rsidRDefault="00514EFB" w:rsidP="00CC23AB">
      <w:pPr>
        <w:widowControl w:val="0"/>
        <w:numPr>
          <w:ilvl w:val="1"/>
          <w:numId w:val="1"/>
        </w:numPr>
        <w:spacing w:after="120"/>
        <w:rPr>
          <w:iCs/>
        </w:rPr>
      </w:pPr>
      <w:bookmarkStart w:id="74" w:name="_Ref193550513"/>
      <w:r w:rsidRPr="009F10E0">
        <w:rPr>
          <w:iCs/>
        </w:rPr>
        <w:t>The PBAC noted that the resubmission had presented a</w:t>
      </w:r>
      <w:r w:rsidR="00646B3E" w:rsidRPr="009F10E0">
        <w:rPr>
          <w:iCs/>
        </w:rPr>
        <w:t xml:space="preserve">n unanchored matching-adjusted indirect comparison (MAIC) </w:t>
      </w:r>
      <w:r w:rsidR="000A28BC" w:rsidRPr="009F10E0">
        <w:rPr>
          <w:iCs/>
        </w:rPr>
        <w:t xml:space="preserve">for the outcome of overall survival </w:t>
      </w:r>
      <w:r w:rsidR="00017DA7" w:rsidRPr="009F10E0">
        <w:rPr>
          <w:iCs/>
        </w:rPr>
        <w:t xml:space="preserve">(OS) </w:t>
      </w:r>
      <w:r w:rsidR="00D56CDB" w:rsidRPr="009F10E0">
        <w:rPr>
          <w:iCs/>
        </w:rPr>
        <w:t xml:space="preserve">by matching individual patient data </w:t>
      </w:r>
      <w:r w:rsidR="004F3D30">
        <w:rPr>
          <w:iCs/>
        </w:rPr>
        <w:t xml:space="preserve">(based on sex and CTCL subtypes) </w:t>
      </w:r>
      <w:r w:rsidR="00D56CDB" w:rsidRPr="009F10E0">
        <w:rPr>
          <w:iCs/>
        </w:rPr>
        <w:t xml:space="preserve">from patients treated with mogamulizumab in MAVORIC to summary-level patient data for </w:t>
      </w:r>
      <w:proofErr w:type="spellStart"/>
      <w:r w:rsidR="00D56CDB" w:rsidRPr="009F10E0">
        <w:rPr>
          <w:iCs/>
        </w:rPr>
        <w:t>vorinostat</w:t>
      </w:r>
      <w:proofErr w:type="spellEnd"/>
      <w:r w:rsidR="00D56CDB" w:rsidRPr="009F10E0">
        <w:rPr>
          <w:iCs/>
        </w:rPr>
        <w:t xml:space="preserve"> in </w:t>
      </w:r>
      <w:r w:rsidR="00CE3B00" w:rsidRPr="009F10E0">
        <w:rPr>
          <w:iCs/>
        </w:rPr>
        <w:t>AN</w:t>
      </w:r>
      <w:r w:rsidR="00CE3B00">
        <w:rPr>
          <w:iCs/>
        </w:rPr>
        <w:t>C</w:t>
      </w:r>
      <w:r w:rsidR="00CE3B00" w:rsidRPr="009F10E0">
        <w:rPr>
          <w:iCs/>
        </w:rPr>
        <w:t>LD</w:t>
      </w:r>
      <w:r w:rsidR="00D56CDB" w:rsidRPr="009F10E0">
        <w:rPr>
          <w:iCs/>
        </w:rPr>
        <w:t>.</w:t>
      </w:r>
      <w:r w:rsidR="00960476" w:rsidRPr="009F10E0">
        <w:rPr>
          <w:iCs/>
        </w:rPr>
        <w:t xml:space="preserve"> </w:t>
      </w:r>
      <w:r w:rsidR="00C131CB" w:rsidRPr="009F10E0">
        <w:rPr>
          <w:rFonts w:asciiTheme="minorHAnsi" w:hAnsiTheme="minorHAnsi" w:cstheme="minorHAnsi"/>
          <w:iCs/>
        </w:rPr>
        <w:t xml:space="preserve">The </w:t>
      </w:r>
      <w:r w:rsidR="000B337E" w:rsidRPr="009F10E0">
        <w:rPr>
          <w:rFonts w:asciiTheme="minorHAnsi" w:hAnsiTheme="minorHAnsi" w:cstheme="minorHAnsi"/>
          <w:iCs/>
        </w:rPr>
        <w:t xml:space="preserve">PBAC noted that the </w:t>
      </w:r>
      <w:r w:rsidR="00C131CB" w:rsidRPr="009F10E0">
        <w:rPr>
          <w:rFonts w:asciiTheme="minorHAnsi" w:hAnsiTheme="minorHAnsi" w:cstheme="minorHAnsi"/>
          <w:iCs/>
        </w:rPr>
        <w:t xml:space="preserve">results of the MAIC </w:t>
      </w:r>
      <w:r w:rsidR="00650D85">
        <w:rPr>
          <w:rFonts w:asciiTheme="minorHAnsi" w:hAnsiTheme="minorHAnsi" w:cstheme="minorHAnsi"/>
          <w:iCs/>
        </w:rPr>
        <w:t>did not</w:t>
      </w:r>
      <w:r w:rsidR="003226C8">
        <w:rPr>
          <w:rFonts w:asciiTheme="minorHAnsi" w:hAnsiTheme="minorHAnsi" w:cstheme="minorHAnsi"/>
          <w:iCs/>
        </w:rPr>
        <w:t xml:space="preserve"> reach the </w:t>
      </w:r>
      <w:r w:rsidR="002D074D">
        <w:rPr>
          <w:rFonts w:asciiTheme="minorHAnsi" w:hAnsiTheme="minorHAnsi" w:cstheme="minorHAnsi"/>
          <w:iCs/>
        </w:rPr>
        <w:t>0.05</w:t>
      </w:r>
      <w:r w:rsidR="001C330E">
        <w:rPr>
          <w:rFonts w:asciiTheme="minorHAnsi" w:hAnsiTheme="minorHAnsi" w:cstheme="minorHAnsi"/>
          <w:iCs/>
        </w:rPr>
        <w:t xml:space="preserve"> nominal level of </w:t>
      </w:r>
      <w:r w:rsidR="00D92C54">
        <w:rPr>
          <w:rFonts w:asciiTheme="minorHAnsi" w:hAnsiTheme="minorHAnsi" w:cstheme="minorHAnsi"/>
          <w:iCs/>
        </w:rPr>
        <w:t>significance</w:t>
      </w:r>
      <w:r w:rsidR="00C131CB" w:rsidRPr="009F10E0">
        <w:rPr>
          <w:rFonts w:asciiTheme="minorHAnsi" w:hAnsiTheme="minorHAnsi" w:cstheme="minorHAnsi"/>
          <w:iCs/>
        </w:rPr>
        <w:t xml:space="preserve"> (hazard ratio = 0.68; 95% confidence interval = 0.45, 1.02; p = 0.06). </w:t>
      </w:r>
      <w:r w:rsidR="009F10E0" w:rsidRPr="00017DA7">
        <w:rPr>
          <w:rFonts w:asciiTheme="minorHAnsi" w:hAnsiTheme="minorHAnsi" w:cstheme="minorHAnsi"/>
          <w:iCs/>
        </w:rPr>
        <w:t xml:space="preserve">The PBAC </w:t>
      </w:r>
      <w:r w:rsidR="000645FF">
        <w:rPr>
          <w:rFonts w:asciiTheme="minorHAnsi" w:hAnsiTheme="minorHAnsi" w:cstheme="minorHAnsi"/>
          <w:iCs/>
        </w:rPr>
        <w:t xml:space="preserve">noted that </w:t>
      </w:r>
      <w:r w:rsidR="00C450EA">
        <w:rPr>
          <w:rFonts w:asciiTheme="minorHAnsi" w:hAnsiTheme="minorHAnsi" w:cstheme="minorHAnsi"/>
          <w:iCs/>
        </w:rPr>
        <w:t xml:space="preserve">the limited amount of data </w:t>
      </w:r>
      <w:r w:rsidR="0005231F">
        <w:rPr>
          <w:rFonts w:asciiTheme="minorHAnsi" w:hAnsiTheme="minorHAnsi" w:cstheme="minorHAnsi"/>
          <w:iCs/>
        </w:rPr>
        <w:t>available for patients in the ANCLD study impacted</w:t>
      </w:r>
      <w:r w:rsidR="000645FF">
        <w:rPr>
          <w:rFonts w:asciiTheme="minorHAnsi" w:hAnsiTheme="minorHAnsi" w:cstheme="minorHAnsi"/>
          <w:iCs/>
        </w:rPr>
        <w:t xml:space="preserve"> the </w:t>
      </w:r>
      <w:r w:rsidR="00357BF0">
        <w:rPr>
          <w:rFonts w:asciiTheme="minorHAnsi" w:hAnsiTheme="minorHAnsi" w:cstheme="minorHAnsi"/>
          <w:iCs/>
        </w:rPr>
        <w:t>robustness of the MAIC</w:t>
      </w:r>
      <w:r w:rsidR="00480671">
        <w:rPr>
          <w:rFonts w:asciiTheme="minorHAnsi" w:hAnsiTheme="minorHAnsi" w:cstheme="minorHAnsi"/>
          <w:iCs/>
        </w:rPr>
        <w:t>, and o</w:t>
      </w:r>
      <w:r w:rsidR="00357BF0">
        <w:rPr>
          <w:rFonts w:asciiTheme="minorHAnsi" w:hAnsiTheme="minorHAnsi" w:cstheme="minorHAnsi"/>
          <w:iCs/>
        </w:rPr>
        <w:t>verall, the PBAC c</w:t>
      </w:r>
      <w:r w:rsidR="009F10E0" w:rsidRPr="00017DA7">
        <w:rPr>
          <w:rFonts w:asciiTheme="minorHAnsi" w:hAnsiTheme="minorHAnsi" w:cstheme="minorHAnsi"/>
          <w:iCs/>
        </w:rPr>
        <w:t>onsidered that the</w:t>
      </w:r>
      <w:r w:rsidR="00ED07F8">
        <w:rPr>
          <w:rFonts w:asciiTheme="minorHAnsi" w:hAnsiTheme="minorHAnsi" w:cstheme="minorHAnsi"/>
          <w:iCs/>
        </w:rPr>
        <w:t xml:space="preserve"> </w:t>
      </w:r>
      <w:r w:rsidR="009F10E0" w:rsidRPr="00017DA7">
        <w:rPr>
          <w:rFonts w:asciiTheme="minorHAnsi" w:hAnsiTheme="minorHAnsi" w:cstheme="minorHAnsi"/>
          <w:iCs/>
        </w:rPr>
        <w:t xml:space="preserve">MAIC </w:t>
      </w:r>
      <w:r w:rsidR="00357BF0">
        <w:rPr>
          <w:rFonts w:asciiTheme="minorHAnsi" w:hAnsiTheme="minorHAnsi" w:cstheme="minorHAnsi"/>
          <w:iCs/>
        </w:rPr>
        <w:t xml:space="preserve">was </w:t>
      </w:r>
      <w:r w:rsidR="00794C44">
        <w:rPr>
          <w:rFonts w:asciiTheme="minorHAnsi" w:hAnsiTheme="minorHAnsi" w:cstheme="minorHAnsi"/>
          <w:iCs/>
        </w:rPr>
        <w:t>unreliable for decision making</w:t>
      </w:r>
      <w:r w:rsidR="009F10E0" w:rsidRPr="00017DA7">
        <w:rPr>
          <w:rFonts w:asciiTheme="minorHAnsi" w:hAnsiTheme="minorHAnsi" w:cstheme="minorHAnsi"/>
          <w:iCs/>
        </w:rPr>
        <w:t>.</w:t>
      </w:r>
      <w:r w:rsidR="00CC23AB">
        <w:rPr>
          <w:rFonts w:asciiTheme="minorHAnsi" w:hAnsiTheme="minorHAnsi" w:cstheme="minorHAnsi"/>
          <w:iCs/>
        </w:rPr>
        <w:t xml:space="preserve"> </w:t>
      </w:r>
      <w:r w:rsidR="00F36369" w:rsidRPr="00CC23AB">
        <w:rPr>
          <w:iCs/>
        </w:rPr>
        <w:t xml:space="preserve">The PBAC considered the claim of superior clinical effectiveness versus </w:t>
      </w:r>
      <w:proofErr w:type="spellStart"/>
      <w:r w:rsidR="00F36369" w:rsidRPr="00CC23AB">
        <w:rPr>
          <w:iCs/>
        </w:rPr>
        <w:t>vorinostat</w:t>
      </w:r>
      <w:proofErr w:type="spellEnd"/>
      <w:r w:rsidR="00F36369" w:rsidRPr="00CC23AB">
        <w:rPr>
          <w:iCs/>
        </w:rPr>
        <w:t xml:space="preserve"> was not supported by the data presented. </w:t>
      </w:r>
      <w:r w:rsidR="003C12FA">
        <w:rPr>
          <w:iCs/>
        </w:rPr>
        <w:t>However, t</w:t>
      </w:r>
      <w:r w:rsidR="00F36369" w:rsidRPr="00CC23AB">
        <w:rPr>
          <w:iCs/>
        </w:rPr>
        <w:t>he PBAC considered a claim of non-inferior comparative effectiveness w</w:t>
      </w:r>
      <w:r w:rsidR="00AC2925">
        <w:rPr>
          <w:iCs/>
        </w:rPr>
        <w:t>as</w:t>
      </w:r>
      <w:r w:rsidR="00F36369" w:rsidRPr="00CC23AB">
        <w:rPr>
          <w:iCs/>
        </w:rPr>
        <w:t xml:space="preserve"> reasonable.</w:t>
      </w:r>
      <w:bookmarkEnd w:id="74"/>
      <w:r w:rsidR="00F36369" w:rsidRPr="00CC23AB">
        <w:rPr>
          <w:iCs/>
        </w:rPr>
        <w:t xml:space="preserve"> </w:t>
      </w:r>
    </w:p>
    <w:p w14:paraId="4A553954" w14:textId="5E1F184D" w:rsidR="009D3EA0" w:rsidRPr="00D0707C" w:rsidRDefault="009D3EA0" w:rsidP="009D3EA0">
      <w:pPr>
        <w:pStyle w:val="3-BodyText"/>
        <w:spacing w:before="0"/>
        <w:rPr>
          <w:iCs/>
        </w:rPr>
      </w:pPr>
      <w:bookmarkStart w:id="75" w:name="_Ref217051284"/>
      <w:r w:rsidRPr="00175DCB">
        <w:rPr>
          <w:rFonts w:cs="Calibri"/>
          <w:iCs/>
        </w:rPr>
        <w:t xml:space="preserve">The PBAC </w:t>
      </w:r>
      <w:r w:rsidR="00FD1B48">
        <w:rPr>
          <w:rFonts w:cs="Calibri"/>
          <w:iCs/>
        </w:rPr>
        <w:t xml:space="preserve">noted that no </w:t>
      </w:r>
      <w:r w:rsidR="00C2635D">
        <w:rPr>
          <w:rFonts w:cs="Calibri"/>
          <w:iCs/>
        </w:rPr>
        <w:t>new safety data were available</w:t>
      </w:r>
      <w:r w:rsidR="00FD1B48">
        <w:rPr>
          <w:rFonts w:cs="Calibri"/>
          <w:iCs/>
        </w:rPr>
        <w:t xml:space="preserve"> and </w:t>
      </w:r>
      <w:r w:rsidRPr="00175DCB">
        <w:rPr>
          <w:rFonts w:cs="Calibri"/>
          <w:iCs/>
        </w:rPr>
        <w:t xml:space="preserve">reaffirmed its July 2020 advice that </w:t>
      </w:r>
      <w:r w:rsidRPr="00175DCB">
        <w:rPr>
          <w:rFonts w:ascii="Calibri" w:hAnsi="Calibri" w:cs="Calibri"/>
          <w:iCs/>
        </w:rPr>
        <w:t xml:space="preserve">the claim of non-inferior comparative safety versus </w:t>
      </w:r>
      <w:proofErr w:type="spellStart"/>
      <w:r w:rsidRPr="00175DCB">
        <w:rPr>
          <w:rFonts w:ascii="Calibri" w:hAnsi="Calibri" w:cs="Calibri"/>
          <w:iCs/>
        </w:rPr>
        <w:t>vorinostat</w:t>
      </w:r>
      <w:proofErr w:type="spellEnd"/>
      <w:r w:rsidRPr="00175DCB">
        <w:rPr>
          <w:rFonts w:ascii="Calibri" w:hAnsi="Calibri" w:cs="Calibri"/>
          <w:iCs/>
        </w:rPr>
        <w:t xml:space="preserve"> was reasonable </w:t>
      </w:r>
      <w:r w:rsidRPr="00175DCB">
        <w:rPr>
          <w:rFonts w:cs="Calibri"/>
          <w:iCs/>
        </w:rPr>
        <w:t xml:space="preserve">(paragraph 7.8, mogamulizumab PBAC </w:t>
      </w:r>
      <w:r w:rsidR="00FD1B48">
        <w:rPr>
          <w:rFonts w:cs="Calibri"/>
          <w:iCs/>
        </w:rPr>
        <w:t>PSD</w:t>
      </w:r>
      <w:r w:rsidRPr="00175DCB">
        <w:rPr>
          <w:rFonts w:cs="Calibri"/>
          <w:iCs/>
        </w:rPr>
        <w:t>, July 2020 PBAC Meeting)</w:t>
      </w:r>
      <w:r w:rsidRPr="00175DCB">
        <w:rPr>
          <w:rFonts w:ascii="Calibri" w:hAnsi="Calibri" w:cs="Calibri"/>
          <w:iCs/>
        </w:rPr>
        <w:t>.</w:t>
      </w:r>
      <w:bookmarkEnd w:id="75"/>
    </w:p>
    <w:p w14:paraId="73E57B22" w14:textId="45524D7F" w:rsidR="00F12231" w:rsidRPr="00B80088" w:rsidRDefault="00FC7627" w:rsidP="00F12231">
      <w:pPr>
        <w:pStyle w:val="3-BodyText"/>
        <w:rPr>
          <w:rFonts w:eastAsia="Times New Roman" w:cs="Arial"/>
          <w:snapToGrid w:val="0"/>
          <w:szCs w:val="24"/>
          <w:lang w:val="en-GB" w:eastAsia="en-US"/>
        </w:rPr>
      </w:pPr>
      <w:bookmarkStart w:id="76" w:name="_Ref193553440"/>
      <w:r w:rsidRPr="00694132">
        <w:rPr>
          <w:rFonts w:ascii="Calibri" w:hAnsi="Calibri" w:cs="Calibri"/>
          <w:iCs/>
        </w:rPr>
        <w:t xml:space="preserve">The PBAC noted that the resubmission had presented a cost-utility analysis based on </w:t>
      </w:r>
      <w:r w:rsidR="00E20A56" w:rsidRPr="00694132">
        <w:rPr>
          <w:rFonts w:ascii="Calibri" w:hAnsi="Calibri" w:cs="Calibri"/>
          <w:iCs/>
        </w:rPr>
        <w:t xml:space="preserve">the clinical claim of superiority, which it considered was not supported by the </w:t>
      </w:r>
      <w:r w:rsidR="00CB4984" w:rsidRPr="00694132">
        <w:rPr>
          <w:rFonts w:ascii="Calibri" w:hAnsi="Calibri" w:cs="Calibri"/>
          <w:iCs/>
        </w:rPr>
        <w:t>data presented (</w:t>
      </w:r>
      <w:r w:rsidR="007A0F23">
        <w:rPr>
          <w:rFonts w:ascii="Calibri" w:hAnsi="Calibri" w:cs="Calibri"/>
          <w:iCs/>
        </w:rPr>
        <w:t>see</w:t>
      </w:r>
      <w:r w:rsidR="007D7754">
        <w:rPr>
          <w:rFonts w:ascii="Calibri" w:hAnsi="Calibri" w:cs="Calibri"/>
          <w:iCs/>
        </w:rPr>
        <w:t xml:space="preserve"> paragraph </w:t>
      </w:r>
      <w:r w:rsidR="007D7754">
        <w:rPr>
          <w:rFonts w:ascii="Calibri" w:hAnsi="Calibri" w:cs="Calibri"/>
          <w:iCs/>
        </w:rPr>
        <w:fldChar w:fldCharType="begin"/>
      </w:r>
      <w:r w:rsidR="007D7754">
        <w:rPr>
          <w:rFonts w:ascii="Calibri" w:hAnsi="Calibri" w:cs="Calibri"/>
          <w:iCs/>
        </w:rPr>
        <w:instrText xml:space="preserve"> REF _Ref217051284 \r \h </w:instrText>
      </w:r>
      <w:r w:rsidR="007D7754">
        <w:rPr>
          <w:rFonts w:ascii="Calibri" w:hAnsi="Calibri" w:cs="Calibri"/>
          <w:iCs/>
        </w:rPr>
      </w:r>
      <w:r w:rsidR="007D7754">
        <w:rPr>
          <w:rFonts w:ascii="Calibri" w:hAnsi="Calibri" w:cs="Calibri"/>
          <w:iCs/>
        </w:rPr>
        <w:fldChar w:fldCharType="separate"/>
      </w:r>
      <w:r w:rsidR="00EF6B5D">
        <w:rPr>
          <w:rFonts w:ascii="Calibri" w:hAnsi="Calibri" w:cs="Calibri"/>
          <w:iCs/>
        </w:rPr>
        <w:t>7.7</w:t>
      </w:r>
      <w:r w:rsidR="007D7754">
        <w:rPr>
          <w:rFonts w:ascii="Calibri" w:hAnsi="Calibri" w:cs="Calibri"/>
          <w:iCs/>
        </w:rPr>
        <w:fldChar w:fldCharType="end"/>
      </w:r>
      <w:r w:rsidR="00CB4984" w:rsidRPr="00694132">
        <w:rPr>
          <w:rFonts w:ascii="Calibri" w:hAnsi="Calibri" w:cs="Calibri"/>
          <w:iCs/>
        </w:rPr>
        <w:t>).</w:t>
      </w:r>
      <w:r w:rsidR="00E82C3A">
        <w:rPr>
          <w:iCs/>
        </w:rPr>
        <w:t xml:space="preserve"> </w:t>
      </w:r>
      <w:r w:rsidR="00D0707C" w:rsidRPr="00E82C3A">
        <w:rPr>
          <w:rFonts w:ascii="Calibri" w:hAnsi="Calibri" w:cs="Calibri"/>
          <w:iCs/>
        </w:rPr>
        <w:t xml:space="preserve">The PBAC noted that </w:t>
      </w:r>
      <w:r w:rsidR="00E82C3A" w:rsidRPr="00E82C3A">
        <w:rPr>
          <w:rFonts w:ascii="Calibri" w:hAnsi="Calibri" w:cs="Calibri"/>
          <w:iCs/>
        </w:rPr>
        <w:t>the</w:t>
      </w:r>
      <w:r w:rsidR="000B33F1" w:rsidRPr="00E82C3A">
        <w:rPr>
          <w:rFonts w:ascii="Calibri" w:hAnsi="Calibri" w:cs="Calibri"/>
          <w:iCs/>
        </w:rPr>
        <w:t xml:space="preserve"> </w:t>
      </w:r>
      <w:r w:rsidR="00B45A6D" w:rsidRPr="00E82C3A">
        <w:rPr>
          <w:rFonts w:ascii="Calibri" w:hAnsi="Calibri" w:cs="Calibri"/>
          <w:iCs/>
        </w:rPr>
        <w:t>PSCR</w:t>
      </w:r>
      <w:r w:rsidR="00811CAC">
        <w:rPr>
          <w:rFonts w:ascii="Calibri" w:hAnsi="Calibri" w:cs="Calibri"/>
          <w:iCs/>
        </w:rPr>
        <w:t xml:space="preserve"> presented a </w:t>
      </w:r>
      <w:r w:rsidR="00811CAC">
        <w:rPr>
          <w:rFonts w:eastAsia="Times New Roman" w:cs="Arial"/>
          <w:snapToGrid w:val="0"/>
          <w:szCs w:val="24"/>
          <w:lang w:val="en-GB" w:eastAsia="en-US"/>
        </w:rPr>
        <w:t>cost-minimisation approach (CMA)</w:t>
      </w:r>
      <w:r w:rsidR="00DE02D8">
        <w:rPr>
          <w:rFonts w:eastAsia="Times New Roman" w:cs="Arial"/>
          <w:snapToGrid w:val="0"/>
          <w:szCs w:val="24"/>
          <w:lang w:val="en-GB" w:eastAsia="en-US"/>
        </w:rPr>
        <w:t xml:space="preserve"> of </w:t>
      </w:r>
      <w:r w:rsidR="007E3A35" w:rsidRPr="00E82C3A">
        <w:rPr>
          <w:rFonts w:ascii="Calibri" w:hAnsi="Calibri" w:cs="Calibri"/>
          <w:iCs/>
        </w:rPr>
        <w:t>mogamulizumab versus</w:t>
      </w:r>
      <w:r w:rsidR="00B22487" w:rsidRPr="00E82C3A">
        <w:rPr>
          <w:rFonts w:ascii="Calibri" w:hAnsi="Calibri" w:cs="Calibri"/>
          <w:iCs/>
        </w:rPr>
        <w:t xml:space="preserve"> </w:t>
      </w:r>
      <w:proofErr w:type="spellStart"/>
      <w:r w:rsidR="00B22487" w:rsidRPr="00E82C3A">
        <w:rPr>
          <w:rFonts w:ascii="Calibri" w:hAnsi="Calibri" w:cs="Calibri"/>
          <w:iCs/>
        </w:rPr>
        <w:t>vorinostat</w:t>
      </w:r>
      <w:proofErr w:type="spellEnd"/>
      <w:r w:rsidR="00DE02D8">
        <w:rPr>
          <w:rFonts w:ascii="Calibri" w:hAnsi="Calibri" w:cs="Calibri"/>
          <w:iCs/>
        </w:rPr>
        <w:t xml:space="preserve">. </w:t>
      </w:r>
      <w:r w:rsidR="002E4356">
        <w:rPr>
          <w:rFonts w:ascii="Calibri" w:hAnsi="Calibri" w:cs="Calibri"/>
          <w:iCs/>
        </w:rPr>
        <w:t xml:space="preserve">The PBAC </w:t>
      </w:r>
      <w:r w:rsidR="001A04AF">
        <w:rPr>
          <w:rFonts w:ascii="Calibri" w:hAnsi="Calibri" w:cs="Calibri"/>
          <w:iCs/>
        </w:rPr>
        <w:t xml:space="preserve">considered dosing based on steady-state was reasonable but </w:t>
      </w:r>
      <w:r w:rsidR="002E4356">
        <w:rPr>
          <w:rFonts w:ascii="Calibri" w:hAnsi="Calibri" w:cs="Calibri"/>
          <w:iCs/>
        </w:rPr>
        <w:t xml:space="preserve">noted the CMA did not include </w:t>
      </w:r>
      <w:r w:rsidR="004C4C58" w:rsidRPr="00E82C3A">
        <w:rPr>
          <w:rFonts w:ascii="Calibri" w:hAnsi="Calibri" w:cs="Calibri"/>
          <w:iCs/>
        </w:rPr>
        <w:t xml:space="preserve">the cost of </w:t>
      </w:r>
      <w:r w:rsidR="00806531" w:rsidRPr="00E82C3A">
        <w:rPr>
          <w:rFonts w:ascii="Calibri" w:hAnsi="Calibri" w:cs="Calibri"/>
          <w:iCs/>
        </w:rPr>
        <w:t xml:space="preserve">mogamulizumab </w:t>
      </w:r>
      <w:r w:rsidR="004C4C58" w:rsidRPr="00E82C3A">
        <w:rPr>
          <w:rFonts w:ascii="Calibri" w:hAnsi="Calibri" w:cs="Calibri"/>
          <w:iCs/>
        </w:rPr>
        <w:t xml:space="preserve">administration </w:t>
      </w:r>
      <w:r w:rsidR="002E4356">
        <w:rPr>
          <w:rFonts w:ascii="Calibri" w:hAnsi="Calibri" w:cs="Calibri"/>
          <w:iCs/>
        </w:rPr>
        <w:t>or</w:t>
      </w:r>
      <w:r w:rsidR="007E3A35" w:rsidRPr="00E82C3A">
        <w:rPr>
          <w:rFonts w:ascii="Calibri" w:hAnsi="Calibri" w:cs="Calibri"/>
          <w:iCs/>
        </w:rPr>
        <w:t xml:space="preserve"> </w:t>
      </w:r>
      <w:r w:rsidR="004C4C58" w:rsidRPr="00E82C3A">
        <w:rPr>
          <w:rFonts w:ascii="Calibri" w:hAnsi="Calibri" w:cs="Calibri"/>
          <w:iCs/>
        </w:rPr>
        <w:t xml:space="preserve">adjust for dose intensity, which </w:t>
      </w:r>
      <w:r w:rsidR="006E7DCB" w:rsidRPr="00E82C3A">
        <w:rPr>
          <w:rFonts w:ascii="Calibri" w:hAnsi="Calibri" w:cs="Calibri"/>
          <w:iCs/>
        </w:rPr>
        <w:t xml:space="preserve">it considered </w:t>
      </w:r>
      <w:r w:rsidR="007E3A35" w:rsidRPr="00E82C3A">
        <w:rPr>
          <w:rFonts w:ascii="Calibri" w:hAnsi="Calibri" w:cs="Calibri"/>
          <w:iCs/>
        </w:rPr>
        <w:t>was</w:t>
      </w:r>
      <w:r w:rsidR="004C4C58" w:rsidRPr="00E82C3A">
        <w:rPr>
          <w:rFonts w:ascii="Calibri" w:hAnsi="Calibri" w:cs="Calibri"/>
          <w:iCs/>
        </w:rPr>
        <w:t xml:space="preserve"> inappropriate</w:t>
      </w:r>
      <w:r w:rsidR="00B22487" w:rsidRPr="00E82C3A">
        <w:rPr>
          <w:rFonts w:ascii="Calibri" w:hAnsi="Calibri" w:cs="Calibri"/>
          <w:iCs/>
        </w:rPr>
        <w:t xml:space="preserve">. </w:t>
      </w:r>
      <w:r w:rsidR="00F41C6F">
        <w:rPr>
          <w:rFonts w:ascii="Calibri" w:hAnsi="Calibri" w:cs="Calibri"/>
          <w:iCs/>
        </w:rPr>
        <w:t>T</w:t>
      </w:r>
      <w:r w:rsidR="00694132" w:rsidRPr="00E82C3A">
        <w:rPr>
          <w:rFonts w:ascii="Calibri" w:hAnsi="Calibri" w:cs="Calibri"/>
          <w:iCs/>
        </w:rPr>
        <w:t xml:space="preserve">he </w:t>
      </w:r>
      <w:r w:rsidR="00186DA6" w:rsidRPr="00E82C3A">
        <w:rPr>
          <w:rFonts w:ascii="Calibri" w:hAnsi="Calibri" w:cs="Calibri"/>
          <w:iCs/>
        </w:rPr>
        <w:t xml:space="preserve">PBAC </w:t>
      </w:r>
      <w:r w:rsidR="00F41C6F">
        <w:rPr>
          <w:rFonts w:ascii="Calibri" w:hAnsi="Calibri" w:cs="Calibri"/>
          <w:iCs/>
        </w:rPr>
        <w:t>agreed with the ESC that</w:t>
      </w:r>
      <w:r w:rsidR="0084555B">
        <w:rPr>
          <w:rFonts w:ascii="Calibri" w:hAnsi="Calibri" w:cs="Calibri"/>
          <w:iCs/>
        </w:rPr>
        <w:t>, although uncertain,</w:t>
      </w:r>
      <w:r w:rsidR="00F41C6F">
        <w:rPr>
          <w:rFonts w:ascii="Calibri" w:hAnsi="Calibri" w:cs="Calibri"/>
          <w:iCs/>
        </w:rPr>
        <w:t xml:space="preserve"> it would</w:t>
      </w:r>
      <w:r w:rsidR="00B67FA4" w:rsidRPr="00E82C3A">
        <w:rPr>
          <w:rFonts w:ascii="Calibri" w:hAnsi="Calibri" w:cs="Calibri"/>
          <w:iCs/>
        </w:rPr>
        <w:t xml:space="preserve"> be reasonable </w:t>
      </w:r>
      <w:r w:rsidR="00994DF7" w:rsidRPr="00E82C3A">
        <w:rPr>
          <w:rFonts w:ascii="Calibri" w:hAnsi="Calibri" w:cs="Calibri"/>
          <w:iCs/>
        </w:rPr>
        <w:t xml:space="preserve">to assume </w:t>
      </w:r>
      <w:r w:rsidR="00DC63CB" w:rsidRPr="00E82C3A">
        <w:rPr>
          <w:rFonts w:ascii="Calibri" w:hAnsi="Calibri" w:cs="Calibri"/>
          <w:iCs/>
        </w:rPr>
        <w:t>the treatment duration</w:t>
      </w:r>
      <w:r w:rsidR="003768A1" w:rsidRPr="00E82C3A">
        <w:rPr>
          <w:rFonts w:ascii="Calibri" w:hAnsi="Calibri" w:cs="Calibri"/>
          <w:iCs/>
        </w:rPr>
        <w:t xml:space="preserve"> of mogamulizumab and </w:t>
      </w:r>
      <w:proofErr w:type="spellStart"/>
      <w:r w:rsidR="003768A1" w:rsidRPr="00E82C3A">
        <w:rPr>
          <w:rFonts w:ascii="Calibri" w:hAnsi="Calibri" w:cs="Calibri"/>
          <w:iCs/>
        </w:rPr>
        <w:t>vorinostat</w:t>
      </w:r>
      <w:proofErr w:type="spellEnd"/>
      <w:r w:rsidR="003768A1" w:rsidRPr="00E82C3A">
        <w:rPr>
          <w:rFonts w:ascii="Calibri" w:hAnsi="Calibri" w:cs="Calibri"/>
          <w:iCs/>
        </w:rPr>
        <w:t xml:space="preserve"> would be the same in clinical practice</w:t>
      </w:r>
      <w:r w:rsidR="00211E2B">
        <w:rPr>
          <w:rFonts w:ascii="Calibri" w:hAnsi="Calibri" w:cs="Calibri"/>
          <w:iCs/>
        </w:rPr>
        <w:t xml:space="preserve">. </w:t>
      </w:r>
      <w:r w:rsidR="00AC5714">
        <w:rPr>
          <w:rFonts w:ascii="Calibri" w:hAnsi="Calibri" w:cs="Calibri"/>
          <w:iCs/>
        </w:rPr>
        <w:t>As such, t</w:t>
      </w:r>
      <w:r w:rsidR="003F3B22">
        <w:rPr>
          <w:rFonts w:ascii="Calibri" w:hAnsi="Calibri" w:cs="Calibri"/>
          <w:iCs/>
        </w:rPr>
        <w:t xml:space="preserve">he PBAC </w:t>
      </w:r>
      <w:r w:rsidR="00F3656A">
        <w:rPr>
          <w:rFonts w:ascii="Calibri" w:hAnsi="Calibri" w:cs="Calibri"/>
          <w:iCs/>
        </w:rPr>
        <w:t xml:space="preserve">considered the CMA outlined in </w:t>
      </w:r>
      <w:r w:rsidR="00F3656A">
        <w:rPr>
          <w:rFonts w:ascii="Calibri" w:hAnsi="Calibri" w:cs="Calibri"/>
          <w:iCs/>
        </w:rPr>
        <w:fldChar w:fldCharType="begin"/>
      </w:r>
      <w:r w:rsidR="00F3656A">
        <w:rPr>
          <w:rFonts w:ascii="Calibri" w:hAnsi="Calibri" w:cs="Calibri"/>
          <w:iCs/>
        </w:rPr>
        <w:instrText xml:space="preserve"> REF _Ref190862621 \h </w:instrText>
      </w:r>
      <w:r w:rsidR="00F3656A">
        <w:rPr>
          <w:rFonts w:ascii="Calibri" w:hAnsi="Calibri" w:cs="Calibri"/>
          <w:iCs/>
        </w:rPr>
      </w:r>
      <w:r w:rsidR="00F3656A">
        <w:rPr>
          <w:rFonts w:ascii="Calibri" w:hAnsi="Calibri" w:cs="Calibri"/>
          <w:iCs/>
        </w:rPr>
        <w:fldChar w:fldCharType="separate"/>
      </w:r>
      <w:r w:rsidR="00EF6B5D" w:rsidRPr="00A559A5">
        <w:rPr>
          <w:iCs/>
        </w:rPr>
        <w:t xml:space="preserve">Table </w:t>
      </w:r>
      <w:r w:rsidR="00EF6B5D">
        <w:rPr>
          <w:iCs/>
          <w:noProof/>
        </w:rPr>
        <w:t>9</w:t>
      </w:r>
      <w:r w:rsidR="00F3656A">
        <w:rPr>
          <w:rFonts w:ascii="Calibri" w:hAnsi="Calibri" w:cs="Calibri"/>
          <w:iCs/>
        </w:rPr>
        <w:fldChar w:fldCharType="end"/>
      </w:r>
      <w:r w:rsidR="00F3656A">
        <w:rPr>
          <w:rFonts w:ascii="Calibri" w:hAnsi="Calibri" w:cs="Calibri"/>
          <w:iCs/>
        </w:rPr>
        <w:t xml:space="preserve"> which assumed equal treatment duration, </w:t>
      </w:r>
      <w:r w:rsidR="00054C8C">
        <w:rPr>
          <w:rFonts w:ascii="Calibri" w:hAnsi="Calibri" w:cs="Calibri"/>
          <w:iCs/>
        </w:rPr>
        <w:t xml:space="preserve">dosing based on steady-state, </w:t>
      </w:r>
      <w:r w:rsidR="00F3656A">
        <w:rPr>
          <w:rFonts w:ascii="Calibri" w:hAnsi="Calibri" w:cs="Calibri"/>
          <w:iCs/>
        </w:rPr>
        <w:t>adjust</w:t>
      </w:r>
      <w:r w:rsidR="00C84089">
        <w:rPr>
          <w:rFonts w:ascii="Calibri" w:hAnsi="Calibri" w:cs="Calibri"/>
          <w:iCs/>
        </w:rPr>
        <w:t>ing</w:t>
      </w:r>
      <w:r w:rsidR="00F3656A">
        <w:rPr>
          <w:rFonts w:ascii="Calibri" w:hAnsi="Calibri" w:cs="Calibri"/>
          <w:iCs/>
        </w:rPr>
        <w:t xml:space="preserve"> for mean dose intensity of </w:t>
      </w:r>
      <w:r w:rsidR="00CC0F8D">
        <w:rPr>
          <w:rFonts w:ascii="Calibri" w:hAnsi="Calibri" w:cs="Calibri"/>
          <w:iCs/>
        </w:rPr>
        <w:t xml:space="preserve">mogamulizumab and </w:t>
      </w:r>
      <w:proofErr w:type="spellStart"/>
      <w:r w:rsidR="00CC0F8D">
        <w:rPr>
          <w:rFonts w:ascii="Calibri" w:hAnsi="Calibri" w:cs="Calibri"/>
          <w:iCs/>
        </w:rPr>
        <w:t>vorinostat</w:t>
      </w:r>
      <w:proofErr w:type="spellEnd"/>
      <w:r w:rsidR="00CC0F8D">
        <w:rPr>
          <w:rFonts w:ascii="Calibri" w:hAnsi="Calibri" w:cs="Calibri"/>
          <w:iCs/>
        </w:rPr>
        <w:t xml:space="preserve"> in MAVORIC and includ</w:t>
      </w:r>
      <w:r w:rsidR="00D54A34">
        <w:rPr>
          <w:rFonts w:ascii="Calibri" w:hAnsi="Calibri" w:cs="Calibri"/>
          <w:iCs/>
        </w:rPr>
        <w:t>ing</w:t>
      </w:r>
      <w:r w:rsidR="00CC0F8D">
        <w:rPr>
          <w:rFonts w:ascii="Calibri" w:hAnsi="Calibri" w:cs="Calibri"/>
          <w:iCs/>
        </w:rPr>
        <w:t xml:space="preserve"> the cost of administration of mogamulizumab was </w:t>
      </w:r>
      <w:r w:rsidR="00AC5714">
        <w:rPr>
          <w:rFonts w:ascii="Calibri" w:hAnsi="Calibri" w:cs="Calibri"/>
          <w:iCs/>
        </w:rPr>
        <w:t>appropriate.</w:t>
      </w:r>
      <w:r w:rsidR="00C84089">
        <w:rPr>
          <w:rFonts w:ascii="Calibri" w:hAnsi="Calibri" w:cs="Calibri"/>
          <w:iCs/>
        </w:rPr>
        <w:t xml:space="preserve"> </w:t>
      </w:r>
      <w:r w:rsidR="00F12231">
        <w:rPr>
          <w:snapToGrid w:val="0"/>
          <w:lang w:val="en-GB" w:eastAsia="en-US"/>
        </w:rPr>
        <w:t xml:space="preserve">The PBAC advised that the following </w:t>
      </w:r>
      <w:proofErr w:type="spellStart"/>
      <w:r w:rsidR="00F12231">
        <w:rPr>
          <w:snapToGrid w:val="0"/>
          <w:lang w:val="en-GB" w:eastAsia="en-US"/>
        </w:rPr>
        <w:t>equi</w:t>
      </w:r>
      <w:proofErr w:type="spellEnd"/>
      <w:r w:rsidR="00F12231">
        <w:rPr>
          <w:snapToGrid w:val="0"/>
          <w:lang w:val="en-GB" w:eastAsia="en-US"/>
        </w:rPr>
        <w:t xml:space="preserve">-effective dosing </w:t>
      </w:r>
      <w:r w:rsidR="00F12231" w:rsidRPr="00B80088">
        <w:rPr>
          <w:rFonts w:eastAsia="Times New Roman" w:cs="Arial"/>
          <w:snapToGrid w:val="0"/>
          <w:szCs w:val="24"/>
          <w:lang w:val="en-GB" w:eastAsia="en-US"/>
        </w:rPr>
        <w:t xml:space="preserve">over a 28-day cycle </w:t>
      </w:r>
      <w:r w:rsidR="00F12231">
        <w:rPr>
          <w:rFonts w:eastAsia="Times New Roman" w:cs="Arial"/>
          <w:snapToGrid w:val="0"/>
          <w:szCs w:val="24"/>
          <w:lang w:val="en-GB" w:eastAsia="en-US"/>
        </w:rPr>
        <w:t>were appropriate for the CMA</w:t>
      </w:r>
      <w:r w:rsidR="00F12231" w:rsidRPr="00B80088">
        <w:rPr>
          <w:rFonts w:eastAsia="Times New Roman" w:cs="Arial"/>
          <w:snapToGrid w:val="0"/>
          <w:szCs w:val="24"/>
          <w:lang w:val="en-GB" w:eastAsia="en-US"/>
        </w:rPr>
        <w:t>:</w:t>
      </w:r>
      <w:bookmarkEnd w:id="76"/>
    </w:p>
    <w:p w14:paraId="45B1B472" w14:textId="73121100" w:rsidR="00F12231" w:rsidRPr="001F59BC" w:rsidRDefault="00F12231" w:rsidP="00F12231">
      <w:pPr>
        <w:pStyle w:val="3-BodyText"/>
        <w:numPr>
          <w:ilvl w:val="0"/>
          <w:numId w:val="43"/>
        </w:numPr>
        <w:rPr>
          <w:rFonts w:eastAsia="Times New Roman" w:cs="Arial"/>
          <w:snapToGrid w:val="0"/>
          <w:szCs w:val="24"/>
          <w:lang w:val="en-GB" w:eastAsia="en-US"/>
        </w:rPr>
      </w:pPr>
      <w:r w:rsidRPr="001F59BC">
        <w:rPr>
          <w:rFonts w:eastAsia="Times New Roman" w:cs="Arial"/>
          <w:snapToGrid w:val="0"/>
          <w:szCs w:val="24"/>
          <w:lang w:val="en-GB" w:eastAsia="en-US"/>
        </w:rPr>
        <w:t xml:space="preserve">400 mg </w:t>
      </w:r>
      <w:proofErr w:type="spellStart"/>
      <w:r w:rsidRPr="001F59BC">
        <w:rPr>
          <w:rFonts w:eastAsia="Times New Roman" w:cs="Arial"/>
          <w:snapToGrid w:val="0"/>
          <w:szCs w:val="24"/>
          <w:lang w:val="en-GB" w:eastAsia="en-US"/>
        </w:rPr>
        <w:t>vorinostat</w:t>
      </w:r>
      <w:proofErr w:type="spellEnd"/>
      <w:r w:rsidRPr="001F59BC">
        <w:rPr>
          <w:rFonts w:eastAsia="Times New Roman" w:cs="Arial"/>
          <w:snapToGrid w:val="0"/>
          <w:szCs w:val="24"/>
          <w:lang w:val="en-GB" w:eastAsia="en-US"/>
        </w:rPr>
        <w:t xml:space="preserve"> administered orally daily</w:t>
      </w:r>
      <w:r w:rsidR="00D26459">
        <w:rPr>
          <w:rFonts w:eastAsia="Times New Roman" w:cs="Arial"/>
          <w:snapToGrid w:val="0"/>
          <w:szCs w:val="24"/>
          <w:lang w:val="en-GB" w:eastAsia="en-US"/>
        </w:rPr>
        <w:t xml:space="preserve">, </w:t>
      </w:r>
      <w:r w:rsidR="000478E2">
        <w:rPr>
          <w:rFonts w:eastAsia="Times New Roman" w:cs="Arial"/>
          <w:snapToGrid w:val="0"/>
          <w:szCs w:val="24"/>
          <w:lang w:val="en-GB" w:eastAsia="en-US"/>
        </w:rPr>
        <w:t>adjusted for dose intensity (88</w:t>
      </w:r>
      <w:r w:rsidR="00291FCC">
        <w:rPr>
          <w:rFonts w:eastAsia="Times New Roman" w:cs="Arial"/>
          <w:snapToGrid w:val="0"/>
          <w:szCs w:val="24"/>
          <w:lang w:val="en-GB" w:eastAsia="en-US"/>
        </w:rPr>
        <w:t>.96%)</w:t>
      </w:r>
    </w:p>
    <w:p w14:paraId="4D64653C" w14:textId="3ACAEDED" w:rsidR="00F12231" w:rsidRPr="001F59BC" w:rsidRDefault="00F12231" w:rsidP="00F12231">
      <w:pPr>
        <w:pStyle w:val="3-BodyText"/>
        <w:numPr>
          <w:ilvl w:val="0"/>
          <w:numId w:val="43"/>
        </w:numPr>
        <w:ind w:left="1077" w:hanging="357"/>
        <w:rPr>
          <w:rFonts w:eastAsia="Times New Roman" w:cs="Arial"/>
          <w:snapToGrid w:val="0"/>
          <w:szCs w:val="24"/>
          <w:lang w:val="en-GB" w:eastAsia="en-US"/>
        </w:rPr>
      </w:pPr>
      <w:r w:rsidRPr="001F59BC">
        <w:rPr>
          <w:rFonts w:eastAsia="Times New Roman" w:cs="Arial"/>
          <w:snapToGrid w:val="0"/>
          <w:szCs w:val="24"/>
          <w:lang w:val="en-GB" w:eastAsia="en-US"/>
        </w:rPr>
        <w:lastRenderedPageBreak/>
        <w:t>80 mg of mogamulizumab</w:t>
      </w:r>
      <w:r>
        <w:rPr>
          <w:rFonts w:eastAsia="Times New Roman" w:cs="Arial"/>
          <w:snapToGrid w:val="0"/>
          <w:szCs w:val="24"/>
          <w:lang w:val="en-GB" w:eastAsia="en-US"/>
        </w:rPr>
        <w:t xml:space="preserve"> </w:t>
      </w:r>
      <w:r w:rsidRPr="001F59BC">
        <w:rPr>
          <w:rFonts w:eastAsia="Times New Roman" w:cs="Arial"/>
          <w:snapToGrid w:val="0"/>
          <w:szCs w:val="24"/>
          <w:lang w:val="en-GB" w:eastAsia="en-US"/>
        </w:rPr>
        <w:t>administered IV on days 1 and 15 only</w:t>
      </w:r>
      <w:r w:rsidR="004E31C9">
        <w:rPr>
          <w:rFonts w:eastAsia="Times New Roman" w:cs="Arial"/>
          <w:snapToGrid w:val="0"/>
          <w:szCs w:val="24"/>
          <w:lang w:val="en-GB" w:eastAsia="en-US"/>
        </w:rPr>
        <w:t>, adjusted for dose intensity (94.41%)</w:t>
      </w:r>
      <w:r w:rsidRPr="001F59BC">
        <w:rPr>
          <w:rFonts w:eastAsia="Times New Roman" w:cs="Arial"/>
          <w:snapToGrid w:val="0"/>
          <w:szCs w:val="24"/>
          <w:lang w:val="en-GB" w:eastAsia="en-US"/>
        </w:rPr>
        <w:t>.</w:t>
      </w:r>
    </w:p>
    <w:p w14:paraId="620F7338" w14:textId="1466A549" w:rsidR="000C0774" w:rsidRPr="00050ED8" w:rsidRDefault="005B0DA1" w:rsidP="00050ED8">
      <w:pPr>
        <w:pStyle w:val="3-BodyText"/>
        <w:spacing w:before="0"/>
        <w:rPr>
          <w:iCs/>
        </w:rPr>
      </w:pPr>
      <w:bookmarkStart w:id="77" w:name="_Ref193553472"/>
      <w:r w:rsidRPr="00050ED8">
        <w:rPr>
          <w:rFonts w:ascii="Calibri" w:hAnsi="Calibri" w:cs="Calibri"/>
          <w:iCs/>
        </w:rPr>
        <w:t>The PBAC noted that data from the DUSC Secretariat suggested that the resubmission had underestimated the market size and that the financial expenditure over 6 years may be higher than estimated.</w:t>
      </w:r>
      <w:r w:rsidR="00925DC2">
        <w:rPr>
          <w:rFonts w:ascii="Calibri" w:hAnsi="Calibri" w:cs="Calibri"/>
          <w:iCs/>
        </w:rPr>
        <w:t xml:space="preserve"> </w:t>
      </w:r>
      <w:r w:rsidRPr="00050ED8">
        <w:rPr>
          <w:rFonts w:ascii="Calibri" w:hAnsi="Calibri" w:cs="Calibri"/>
          <w:iCs/>
        </w:rPr>
        <w:t xml:space="preserve"> </w:t>
      </w:r>
      <w:r w:rsidR="00925DC2">
        <w:rPr>
          <w:rFonts w:ascii="Calibri" w:hAnsi="Calibri" w:cs="Calibri"/>
          <w:iCs/>
        </w:rPr>
        <w:t xml:space="preserve">The PBAC accepted the </w:t>
      </w:r>
      <w:r w:rsidR="00D43DF8">
        <w:rPr>
          <w:rFonts w:ascii="Calibri" w:hAnsi="Calibri" w:cs="Calibri"/>
          <w:iCs/>
        </w:rPr>
        <w:t xml:space="preserve">resubmission </w:t>
      </w:r>
      <w:r w:rsidR="00925DC2">
        <w:rPr>
          <w:rFonts w:ascii="Calibri" w:hAnsi="Calibri" w:cs="Calibri"/>
          <w:iCs/>
        </w:rPr>
        <w:t xml:space="preserve">market share inputs and the rates of substitution proposed for </w:t>
      </w:r>
      <w:proofErr w:type="spellStart"/>
      <w:r w:rsidR="00925DC2">
        <w:rPr>
          <w:rFonts w:ascii="Calibri" w:hAnsi="Calibri" w:cs="Calibri"/>
          <w:iCs/>
        </w:rPr>
        <w:t>vorinostat</w:t>
      </w:r>
      <w:proofErr w:type="spellEnd"/>
      <w:r w:rsidR="00925DC2">
        <w:rPr>
          <w:rFonts w:ascii="Calibri" w:hAnsi="Calibri" w:cs="Calibri"/>
          <w:iCs/>
        </w:rPr>
        <w:t xml:space="preserve">, brentuximab vedotin and </w:t>
      </w:r>
      <w:proofErr w:type="spellStart"/>
      <w:r w:rsidR="00925DC2">
        <w:rPr>
          <w:rFonts w:ascii="Calibri" w:hAnsi="Calibri" w:cs="Calibri"/>
          <w:iCs/>
        </w:rPr>
        <w:t>methoxsalen</w:t>
      </w:r>
      <w:proofErr w:type="spellEnd"/>
      <w:r w:rsidR="00925DC2">
        <w:rPr>
          <w:rFonts w:ascii="Calibri" w:hAnsi="Calibri" w:cs="Calibri"/>
          <w:iCs/>
        </w:rPr>
        <w:t>.</w:t>
      </w:r>
      <w:r w:rsidR="00D43DF8">
        <w:rPr>
          <w:rFonts w:ascii="Calibri" w:hAnsi="Calibri" w:cs="Calibri"/>
          <w:iCs/>
        </w:rPr>
        <w:t xml:space="preserve"> However, t</w:t>
      </w:r>
      <w:r w:rsidR="001A127C">
        <w:rPr>
          <w:rFonts w:ascii="Calibri" w:hAnsi="Calibri" w:cs="Calibri"/>
          <w:iCs/>
        </w:rPr>
        <w:t xml:space="preserve">he PBAC advised that the financial estimates should be revised </w:t>
      </w:r>
      <w:r w:rsidR="00FB7D27">
        <w:rPr>
          <w:rFonts w:ascii="Calibri" w:hAnsi="Calibri" w:cs="Calibri"/>
          <w:iCs/>
        </w:rPr>
        <w:t xml:space="preserve">to incorporate the </w:t>
      </w:r>
      <w:r w:rsidR="00F13131">
        <w:rPr>
          <w:rFonts w:ascii="Calibri" w:hAnsi="Calibri" w:cs="Calibri"/>
          <w:iCs/>
        </w:rPr>
        <w:t>PBS statistics provided by the DUSC Secretariat</w:t>
      </w:r>
      <w:r w:rsidR="00370330">
        <w:rPr>
          <w:rFonts w:ascii="Calibri" w:hAnsi="Calibri" w:cs="Calibri"/>
          <w:iCs/>
        </w:rPr>
        <w:t>, the effective price of brentuximab vedotin</w:t>
      </w:r>
      <w:r w:rsidR="00D43DF8">
        <w:rPr>
          <w:rFonts w:ascii="Calibri" w:hAnsi="Calibri" w:cs="Calibri"/>
          <w:iCs/>
        </w:rPr>
        <w:t xml:space="preserve"> and the outcome of the CMA outlined in paragraph</w:t>
      </w:r>
      <w:r w:rsidR="004D76D6">
        <w:rPr>
          <w:rFonts w:ascii="Calibri" w:hAnsi="Calibri" w:cs="Calibri"/>
          <w:iCs/>
        </w:rPr>
        <w:t xml:space="preserve"> </w:t>
      </w:r>
      <w:r w:rsidR="004D76D6">
        <w:rPr>
          <w:rFonts w:ascii="Calibri" w:hAnsi="Calibri" w:cs="Calibri"/>
          <w:iCs/>
        </w:rPr>
        <w:fldChar w:fldCharType="begin"/>
      </w:r>
      <w:r w:rsidR="004D76D6">
        <w:rPr>
          <w:rFonts w:ascii="Calibri" w:hAnsi="Calibri" w:cs="Calibri"/>
          <w:iCs/>
        </w:rPr>
        <w:instrText xml:space="preserve"> REF _Ref193553440 \r \h </w:instrText>
      </w:r>
      <w:r w:rsidR="004D76D6">
        <w:rPr>
          <w:rFonts w:ascii="Calibri" w:hAnsi="Calibri" w:cs="Calibri"/>
          <w:iCs/>
        </w:rPr>
      </w:r>
      <w:r w:rsidR="004D76D6">
        <w:rPr>
          <w:rFonts w:ascii="Calibri" w:hAnsi="Calibri" w:cs="Calibri"/>
          <w:iCs/>
        </w:rPr>
        <w:fldChar w:fldCharType="separate"/>
      </w:r>
      <w:r w:rsidR="00EF6B5D">
        <w:rPr>
          <w:rFonts w:ascii="Calibri" w:hAnsi="Calibri" w:cs="Calibri"/>
          <w:iCs/>
        </w:rPr>
        <w:t>7.8</w:t>
      </w:r>
      <w:r w:rsidR="004D76D6">
        <w:rPr>
          <w:rFonts w:ascii="Calibri" w:hAnsi="Calibri" w:cs="Calibri"/>
          <w:iCs/>
        </w:rPr>
        <w:fldChar w:fldCharType="end"/>
      </w:r>
      <w:r w:rsidR="00F13131">
        <w:rPr>
          <w:rFonts w:ascii="Calibri" w:hAnsi="Calibri" w:cs="Calibri"/>
          <w:iCs/>
        </w:rPr>
        <w:t xml:space="preserve">. </w:t>
      </w:r>
      <w:bookmarkEnd w:id="77"/>
      <w:r w:rsidR="00BA58A2">
        <w:rPr>
          <w:rFonts w:ascii="Calibri" w:hAnsi="Calibri" w:cs="Calibri"/>
          <w:iCs/>
        </w:rPr>
        <w:t xml:space="preserve">The PBAC </w:t>
      </w:r>
      <w:r w:rsidR="00456341">
        <w:rPr>
          <w:rFonts w:ascii="Calibri" w:hAnsi="Calibri" w:cs="Calibri"/>
          <w:iCs/>
        </w:rPr>
        <w:t>agreed with the ESC that</w:t>
      </w:r>
      <w:r w:rsidR="00BA58A2">
        <w:rPr>
          <w:rFonts w:ascii="Calibri" w:hAnsi="Calibri" w:cs="Calibri"/>
          <w:iCs/>
        </w:rPr>
        <w:t xml:space="preserve"> it was likely that the resulting financial estimates would not be cost neutral for this CMA</w:t>
      </w:r>
      <w:r w:rsidR="00456341">
        <w:rPr>
          <w:rFonts w:ascii="Calibri" w:hAnsi="Calibri" w:cs="Calibri"/>
          <w:iCs/>
        </w:rPr>
        <w:t xml:space="preserve"> as mogamulizumab was being estimated to impact the </w:t>
      </w:r>
      <w:r w:rsidR="0012509B">
        <w:rPr>
          <w:rFonts w:ascii="Calibri" w:hAnsi="Calibri" w:cs="Calibri"/>
          <w:iCs/>
        </w:rPr>
        <w:t xml:space="preserve">market share of not only </w:t>
      </w:r>
      <w:proofErr w:type="spellStart"/>
      <w:r w:rsidR="0012509B">
        <w:rPr>
          <w:rFonts w:ascii="Calibri" w:hAnsi="Calibri" w:cs="Calibri"/>
          <w:iCs/>
        </w:rPr>
        <w:t>vorinostat</w:t>
      </w:r>
      <w:proofErr w:type="spellEnd"/>
      <w:r w:rsidR="0012509B">
        <w:rPr>
          <w:rFonts w:ascii="Calibri" w:hAnsi="Calibri" w:cs="Calibri"/>
          <w:iCs/>
        </w:rPr>
        <w:t xml:space="preserve"> but also brentuximab vedotin and </w:t>
      </w:r>
      <w:proofErr w:type="spellStart"/>
      <w:r w:rsidR="0012509B">
        <w:rPr>
          <w:rFonts w:ascii="Calibri" w:hAnsi="Calibri" w:cs="Calibri"/>
          <w:iCs/>
        </w:rPr>
        <w:t>methoxsalen</w:t>
      </w:r>
      <w:proofErr w:type="spellEnd"/>
      <w:r w:rsidR="0012509B">
        <w:rPr>
          <w:rFonts w:ascii="Calibri" w:hAnsi="Calibri" w:cs="Calibri"/>
          <w:iCs/>
        </w:rPr>
        <w:t xml:space="preserve"> (see paragraph </w:t>
      </w:r>
      <w:r w:rsidR="0012509B">
        <w:rPr>
          <w:rFonts w:ascii="Calibri" w:hAnsi="Calibri" w:cs="Calibri"/>
          <w:iCs/>
        </w:rPr>
        <w:fldChar w:fldCharType="begin"/>
      </w:r>
      <w:r w:rsidR="0012509B">
        <w:rPr>
          <w:rFonts w:ascii="Calibri" w:hAnsi="Calibri" w:cs="Calibri"/>
          <w:iCs/>
        </w:rPr>
        <w:instrText xml:space="preserve"> REF _Ref193553704 \r \h </w:instrText>
      </w:r>
      <w:r w:rsidR="0012509B">
        <w:rPr>
          <w:rFonts w:ascii="Calibri" w:hAnsi="Calibri" w:cs="Calibri"/>
          <w:iCs/>
        </w:rPr>
      </w:r>
      <w:r w:rsidR="0012509B">
        <w:rPr>
          <w:rFonts w:ascii="Calibri" w:hAnsi="Calibri" w:cs="Calibri"/>
          <w:iCs/>
        </w:rPr>
        <w:fldChar w:fldCharType="separate"/>
      </w:r>
      <w:r w:rsidR="00EF6B5D">
        <w:rPr>
          <w:rFonts w:ascii="Calibri" w:hAnsi="Calibri" w:cs="Calibri"/>
          <w:iCs/>
        </w:rPr>
        <w:t>6.45</w:t>
      </w:r>
      <w:r w:rsidR="0012509B">
        <w:rPr>
          <w:rFonts w:ascii="Calibri" w:hAnsi="Calibri" w:cs="Calibri"/>
          <w:iCs/>
        </w:rPr>
        <w:fldChar w:fldCharType="end"/>
      </w:r>
      <w:r w:rsidR="0012509B">
        <w:rPr>
          <w:rFonts w:ascii="Calibri" w:hAnsi="Calibri" w:cs="Calibri"/>
          <w:iCs/>
        </w:rPr>
        <w:t>)</w:t>
      </w:r>
      <w:r w:rsidR="00F847E3">
        <w:rPr>
          <w:rFonts w:ascii="Calibri" w:hAnsi="Calibri" w:cs="Calibri"/>
          <w:iCs/>
        </w:rPr>
        <w:t xml:space="preserve">. The PBAC considered the additional cost was reasonable as </w:t>
      </w:r>
      <w:r w:rsidR="00E569AC">
        <w:rPr>
          <w:rFonts w:ascii="Calibri" w:hAnsi="Calibri" w:cs="Calibri"/>
          <w:iCs/>
        </w:rPr>
        <w:t xml:space="preserve">mogamulizumab would be used as another </w:t>
      </w:r>
      <w:r w:rsidR="00C42C76">
        <w:rPr>
          <w:rFonts w:ascii="Calibri" w:hAnsi="Calibri" w:cs="Calibri"/>
          <w:iCs/>
        </w:rPr>
        <w:t>treatment option</w:t>
      </w:r>
      <w:r w:rsidR="00E569AC">
        <w:rPr>
          <w:rFonts w:ascii="Calibri" w:hAnsi="Calibri" w:cs="Calibri"/>
          <w:iCs/>
        </w:rPr>
        <w:t xml:space="preserve"> </w:t>
      </w:r>
      <w:r w:rsidR="006B602D">
        <w:rPr>
          <w:rFonts w:ascii="Calibri" w:hAnsi="Calibri" w:cs="Calibri"/>
          <w:iCs/>
        </w:rPr>
        <w:t>to th</w:t>
      </w:r>
      <w:r w:rsidR="0075080B">
        <w:rPr>
          <w:rFonts w:ascii="Calibri" w:hAnsi="Calibri" w:cs="Calibri"/>
          <w:iCs/>
        </w:rPr>
        <w:t>ose</w:t>
      </w:r>
      <w:r w:rsidR="006B602D">
        <w:rPr>
          <w:rFonts w:ascii="Calibri" w:hAnsi="Calibri" w:cs="Calibri"/>
          <w:iCs/>
        </w:rPr>
        <w:t xml:space="preserve"> currently available in this rare disease and would be valuable to enable patients to access </w:t>
      </w:r>
      <w:r w:rsidR="003A1C1F">
        <w:rPr>
          <w:rFonts w:ascii="Calibri" w:hAnsi="Calibri" w:cs="Calibri"/>
          <w:iCs/>
        </w:rPr>
        <w:t xml:space="preserve">therapies in centres closer to home (as compared to </w:t>
      </w:r>
      <w:r w:rsidR="003A1C1F" w:rsidRPr="007427EF">
        <w:t>extracorporeal photopheresis</w:t>
      </w:r>
      <w:r w:rsidR="003A1C1F">
        <w:t xml:space="preserve">) </w:t>
      </w:r>
      <w:r w:rsidR="00C42C76">
        <w:t>and for different disease scenarios</w:t>
      </w:r>
      <w:r w:rsidR="0075080B">
        <w:t xml:space="preserve"> or </w:t>
      </w:r>
      <w:r w:rsidR="00C42C76">
        <w:t xml:space="preserve">manifestations. </w:t>
      </w:r>
    </w:p>
    <w:p w14:paraId="649D86CB" w14:textId="00E9EBA5" w:rsidR="00EC3AB0" w:rsidRPr="00B8711A" w:rsidRDefault="00EC3AB0" w:rsidP="00EC3AB0">
      <w:pPr>
        <w:widowControl w:val="0"/>
        <w:numPr>
          <w:ilvl w:val="1"/>
          <w:numId w:val="1"/>
        </w:numPr>
        <w:spacing w:after="120"/>
        <w:rPr>
          <w:rFonts w:asciiTheme="minorHAnsi" w:hAnsiTheme="minorHAnsi"/>
          <w:bCs/>
          <w:snapToGrid w:val="0"/>
        </w:rPr>
      </w:pPr>
      <w:r w:rsidRPr="00B8711A">
        <w:rPr>
          <w:rFonts w:asciiTheme="minorHAnsi" w:hAnsiTheme="minorHAnsi"/>
          <w:snapToGrid w:val="0"/>
        </w:rPr>
        <w:t xml:space="preserve">The PBAC advised that </w:t>
      </w:r>
      <w:r>
        <w:rPr>
          <w:rFonts w:asciiTheme="minorHAnsi" w:hAnsiTheme="minorHAnsi"/>
          <w:snapToGrid w:val="0"/>
        </w:rPr>
        <w:t>mogamulizumab</w:t>
      </w:r>
      <w:r w:rsidRPr="00B8711A">
        <w:rPr>
          <w:rFonts w:asciiTheme="minorHAnsi" w:hAnsiTheme="minorHAnsi"/>
          <w:snapToGrid w:val="0"/>
        </w:rPr>
        <w:t xml:space="preserve"> should not be treated as interchangeable with any other drugs.</w:t>
      </w:r>
    </w:p>
    <w:p w14:paraId="3FD48E03" w14:textId="20BF052F" w:rsidR="008E4308" w:rsidRDefault="008E4308" w:rsidP="006C1A72">
      <w:pPr>
        <w:widowControl w:val="0"/>
        <w:numPr>
          <w:ilvl w:val="1"/>
          <w:numId w:val="1"/>
        </w:numPr>
        <w:spacing w:after="120"/>
        <w:rPr>
          <w:rFonts w:asciiTheme="minorHAnsi" w:hAnsiTheme="minorHAnsi"/>
          <w:bCs/>
          <w:snapToGrid w:val="0"/>
          <w:lang w:val="en-GB" w:eastAsia="en-US"/>
        </w:rPr>
      </w:pPr>
      <w:r w:rsidRPr="008E4308">
        <w:rPr>
          <w:rFonts w:asciiTheme="minorHAnsi" w:hAnsiTheme="minorHAnsi"/>
          <w:bCs/>
          <w:snapToGrid w:val="0"/>
          <w:lang w:val="en-GB" w:eastAsia="en-US"/>
        </w:rPr>
        <w:t xml:space="preserve">The PBAC advised that </w:t>
      </w:r>
      <w:r w:rsidR="00ED2EC0">
        <w:rPr>
          <w:rFonts w:asciiTheme="minorHAnsi" w:hAnsiTheme="minorHAnsi"/>
          <w:bCs/>
          <w:snapToGrid w:val="0"/>
          <w:lang w:val="en-GB" w:eastAsia="en-US"/>
        </w:rPr>
        <w:t>mogamulizumab</w:t>
      </w:r>
      <w:r w:rsidRPr="008E4308">
        <w:rPr>
          <w:rFonts w:asciiTheme="minorHAnsi" w:hAnsiTheme="minorHAnsi"/>
          <w:bCs/>
          <w:snapToGrid w:val="0"/>
          <w:lang w:val="en-GB" w:eastAsia="en-US"/>
        </w:rPr>
        <w:t xml:space="preserve"> is </w:t>
      </w:r>
      <w:r w:rsidRPr="00A724C6">
        <w:rPr>
          <w:rFonts w:asciiTheme="minorHAnsi" w:hAnsiTheme="minorHAnsi"/>
          <w:bCs/>
          <w:snapToGrid w:val="0"/>
          <w:lang w:val="en-GB" w:eastAsia="en-US"/>
        </w:rPr>
        <w:t>not suitable</w:t>
      </w:r>
      <w:r w:rsidRPr="008E4308">
        <w:rPr>
          <w:rFonts w:asciiTheme="minorHAnsi" w:hAnsiTheme="minorHAnsi"/>
          <w:bCs/>
          <w:snapToGrid w:val="0"/>
          <w:lang w:val="en-GB" w:eastAsia="en-US"/>
        </w:rPr>
        <w:t xml:space="preserve"> for prescribing by nurse practitioners. </w:t>
      </w:r>
    </w:p>
    <w:p w14:paraId="67839094" w14:textId="05E8FD72" w:rsidR="00A724C6" w:rsidRPr="008E4308" w:rsidRDefault="00A724C6" w:rsidP="006C1A72">
      <w:pPr>
        <w:widowControl w:val="0"/>
        <w:numPr>
          <w:ilvl w:val="1"/>
          <w:numId w:val="1"/>
        </w:numPr>
        <w:spacing w:after="120"/>
        <w:rPr>
          <w:rFonts w:asciiTheme="minorHAnsi" w:hAnsiTheme="minorHAnsi"/>
          <w:bCs/>
          <w:snapToGrid w:val="0"/>
          <w:lang w:val="en-GB" w:eastAsia="en-US"/>
        </w:rPr>
      </w:pPr>
      <w:r w:rsidRPr="00D8553E">
        <w:rPr>
          <w:rFonts w:asciiTheme="minorHAnsi" w:hAnsiTheme="minorHAnsi"/>
          <w:bCs/>
          <w:snapToGrid w:val="0"/>
          <w:lang w:val="en-GB"/>
        </w:rPr>
        <w:t>The PBAC recommended that the Early Supply Rule should not apply.</w:t>
      </w:r>
    </w:p>
    <w:p w14:paraId="0B26AED2" w14:textId="74DDC4C0" w:rsidR="008E4308" w:rsidRPr="008E4308" w:rsidRDefault="008E4308" w:rsidP="00B3554A">
      <w:pPr>
        <w:widowControl w:val="0"/>
        <w:numPr>
          <w:ilvl w:val="1"/>
          <w:numId w:val="1"/>
        </w:numPr>
        <w:spacing w:after="120"/>
        <w:contextualSpacing/>
        <w:rPr>
          <w:rFonts w:asciiTheme="minorHAnsi" w:hAnsiTheme="minorHAnsi" w:cs="Times New Roman"/>
          <w:b/>
          <w:bCs/>
          <w:lang w:val="en-GB" w:eastAsia="en-US"/>
        </w:rPr>
      </w:pPr>
      <w:r w:rsidRPr="008E4308">
        <w:rPr>
          <w:rFonts w:asciiTheme="minorHAnsi" w:hAnsiTheme="minorHAnsi" w:cstheme="minorHAnsi"/>
          <w:lang w:val="en-GB" w:eastAsia="en-US"/>
        </w:rPr>
        <w:t xml:space="preserve">The PBAC noted that its recommendation was on a cost-minimisation basis and advised that, because </w:t>
      </w:r>
      <w:r w:rsidR="00B3554A">
        <w:rPr>
          <w:rFonts w:asciiTheme="minorHAnsi" w:hAnsiTheme="minorHAnsi" w:cstheme="minorHAnsi"/>
          <w:lang w:val="en-GB" w:eastAsia="en-US"/>
        </w:rPr>
        <w:t>mogamulizumab</w:t>
      </w:r>
      <w:r w:rsidRPr="008E4308">
        <w:rPr>
          <w:rFonts w:asciiTheme="minorHAnsi" w:hAnsiTheme="minorHAnsi" w:cstheme="minorHAnsi"/>
          <w:lang w:val="en-GB" w:eastAsia="en-US"/>
        </w:rPr>
        <w:t xml:space="preserve"> is not expected to provide a substantial</w:t>
      </w:r>
      <w:r w:rsidRPr="008E4308">
        <w:rPr>
          <w:rFonts w:asciiTheme="minorHAnsi" w:hAnsiTheme="minorHAnsi" w:cs="Times New Roman"/>
          <w:bCs/>
          <w:lang w:val="en-GB" w:eastAsia="en-US"/>
        </w:rPr>
        <w:t xml:space="preserve"> and clinically relevant improvement in efficacy, or reduction of toxicity, over </w:t>
      </w:r>
      <w:proofErr w:type="spellStart"/>
      <w:r w:rsidR="008E5F25">
        <w:rPr>
          <w:rFonts w:asciiTheme="minorHAnsi" w:hAnsiTheme="minorHAnsi" w:cs="Times New Roman"/>
          <w:bCs/>
          <w:lang w:val="en-GB" w:eastAsia="en-US"/>
        </w:rPr>
        <w:t>vorinostat</w:t>
      </w:r>
      <w:proofErr w:type="spellEnd"/>
      <w:r w:rsidRPr="008E4308">
        <w:rPr>
          <w:rFonts w:asciiTheme="minorHAnsi" w:hAnsiTheme="minorHAnsi" w:cs="Times New Roman"/>
          <w:bCs/>
          <w:lang w:val="en-GB" w:eastAsia="en-US"/>
        </w:rPr>
        <w:t xml:space="preserve">, the criteria prescribed by the </w:t>
      </w:r>
      <w:r w:rsidRPr="008E4308">
        <w:rPr>
          <w:rFonts w:asciiTheme="minorHAnsi" w:hAnsiTheme="minorHAnsi" w:cs="Times New Roman"/>
          <w:bCs/>
          <w:i/>
          <w:lang w:val="en-GB" w:eastAsia="en-US"/>
        </w:rPr>
        <w:t>National Health (Pharmaceuticals and Vaccines – Cost Recovery) Regulations 2022</w:t>
      </w:r>
      <w:r w:rsidRPr="008E4308">
        <w:rPr>
          <w:rFonts w:asciiTheme="minorHAnsi" w:hAnsiTheme="minorHAnsi" w:cs="Times New Roman"/>
          <w:bCs/>
          <w:lang w:val="en-GB" w:eastAsia="en-US"/>
        </w:rPr>
        <w:t xml:space="preserve"> for Pricing Pathway A were not met.</w:t>
      </w:r>
    </w:p>
    <w:p w14:paraId="14BE0991" w14:textId="691ED193" w:rsidR="008E4308" w:rsidRPr="008E4308" w:rsidRDefault="008E4308" w:rsidP="00946C6C">
      <w:pPr>
        <w:widowControl w:val="0"/>
        <w:numPr>
          <w:ilvl w:val="1"/>
          <w:numId w:val="1"/>
        </w:numPr>
        <w:spacing w:before="240" w:after="120"/>
        <w:rPr>
          <w:rFonts w:asciiTheme="minorHAnsi" w:hAnsiTheme="minorHAnsi"/>
          <w:bCs/>
          <w:i/>
          <w:snapToGrid w:val="0"/>
          <w:lang w:val="en-GB" w:eastAsia="en-US"/>
        </w:rPr>
      </w:pPr>
      <w:r w:rsidRPr="008E4308">
        <w:rPr>
          <w:rFonts w:asciiTheme="minorHAnsi" w:hAnsiTheme="minorHAnsi"/>
          <w:bCs/>
          <w:snapToGrid w:val="0"/>
          <w:lang w:val="en-GB" w:eastAsia="en-US"/>
        </w:rPr>
        <w:t>The PBAC noted that this submission is not eligible for an Independent Review</w:t>
      </w:r>
      <w:r w:rsidR="00814819">
        <w:rPr>
          <w:rFonts w:asciiTheme="minorHAnsi" w:hAnsiTheme="minorHAnsi"/>
          <w:bCs/>
          <w:snapToGrid w:val="0"/>
          <w:lang w:val="en-GB" w:eastAsia="en-US"/>
        </w:rPr>
        <w:t xml:space="preserve"> as it received a positive recommendation</w:t>
      </w:r>
      <w:r w:rsidRPr="008E4308">
        <w:rPr>
          <w:rFonts w:asciiTheme="minorHAnsi" w:hAnsiTheme="minorHAnsi"/>
          <w:bCs/>
          <w:snapToGrid w:val="0"/>
          <w:lang w:val="en-GB" w:eastAsia="en-US"/>
        </w:rPr>
        <w:t xml:space="preserve">. </w:t>
      </w:r>
    </w:p>
    <w:p w14:paraId="1A2A8E21" w14:textId="77777777" w:rsidR="008E4308" w:rsidRPr="008E4308" w:rsidRDefault="008E4308" w:rsidP="006C1A72">
      <w:pPr>
        <w:spacing w:before="240"/>
        <w:rPr>
          <w:rFonts w:asciiTheme="minorHAnsi" w:hAnsiTheme="minorHAnsi"/>
          <w:b/>
          <w:bCs/>
          <w:snapToGrid w:val="0"/>
          <w:lang w:val="en-GB" w:eastAsia="en-US"/>
        </w:rPr>
      </w:pPr>
      <w:r w:rsidRPr="008E4308">
        <w:rPr>
          <w:rFonts w:asciiTheme="minorHAnsi" w:hAnsiTheme="minorHAnsi"/>
          <w:b/>
          <w:bCs/>
          <w:snapToGrid w:val="0"/>
          <w:lang w:val="en-GB" w:eastAsia="en-US"/>
        </w:rPr>
        <w:t>Outcome:</w:t>
      </w:r>
    </w:p>
    <w:p w14:paraId="7A3BF3C2" w14:textId="23704CBC" w:rsidR="008E4308" w:rsidRPr="00945051" w:rsidRDefault="008E4308" w:rsidP="00945051">
      <w:pPr>
        <w:spacing w:after="120"/>
        <w:rPr>
          <w:rFonts w:asciiTheme="minorHAnsi" w:hAnsiTheme="minorHAnsi"/>
          <w:bCs/>
          <w:snapToGrid w:val="0"/>
          <w:lang w:val="en-GB" w:eastAsia="en-US"/>
        </w:rPr>
      </w:pPr>
      <w:r w:rsidRPr="008E4308">
        <w:rPr>
          <w:rFonts w:asciiTheme="minorHAnsi" w:hAnsiTheme="minorHAnsi"/>
          <w:bCs/>
          <w:snapToGrid w:val="0"/>
          <w:lang w:val="en-GB" w:eastAsia="en-US"/>
        </w:rPr>
        <w:t>Recommended</w:t>
      </w:r>
    </w:p>
    <w:bookmarkEnd w:id="71"/>
    <w:p w14:paraId="6AAAD59C" w14:textId="3A047652" w:rsidR="008E4308" w:rsidRPr="008E4308" w:rsidRDefault="008E4308" w:rsidP="00DE1B36">
      <w:pPr>
        <w:pStyle w:val="2-SectionHeading"/>
        <w:ind w:left="0" w:firstLine="0"/>
      </w:pPr>
      <w:r w:rsidRPr="008E4308">
        <w:t>Recommended listing</w:t>
      </w:r>
    </w:p>
    <w:p w14:paraId="256419A0" w14:textId="6DCFE8E9" w:rsidR="00474DAD" w:rsidRPr="00FD4B58" w:rsidRDefault="00FA08F7" w:rsidP="00474DAD">
      <w:pPr>
        <w:widowControl w:val="0"/>
        <w:numPr>
          <w:ilvl w:val="1"/>
          <w:numId w:val="1"/>
        </w:numPr>
        <w:spacing w:after="120"/>
        <w:contextualSpacing/>
        <w:rPr>
          <w:rFonts w:asciiTheme="minorHAnsi" w:hAnsiTheme="minorHAnsi"/>
          <w:b/>
          <w:bCs/>
          <w:snapToGrid w:val="0"/>
          <w:lang w:eastAsia="en-US"/>
        </w:rPr>
      </w:pPr>
      <w:r>
        <w:rPr>
          <w:rFonts w:asciiTheme="minorHAnsi" w:hAnsiTheme="minorHAnsi"/>
          <w:bCs/>
          <w:snapToGrid w:val="0"/>
          <w:lang w:eastAsia="en-US"/>
        </w:rPr>
        <w:t>Add new item</w:t>
      </w:r>
      <w:r w:rsidR="008E4308" w:rsidRPr="008E4308">
        <w:rPr>
          <w:rFonts w:asciiTheme="minorHAnsi" w:hAnsiTheme="minorHAnsi"/>
          <w:bCs/>
          <w:snapToGrid w:val="0"/>
          <w:lang w:eastAsia="en-US"/>
        </w:rPr>
        <w:t>:</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1823"/>
        <w:gridCol w:w="1973"/>
        <w:gridCol w:w="1973"/>
        <w:gridCol w:w="1977"/>
      </w:tblGrid>
      <w:tr w:rsidR="00474DAD" w:rsidRPr="007427EF" w14:paraId="6A074947" w14:textId="77777777" w:rsidTr="00FD4B58">
        <w:trPr>
          <w:cantSplit/>
          <w:trHeight w:val="20"/>
        </w:trPr>
        <w:tc>
          <w:tcPr>
            <w:tcW w:w="1716" w:type="pct"/>
            <w:gridSpan w:val="3"/>
            <w:vAlign w:val="center"/>
          </w:tcPr>
          <w:p w14:paraId="0C37D543" w14:textId="77777777" w:rsidR="00474DAD" w:rsidRPr="007427EF" w:rsidRDefault="00474DAD" w:rsidP="00153279">
            <w:pPr>
              <w:keepNext/>
              <w:rPr>
                <w:rFonts w:ascii="Arial Narrow" w:hAnsi="Arial Narrow"/>
                <w:b/>
                <w:bCs/>
                <w:sz w:val="20"/>
                <w:szCs w:val="20"/>
              </w:rPr>
            </w:pPr>
            <w:r w:rsidRPr="007427EF">
              <w:rPr>
                <w:rFonts w:ascii="Arial Narrow" w:hAnsi="Arial Narrow"/>
                <w:b/>
                <w:bCs/>
                <w:sz w:val="20"/>
                <w:szCs w:val="20"/>
              </w:rPr>
              <w:lastRenderedPageBreak/>
              <w:t>MEDICINAL PRODUCT</w:t>
            </w:r>
          </w:p>
          <w:p w14:paraId="54FD1F6A"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Form</w:t>
            </w:r>
          </w:p>
        </w:tc>
        <w:tc>
          <w:tcPr>
            <w:tcW w:w="1094" w:type="pct"/>
            <w:vAlign w:val="center"/>
          </w:tcPr>
          <w:p w14:paraId="0DAB0891"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PBS item code</w:t>
            </w:r>
          </w:p>
        </w:tc>
        <w:tc>
          <w:tcPr>
            <w:tcW w:w="1094" w:type="pct"/>
            <w:vAlign w:val="center"/>
          </w:tcPr>
          <w:p w14:paraId="75745B18"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Max. Amount</w:t>
            </w:r>
          </w:p>
        </w:tc>
        <w:tc>
          <w:tcPr>
            <w:tcW w:w="1096" w:type="pct"/>
            <w:vAlign w:val="center"/>
          </w:tcPr>
          <w:p w14:paraId="0BD79F4F" w14:textId="77777777" w:rsidR="00474DAD" w:rsidRPr="007427EF" w:rsidRDefault="00474DAD" w:rsidP="6A98AE7B">
            <w:pPr>
              <w:keepNext/>
              <w:jc w:val="center"/>
              <w:rPr>
                <w:rFonts w:ascii="Arial Narrow" w:hAnsi="Arial Narrow"/>
                <w:b/>
                <w:bCs/>
                <w:sz w:val="20"/>
                <w:szCs w:val="20"/>
              </w:rPr>
            </w:pPr>
            <w:proofErr w:type="gramStart"/>
            <w:r w:rsidRPr="007427EF">
              <w:rPr>
                <w:rFonts w:ascii="Arial Narrow" w:hAnsi="Arial Narrow"/>
                <w:b/>
                <w:bCs/>
                <w:sz w:val="20"/>
                <w:szCs w:val="20"/>
              </w:rPr>
              <w:t>№.of</w:t>
            </w:r>
            <w:proofErr w:type="gramEnd"/>
            <w:r w:rsidRPr="007427EF">
              <w:rPr>
                <w:rFonts w:ascii="Arial Narrow" w:hAnsi="Arial Narrow"/>
                <w:b/>
                <w:bCs/>
                <w:sz w:val="20"/>
                <w:szCs w:val="20"/>
              </w:rPr>
              <w:t xml:space="preserve"> </w:t>
            </w:r>
            <w:proofErr w:type="spellStart"/>
            <w:r w:rsidRPr="007427EF">
              <w:rPr>
                <w:rFonts w:ascii="Arial Narrow" w:hAnsi="Arial Narrow"/>
                <w:b/>
                <w:bCs/>
                <w:sz w:val="20"/>
                <w:szCs w:val="20"/>
              </w:rPr>
              <w:t>Rpts</w:t>
            </w:r>
            <w:proofErr w:type="spellEnd"/>
          </w:p>
        </w:tc>
      </w:tr>
      <w:tr w:rsidR="00474DAD" w:rsidRPr="007427EF" w14:paraId="59AB4518" w14:textId="77777777" w:rsidTr="00FD4B58">
        <w:trPr>
          <w:cantSplit/>
          <w:trHeight w:val="20"/>
        </w:trPr>
        <w:tc>
          <w:tcPr>
            <w:tcW w:w="1716" w:type="pct"/>
            <w:gridSpan w:val="3"/>
            <w:vAlign w:val="center"/>
          </w:tcPr>
          <w:p w14:paraId="34930FBF" w14:textId="77777777" w:rsidR="00474DAD" w:rsidRPr="007427EF" w:rsidRDefault="00474DAD" w:rsidP="00153279">
            <w:pPr>
              <w:keepNext/>
              <w:rPr>
                <w:rFonts w:ascii="Arial Narrow" w:hAnsi="Arial Narrow"/>
                <w:sz w:val="20"/>
                <w:szCs w:val="20"/>
              </w:rPr>
            </w:pPr>
            <w:r w:rsidRPr="007427EF">
              <w:rPr>
                <w:rFonts w:ascii="Arial Narrow" w:hAnsi="Arial Narrow"/>
                <w:sz w:val="20"/>
                <w:szCs w:val="20"/>
              </w:rPr>
              <w:t xml:space="preserve">MOGAMULIZUMAB </w:t>
            </w:r>
            <w:r w:rsidRPr="007427EF">
              <w:rPr>
                <w:rFonts w:ascii="Arial Narrow" w:hAnsi="Arial Narrow" w:cstheme="minorBidi"/>
                <w:sz w:val="20"/>
                <w:szCs w:val="20"/>
              </w:rPr>
              <w:t xml:space="preserve"> </w:t>
            </w:r>
          </w:p>
          <w:p w14:paraId="08CFDBE5" w14:textId="77777777" w:rsidR="00474DAD" w:rsidRPr="007427EF" w:rsidRDefault="00474DAD" w:rsidP="00153279">
            <w:pPr>
              <w:keepNext/>
              <w:rPr>
                <w:rFonts w:ascii="Arial Narrow" w:hAnsi="Arial Narrow"/>
                <w:sz w:val="20"/>
                <w:szCs w:val="20"/>
              </w:rPr>
            </w:pPr>
            <w:r w:rsidRPr="007427EF">
              <w:rPr>
                <w:rFonts w:ascii="Arial Narrow" w:hAnsi="Arial Narrow" w:cstheme="minorHAnsi"/>
                <w:sz w:val="20"/>
                <w:szCs w:val="20"/>
              </w:rPr>
              <w:t>Injection</w:t>
            </w:r>
          </w:p>
        </w:tc>
        <w:tc>
          <w:tcPr>
            <w:tcW w:w="1094" w:type="pct"/>
            <w:vAlign w:val="center"/>
          </w:tcPr>
          <w:p w14:paraId="29339AF0"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(Public)</w:t>
            </w:r>
          </w:p>
          <w:p w14:paraId="3BCBAC40"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(Private)</w:t>
            </w:r>
          </w:p>
        </w:tc>
        <w:tc>
          <w:tcPr>
            <w:tcW w:w="1094" w:type="pct"/>
            <w:vAlign w:val="center"/>
          </w:tcPr>
          <w:p w14:paraId="0F9BDC88"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120 mg</w:t>
            </w:r>
          </w:p>
        </w:tc>
        <w:tc>
          <w:tcPr>
            <w:tcW w:w="1096" w:type="pct"/>
            <w:vAlign w:val="center"/>
          </w:tcPr>
          <w:p w14:paraId="6968199B" w14:textId="775A078C" w:rsidR="00474DAD" w:rsidRPr="002054B4" w:rsidRDefault="00C116E1" w:rsidP="00153279">
            <w:pPr>
              <w:keepNext/>
              <w:jc w:val="center"/>
              <w:rPr>
                <w:rFonts w:ascii="Arial Narrow" w:hAnsi="Arial Narrow"/>
                <w:sz w:val="20"/>
                <w:szCs w:val="20"/>
              </w:rPr>
            </w:pPr>
            <w:r>
              <w:rPr>
                <w:rFonts w:ascii="Arial Narrow" w:hAnsi="Arial Narrow"/>
                <w:sz w:val="20"/>
                <w:szCs w:val="20"/>
              </w:rPr>
              <w:t>3</w:t>
            </w:r>
          </w:p>
        </w:tc>
      </w:tr>
      <w:tr w:rsidR="00474DAD" w:rsidRPr="007427EF" w14:paraId="388B32EE" w14:textId="77777777" w:rsidTr="00FD4B58">
        <w:trPr>
          <w:cantSplit/>
          <w:trHeight w:val="20"/>
        </w:trPr>
        <w:tc>
          <w:tcPr>
            <w:tcW w:w="5000" w:type="pct"/>
            <w:gridSpan w:val="6"/>
            <w:vAlign w:val="center"/>
          </w:tcPr>
          <w:p w14:paraId="1A86983E"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Available brands </w:t>
            </w:r>
          </w:p>
        </w:tc>
      </w:tr>
      <w:tr w:rsidR="00474DAD" w:rsidRPr="007427EF" w14:paraId="2DDC714A" w14:textId="77777777" w:rsidTr="00FD4B58">
        <w:trPr>
          <w:cantSplit/>
          <w:trHeight w:val="20"/>
        </w:trPr>
        <w:tc>
          <w:tcPr>
            <w:tcW w:w="5000" w:type="pct"/>
            <w:gridSpan w:val="6"/>
            <w:vAlign w:val="center"/>
          </w:tcPr>
          <w:p w14:paraId="4F2D94F9" w14:textId="77777777" w:rsidR="00474DAD" w:rsidRPr="007427EF" w:rsidRDefault="00474DAD" w:rsidP="6A98AE7B">
            <w:pPr>
              <w:contextualSpacing/>
              <w:rPr>
                <w:rFonts w:ascii="Arial Narrow" w:hAnsi="Arial Narrow"/>
                <w:sz w:val="20"/>
                <w:szCs w:val="20"/>
              </w:rPr>
            </w:pPr>
            <w:r w:rsidRPr="007427EF">
              <w:rPr>
                <w:rFonts w:ascii="Arial Narrow" w:hAnsi="Arial Narrow"/>
                <w:sz w:val="20"/>
                <w:szCs w:val="20"/>
              </w:rPr>
              <w:t>Poteligeo</w:t>
            </w:r>
          </w:p>
          <w:p w14:paraId="22B8FD5C" w14:textId="77777777" w:rsidR="00474DAD" w:rsidRPr="007427EF" w:rsidRDefault="00474DAD" w:rsidP="00153279">
            <w:pPr>
              <w:keepNext/>
              <w:rPr>
                <w:rFonts w:ascii="Arial Narrow" w:hAnsi="Arial Narrow"/>
                <w:sz w:val="20"/>
                <w:szCs w:val="20"/>
              </w:rPr>
            </w:pPr>
            <w:r w:rsidRPr="007427EF">
              <w:rPr>
                <w:rFonts w:ascii="Arial Narrow" w:eastAsia="Calibri" w:hAnsi="Arial Narrow" w:cs="Calibri"/>
                <w:sz w:val="20"/>
                <w:szCs w:val="20"/>
              </w:rPr>
              <w:t>mogamulizumab 20 mg/5 mL injection, 5 mL vial</w:t>
            </w:r>
          </w:p>
        </w:tc>
      </w:tr>
      <w:tr w:rsidR="00474DAD" w:rsidRPr="007427EF" w14:paraId="0D843BD8" w14:textId="77777777" w:rsidTr="00FD4B58">
        <w:trPr>
          <w:cantSplit/>
          <w:trHeight w:val="20"/>
        </w:trPr>
        <w:tc>
          <w:tcPr>
            <w:tcW w:w="5000" w:type="pct"/>
            <w:gridSpan w:val="6"/>
            <w:vAlign w:val="center"/>
          </w:tcPr>
          <w:p w14:paraId="7CF2E691" w14:textId="77777777" w:rsidR="00474DAD" w:rsidRPr="007427EF" w:rsidRDefault="00474DAD" w:rsidP="00153279">
            <w:pPr>
              <w:rPr>
                <w:rFonts w:ascii="Arial Narrow" w:hAnsi="Arial Narrow"/>
                <w:color w:val="FF0000"/>
                <w:sz w:val="20"/>
                <w:szCs w:val="20"/>
              </w:rPr>
            </w:pPr>
          </w:p>
        </w:tc>
      </w:tr>
      <w:tr w:rsidR="00474DAD" w:rsidRPr="007427EF" w14:paraId="6D85C96D" w14:textId="77777777" w:rsidTr="00FD4B58">
        <w:trPr>
          <w:cantSplit/>
          <w:trHeight w:val="20"/>
        </w:trPr>
        <w:tc>
          <w:tcPr>
            <w:tcW w:w="5000" w:type="pct"/>
            <w:gridSpan w:val="6"/>
            <w:vAlign w:val="center"/>
          </w:tcPr>
          <w:p w14:paraId="24F887FD" w14:textId="77777777" w:rsidR="00474DAD" w:rsidRPr="007427EF" w:rsidRDefault="00474DAD" w:rsidP="00153279">
            <w:pPr>
              <w:keepNext/>
              <w:rPr>
                <w:rFonts w:ascii="Arial Narrow" w:hAnsi="Arial Narrow"/>
                <w:color w:val="FF0000"/>
                <w:sz w:val="20"/>
                <w:szCs w:val="20"/>
              </w:rPr>
            </w:pPr>
            <w:r w:rsidRPr="007427EF">
              <w:rPr>
                <w:rFonts w:ascii="Arial Narrow" w:hAnsi="Arial Narrow"/>
                <w:b/>
                <w:sz w:val="20"/>
                <w:szCs w:val="20"/>
              </w:rPr>
              <w:t>Restriction Summary [new1]</w:t>
            </w:r>
            <w:r w:rsidRPr="007427EF">
              <w:rPr>
                <w:rFonts w:ascii="Arial Narrow" w:hAnsi="Arial Narrow"/>
                <w:b/>
                <w:color w:val="FF0000"/>
                <w:sz w:val="20"/>
                <w:szCs w:val="20"/>
              </w:rPr>
              <w:t xml:space="preserve"> </w:t>
            </w:r>
            <w:r w:rsidRPr="007427EF">
              <w:rPr>
                <w:rFonts w:ascii="Arial Narrow" w:hAnsi="Arial Narrow"/>
                <w:b/>
                <w:sz w:val="20"/>
                <w:szCs w:val="20"/>
              </w:rPr>
              <w:t>/ Treatment of Concept: [new1A]</w:t>
            </w:r>
          </w:p>
        </w:tc>
      </w:tr>
      <w:tr w:rsidR="00474DAD" w:rsidRPr="007427EF" w14:paraId="0168E6D4" w14:textId="77777777" w:rsidTr="00FD4B58">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408D569B"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 xml:space="preserve">Concept ID </w:t>
            </w:r>
            <w:r w:rsidRPr="007427EF">
              <w:rPr>
                <w:rFonts w:ascii="Arial Narrow" w:hAnsi="Arial Narrow"/>
                <w:sz w:val="20"/>
                <w:szCs w:val="20"/>
              </w:rPr>
              <w:t>(for internal Dept. use)</w:t>
            </w:r>
          </w:p>
        </w:tc>
        <w:tc>
          <w:tcPr>
            <w:tcW w:w="4295" w:type="pct"/>
            <w:gridSpan w:val="4"/>
          </w:tcPr>
          <w:p w14:paraId="09404377" w14:textId="77777777" w:rsidR="00474DAD" w:rsidRPr="007427EF" w:rsidRDefault="00474DAD" w:rsidP="00153279">
            <w:pPr>
              <w:keepNext/>
              <w:rPr>
                <w:rFonts w:ascii="Arial Narrow" w:hAnsi="Arial Narrow"/>
                <w:sz w:val="20"/>
                <w:szCs w:val="20"/>
              </w:rPr>
            </w:pPr>
            <w:r w:rsidRPr="007427EF">
              <w:rPr>
                <w:rFonts w:ascii="Arial Narrow" w:hAnsi="Arial Narrow"/>
                <w:b/>
                <w:sz w:val="20"/>
                <w:szCs w:val="20"/>
              </w:rPr>
              <w:t xml:space="preserve">Category / Program: </w:t>
            </w:r>
            <w:r w:rsidRPr="007427EF">
              <w:rPr>
                <w:rFonts w:ascii="Arial Narrow" w:hAnsi="Arial Narrow"/>
                <w:sz w:val="20"/>
                <w:szCs w:val="20"/>
              </w:rPr>
              <w:t xml:space="preserve">Section 100 – Efficient Funding of Chemotherapy Public/Private hospitals </w:t>
            </w:r>
          </w:p>
        </w:tc>
      </w:tr>
      <w:tr w:rsidR="00474DAD" w:rsidRPr="007427EF" w14:paraId="637FD0E6" w14:textId="77777777" w:rsidTr="00FD4B58">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06C0824" w14:textId="77777777" w:rsidR="00474DAD" w:rsidRPr="007427EF" w:rsidRDefault="00474DAD" w:rsidP="00153279">
            <w:pPr>
              <w:keepNext/>
              <w:rPr>
                <w:rFonts w:ascii="Arial Narrow" w:hAnsi="Arial Narrow"/>
                <w:sz w:val="20"/>
                <w:szCs w:val="20"/>
              </w:rPr>
            </w:pPr>
          </w:p>
        </w:tc>
        <w:tc>
          <w:tcPr>
            <w:tcW w:w="4295" w:type="pct"/>
            <w:gridSpan w:val="4"/>
          </w:tcPr>
          <w:p w14:paraId="3B811E9A"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Prescriber type:  </w:t>
            </w:r>
            <w:r w:rsidRPr="007427EF">
              <w:rPr>
                <w:rFonts w:ascii="Arial Narrow" w:hAnsi="Arial Narrow"/>
                <w:sz w:val="20"/>
                <w:szCs w:val="20"/>
              </w:rPr>
              <w:fldChar w:fldCharType="begin">
                <w:ffData>
                  <w:name w:val=""/>
                  <w:enabled/>
                  <w:calcOnExit w:val="0"/>
                  <w:checkBox>
                    <w:sizeAuto/>
                    <w:default w:val="1"/>
                  </w:checkBox>
                </w:ffData>
              </w:fldChar>
            </w:r>
            <w:r w:rsidRPr="007427EF">
              <w:rPr>
                <w:rFonts w:ascii="Arial Narrow" w:hAnsi="Arial Narrow"/>
                <w:sz w:val="20"/>
                <w:szCs w:val="20"/>
              </w:rPr>
              <w:instrText xml:space="preserve"> FORMCHECKBOX </w:instrText>
            </w:r>
            <w:r w:rsidRPr="007427EF">
              <w:rPr>
                <w:rFonts w:ascii="Arial Narrow" w:hAnsi="Arial Narrow"/>
                <w:sz w:val="20"/>
                <w:szCs w:val="20"/>
              </w:rPr>
            </w:r>
            <w:r w:rsidRPr="007427EF">
              <w:rPr>
                <w:rFonts w:ascii="Arial Narrow" w:hAnsi="Arial Narrow"/>
                <w:sz w:val="20"/>
                <w:szCs w:val="20"/>
              </w:rPr>
              <w:fldChar w:fldCharType="separate"/>
            </w:r>
            <w:r w:rsidRPr="007427EF">
              <w:rPr>
                <w:rFonts w:ascii="Arial Narrow" w:hAnsi="Arial Narrow"/>
                <w:sz w:val="20"/>
                <w:szCs w:val="20"/>
              </w:rPr>
              <w:fldChar w:fldCharType="end"/>
            </w:r>
            <w:r w:rsidRPr="007427EF">
              <w:rPr>
                <w:rFonts w:ascii="Arial Narrow" w:hAnsi="Arial Narrow"/>
                <w:sz w:val="20"/>
                <w:szCs w:val="20"/>
              </w:rPr>
              <w:t xml:space="preserve">Medical Practitioners </w:t>
            </w:r>
          </w:p>
        </w:tc>
      </w:tr>
      <w:tr w:rsidR="00474DAD" w:rsidRPr="007427EF" w14:paraId="17F58BAB" w14:textId="77777777" w:rsidTr="00FD4B58">
        <w:tblPrEx>
          <w:tblCellMar>
            <w:top w:w="15" w:type="dxa"/>
            <w:bottom w:w="15" w:type="dxa"/>
          </w:tblCellMar>
        </w:tblPrEx>
        <w:trPr>
          <w:cantSplit/>
          <w:trHeight w:val="20"/>
        </w:trPr>
        <w:tc>
          <w:tcPr>
            <w:tcW w:w="705" w:type="pct"/>
            <w:gridSpan w:val="2"/>
            <w:vMerge/>
          </w:tcPr>
          <w:p w14:paraId="397DECB5" w14:textId="77777777" w:rsidR="00474DAD" w:rsidRPr="007427EF" w:rsidRDefault="00474DAD" w:rsidP="00153279">
            <w:pPr>
              <w:rPr>
                <w:rFonts w:ascii="Arial Narrow" w:hAnsi="Arial Narrow"/>
                <w:sz w:val="20"/>
                <w:szCs w:val="20"/>
              </w:rPr>
            </w:pPr>
          </w:p>
        </w:tc>
        <w:tc>
          <w:tcPr>
            <w:tcW w:w="4295" w:type="pct"/>
            <w:gridSpan w:val="4"/>
          </w:tcPr>
          <w:p w14:paraId="2EEEBDD6" w14:textId="7D851212" w:rsidR="00474DAD" w:rsidRPr="00C50E46" w:rsidRDefault="00474DAD" w:rsidP="00153279">
            <w:pPr>
              <w:rPr>
                <w:rFonts w:ascii="Arial Narrow" w:eastAsia="Calibri" w:hAnsi="Arial Narrow"/>
                <w:sz w:val="20"/>
                <w:szCs w:val="20"/>
              </w:rPr>
            </w:pPr>
            <w:r w:rsidRPr="00C50E46">
              <w:rPr>
                <w:rFonts w:ascii="Arial Narrow" w:hAnsi="Arial Narrow"/>
                <w:b/>
                <w:sz w:val="20"/>
                <w:szCs w:val="20"/>
              </w:rPr>
              <w:t xml:space="preserve">Restriction type: </w:t>
            </w:r>
            <w:r w:rsidRPr="00C50E46">
              <w:rPr>
                <w:rFonts w:ascii="Arial Narrow" w:eastAsia="Calibri" w:hAnsi="Arial Narrow"/>
                <w:sz w:val="20"/>
                <w:szCs w:val="20"/>
              </w:rPr>
              <w:fldChar w:fldCharType="begin">
                <w:ffData>
                  <w:name w:val=""/>
                  <w:enabled/>
                  <w:calcOnExit w:val="0"/>
                  <w:checkBox>
                    <w:sizeAuto/>
                    <w:default w:val="1"/>
                  </w:checkBox>
                </w:ffData>
              </w:fldChar>
            </w:r>
            <w:r w:rsidRPr="00C50E46">
              <w:rPr>
                <w:rFonts w:ascii="Arial Narrow" w:eastAsia="Calibri" w:hAnsi="Arial Narrow"/>
                <w:sz w:val="20"/>
                <w:szCs w:val="20"/>
              </w:rPr>
              <w:instrText xml:space="preserve"> FORMCHECKBOX </w:instrText>
            </w:r>
            <w:r w:rsidRPr="00C50E46">
              <w:rPr>
                <w:rFonts w:ascii="Arial Narrow" w:eastAsia="Calibri" w:hAnsi="Arial Narrow"/>
                <w:sz w:val="20"/>
                <w:szCs w:val="20"/>
              </w:rPr>
            </w:r>
            <w:r w:rsidRPr="00C50E46">
              <w:rPr>
                <w:rFonts w:ascii="Arial Narrow" w:eastAsia="Calibri" w:hAnsi="Arial Narrow"/>
                <w:sz w:val="20"/>
                <w:szCs w:val="20"/>
              </w:rPr>
              <w:fldChar w:fldCharType="separate"/>
            </w:r>
            <w:r w:rsidRPr="00C50E46">
              <w:rPr>
                <w:rFonts w:ascii="Arial Narrow" w:eastAsia="Calibri" w:hAnsi="Arial Narrow"/>
                <w:sz w:val="20"/>
                <w:szCs w:val="20"/>
              </w:rPr>
              <w:fldChar w:fldCharType="end"/>
            </w:r>
            <w:r w:rsidRPr="00C50E46">
              <w:rPr>
                <w:rFonts w:ascii="Arial Narrow" w:eastAsia="Calibri" w:hAnsi="Arial Narrow"/>
                <w:sz w:val="20"/>
                <w:szCs w:val="20"/>
              </w:rPr>
              <w:t xml:space="preserve">Authority </w:t>
            </w:r>
            <w:bookmarkStart w:id="78" w:name="_Hlk109832598"/>
            <w:r w:rsidRPr="00C50E46">
              <w:rPr>
                <w:rFonts w:ascii="Arial Narrow" w:eastAsia="Calibri" w:hAnsi="Arial Narrow"/>
                <w:sz w:val="20"/>
                <w:szCs w:val="20"/>
              </w:rPr>
              <w:t xml:space="preserve">Required </w:t>
            </w:r>
            <w:bookmarkEnd w:id="78"/>
            <w:r w:rsidRPr="00C50E46">
              <w:rPr>
                <w:rFonts w:ascii="Arial Narrow" w:hAnsi="Arial Narrow" w:cs="Segoe UI"/>
                <w:sz w:val="20"/>
                <w:szCs w:val="20"/>
              </w:rPr>
              <w:t>(FULL assessment) in writing only via post/HPOS upload)</w:t>
            </w:r>
          </w:p>
        </w:tc>
      </w:tr>
      <w:tr w:rsidR="007F2AC1" w:rsidRPr="007427EF" w14:paraId="3EF67282" w14:textId="77777777">
        <w:tblPrEx>
          <w:tblCellMar>
            <w:top w:w="15" w:type="dxa"/>
            <w:bottom w:w="15" w:type="dxa"/>
          </w:tblCellMar>
          <w:tblLook w:val="04A0" w:firstRow="1" w:lastRow="0" w:firstColumn="1" w:lastColumn="0" w:noHBand="0" w:noVBand="1"/>
        </w:tblPrEx>
        <w:trPr>
          <w:trHeight w:val="873"/>
        </w:trPr>
        <w:tc>
          <w:tcPr>
            <w:tcW w:w="312" w:type="pct"/>
            <w:textDirection w:val="btLr"/>
            <w:vAlign w:val="center"/>
          </w:tcPr>
          <w:p w14:paraId="41FBD931" w14:textId="77777777" w:rsidR="007F2AC1" w:rsidRPr="007427EF" w:rsidRDefault="007F2AC1" w:rsidP="00153279">
            <w:pPr>
              <w:keepLines/>
              <w:ind w:right="113"/>
              <w:jc w:val="center"/>
              <w:rPr>
                <w:rFonts w:ascii="Arial Narrow" w:hAnsi="Arial Narrow"/>
                <w:color w:val="333333"/>
                <w:sz w:val="18"/>
                <w:szCs w:val="18"/>
              </w:rPr>
            </w:pPr>
            <w:r w:rsidRPr="007427EF">
              <w:rPr>
                <w:rFonts w:ascii="Arial Narrow" w:hAnsi="Arial Narrow"/>
                <w:color w:val="333333"/>
                <w:sz w:val="18"/>
                <w:szCs w:val="18"/>
              </w:rPr>
              <w:t>Prescribing rule level</w:t>
            </w:r>
          </w:p>
        </w:tc>
        <w:tc>
          <w:tcPr>
            <w:tcW w:w="393" w:type="pct"/>
            <w:vAlign w:val="center"/>
          </w:tcPr>
          <w:p w14:paraId="75C7FDDF" w14:textId="561368CB" w:rsidR="007F2AC1" w:rsidRPr="001B71DC" w:rsidRDefault="007F2AC1" w:rsidP="00153279">
            <w:pPr>
              <w:keepLines/>
              <w:ind w:hanging="35"/>
              <w:jc w:val="center"/>
              <w:rPr>
                <w:rFonts w:ascii="Arial Narrow" w:hAnsi="Arial Narrow"/>
                <w:color w:val="333333"/>
                <w:sz w:val="20"/>
                <w:szCs w:val="20"/>
              </w:rPr>
            </w:pPr>
          </w:p>
        </w:tc>
        <w:tc>
          <w:tcPr>
            <w:tcW w:w="4295" w:type="pct"/>
            <w:gridSpan w:val="4"/>
            <w:vAlign w:val="center"/>
          </w:tcPr>
          <w:p w14:paraId="14634262" w14:textId="77777777" w:rsidR="007F2AC1" w:rsidRPr="00C50E46" w:rsidRDefault="007F2AC1" w:rsidP="00153279">
            <w:pPr>
              <w:keepLines/>
              <w:rPr>
                <w:rFonts w:ascii="Arial Narrow" w:hAnsi="Arial Narrow"/>
                <w:color w:val="212121"/>
                <w:sz w:val="20"/>
                <w:szCs w:val="20"/>
              </w:rPr>
            </w:pPr>
            <w:r w:rsidRPr="00C50E46">
              <w:rPr>
                <w:rFonts w:ascii="Arial Narrow" w:hAnsi="Arial Narrow"/>
                <w:b/>
                <w:bCs/>
                <w:color w:val="212121"/>
                <w:sz w:val="20"/>
                <w:szCs w:val="20"/>
              </w:rPr>
              <w:t>Administrative Advice:</w:t>
            </w:r>
            <w:r w:rsidRPr="00C50E46">
              <w:rPr>
                <w:rFonts w:ascii="Arial Narrow" w:hAnsi="Arial Narrow"/>
                <w:bCs/>
                <w:color w:val="212121"/>
                <w:sz w:val="20"/>
                <w:szCs w:val="20"/>
              </w:rPr>
              <w:t xml:space="preserve"> </w:t>
            </w:r>
            <w:r w:rsidRPr="00C50E46">
              <w:rPr>
                <w:rFonts w:ascii="Arial Narrow" w:hAnsi="Arial Narrow"/>
                <w:color w:val="212121"/>
                <w:sz w:val="20"/>
                <w:szCs w:val="20"/>
              </w:rPr>
              <w:t>No increase in the maximum number of repeats may be authorised.</w:t>
            </w:r>
          </w:p>
        </w:tc>
      </w:tr>
      <w:tr w:rsidR="00474DAD" w:rsidRPr="007427EF" w14:paraId="6546E3C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540E82E" w14:textId="77777777" w:rsidR="00474DAD" w:rsidRPr="007427EF" w:rsidRDefault="00474DAD" w:rsidP="00153279">
            <w:pPr>
              <w:keepLines/>
              <w:jc w:val="center"/>
              <w:rPr>
                <w:rFonts w:ascii="Arial Narrow" w:hAnsi="Arial Narrow"/>
                <w:color w:val="333333"/>
                <w:sz w:val="20"/>
                <w:szCs w:val="20"/>
              </w:rPr>
            </w:pPr>
          </w:p>
        </w:tc>
        <w:tc>
          <w:tcPr>
            <w:tcW w:w="4295" w:type="pct"/>
            <w:gridSpan w:val="4"/>
            <w:vAlign w:val="center"/>
          </w:tcPr>
          <w:p w14:paraId="0618176A" w14:textId="77777777" w:rsidR="00474DAD" w:rsidRPr="007427EF" w:rsidRDefault="00474DAD" w:rsidP="00153279">
            <w:pPr>
              <w:keepLines/>
              <w:rPr>
                <w:rFonts w:ascii="Arial Narrow" w:hAnsi="Arial Narrow"/>
                <w:b/>
                <w:bCs/>
                <w:color w:val="212121"/>
                <w:sz w:val="20"/>
                <w:szCs w:val="20"/>
              </w:rPr>
            </w:pPr>
            <w:r w:rsidRPr="007427EF">
              <w:rPr>
                <w:rFonts w:ascii="Arial Narrow" w:hAnsi="Arial Narrow"/>
                <w:b/>
                <w:bCs/>
                <w:color w:val="212121"/>
                <w:sz w:val="20"/>
                <w:szCs w:val="20"/>
              </w:rPr>
              <w:t xml:space="preserve">Condition: </w:t>
            </w:r>
            <w:r w:rsidRPr="007427EF">
              <w:rPr>
                <w:rFonts w:ascii="Arial Narrow" w:hAnsi="Arial Narrow"/>
                <w:color w:val="212121"/>
                <w:sz w:val="20"/>
                <w:szCs w:val="20"/>
              </w:rPr>
              <w:t>Cutaneous T-cell lymphoma</w:t>
            </w:r>
          </w:p>
        </w:tc>
      </w:tr>
      <w:tr w:rsidR="00474DAD" w:rsidRPr="007427EF" w14:paraId="6811ACE8"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B9DDBFA" w14:textId="41A8288F" w:rsidR="00474DAD" w:rsidRPr="007427EF" w:rsidRDefault="00474DAD" w:rsidP="00153279">
            <w:pPr>
              <w:keepLines/>
              <w:jc w:val="center"/>
              <w:rPr>
                <w:rFonts w:ascii="Arial Narrow" w:hAnsi="Arial Narrow"/>
                <w:color w:val="333333"/>
                <w:sz w:val="20"/>
                <w:szCs w:val="20"/>
              </w:rPr>
            </w:pPr>
          </w:p>
        </w:tc>
        <w:tc>
          <w:tcPr>
            <w:tcW w:w="4295" w:type="pct"/>
            <w:gridSpan w:val="4"/>
            <w:vAlign w:val="center"/>
            <w:hideMark/>
          </w:tcPr>
          <w:p w14:paraId="220D01FB" w14:textId="77777777" w:rsidR="00474DAD" w:rsidRPr="007427EF" w:rsidRDefault="00474DAD" w:rsidP="00153279">
            <w:pPr>
              <w:keepLines/>
              <w:rPr>
                <w:rFonts w:ascii="Arial Narrow" w:hAnsi="Arial Narrow"/>
                <w:color w:val="212121"/>
                <w:sz w:val="20"/>
                <w:szCs w:val="20"/>
              </w:rPr>
            </w:pPr>
            <w:r w:rsidRPr="007427EF">
              <w:rPr>
                <w:rFonts w:ascii="Arial Narrow" w:hAnsi="Arial Narrow"/>
                <w:b/>
                <w:bCs/>
                <w:color w:val="212121"/>
                <w:sz w:val="20"/>
                <w:szCs w:val="20"/>
              </w:rPr>
              <w:t>Indication:</w:t>
            </w:r>
            <w:r w:rsidRPr="007427EF">
              <w:rPr>
                <w:rFonts w:ascii="Arial Narrow" w:hAnsi="Arial Narrow"/>
                <w:color w:val="212121"/>
                <w:sz w:val="20"/>
                <w:szCs w:val="20"/>
              </w:rPr>
              <w:t xml:space="preserve"> Cutaneous T-cell lymphoma</w:t>
            </w:r>
          </w:p>
        </w:tc>
      </w:tr>
      <w:tr w:rsidR="00474DAD" w:rsidRPr="007427EF" w14:paraId="1B8185E0"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9233F5D"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284288A9"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Treatment Phase:</w:t>
            </w:r>
            <w:r w:rsidRPr="007427EF">
              <w:rPr>
                <w:rFonts w:ascii="Arial Narrow" w:hAnsi="Arial Narrow"/>
                <w:color w:val="212121"/>
                <w:sz w:val="20"/>
                <w:szCs w:val="20"/>
              </w:rPr>
              <w:t xml:space="preserve"> Initial treatment</w:t>
            </w:r>
          </w:p>
        </w:tc>
      </w:tr>
      <w:tr w:rsidR="00474DAD" w:rsidRPr="007427EF" w14:paraId="48A3CC34"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2F9AAFB" w14:textId="6B28D69B"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4F213966"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 xml:space="preserve">Clinical criteria: </w:t>
            </w:r>
          </w:p>
        </w:tc>
      </w:tr>
      <w:tr w:rsidR="00A547DB" w:rsidRPr="007427EF" w14:paraId="752E814F"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57D4D3" w14:textId="18BDDE4A" w:rsidR="00A547DB" w:rsidRPr="007427EF" w:rsidDel="00A040B7" w:rsidRDefault="00A547DB" w:rsidP="00153279">
            <w:pPr>
              <w:jc w:val="center"/>
              <w:rPr>
                <w:rFonts w:ascii="Arial Narrow" w:hAnsi="Arial Narrow"/>
                <w:color w:val="212121"/>
                <w:sz w:val="20"/>
                <w:szCs w:val="20"/>
              </w:rPr>
            </w:pPr>
          </w:p>
        </w:tc>
        <w:tc>
          <w:tcPr>
            <w:tcW w:w="4295" w:type="pct"/>
            <w:gridSpan w:val="4"/>
            <w:vAlign w:val="center"/>
          </w:tcPr>
          <w:p w14:paraId="528C8DF3" w14:textId="33B44605" w:rsidR="00A547DB" w:rsidRPr="007427EF" w:rsidRDefault="00A547DB" w:rsidP="00153279">
            <w:pPr>
              <w:pStyle w:val="Table"/>
              <w:rPr>
                <w:rFonts w:ascii="Arial Narrow" w:hAnsi="Arial Narrow"/>
                <w:color w:val="212121"/>
                <w:szCs w:val="20"/>
              </w:rPr>
            </w:pPr>
            <w:r w:rsidRPr="00A547DB">
              <w:rPr>
                <w:rFonts w:ascii="Arial Narrow" w:hAnsi="Arial Narrow"/>
                <w:color w:val="212121"/>
                <w:szCs w:val="20"/>
              </w:rPr>
              <w:t>Patient must have received systemic treatment with chemotherapy</w:t>
            </w:r>
          </w:p>
        </w:tc>
      </w:tr>
      <w:tr w:rsidR="00A547DB" w:rsidRPr="007427EF" w14:paraId="6D0BC0D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BEFF818" w14:textId="77777777" w:rsidR="00A547DB" w:rsidRPr="007427EF" w:rsidDel="00A040B7" w:rsidRDefault="00A547DB" w:rsidP="00153279">
            <w:pPr>
              <w:jc w:val="center"/>
              <w:rPr>
                <w:rFonts w:ascii="Arial Narrow" w:hAnsi="Arial Narrow"/>
                <w:color w:val="212121"/>
                <w:sz w:val="20"/>
                <w:szCs w:val="20"/>
              </w:rPr>
            </w:pPr>
          </w:p>
        </w:tc>
        <w:tc>
          <w:tcPr>
            <w:tcW w:w="4295" w:type="pct"/>
            <w:gridSpan w:val="4"/>
            <w:vAlign w:val="center"/>
          </w:tcPr>
          <w:p w14:paraId="100D65EC" w14:textId="7712E750" w:rsidR="00A547DB" w:rsidRPr="00D82249" w:rsidRDefault="00A547DB" w:rsidP="00153279">
            <w:pPr>
              <w:pStyle w:val="Table"/>
              <w:rPr>
                <w:rFonts w:ascii="Arial Narrow" w:hAnsi="Arial Narrow"/>
                <w:b/>
                <w:bCs/>
                <w:color w:val="212121"/>
                <w:szCs w:val="20"/>
              </w:rPr>
            </w:pPr>
            <w:r w:rsidRPr="00D82249">
              <w:rPr>
                <w:rFonts w:ascii="Arial Narrow" w:hAnsi="Arial Narrow"/>
                <w:b/>
                <w:bCs/>
                <w:color w:val="212121"/>
                <w:szCs w:val="20"/>
              </w:rPr>
              <w:t>AND</w:t>
            </w:r>
          </w:p>
        </w:tc>
      </w:tr>
      <w:tr w:rsidR="001435BA" w:rsidRPr="007427EF" w14:paraId="6E3E634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9A7191" w14:textId="4705789A" w:rsidR="001435BA" w:rsidRPr="007427EF" w:rsidDel="00A040B7" w:rsidRDefault="001435BA" w:rsidP="00153279">
            <w:pPr>
              <w:jc w:val="center"/>
              <w:rPr>
                <w:rFonts w:ascii="Arial Narrow" w:hAnsi="Arial Narrow"/>
                <w:color w:val="212121"/>
                <w:sz w:val="20"/>
                <w:szCs w:val="20"/>
              </w:rPr>
            </w:pPr>
          </w:p>
        </w:tc>
        <w:tc>
          <w:tcPr>
            <w:tcW w:w="4295" w:type="pct"/>
            <w:gridSpan w:val="4"/>
            <w:vAlign w:val="center"/>
          </w:tcPr>
          <w:p w14:paraId="5D039A2C" w14:textId="79670BB1" w:rsidR="001435BA" w:rsidRPr="00D82249" w:rsidRDefault="001435BA" w:rsidP="00153279">
            <w:pPr>
              <w:pStyle w:val="Table"/>
              <w:rPr>
                <w:rFonts w:ascii="Arial Narrow" w:hAnsi="Arial Narrow"/>
                <w:b/>
                <w:bCs/>
                <w:color w:val="212121"/>
                <w:szCs w:val="20"/>
              </w:rPr>
            </w:pPr>
            <w:r>
              <w:rPr>
                <w:rFonts w:ascii="Arial Narrow" w:hAnsi="Arial Narrow"/>
                <w:b/>
                <w:bCs/>
                <w:color w:val="212121"/>
                <w:szCs w:val="20"/>
              </w:rPr>
              <w:t>Clinical criteria</w:t>
            </w:r>
          </w:p>
        </w:tc>
      </w:tr>
      <w:tr w:rsidR="00474DAD" w:rsidRPr="007427EF" w14:paraId="60E6A082"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E185880" w14:textId="37F07CDE"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07083504" w14:textId="25EEF2FA" w:rsidR="00474DAD" w:rsidRPr="007427EF" w:rsidRDefault="00474DAD" w:rsidP="00153279">
            <w:pPr>
              <w:pStyle w:val="Table"/>
              <w:rPr>
                <w:rFonts w:ascii="Arial Narrow" w:hAnsi="Arial Narrow"/>
                <w:color w:val="212121"/>
                <w:szCs w:val="20"/>
              </w:rPr>
            </w:pPr>
            <w:r w:rsidRPr="007427EF">
              <w:rPr>
                <w:rFonts w:ascii="Arial Narrow" w:hAnsi="Arial Narrow"/>
                <w:color w:val="212121"/>
                <w:szCs w:val="20"/>
              </w:rPr>
              <w:t xml:space="preserve">Patient must </w:t>
            </w:r>
            <w:r w:rsidR="00A040B7">
              <w:rPr>
                <w:rFonts w:ascii="Arial Narrow" w:hAnsi="Arial Narrow"/>
                <w:color w:val="212121"/>
                <w:szCs w:val="20"/>
              </w:rPr>
              <w:t>demonstrate relapsed or chemotherapy-refractory disease</w:t>
            </w:r>
          </w:p>
        </w:tc>
      </w:tr>
      <w:tr w:rsidR="00474DAD" w:rsidRPr="007427EF" w14:paraId="2EA7A389"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A89510"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006B47A1"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AND</w:t>
            </w:r>
          </w:p>
        </w:tc>
      </w:tr>
      <w:tr w:rsidR="00D82249" w:rsidRPr="007427EF" w14:paraId="0D67BF5A"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B01837E" w14:textId="1FF33115" w:rsidR="00D82249" w:rsidRPr="007427EF" w:rsidRDefault="00D82249" w:rsidP="00153279">
            <w:pPr>
              <w:jc w:val="center"/>
              <w:rPr>
                <w:rFonts w:ascii="Arial Narrow" w:hAnsi="Arial Narrow"/>
                <w:color w:val="212121"/>
                <w:sz w:val="20"/>
                <w:szCs w:val="20"/>
              </w:rPr>
            </w:pPr>
          </w:p>
        </w:tc>
        <w:tc>
          <w:tcPr>
            <w:tcW w:w="4295" w:type="pct"/>
            <w:gridSpan w:val="4"/>
            <w:vAlign w:val="center"/>
          </w:tcPr>
          <w:p w14:paraId="341E6725" w14:textId="11A873B2" w:rsidR="00D82249" w:rsidRPr="007427EF" w:rsidRDefault="00422290" w:rsidP="00153279">
            <w:pPr>
              <w:rPr>
                <w:rFonts w:ascii="Arial Narrow" w:hAnsi="Arial Narrow"/>
                <w:b/>
                <w:bCs/>
                <w:color w:val="212121"/>
                <w:sz w:val="20"/>
                <w:szCs w:val="20"/>
              </w:rPr>
            </w:pPr>
            <w:r>
              <w:rPr>
                <w:rFonts w:ascii="Arial Narrow" w:hAnsi="Arial Narrow"/>
                <w:b/>
                <w:bCs/>
                <w:color w:val="212121"/>
                <w:sz w:val="20"/>
                <w:szCs w:val="20"/>
              </w:rPr>
              <w:t>Clinical criteria</w:t>
            </w:r>
          </w:p>
        </w:tc>
      </w:tr>
      <w:tr w:rsidR="00D82249" w:rsidRPr="007427EF" w14:paraId="721B568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5E5BF2E" w14:textId="4FAEC3B3" w:rsidR="00D82249" w:rsidRPr="007427EF" w:rsidRDefault="00D82249" w:rsidP="00153279">
            <w:pPr>
              <w:jc w:val="center"/>
              <w:rPr>
                <w:rFonts w:ascii="Arial Narrow" w:hAnsi="Arial Narrow"/>
                <w:color w:val="212121"/>
                <w:sz w:val="20"/>
                <w:szCs w:val="20"/>
              </w:rPr>
            </w:pPr>
          </w:p>
        </w:tc>
        <w:tc>
          <w:tcPr>
            <w:tcW w:w="4295" w:type="pct"/>
            <w:gridSpan w:val="4"/>
            <w:vAlign w:val="center"/>
          </w:tcPr>
          <w:p w14:paraId="69E4303C" w14:textId="5AEC2D65" w:rsidR="00D82249" w:rsidRPr="00422290" w:rsidRDefault="00422290" w:rsidP="00153279">
            <w:pPr>
              <w:rPr>
                <w:rFonts w:ascii="Arial Narrow" w:hAnsi="Arial Narrow"/>
                <w:color w:val="212121"/>
                <w:sz w:val="20"/>
                <w:szCs w:val="20"/>
              </w:rPr>
            </w:pPr>
            <w:r>
              <w:rPr>
                <w:rFonts w:ascii="Arial Narrow" w:hAnsi="Arial Narrow"/>
                <w:color w:val="212121"/>
                <w:sz w:val="20"/>
                <w:szCs w:val="20"/>
              </w:rPr>
              <w:t xml:space="preserve">Patient must be ineligible for </w:t>
            </w:r>
            <w:r w:rsidR="00580BE7">
              <w:rPr>
                <w:rFonts w:ascii="Arial Narrow" w:hAnsi="Arial Narrow"/>
                <w:color w:val="212121"/>
                <w:sz w:val="20"/>
                <w:szCs w:val="20"/>
              </w:rPr>
              <w:t>stem cell transplant</w:t>
            </w:r>
          </w:p>
        </w:tc>
      </w:tr>
      <w:tr w:rsidR="00D82249" w:rsidRPr="007427EF" w14:paraId="702FDAE0"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6C68B17" w14:textId="77777777" w:rsidR="00D82249" w:rsidRPr="007427EF" w:rsidRDefault="00D82249" w:rsidP="00153279">
            <w:pPr>
              <w:jc w:val="center"/>
              <w:rPr>
                <w:rFonts w:ascii="Arial Narrow" w:hAnsi="Arial Narrow"/>
                <w:color w:val="212121"/>
                <w:sz w:val="20"/>
                <w:szCs w:val="20"/>
              </w:rPr>
            </w:pPr>
          </w:p>
        </w:tc>
        <w:tc>
          <w:tcPr>
            <w:tcW w:w="4295" w:type="pct"/>
            <w:gridSpan w:val="4"/>
            <w:vAlign w:val="center"/>
          </w:tcPr>
          <w:p w14:paraId="09D29F24" w14:textId="7F7FE98C" w:rsidR="00D82249" w:rsidRPr="007427EF" w:rsidRDefault="00422290" w:rsidP="00153279">
            <w:pPr>
              <w:rPr>
                <w:rFonts w:ascii="Arial Narrow" w:hAnsi="Arial Narrow"/>
                <w:b/>
                <w:bCs/>
                <w:color w:val="212121"/>
                <w:sz w:val="20"/>
                <w:szCs w:val="20"/>
              </w:rPr>
            </w:pPr>
            <w:r>
              <w:rPr>
                <w:rFonts w:ascii="Arial Narrow" w:hAnsi="Arial Narrow"/>
                <w:b/>
                <w:bCs/>
                <w:color w:val="212121"/>
                <w:sz w:val="20"/>
                <w:szCs w:val="20"/>
              </w:rPr>
              <w:t>AND</w:t>
            </w:r>
          </w:p>
        </w:tc>
      </w:tr>
      <w:tr w:rsidR="00474DAD" w:rsidRPr="007427EF" w14:paraId="1821A6F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0399383" w14:textId="7E969865"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6BDCFEA3"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Clinical criteria:</w:t>
            </w:r>
          </w:p>
        </w:tc>
      </w:tr>
      <w:tr w:rsidR="00474DAD" w:rsidRPr="007427EF" w14:paraId="52FCBCE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E0FB716" w14:textId="195C5239"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1BEFA0E9" w14:textId="31966DF5" w:rsidR="00474DAD" w:rsidRPr="007427EF" w:rsidRDefault="00474DAD" w:rsidP="00153279">
            <w:pPr>
              <w:rPr>
                <w:rFonts w:ascii="Arial Narrow" w:hAnsi="Arial Narrow"/>
                <w:color w:val="212121"/>
                <w:sz w:val="20"/>
                <w:szCs w:val="20"/>
              </w:rPr>
            </w:pPr>
            <w:r w:rsidRPr="007427EF">
              <w:rPr>
                <w:rFonts w:ascii="Arial Narrow" w:hAnsi="Arial Narrow"/>
                <w:color w:val="212121"/>
                <w:sz w:val="20"/>
                <w:szCs w:val="20"/>
              </w:rPr>
              <w:t>The treatment must be the sole PBS-subsidised therapy for this condition</w:t>
            </w:r>
          </w:p>
        </w:tc>
      </w:tr>
      <w:tr w:rsidR="00474DAD" w:rsidRPr="007427EF" w14:paraId="69C9C6CD" w14:textId="77777777" w:rsidTr="000E65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4E87F01" w14:textId="05CB1693" w:rsidR="00474DAD" w:rsidRPr="007427EF" w:rsidRDefault="00474DAD" w:rsidP="00153279">
            <w:pPr>
              <w:jc w:val="center"/>
              <w:rPr>
                <w:rFonts w:ascii="Arial Narrow" w:hAnsi="Arial Narrow"/>
                <w:color w:val="333333"/>
                <w:sz w:val="20"/>
                <w:szCs w:val="20"/>
              </w:rPr>
            </w:pPr>
          </w:p>
        </w:tc>
        <w:tc>
          <w:tcPr>
            <w:tcW w:w="4295" w:type="pct"/>
            <w:gridSpan w:val="4"/>
            <w:vAlign w:val="center"/>
            <w:hideMark/>
          </w:tcPr>
          <w:p w14:paraId="265D17F7" w14:textId="77777777" w:rsidR="00474DAD" w:rsidRPr="007427EF" w:rsidRDefault="00474DAD" w:rsidP="00153279">
            <w:pPr>
              <w:rPr>
                <w:rFonts w:ascii="Arial Narrow" w:hAnsi="Arial Narrow"/>
                <w:b/>
                <w:bCs/>
                <w:color w:val="333333"/>
                <w:sz w:val="20"/>
                <w:szCs w:val="20"/>
              </w:rPr>
            </w:pPr>
            <w:r w:rsidRPr="007427EF">
              <w:rPr>
                <w:rFonts w:ascii="Arial Narrow" w:hAnsi="Arial Narrow"/>
                <w:b/>
                <w:bCs/>
                <w:color w:val="333333"/>
                <w:sz w:val="20"/>
                <w:szCs w:val="20"/>
              </w:rPr>
              <w:t xml:space="preserve">Prescribing Instructions: </w:t>
            </w:r>
          </w:p>
          <w:p w14:paraId="5C6D26F6" w14:textId="77777777" w:rsidR="00474DAD" w:rsidRPr="007427EF" w:rsidRDefault="00474DAD" w:rsidP="6A98AE7B">
            <w:pPr>
              <w:rPr>
                <w:rFonts w:ascii="Arial Narrow" w:hAnsi="Arial Narrow"/>
                <w:sz w:val="20"/>
                <w:szCs w:val="20"/>
              </w:rPr>
            </w:pPr>
            <w:r w:rsidRPr="007427EF">
              <w:rPr>
                <w:rFonts w:ascii="Arial Narrow" w:hAnsi="Arial Narrow"/>
                <w:sz w:val="20"/>
                <w:szCs w:val="20"/>
              </w:rPr>
              <w:t>Applications for authorisation of initial treatment must be in writing and must include:</w:t>
            </w:r>
          </w:p>
          <w:p w14:paraId="627C891A" w14:textId="530454A2" w:rsidR="00474DAD" w:rsidRPr="007427EF" w:rsidRDefault="00474DAD" w:rsidP="00153279">
            <w:pPr>
              <w:rPr>
                <w:rFonts w:ascii="Arial Narrow" w:hAnsi="Arial Narrow"/>
                <w:sz w:val="20"/>
                <w:szCs w:val="20"/>
              </w:rPr>
            </w:pPr>
            <w:r w:rsidRPr="007427EF">
              <w:rPr>
                <w:rFonts w:ascii="Arial Narrow" w:hAnsi="Arial Narrow"/>
                <w:sz w:val="20"/>
                <w:szCs w:val="20"/>
              </w:rPr>
              <w:t>(a)</w:t>
            </w:r>
            <w:r w:rsidR="00800DD3">
              <w:rPr>
                <w:rFonts w:ascii="Arial Narrow" w:hAnsi="Arial Narrow"/>
                <w:sz w:val="20"/>
                <w:szCs w:val="20"/>
              </w:rPr>
              <w:t xml:space="preserve">  </w:t>
            </w:r>
            <w:r w:rsidR="00132CF6">
              <w:rPr>
                <w:rFonts w:ascii="Arial Narrow" w:hAnsi="Arial Narrow"/>
                <w:sz w:val="20"/>
                <w:szCs w:val="20"/>
              </w:rPr>
              <w:t>details of the proposed prescription;</w:t>
            </w:r>
            <w:r w:rsidRPr="007427EF">
              <w:rPr>
                <w:rFonts w:ascii="Arial Narrow" w:hAnsi="Arial Narrow"/>
                <w:sz w:val="20"/>
                <w:szCs w:val="20"/>
              </w:rPr>
              <w:t xml:space="preserve"> and</w:t>
            </w:r>
          </w:p>
          <w:p w14:paraId="5EA48D33" w14:textId="77777777" w:rsidR="00474DAD" w:rsidRPr="007427EF" w:rsidRDefault="00474DAD" w:rsidP="6A98AE7B">
            <w:pPr>
              <w:rPr>
                <w:rFonts w:ascii="Arial Narrow" w:hAnsi="Arial Narrow"/>
                <w:sz w:val="20"/>
                <w:szCs w:val="20"/>
              </w:rPr>
            </w:pPr>
            <w:r w:rsidRPr="007427EF">
              <w:rPr>
                <w:rFonts w:ascii="Arial Narrow" w:hAnsi="Arial Narrow"/>
                <w:sz w:val="20"/>
                <w:szCs w:val="20"/>
              </w:rPr>
              <w:t>(b) a completed cutaneous T-cell lymphoma (CTCL) initial PBS Authority Application - Supporting Information Form</w:t>
            </w:r>
          </w:p>
        </w:tc>
      </w:tr>
      <w:tr w:rsidR="00474DAD" w:rsidRPr="007427EF" w14:paraId="446E3866" w14:textId="77777777" w:rsidTr="00FD4B58">
        <w:tblPrEx>
          <w:tblCellMar>
            <w:top w:w="15" w:type="dxa"/>
            <w:bottom w:w="15" w:type="dxa"/>
          </w:tblCellMar>
          <w:tblLook w:val="04A0" w:firstRow="1" w:lastRow="0" w:firstColumn="1" w:lastColumn="0" w:noHBand="0" w:noVBand="1"/>
        </w:tblPrEx>
        <w:trPr>
          <w:trHeight w:val="20"/>
        </w:trPr>
        <w:tc>
          <w:tcPr>
            <w:tcW w:w="705" w:type="pct"/>
            <w:gridSpan w:val="2"/>
            <w:vAlign w:val="center"/>
            <w:hideMark/>
          </w:tcPr>
          <w:p w14:paraId="7CDC882D" w14:textId="09626CEC" w:rsidR="00474DAD" w:rsidRPr="00C50E46" w:rsidRDefault="00474DAD" w:rsidP="00153279">
            <w:pPr>
              <w:jc w:val="center"/>
              <w:rPr>
                <w:rFonts w:ascii="Arial Narrow" w:hAnsi="Arial Narrow"/>
                <w:color w:val="333333"/>
                <w:sz w:val="20"/>
                <w:szCs w:val="20"/>
              </w:rPr>
            </w:pPr>
          </w:p>
        </w:tc>
        <w:tc>
          <w:tcPr>
            <w:tcW w:w="4295" w:type="pct"/>
            <w:gridSpan w:val="4"/>
            <w:vAlign w:val="center"/>
            <w:hideMark/>
          </w:tcPr>
          <w:p w14:paraId="33612128" w14:textId="77777777" w:rsidR="00474DAD" w:rsidRPr="00C50E46" w:rsidRDefault="00474DAD" w:rsidP="00153279">
            <w:pPr>
              <w:rPr>
                <w:rFonts w:ascii="Arial Narrow" w:hAnsi="Arial Narrow"/>
                <w:b/>
                <w:bCs/>
                <w:color w:val="333333"/>
                <w:sz w:val="20"/>
                <w:szCs w:val="20"/>
              </w:rPr>
            </w:pPr>
            <w:r w:rsidRPr="00C50E46">
              <w:rPr>
                <w:rFonts w:ascii="Arial Narrow" w:hAnsi="Arial Narrow"/>
                <w:b/>
                <w:bCs/>
                <w:color w:val="333333"/>
                <w:sz w:val="20"/>
                <w:szCs w:val="20"/>
              </w:rPr>
              <w:t xml:space="preserve">Administrative Advice: </w:t>
            </w:r>
          </w:p>
          <w:p w14:paraId="3041CA48" w14:textId="77777777" w:rsidR="00474DAD" w:rsidRPr="00C50E46" w:rsidRDefault="00474DAD" w:rsidP="00153279">
            <w:pPr>
              <w:rPr>
                <w:rFonts w:ascii="Arial Narrow" w:hAnsi="Arial Narrow"/>
                <w:color w:val="212121"/>
                <w:sz w:val="20"/>
                <w:szCs w:val="20"/>
              </w:rPr>
            </w:pPr>
            <w:r w:rsidRPr="00C50E46">
              <w:rPr>
                <w:rFonts w:ascii="Arial Narrow" w:hAnsi="Arial Narrow"/>
                <w:color w:val="212121"/>
                <w:sz w:val="20"/>
                <w:szCs w:val="20"/>
              </w:rPr>
              <w:t>Any queries concerning the arrangements to prescribe may be directed to Services Australia on 1800 700 270 (hours of operation 8 a.m. to 5 p.m. Monday to Friday). </w:t>
            </w:r>
          </w:p>
          <w:p w14:paraId="66FA0252" w14:textId="77777777" w:rsidR="00474DAD" w:rsidRPr="00C50E46" w:rsidRDefault="00474DAD" w:rsidP="00153279">
            <w:pPr>
              <w:rPr>
                <w:rFonts w:ascii="Arial Narrow" w:hAnsi="Arial Narrow"/>
                <w:color w:val="212121"/>
                <w:sz w:val="20"/>
                <w:szCs w:val="20"/>
              </w:rPr>
            </w:pPr>
          </w:p>
          <w:p w14:paraId="2037FFA6" w14:textId="77777777" w:rsidR="00474DAD" w:rsidRPr="00C50E46" w:rsidRDefault="00474DAD" w:rsidP="00153279">
            <w:pPr>
              <w:rPr>
                <w:rStyle w:val="Hyperlink"/>
                <w:rFonts w:ascii="Arial Narrow" w:hAnsi="Arial Narrow"/>
                <w:sz w:val="20"/>
                <w:szCs w:val="20"/>
              </w:rPr>
            </w:pPr>
            <w:r w:rsidRPr="00C50E46">
              <w:rPr>
                <w:rFonts w:ascii="Arial Narrow" w:hAnsi="Arial Narrow"/>
                <w:color w:val="212121"/>
                <w:sz w:val="20"/>
                <w:szCs w:val="20"/>
              </w:rPr>
              <w:t xml:space="preserve">Prescribing information (including Authority Application forms and other relevant documentation as applicable) is available on the Services Australia website at </w:t>
            </w:r>
            <w:hyperlink r:id="rId15" w:history="1">
              <w:r w:rsidRPr="00C50E46">
                <w:rPr>
                  <w:rStyle w:val="Hyperlink"/>
                  <w:rFonts w:ascii="Arial Narrow" w:hAnsi="Arial Narrow"/>
                  <w:sz w:val="20"/>
                  <w:szCs w:val="20"/>
                </w:rPr>
                <w:t>www.servicesaustralia.gov.au</w:t>
              </w:r>
            </w:hyperlink>
          </w:p>
          <w:p w14:paraId="1F574073" w14:textId="77777777" w:rsidR="00474DAD" w:rsidRPr="00C50E46" w:rsidRDefault="00474DAD" w:rsidP="00153279">
            <w:pPr>
              <w:rPr>
                <w:rFonts w:ascii="Arial Narrow" w:hAnsi="Arial Narrow"/>
                <w:color w:val="333333"/>
                <w:sz w:val="20"/>
                <w:szCs w:val="20"/>
              </w:rPr>
            </w:pPr>
          </w:p>
          <w:p w14:paraId="715037A4" w14:textId="77777777" w:rsidR="00474DAD" w:rsidRPr="00C50E46" w:rsidRDefault="00474DAD" w:rsidP="00153279">
            <w:pPr>
              <w:rPr>
                <w:rFonts w:ascii="Arial Narrow" w:hAnsi="Arial Narrow"/>
                <w:color w:val="333333"/>
                <w:sz w:val="20"/>
                <w:szCs w:val="20"/>
              </w:rPr>
            </w:pPr>
            <w:r w:rsidRPr="00C50E46">
              <w:rPr>
                <w:rFonts w:ascii="Arial Narrow" w:hAnsi="Arial Narrow"/>
                <w:color w:val="212121"/>
                <w:sz w:val="20"/>
                <w:szCs w:val="20"/>
              </w:rPr>
              <w:t xml:space="preserve">Applications for authorisation under this restriction should be made in real time using the Online PBS Authorities system (see </w:t>
            </w:r>
            <w:hyperlink r:id="rId16" w:history="1">
              <w:r w:rsidRPr="00C50E46">
                <w:rPr>
                  <w:rStyle w:val="Hyperlink"/>
                  <w:rFonts w:ascii="Arial Narrow" w:hAnsi="Arial Narrow"/>
                  <w:sz w:val="20"/>
                  <w:szCs w:val="20"/>
                </w:rPr>
                <w:t>www.servicesaustralia.gov.au/hpos</w:t>
              </w:r>
            </w:hyperlink>
            <w:r w:rsidRPr="00C50E46">
              <w:rPr>
                <w:rFonts w:ascii="Arial Narrow" w:hAnsi="Arial Narrow"/>
                <w:color w:val="333333"/>
                <w:sz w:val="20"/>
                <w:szCs w:val="20"/>
              </w:rPr>
              <w:t>) </w:t>
            </w:r>
          </w:p>
          <w:p w14:paraId="2D7393CD" w14:textId="77777777" w:rsidR="00474DAD" w:rsidRPr="00C50E46" w:rsidRDefault="00474DAD" w:rsidP="00153279">
            <w:pPr>
              <w:rPr>
                <w:rFonts w:ascii="Arial Narrow" w:hAnsi="Arial Narrow"/>
                <w:color w:val="333333"/>
                <w:sz w:val="20"/>
                <w:szCs w:val="20"/>
              </w:rPr>
            </w:pPr>
          </w:p>
          <w:p w14:paraId="45F9F7D0" w14:textId="77777777" w:rsidR="00474DAD" w:rsidRPr="00C50E46" w:rsidRDefault="00474DAD" w:rsidP="6A98AE7B">
            <w:pPr>
              <w:rPr>
                <w:rFonts w:ascii="Arial Narrow" w:hAnsi="Arial Narrow"/>
                <w:color w:val="333333"/>
                <w:sz w:val="20"/>
                <w:szCs w:val="20"/>
              </w:rPr>
            </w:pPr>
            <w:r w:rsidRPr="00C50E46">
              <w:rPr>
                <w:rFonts w:ascii="Arial Narrow" w:hAnsi="Arial Narrow"/>
                <w:color w:val="212121"/>
                <w:sz w:val="20"/>
                <w:szCs w:val="20"/>
              </w:rPr>
              <w:t xml:space="preserve">Alternatively, applications for authority to prescribe can be submitted online using the form upload facility in Health Professional Online Services (HPOS) at </w:t>
            </w:r>
            <w:hyperlink r:id="rId17">
              <w:r w:rsidRPr="00C50E46">
                <w:rPr>
                  <w:rStyle w:val="Hyperlink"/>
                  <w:rFonts w:ascii="Arial Narrow" w:hAnsi="Arial Narrow"/>
                  <w:sz w:val="20"/>
                  <w:szCs w:val="20"/>
                </w:rPr>
                <w:t>www.servicesaustralia.gov.au/hpos</w:t>
              </w:r>
            </w:hyperlink>
            <w:r w:rsidRPr="00C50E46">
              <w:rPr>
                <w:rFonts w:ascii="Arial Narrow" w:hAnsi="Arial Narrow"/>
                <w:color w:val="333333"/>
                <w:sz w:val="20"/>
                <w:szCs w:val="20"/>
              </w:rPr>
              <w:t> </w:t>
            </w:r>
          </w:p>
          <w:p w14:paraId="21A4C653" w14:textId="77777777" w:rsidR="00474DAD" w:rsidRPr="00C50E46" w:rsidRDefault="00474DAD" w:rsidP="00153279">
            <w:pPr>
              <w:rPr>
                <w:rFonts w:ascii="Arial Narrow" w:hAnsi="Arial Narrow"/>
                <w:color w:val="333333"/>
                <w:sz w:val="20"/>
                <w:szCs w:val="20"/>
              </w:rPr>
            </w:pPr>
          </w:p>
          <w:p w14:paraId="495916DF"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Or mailed to: </w:t>
            </w:r>
          </w:p>
          <w:p w14:paraId="79CF561B"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Services Australia </w:t>
            </w:r>
          </w:p>
          <w:p w14:paraId="222735A2"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Complex Drugs </w:t>
            </w:r>
          </w:p>
          <w:p w14:paraId="55414A03"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t>Reply Paid 9826 </w:t>
            </w:r>
          </w:p>
          <w:p w14:paraId="44C13DD7" w14:textId="77777777" w:rsidR="00474DAD" w:rsidRPr="00C50E46" w:rsidRDefault="00474DAD" w:rsidP="00153279">
            <w:pPr>
              <w:rPr>
                <w:rFonts w:ascii="Arial Narrow" w:hAnsi="Arial Narrow"/>
                <w:color w:val="333333"/>
                <w:sz w:val="20"/>
                <w:szCs w:val="20"/>
              </w:rPr>
            </w:pPr>
            <w:r w:rsidRPr="00C50E46">
              <w:rPr>
                <w:rFonts w:ascii="Arial Narrow" w:hAnsi="Arial Narrow"/>
                <w:color w:val="333333"/>
                <w:sz w:val="20"/>
                <w:szCs w:val="20"/>
              </w:rPr>
              <w:lastRenderedPageBreak/>
              <w:t>HOBART TAS 7001</w:t>
            </w:r>
            <w:r w:rsidRPr="00C50E46">
              <w:rPr>
                <w:rFonts w:ascii="Arial Narrow" w:hAnsi="Arial Narrow"/>
                <w:b/>
                <w:bCs/>
                <w:color w:val="333333"/>
                <w:sz w:val="20"/>
                <w:szCs w:val="20"/>
              </w:rPr>
              <w:t> </w:t>
            </w:r>
          </w:p>
        </w:tc>
      </w:tr>
    </w:tbl>
    <w:p w14:paraId="01196E9A" w14:textId="14EF550C" w:rsidR="00474DAD" w:rsidRPr="007427EF" w:rsidRDefault="00474DAD" w:rsidP="00474DAD">
      <w:pPr>
        <w:rPr>
          <w:rFonts w:asciiTheme="minorHAnsi" w:hAnsiTheme="minorHAnsi" w:cstheme="minorBidi"/>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1823"/>
        <w:gridCol w:w="1973"/>
        <w:gridCol w:w="1973"/>
        <w:gridCol w:w="1977"/>
      </w:tblGrid>
      <w:tr w:rsidR="00474DAD" w:rsidRPr="007427EF" w14:paraId="6FC7DA68" w14:textId="77777777" w:rsidTr="6A98AE7B">
        <w:trPr>
          <w:cantSplit/>
          <w:trHeight w:val="20"/>
        </w:trPr>
        <w:tc>
          <w:tcPr>
            <w:tcW w:w="1716" w:type="pct"/>
            <w:gridSpan w:val="3"/>
            <w:vAlign w:val="center"/>
          </w:tcPr>
          <w:p w14:paraId="47B4CB6F" w14:textId="77777777" w:rsidR="00474DAD" w:rsidRPr="007427EF" w:rsidRDefault="00474DAD" w:rsidP="00153279">
            <w:pPr>
              <w:keepNext/>
              <w:rPr>
                <w:rFonts w:ascii="Arial Narrow" w:hAnsi="Arial Narrow"/>
                <w:b/>
                <w:bCs/>
                <w:sz w:val="20"/>
                <w:szCs w:val="20"/>
              </w:rPr>
            </w:pPr>
            <w:r w:rsidRPr="007427EF">
              <w:rPr>
                <w:rFonts w:ascii="Arial Narrow" w:hAnsi="Arial Narrow"/>
                <w:b/>
                <w:bCs/>
                <w:sz w:val="20"/>
                <w:szCs w:val="20"/>
              </w:rPr>
              <w:t>MEDICINAL PRODUCT</w:t>
            </w:r>
          </w:p>
          <w:p w14:paraId="7DED31B8"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Form</w:t>
            </w:r>
          </w:p>
        </w:tc>
        <w:tc>
          <w:tcPr>
            <w:tcW w:w="1094" w:type="pct"/>
            <w:vAlign w:val="center"/>
          </w:tcPr>
          <w:p w14:paraId="0F9967B1"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PBS item code</w:t>
            </w:r>
          </w:p>
        </w:tc>
        <w:tc>
          <w:tcPr>
            <w:tcW w:w="1094" w:type="pct"/>
            <w:vAlign w:val="center"/>
          </w:tcPr>
          <w:p w14:paraId="0B2BB0EB"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Max. Amount</w:t>
            </w:r>
          </w:p>
        </w:tc>
        <w:tc>
          <w:tcPr>
            <w:tcW w:w="1096" w:type="pct"/>
            <w:vAlign w:val="center"/>
          </w:tcPr>
          <w:p w14:paraId="262EE304" w14:textId="77777777" w:rsidR="00474DAD" w:rsidRPr="007427EF" w:rsidRDefault="00474DAD" w:rsidP="6A98AE7B">
            <w:pPr>
              <w:keepNext/>
              <w:jc w:val="center"/>
              <w:rPr>
                <w:rFonts w:ascii="Arial Narrow" w:hAnsi="Arial Narrow"/>
                <w:b/>
                <w:bCs/>
                <w:sz w:val="20"/>
                <w:szCs w:val="20"/>
              </w:rPr>
            </w:pPr>
            <w:proofErr w:type="gramStart"/>
            <w:r w:rsidRPr="007427EF">
              <w:rPr>
                <w:rFonts w:ascii="Arial Narrow" w:hAnsi="Arial Narrow"/>
                <w:b/>
                <w:bCs/>
                <w:sz w:val="20"/>
                <w:szCs w:val="20"/>
              </w:rPr>
              <w:t>№.of</w:t>
            </w:r>
            <w:proofErr w:type="gramEnd"/>
            <w:r w:rsidRPr="007427EF">
              <w:rPr>
                <w:rFonts w:ascii="Arial Narrow" w:hAnsi="Arial Narrow"/>
                <w:b/>
                <w:bCs/>
                <w:sz w:val="20"/>
                <w:szCs w:val="20"/>
              </w:rPr>
              <w:t xml:space="preserve"> </w:t>
            </w:r>
            <w:proofErr w:type="spellStart"/>
            <w:r w:rsidRPr="007427EF">
              <w:rPr>
                <w:rFonts w:ascii="Arial Narrow" w:hAnsi="Arial Narrow"/>
                <w:b/>
                <w:bCs/>
                <w:sz w:val="20"/>
                <w:szCs w:val="20"/>
              </w:rPr>
              <w:t>Rpts</w:t>
            </w:r>
            <w:proofErr w:type="spellEnd"/>
          </w:p>
        </w:tc>
      </w:tr>
      <w:tr w:rsidR="00474DAD" w:rsidRPr="007427EF" w14:paraId="46F4DCAC" w14:textId="77777777" w:rsidTr="6A98AE7B">
        <w:trPr>
          <w:cantSplit/>
          <w:trHeight w:val="20"/>
        </w:trPr>
        <w:tc>
          <w:tcPr>
            <w:tcW w:w="1716" w:type="pct"/>
            <w:gridSpan w:val="3"/>
            <w:vAlign w:val="center"/>
          </w:tcPr>
          <w:p w14:paraId="6112AC55" w14:textId="77777777" w:rsidR="00474DAD" w:rsidRPr="007427EF" w:rsidRDefault="00474DAD" w:rsidP="00153279">
            <w:pPr>
              <w:keepNext/>
              <w:rPr>
                <w:rFonts w:ascii="Arial Narrow" w:hAnsi="Arial Narrow"/>
                <w:sz w:val="20"/>
                <w:szCs w:val="20"/>
              </w:rPr>
            </w:pPr>
            <w:r w:rsidRPr="007427EF">
              <w:rPr>
                <w:rFonts w:ascii="Arial Narrow" w:hAnsi="Arial Narrow"/>
                <w:sz w:val="20"/>
                <w:szCs w:val="20"/>
              </w:rPr>
              <w:t xml:space="preserve">MOGAMULIZUMAB </w:t>
            </w:r>
            <w:r w:rsidRPr="007427EF">
              <w:rPr>
                <w:rFonts w:ascii="Arial Narrow" w:hAnsi="Arial Narrow" w:cstheme="minorHAnsi"/>
                <w:sz w:val="20"/>
                <w:szCs w:val="20"/>
              </w:rPr>
              <w:t>(mogamulizumab 20 mg/5 mL injection, 5 mL vial)</w:t>
            </w:r>
          </w:p>
          <w:p w14:paraId="246A3018" w14:textId="77777777" w:rsidR="00474DAD" w:rsidRPr="007427EF" w:rsidRDefault="00474DAD" w:rsidP="00153279">
            <w:pPr>
              <w:keepNext/>
              <w:rPr>
                <w:rFonts w:ascii="Arial Narrow" w:hAnsi="Arial Narrow"/>
                <w:sz w:val="20"/>
                <w:szCs w:val="20"/>
              </w:rPr>
            </w:pPr>
            <w:r w:rsidRPr="007427EF">
              <w:rPr>
                <w:rFonts w:ascii="Arial Narrow" w:hAnsi="Arial Narrow" w:cstheme="minorHAnsi"/>
                <w:sz w:val="20"/>
                <w:szCs w:val="20"/>
              </w:rPr>
              <w:t>Injection</w:t>
            </w:r>
          </w:p>
        </w:tc>
        <w:tc>
          <w:tcPr>
            <w:tcW w:w="1094" w:type="pct"/>
            <w:vAlign w:val="center"/>
          </w:tcPr>
          <w:p w14:paraId="18C3BBD3"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(Public)</w:t>
            </w:r>
          </w:p>
          <w:p w14:paraId="28093C7C"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NEW (Private)</w:t>
            </w:r>
          </w:p>
        </w:tc>
        <w:tc>
          <w:tcPr>
            <w:tcW w:w="1094" w:type="pct"/>
            <w:vAlign w:val="center"/>
          </w:tcPr>
          <w:p w14:paraId="056228AF" w14:textId="77777777" w:rsidR="00474DAD" w:rsidRPr="007427EF" w:rsidRDefault="00474DAD" w:rsidP="00153279">
            <w:pPr>
              <w:keepNext/>
              <w:jc w:val="center"/>
              <w:rPr>
                <w:rFonts w:ascii="Arial Narrow" w:hAnsi="Arial Narrow"/>
                <w:sz w:val="20"/>
                <w:szCs w:val="20"/>
              </w:rPr>
            </w:pPr>
            <w:r w:rsidRPr="007427EF">
              <w:rPr>
                <w:rFonts w:ascii="Arial Narrow" w:hAnsi="Arial Narrow"/>
                <w:sz w:val="20"/>
                <w:szCs w:val="20"/>
              </w:rPr>
              <w:t>120 mg</w:t>
            </w:r>
          </w:p>
        </w:tc>
        <w:tc>
          <w:tcPr>
            <w:tcW w:w="1096" w:type="pct"/>
            <w:vAlign w:val="center"/>
          </w:tcPr>
          <w:p w14:paraId="21BF6791" w14:textId="5082FEAC" w:rsidR="00474DAD" w:rsidRPr="00491A5A" w:rsidRDefault="00491A5A" w:rsidP="00153279">
            <w:pPr>
              <w:keepNext/>
              <w:jc w:val="center"/>
              <w:rPr>
                <w:rFonts w:ascii="Arial Narrow" w:hAnsi="Arial Narrow"/>
                <w:sz w:val="20"/>
                <w:szCs w:val="20"/>
              </w:rPr>
            </w:pPr>
            <w:r w:rsidRPr="00491A5A">
              <w:rPr>
                <w:rFonts w:ascii="Arial Narrow" w:hAnsi="Arial Narrow"/>
                <w:sz w:val="20"/>
                <w:szCs w:val="20"/>
              </w:rPr>
              <w:t>7</w:t>
            </w:r>
          </w:p>
        </w:tc>
      </w:tr>
      <w:tr w:rsidR="00474DAD" w:rsidRPr="007427EF" w14:paraId="566B485B" w14:textId="77777777" w:rsidTr="6A98AE7B">
        <w:trPr>
          <w:cantSplit/>
          <w:trHeight w:val="20"/>
        </w:trPr>
        <w:tc>
          <w:tcPr>
            <w:tcW w:w="5000" w:type="pct"/>
            <w:gridSpan w:val="6"/>
            <w:vAlign w:val="center"/>
          </w:tcPr>
          <w:p w14:paraId="3AC298C3"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Available brands </w:t>
            </w:r>
          </w:p>
        </w:tc>
      </w:tr>
      <w:tr w:rsidR="00474DAD" w:rsidRPr="007427EF" w14:paraId="27C9EADD" w14:textId="77777777" w:rsidTr="6A98AE7B">
        <w:trPr>
          <w:cantSplit/>
          <w:trHeight w:val="20"/>
        </w:trPr>
        <w:tc>
          <w:tcPr>
            <w:tcW w:w="5000" w:type="pct"/>
            <w:gridSpan w:val="6"/>
            <w:vAlign w:val="center"/>
          </w:tcPr>
          <w:p w14:paraId="6CC3AAE4" w14:textId="77777777" w:rsidR="00474DAD" w:rsidRPr="007427EF" w:rsidRDefault="00474DAD" w:rsidP="6A98AE7B">
            <w:pPr>
              <w:contextualSpacing/>
              <w:rPr>
                <w:rFonts w:ascii="Arial Narrow" w:hAnsi="Arial Narrow"/>
                <w:sz w:val="20"/>
                <w:szCs w:val="20"/>
              </w:rPr>
            </w:pPr>
            <w:r w:rsidRPr="007427EF">
              <w:rPr>
                <w:rFonts w:ascii="Arial Narrow" w:hAnsi="Arial Narrow"/>
                <w:sz w:val="20"/>
                <w:szCs w:val="20"/>
              </w:rPr>
              <w:t>Poteligeo</w:t>
            </w:r>
          </w:p>
          <w:p w14:paraId="297FD2E2" w14:textId="77777777" w:rsidR="00474DAD" w:rsidRPr="007427EF" w:rsidRDefault="00474DAD" w:rsidP="00153279">
            <w:pPr>
              <w:keepNext/>
              <w:rPr>
                <w:rFonts w:ascii="Arial Narrow" w:hAnsi="Arial Narrow"/>
                <w:sz w:val="20"/>
                <w:szCs w:val="20"/>
              </w:rPr>
            </w:pPr>
            <w:r w:rsidRPr="007427EF">
              <w:rPr>
                <w:rFonts w:ascii="Arial Narrow" w:eastAsia="Calibri" w:hAnsi="Arial Narrow" w:cs="Calibri"/>
                <w:sz w:val="20"/>
                <w:szCs w:val="20"/>
              </w:rPr>
              <w:t>(mogamulizumab 20 mg/5 mL injection, 5 mL vial)</w:t>
            </w:r>
          </w:p>
        </w:tc>
      </w:tr>
      <w:tr w:rsidR="00474DAD" w:rsidRPr="007427EF" w14:paraId="31F699C6" w14:textId="77777777" w:rsidTr="6A98AE7B">
        <w:trPr>
          <w:cantSplit/>
          <w:trHeight w:val="20"/>
        </w:trPr>
        <w:tc>
          <w:tcPr>
            <w:tcW w:w="5000" w:type="pct"/>
            <w:gridSpan w:val="6"/>
            <w:vAlign w:val="center"/>
          </w:tcPr>
          <w:p w14:paraId="0843F40F" w14:textId="77777777" w:rsidR="00474DAD" w:rsidRPr="007427EF" w:rsidRDefault="00474DAD" w:rsidP="00153279">
            <w:pPr>
              <w:rPr>
                <w:rFonts w:ascii="Arial Narrow" w:hAnsi="Arial Narrow"/>
                <w:color w:val="FF0000"/>
                <w:sz w:val="20"/>
                <w:szCs w:val="20"/>
              </w:rPr>
            </w:pPr>
          </w:p>
        </w:tc>
      </w:tr>
      <w:tr w:rsidR="00474DAD" w:rsidRPr="007427EF" w14:paraId="3824BDCD" w14:textId="77777777" w:rsidTr="6A98AE7B">
        <w:trPr>
          <w:cantSplit/>
          <w:trHeight w:val="20"/>
        </w:trPr>
        <w:tc>
          <w:tcPr>
            <w:tcW w:w="5000" w:type="pct"/>
            <w:gridSpan w:val="6"/>
            <w:vAlign w:val="center"/>
          </w:tcPr>
          <w:p w14:paraId="5C760EDB" w14:textId="77777777" w:rsidR="00474DAD" w:rsidRPr="007427EF" w:rsidRDefault="00474DAD" w:rsidP="00153279">
            <w:pPr>
              <w:keepNext/>
              <w:rPr>
                <w:rFonts w:ascii="Arial Narrow" w:hAnsi="Arial Narrow"/>
                <w:color w:val="FF0000"/>
                <w:sz w:val="20"/>
                <w:szCs w:val="20"/>
              </w:rPr>
            </w:pPr>
            <w:r w:rsidRPr="007427EF">
              <w:rPr>
                <w:rFonts w:ascii="Arial Narrow" w:hAnsi="Arial Narrow"/>
                <w:b/>
                <w:sz w:val="20"/>
                <w:szCs w:val="20"/>
              </w:rPr>
              <w:t>Restriction Summary [new2]</w:t>
            </w:r>
            <w:r w:rsidRPr="007427EF">
              <w:rPr>
                <w:rFonts w:ascii="Arial Narrow" w:hAnsi="Arial Narrow"/>
                <w:b/>
                <w:color w:val="FF0000"/>
                <w:sz w:val="20"/>
                <w:szCs w:val="20"/>
              </w:rPr>
              <w:t xml:space="preserve"> </w:t>
            </w:r>
            <w:r w:rsidRPr="007427EF">
              <w:rPr>
                <w:rFonts w:ascii="Arial Narrow" w:hAnsi="Arial Narrow"/>
                <w:b/>
                <w:sz w:val="20"/>
                <w:szCs w:val="20"/>
              </w:rPr>
              <w:t>/ Treatment of Concept: [new2A]</w:t>
            </w:r>
          </w:p>
        </w:tc>
      </w:tr>
      <w:tr w:rsidR="00474DAD" w:rsidRPr="007427EF" w14:paraId="36BFA8EF"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74923DEE" w14:textId="77777777" w:rsidR="00474DAD" w:rsidRPr="007427EF" w:rsidRDefault="00474DAD" w:rsidP="00153279">
            <w:pPr>
              <w:keepNext/>
              <w:jc w:val="center"/>
              <w:rPr>
                <w:rFonts w:ascii="Arial Narrow" w:hAnsi="Arial Narrow"/>
                <w:b/>
                <w:sz w:val="20"/>
                <w:szCs w:val="20"/>
              </w:rPr>
            </w:pPr>
            <w:r w:rsidRPr="007427EF">
              <w:rPr>
                <w:rFonts w:ascii="Arial Narrow" w:hAnsi="Arial Narrow"/>
                <w:b/>
                <w:sz w:val="20"/>
                <w:szCs w:val="20"/>
              </w:rPr>
              <w:t xml:space="preserve">Concept ID </w:t>
            </w:r>
            <w:r w:rsidRPr="007427EF">
              <w:rPr>
                <w:rFonts w:ascii="Arial Narrow" w:hAnsi="Arial Narrow"/>
                <w:sz w:val="20"/>
                <w:szCs w:val="20"/>
              </w:rPr>
              <w:t>(for internal Dept. use)</w:t>
            </w:r>
          </w:p>
        </w:tc>
        <w:tc>
          <w:tcPr>
            <w:tcW w:w="4295" w:type="pct"/>
            <w:gridSpan w:val="4"/>
          </w:tcPr>
          <w:p w14:paraId="295ED936" w14:textId="77777777" w:rsidR="00474DAD" w:rsidRPr="007427EF" w:rsidRDefault="00474DAD" w:rsidP="00153279">
            <w:pPr>
              <w:keepNext/>
              <w:rPr>
                <w:rFonts w:ascii="Arial Narrow" w:hAnsi="Arial Narrow"/>
                <w:sz w:val="20"/>
                <w:szCs w:val="20"/>
              </w:rPr>
            </w:pPr>
            <w:r w:rsidRPr="007427EF">
              <w:rPr>
                <w:rFonts w:ascii="Arial Narrow" w:hAnsi="Arial Narrow"/>
                <w:b/>
                <w:sz w:val="20"/>
                <w:szCs w:val="20"/>
              </w:rPr>
              <w:t xml:space="preserve">Category / Program: </w:t>
            </w:r>
            <w:r w:rsidRPr="007427EF">
              <w:rPr>
                <w:rFonts w:ascii="Arial Narrow" w:hAnsi="Arial Narrow"/>
                <w:sz w:val="20"/>
                <w:szCs w:val="20"/>
              </w:rPr>
              <w:t xml:space="preserve">Section 100 – Efficient Funding of Chemotherapy Public/Private hospitals </w:t>
            </w:r>
          </w:p>
        </w:tc>
      </w:tr>
      <w:tr w:rsidR="00474DAD" w:rsidRPr="007427EF" w14:paraId="35F31412"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1C0BB21" w14:textId="77777777" w:rsidR="00474DAD" w:rsidRPr="007427EF" w:rsidRDefault="00474DAD" w:rsidP="00153279">
            <w:pPr>
              <w:keepNext/>
              <w:rPr>
                <w:rFonts w:ascii="Arial Narrow" w:hAnsi="Arial Narrow"/>
                <w:sz w:val="20"/>
                <w:szCs w:val="20"/>
              </w:rPr>
            </w:pPr>
          </w:p>
        </w:tc>
        <w:tc>
          <w:tcPr>
            <w:tcW w:w="4295" w:type="pct"/>
            <w:gridSpan w:val="4"/>
          </w:tcPr>
          <w:p w14:paraId="09D7C6D2" w14:textId="77777777" w:rsidR="00474DAD" w:rsidRPr="007427EF" w:rsidRDefault="00474DAD" w:rsidP="00153279">
            <w:pPr>
              <w:keepNext/>
              <w:rPr>
                <w:rFonts w:ascii="Arial Narrow" w:hAnsi="Arial Narrow"/>
                <w:b/>
                <w:sz w:val="20"/>
                <w:szCs w:val="20"/>
              </w:rPr>
            </w:pPr>
            <w:r w:rsidRPr="007427EF">
              <w:rPr>
                <w:rFonts w:ascii="Arial Narrow" w:hAnsi="Arial Narrow"/>
                <w:b/>
                <w:sz w:val="20"/>
                <w:szCs w:val="20"/>
              </w:rPr>
              <w:t xml:space="preserve">Prescriber type:  </w:t>
            </w:r>
            <w:r w:rsidRPr="007427EF">
              <w:rPr>
                <w:rFonts w:ascii="Arial Narrow" w:hAnsi="Arial Narrow"/>
                <w:sz w:val="20"/>
                <w:szCs w:val="20"/>
              </w:rPr>
              <w:fldChar w:fldCharType="begin">
                <w:ffData>
                  <w:name w:val=""/>
                  <w:enabled/>
                  <w:calcOnExit w:val="0"/>
                  <w:checkBox>
                    <w:sizeAuto/>
                    <w:default w:val="1"/>
                  </w:checkBox>
                </w:ffData>
              </w:fldChar>
            </w:r>
            <w:r w:rsidRPr="007427EF">
              <w:rPr>
                <w:rFonts w:ascii="Arial Narrow" w:hAnsi="Arial Narrow"/>
                <w:sz w:val="20"/>
                <w:szCs w:val="20"/>
              </w:rPr>
              <w:instrText xml:space="preserve"> FORMCHECKBOX </w:instrText>
            </w:r>
            <w:r w:rsidRPr="007427EF">
              <w:rPr>
                <w:rFonts w:ascii="Arial Narrow" w:hAnsi="Arial Narrow"/>
                <w:sz w:val="20"/>
                <w:szCs w:val="20"/>
              </w:rPr>
            </w:r>
            <w:r w:rsidRPr="007427EF">
              <w:rPr>
                <w:rFonts w:ascii="Arial Narrow" w:hAnsi="Arial Narrow"/>
                <w:sz w:val="20"/>
                <w:szCs w:val="20"/>
              </w:rPr>
              <w:fldChar w:fldCharType="separate"/>
            </w:r>
            <w:r w:rsidRPr="007427EF">
              <w:rPr>
                <w:rFonts w:ascii="Arial Narrow" w:hAnsi="Arial Narrow"/>
                <w:sz w:val="20"/>
                <w:szCs w:val="20"/>
              </w:rPr>
              <w:fldChar w:fldCharType="end"/>
            </w:r>
            <w:r w:rsidRPr="007427EF">
              <w:rPr>
                <w:rFonts w:ascii="Arial Narrow" w:hAnsi="Arial Narrow"/>
                <w:sz w:val="20"/>
                <w:szCs w:val="20"/>
              </w:rPr>
              <w:t xml:space="preserve">Medical Practitioners </w:t>
            </w:r>
          </w:p>
        </w:tc>
      </w:tr>
      <w:tr w:rsidR="00474DAD" w:rsidRPr="007427EF" w14:paraId="41F20D05"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4955CFB4" w14:textId="77777777" w:rsidR="00474DAD" w:rsidRPr="007427EF" w:rsidRDefault="00474DAD" w:rsidP="00153279">
            <w:pPr>
              <w:rPr>
                <w:rFonts w:ascii="Arial Narrow" w:hAnsi="Arial Narrow"/>
                <w:sz w:val="20"/>
                <w:szCs w:val="20"/>
              </w:rPr>
            </w:pPr>
          </w:p>
        </w:tc>
        <w:tc>
          <w:tcPr>
            <w:tcW w:w="4295" w:type="pct"/>
            <w:gridSpan w:val="4"/>
          </w:tcPr>
          <w:p w14:paraId="7C0E0C12" w14:textId="5582EC21" w:rsidR="00474DAD" w:rsidRPr="00BA3AAD" w:rsidRDefault="00474DAD" w:rsidP="00153279">
            <w:pPr>
              <w:rPr>
                <w:rFonts w:ascii="Arial Narrow" w:eastAsia="Calibri" w:hAnsi="Arial Narrow"/>
                <w:sz w:val="20"/>
                <w:szCs w:val="20"/>
              </w:rPr>
            </w:pPr>
            <w:r w:rsidRPr="00BA3AAD">
              <w:rPr>
                <w:rFonts w:ascii="Arial Narrow" w:hAnsi="Arial Narrow"/>
                <w:b/>
                <w:sz w:val="20"/>
                <w:szCs w:val="20"/>
              </w:rPr>
              <w:t xml:space="preserve">Restriction type: </w:t>
            </w:r>
            <w:r w:rsidRPr="00BA3AAD">
              <w:rPr>
                <w:rFonts w:ascii="Arial Narrow" w:eastAsia="Calibri" w:hAnsi="Arial Narrow"/>
                <w:sz w:val="20"/>
                <w:szCs w:val="20"/>
              </w:rPr>
              <w:fldChar w:fldCharType="begin">
                <w:ffData>
                  <w:name w:val=""/>
                  <w:enabled/>
                  <w:calcOnExit w:val="0"/>
                  <w:checkBox>
                    <w:sizeAuto/>
                    <w:default w:val="1"/>
                  </w:checkBox>
                </w:ffData>
              </w:fldChar>
            </w:r>
            <w:r w:rsidRPr="00BA3AAD">
              <w:rPr>
                <w:rFonts w:ascii="Arial Narrow" w:eastAsia="Calibri" w:hAnsi="Arial Narrow"/>
                <w:sz w:val="20"/>
                <w:szCs w:val="20"/>
              </w:rPr>
              <w:instrText xml:space="preserve"> FORMCHECKBOX </w:instrText>
            </w:r>
            <w:r w:rsidRPr="00BA3AAD">
              <w:rPr>
                <w:rFonts w:ascii="Arial Narrow" w:eastAsia="Calibri" w:hAnsi="Arial Narrow"/>
                <w:sz w:val="20"/>
                <w:szCs w:val="20"/>
              </w:rPr>
            </w:r>
            <w:r w:rsidRPr="00BA3AAD">
              <w:rPr>
                <w:rFonts w:ascii="Arial Narrow" w:eastAsia="Calibri" w:hAnsi="Arial Narrow"/>
                <w:sz w:val="20"/>
                <w:szCs w:val="20"/>
              </w:rPr>
              <w:fldChar w:fldCharType="separate"/>
            </w:r>
            <w:r w:rsidRPr="00BA3AAD">
              <w:rPr>
                <w:rFonts w:ascii="Arial Narrow" w:eastAsia="Calibri" w:hAnsi="Arial Narrow"/>
                <w:sz w:val="20"/>
                <w:szCs w:val="20"/>
              </w:rPr>
              <w:fldChar w:fldCharType="end"/>
            </w:r>
            <w:r w:rsidRPr="00BA3AAD">
              <w:rPr>
                <w:rFonts w:ascii="Arial Narrow" w:eastAsia="Calibri" w:hAnsi="Arial Narrow"/>
                <w:sz w:val="20"/>
                <w:szCs w:val="20"/>
              </w:rPr>
              <w:t xml:space="preserve">Authority Required - </w:t>
            </w:r>
            <w:r w:rsidRPr="00BA3AAD">
              <w:rPr>
                <w:rFonts w:ascii="Arial Narrow" w:hAnsi="Arial Narrow"/>
                <w:bCs/>
                <w:sz w:val="20"/>
                <w:szCs w:val="20"/>
              </w:rPr>
              <w:t>Immediate assessment</w:t>
            </w:r>
            <w:r w:rsidRPr="00BA3AAD">
              <w:rPr>
                <w:rFonts w:ascii="Arial Narrow" w:eastAsia="Calibri" w:hAnsi="Arial Narrow"/>
                <w:sz w:val="20"/>
                <w:szCs w:val="20"/>
              </w:rPr>
              <w:t xml:space="preserve"> (telephone / online)</w:t>
            </w:r>
          </w:p>
        </w:tc>
      </w:tr>
      <w:tr w:rsidR="00094219" w:rsidRPr="007427EF" w14:paraId="49333012" w14:textId="77777777">
        <w:tblPrEx>
          <w:tblCellMar>
            <w:top w:w="15" w:type="dxa"/>
            <w:bottom w:w="15" w:type="dxa"/>
          </w:tblCellMar>
          <w:tblLook w:val="04A0" w:firstRow="1" w:lastRow="0" w:firstColumn="1" w:lastColumn="0" w:noHBand="0" w:noVBand="1"/>
        </w:tblPrEx>
        <w:trPr>
          <w:trHeight w:val="499"/>
        </w:trPr>
        <w:tc>
          <w:tcPr>
            <w:tcW w:w="312" w:type="pct"/>
            <w:textDirection w:val="btLr"/>
            <w:vAlign w:val="center"/>
          </w:tcPr>
          <w:p w14:paraId="7DEA43AB" w14:textId="77777777" w:rsidR="00094219" w:rsidRPr="007427EF" w:rsidRDefault="00094219" w:rsidP="00153279">
            <w:pPr>
              <w:keepLines/>
              <w:ind w:right="113"/>
              <w:jc w:val="center"/>
              <w:rPr>
                <w:rFonts w:ascii="Arial Narrow" w:hAnsi="Arial Narrow"/>
                <w:color w:val="333333"/>
                <w:sz w:val="20"/>
                <w:szCs w:val="20"/>
              </w:rPr>
            </w:pPr>
            <w:r w:rsidRPr="007427EF">
              <w:rPr>
                <w:rFonts w:ascii="Arial Narrow" w:hAnsi="Arial Narrow"/>
                <w:color w:val="333333"/>
                <w:sz w:val="20"/>
                <w:szCs w:val="20"/>
              </w:rPr>
              <w:t>Prescribing rule level</w:t>
            </w:r>
          </w:p>
        </w:tc>
        <w:tc>
          <w:tcPr>
            <w:tcW w:w="393" w:type="pct"/>
            <w:vAlign w:val="center"/>
          </w:tcPr>
          <w:p w14:paraId="1F32E292" w14:textId="77777777" w:rsidR="00094219" w:rsidRPr="001B71DC" w:rsidRDefault="00094219" w:rsidP="00153279">
            <w:pPr>
              <w:keepLines/>
              <w:ind w:hanging="35"/>
              <w:jc w:val="center"/>
              <w:rPr>
                <w:rFonts w:ascii="Arial Narrow" w:hAnsi="Arial Narrow"/>
                <w:color w:val="333333"/>
                <w:sz w:val="20"/>
                <w:szCs w:val="20"/>
              </w:rPr>
            </w:pPr>
            <w:r w:rsidRPr="001B71DC">
              <w:rPr>
                <w:rFonts w:ascii="Arial Narrow" w:hAnsi="Arial Narrow"/>
                <w:color w:val="333333"/>
                <w:sz w:val="20"/>
                <w:szCs w:val="20"/>
              </w:rPr>
              <w:t>7607</w:t>
            </w:r>
          </w:p>
        </w:tc>
        <w:tc>
          <w:tcPr>
            <w:tcW w:w="4295" w:type="pct"/>
            <w:gridSpan w:val="4"/>
            <w:vAlign w:val="center"/>
          </w:tcPr>
          <w:p w14:paraId="7E2AC0CB" w14:textId="77777777" w:rsidR="00094219" w:rsidRPr="00BA3AAD" w:rsidRDefault="00094219" w:rsidP="00153279">
            <w:pPr>
              <w:keepLines/>
              <w:rPr>
                <w:rFonts w:ascii="Arial Narrow" w:hAnsi="Arial Narrow"/>
                <w:color w:val="212121"/>
                <w:sz w:val="20"/>
                <w:szCs w:val="20"/>
              </w:rPr>
            </w:pPr>
            <w:r w:rsidRPr="00BA3AAD">
              <w:rPr>
                <w:rFonts w:ascii="Arial Narrow" w:hAnsi="Arial Narrow"/>
                <w:b/>
                <w:bCs/>
                <w:color w:val="212121"/>
                <w:sz w:val="20"/>
                <w:szCs w:val="20"/>
              </w:rPr>
              <w:t>Administrative Advice:</w:t>
            </w:r>
            <w:r w:rsidRPr="00BA3AAD">
              <w:rPr>
                <w:rFonts w:ascii="Arial Narrow" w:hAnsi="Arial Narrow"/>
                <w:bCs/>
                <w:color w:val="212121"/>
                <w:sz w:val="20"/>
                <w:szCs w:val="20"/>
              </w:rPr>
              <w:t xml:space="preserve"> </w:t>
            </w:r>
            <w:r w:rsidRPr="00BA3AAD">
              <w:rPr>
                <w:rFonts w:ascii="Arial Narrow" w:hAnsi="Arial Narrow"/>
                <w:color w:val="212121"/>
                <w:sz w:val="20"/>
                <w:szCs w:val="20"/>
              </w:rPr>
              <w:t>No increase in the maximum number of repeats may be authorised.</w:t>
            </w:r>
          </w:p>
        </w:tc>
      </w:tr>
      <w:tr w:rsidR="00474DAD" w:rsidRPr="007427EF" w14:paraId="765FB2CA"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ADE28FA" w14:textId="77777777" w:rsidR="00474DAD" w:rsidRPr="007427EF" w:rsidRDefault="00474DAD" w:rsidP="00153279">
            <w:pPr>
              <w:keepLines/>
              <w:jc w:val="center"/>
              <w:rPr>
                <w:rFonts w:ascii="Arial Narrow" w:hAnsi="Arial Narrow"/>
                <w:color w:val="333333"/>
                <w:sz w:val="20"/>
                <w:szCs w:val="20"/>
              </w:rPr>
            </w:pPr>
          </w:p>
        </w:tc>
        <w:tc>
          <w:tcPr>
            <w:tcW w:w="4295" w:type="pct"/>
            <w:gridSpan w:val="4"/>
            <w:vAlign w:val="center"/>
          </w:tcPr>
          <w:p w14:paraId="27D6CC13" w14:textId="77777777" w:rsidR="00474DAD" w:rsidRPr="007427EF" w:rsidRDefault="00474DAD" w:rsidP="00153279">
            <w:pPr>
              <w:keepLines/>
              <w:rPr>
                <w:rFonts w:ascii="Arial Narrow" w:hAnsi="Arial Narrow"/>
                <w:b/>
                <w:bCs/>
                <w:color w:val="212121"/>
                <w:sz w:val="20"/>
                <w:szCs w:val="20"/>
              </w:rPr>
            </w:pPr>
            <w:r w:rsidRPr="007427EF">
              <w:rPr>
                <w:rFonts w:ascii="Arial Narrow" w:hAnsi="Arial Narrow"/>
                <w:b/>
                <w:bCs/>
                <w:color w:val="212121"/>
                <w:sz w:val="20"/>
                <w:szCs w:val="20"/>
              </w:rPr>
              <w:t xml:space="preserve">Condition: </w:t>
            </w:r>
            <w:r w:rsidRPr="007427EF">
              <w:rPr>
                <w:rFonts w:ascii="Arial Narrow" w:hAnsi="Arial Narrow"/>
                <w:color w:val="212121"/>
                <w:sz w:val="20"/>
                <w:szCs w:val="20"/>
              </w:rPr>
              <w:t>Cutaneous T-cell lymphoma</w:t>
            </w:r>
          </w:p>
        </w:tc>
      </w:tr>
      <w:tr w:rsidR="00474DAD" w:rsidRPr="007427EF" w14:paraId="7FFCB98C"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5AF0EF" w14:textId="1FF9518F" w:rsidR="00474DAD" w:rsidRPr="007427EF" w:rsidRDefault="00474DAD" w:rsidP="00153279">
            <w:pPr>
              <w:keepLines/>
              <w:jc w:val="center"/>
              <w:rPr>
                <w:rFonts w:ascii="Arial Narrow" w:hAnsi="Arial Narrow"/>
                <w:color w:val="333333"/>
                <w:sz w:val="20"/>
                <w:szCs w:val="20"/>
              </w:rPr>
            </w:pPr>
          </w:p>
        </w:tc>
        <w:tc>
          <w:tcPr>
            <w:tcW w:w="4295" w:type="pct"/>
            <w:gridSpan w:val="4"/>
            <w:vAlign w:val="center"/>
            <w:hideMark/>
          </w:tcPr>
          <w:p w14:paraId="4BD9DCE9" w14:textId="77777777" w:rsidR="00474DAD" w:rsidRPr="007427EF" w:rsidRDefault="00474DAD" w:rsidP="00153279">
            <w:pPr>
              <w:keepLines/>
              <w:rPr>
                <w:rFonts w:ascii="Arial Narrow" w:hAnsi="Arial Narrow"/>
                <w:color w:val="212121"/>
                <w:sz w:val="20"/>
                <w:szCs w:val="20"/>
              </w:rPr>
            </w:pPr>
            <w:r w:rsidRPr="007427EF">
              <w:rPr>
                <w:rFonts w:ascii="Arial Narrow" w:hAnsi="Arial Narrow"/>
                <w:b/>
                <w:bCs/>
                <w:color w:val="212121"/>
                <w:sz w:val="20"/>
                <w:szCs w:val="20"/>
              </w:rPr>
              <w:t>Indication:</w:t>
            </w:r>
            <w:r w:rsidRPr="007427EF">
              <w:rPr>
                <w:rFonts w:ascii="Arial Narrow" w:hAnsi="Arial Narrow"/>
                <w:color w:val="212121"/>
                <w:sz w:val="20"/>
                <w:szCs w:val="20"/>
              </w:rPr>
              <w:t xml:space="preserve"> Cutaneous T-cell lymphoma</w:t>
            </w:r>
          </w:p>
        </w:tc>
      </w:tr>
      <w:tr w:rsidR="00474DAD" w:rsidRPr="007427EF" w14:paraId="1546566E"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D672713"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1952B715"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Treatment Phase:</w:t>
            </w:r>
            <w:r w:rsidRPr="007427EF">
              <w:rPr>
                <w:rFonts w:ascii="Arial Narrow" w:hAnsi="Arial Narrow"/>
                <w:color w:val="212121"/>
                <w:sz w:val="20"/>
                <w:szCs w:val="20"/>
              </w:rPr>
              <w:t xml:space="preserve"> Continuing treatment</w:t>
            </w:r>
          </w:p>
        </w:tc>
      </w:tr>
      <w:tr w:rsidR="00474DAD" w:rsidRPr="007427EF" w14:paraId="2EC0AE6A"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66E7D79" w14:textId="3ABA9ACA"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17D057B0"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 xml:space="preserve">Clinical criteria: </w:t>
            </w:r>
          </w:p>
        </w:tc>
      </w:tr>
      <w:tr w:rsidR="00474DAD" w:rsidRPr="007427EF" w14:paraId="019173AD"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EFEA2E" w14:textId="23D107EF"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7EF7C019" w14:textId="730529EA" w:rsidR="00474DAD" w:rsidRPr="007427EF" w:rsidRDefault="00474DAD" w:rsidP="00153279">
            <w:pPr>
              <w:pStyle w:val="Table"/>
              <w:rPr>
                <w:rFonts w:ascii="Arial Narrow" w:hAnsi="Arial Narrow"/>
              </w:rPr>
            </w:pPr>
            <w:r w:rsidRPr="007427EF">
              <w:rPr>
                <w:rFonts w:ascii="Arial Narrow" w:hAnsi="Arial Narrow"/>
              </w:rPr>
              <w:t>Patient must have previously received PBS-subsidised treatment with this drug for this condition</w:t>
            </w:r>
          </w:p>
        </w:tc>
      </w:tr>
      <w:tr w:rsidR="00474DAD" w:rsidRPr="007427EF" w14:paraId="5F6C3C0F"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40F593D"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1BDF4524"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AND</w:t>
            </w:r>
          </w:p>
        </w:tc>
      </w:tr>
      <w:tr w:rsidR="00474DAD" w:rsidRPr="007427EF" w14:paraId="4A6C5D75"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48FE50" w14:textId="252A196B"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49512E5C"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Clinical criteria:</w:t>
            </w:r>
          </w:p>
        </w:tc>
      </w:tr>
      <w:tr w:rsidR="00474DAD" w:rsidRPr="007427EF" w14:paraId="5EF1DD43"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4A29C5" w14:textId="5B1DDD2F"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4A31435B" w14:textId="2825F503" w:rsidR="00474DAD" w:rsidRPr="007427EF" w:rsidRDefault="00474DAD" w:rsidP="00153279">
            <w:pPr>
              <w:pStyle w:val="Table"/>
              <w:rPr>
                <w:rFonts w:ascii="Arial Narrow" w:hAnsi="Arial Narrow"/>
              </w:rPr>
            </w:pPr>
            <w:r w:rsidRPr="007427EF">
              <w:rPr>
                <w:rFonts w:ascii="Arial Narrow" w:hAnsi="Arial Narrow"/>
              </w:rPr>
              <w:t>Patient must not have progressive disease while receiving PBS-subsidised treatment with this drug for this condition</w:t>
            </w:r>
          </w:p>
        </w:tc>
      </w:tr>
      <w:tr w:rsidR="00474DAD" w:rsidRPr="007427EF" w14:paraId="29473897"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FC2400F" w14:textId="77777777" w:rsidR="00474DAD" w:rsidRPr="007427EF" w:rsidRDefault="00474DAD" w:rsidP="00153279">
            <w:pPr>
              <w:jc w:val="center"/>
              <w:rPr>
                <w:rFonts w:ascii="Arial Narrow" w:hAnsi="Arial Narrow"/>
                <w:color w:val="212121"/>
                <w:sz w:val="20"/>
                <w:szCs w:val="20"/>
              </w:rPr>
            </w:pPr>
          </w:p>
        </w:tc>
        <w:tc>
          <w:tcPr>
            <w:tcW w:w="4295" w:type="pct"/>
            <w:gridSpan w:val="4"/>
            <w:vAlign w:val="center"/>
            <w:hideMark/>
          </w:tcPr>
          <w:p w14:paraId="5A206ECB"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AND</w:t>
            </w:r>
          </w:p>
        </w:tc>
      </w:tr>
      <w:tr w:rsidR="00474DAD" w:rsidRPr="007427EF" w14:paraId="6BD40D6B"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C52C057" w14:textId="23BB4093" w:rsidR="00474DAD" w:rsidRPr="007427EF" w:rsidRDefault="00474DAD" w:rsidP="00153279">
            <w:pPr>
              <w:jc w:val="center"/>
              <w:rPr>
                <w:rFonts w:ascii="Arial Narrow" w:hAnsi="Arial Narrow"/>
                <w:color w:val="212121"/>
                <w:sz w:val="20"/>
                <w:szCs w:val="20"/>
              </w:rPr>
            </w:pPr>
          </w:p>
        </w:tc>
        <w:tc>
          <w:tcPr>
            <w:tcW w:w="4295" w:type="pct"/>
            <w:gridSpan w:val="4"/>
            <w:vAlign w:val="center"/>
          </w:tcPr>
          <w:p w14:paraId="7DA98804" w14:textId="77777777" w:rsidR="00474DAD" w:rsidRPr="007427EF" w:rsidRDefault="00474DAD" w:rsidP="00153279">
            <w:pPr>
              <w:rPr>
                <w:rFonts w:ascii="Arial Narrow" w:hAnsi="Arial Narrow"/>
                <w:color w:val="212121"/>
                <w:sz w:val="20"/>
                <w:szCs w:val="20"/>
              </w:rPr>
            </w:pPr>
            <w:r w:rsidRPr="007427EF">
              <w:rPr>
                <w:rFonts w:ascii="Arial Narrow" w:hAnsi="Arial Narrow"/>
                <w:b/>
                <w:bCs/>
                <w:color w:val="212121"/>
                <w:sz w:val="20"/>
                <w:szCs w:val="20"/>
              </w:rPr>
              <w:t>Clinical criteria:</w:t>
            </w:r>
          </w:p>
        </w:tc>
      </w:tr>
      <w:tr w:rsidR="00474DAD" w:rsidRPr="007427EF" w14:paraId="55E49396" w14:textId="77777777" w:rsidTr="6A98AE7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13A766" w14:textId="61A8FB7A" w:rsidR="00474DAD" w:rsidRPr="007427EF" w:rsidRDefault="00474DAD" w:rsidP="00153279">
            <w:pPr>
              <w:jc w:val="center"/>
              <w:rPr>
                <w:rFonts w:ascii="Arial Narrow" w:hAnsi="Arial Narrow"/>
                <w:color w:val="333333"/>
                <w:sz w:val="20"/>
                <w:szCs w:val="20"/>
              </w:rPr>
            </w:pPr>
          </w:p>
        </w:tc>
        <w:tc>
          <w:tcPr>
            <w:tcW w:w="4295" w:type="pct"/>
            <w:gridSpan w:val="4"/>
            <w:vAlign w:val="center"/>
          </w:tcPr>
          <w:p w14:paraId="2A09D2B1" w14:textId="5335496F" w:rsidR="00474DAD" w:rsidRPr="007427EF" w:rsidRDefault="00474DAD" w:rsidP="00153279">
            <w:pPr>
              <w:rPr>
                <w:rFonts w:ascii="Arial Narrow" w:hAnsi="Arial Narrow"/>
                <w:color w:val="212121"/>
                <w:sz w:val="20"/>
                <w:szCs w:val="20"/>
              </w:rPr>
            </w:pPr>
            <w:r w:rsidRPr="007427EF">
              <w:rPr>
                <w:rFonts w:ascii="Arial Narrow" w:hAnsi="Arial Narrow"/>
                <w:color w:val="212121"/>
                <w:sz w:val="20"/>
                <w:szCs w:val="20"/>
              </w:rPr>
              <w:t>The treatment must be the sole PBS-subsidised therapy for this condition</w:t>
            </w:r>
          </w:p>
        </w:tc>
      </w:tr>
      <w:tr w:rsidR="00474DAD" w:rsidRPr="007427EF" w14:paraId="2BDA7806" w14:textId="77777777" w:rsidTr="000E658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CFEBFAD" w14:textId="2AC45A61" w:rsidR="00474DAD" w:rsidRPr="007427EF" w:rsidRDefault="00474DAD" w:rsidP="00153279">
            <w:pPr>
              <w:jc w:val="center"/>
              <w:rPr>
                <w:rFonts w:ascii="Arial Narrow" w:hAnsi="Arial Narrow"/>
                <w:color w:val="333333"/>
                <w:sz w:val="20"/>
                <w:szCs w:val="20"/>
              </w:rPr>
            </w:pPr>
          </w:p>
        </w:tc>
        <w:tc>
          <w:tcPr>
            <w:tcW w:w="4295" w:type="pct"/>
            <w:gridSpan w:val="4"/>
            <w:vAlign w:val="center"/>
            <w:hideMark/>
          </w:tcPr>
          <w:p w14:paraId="140C360E" w14:textId="77777777" w:rsidR="00474DAD" w:rsidRPr="007427EF" w:rsidRDefault="00474DAD" w:rsidP="00153279">
            <w:pPr>
              <w:rPr>
                <w:rFonts w:ascii="Arial Narrow" w:hAnsi="Arial Narrow"/>
                <w:b/>
                <w:bCs/>
                <w:color w:val="333333"/>
                <w:sz w:val="20"/>
                <w:szCs w:val="20"/>
              </w:rPr>
            </w:pPr>
            <w:r w:rsidRPr="007427EF">
              <w:rPr>
                <w:rFonts w:ascii="Arial Narrow" w:hAnsi="Arial Narrow"/>
                <w:b/>
                <w:bCs/>
                <w:color w:val="333333"/>
                <w:sz w:val="20"/>
                <w:szCs w:val="20"/>
              </w:rPr>
              <w:t xml:space="preserve">Prescribing Instructions: </w:t>
            </w:r>
          </w:p>
          <w:p w14:paraId="33826146" w14:textId="4C6C158C" w:rsidR="00474DAD" w:rsidRPr="007427EF" w:rsidRDefault="00474DAD" w:rsidP="00153279">
            <w:pPr>
              <w:rPr>
                <w:rFonts w:ascii="Arial Narrow" w:hAnsi="Arial Narrow"/>
                <w:sz w:val="20"/>
                <w:szCs w:val="20"/>
              </w:rPr>
            </w:pPr>
            <w:r w:rsidRPr="007427EF">
              <w:rPr>
                <w:rFonts w:ascii="Arial Narrow" w:hAnsi="Arial Narrow"/>
                <w:sz w:val="20"/>
                <w:szCs w:val="20"/>
              </w:rPr>
              <w:t xml:space="preserve">Applications for authorisation under this restriction may be made in real time using the Online PBS Authorities system (see www.servicesaustralia.gov.au/HPOS) or by telephone by contacting Services Australia on 1800 700 270 (hours of operation 8 a.m. to 5 </w:t>
            </w:r>
            <w:proofErr w:type="spellStart"/>
            <w:r w:rsidRPr="007427EF">
              <w:rPr>
                <w:rFonts w:ascii="Arial Narrow" w:hAnsi="Arial Narrow"/>
                <w:sz w:val="20"/>
                <w:szCs w:val="20"/>
              </w:rPr>
              <w:t>p.</w:t>
            </w:r>
            <w:proofErr w:type="gramStart"/>
            <w:r w:rsidRPr="007427EF">
              <w:rPr>
                <w:rFonts w:ascii="Arial Narrow" w:hAnsi="Arial Narrow"/>
                <w:sz w:val="20"/>
                <w:szCs w:val="20"/>
              </w:rPr>
              <w:t>m.Monday</w:t>
            </w:r>
            <w:proofErr w:type="spellEnd"/>
            <w:proofErr w:type="gramEnd"/>
            <w:r w:rsidRPr="007427EF">
              <w:rPr>
                <w:rFonts w:ascii="Arial Narrow" w:hAnsi="Arial Narrow"/>
                <w:sz w:val="20"/>
                <w:szCs w:val="20"/>
              </w:rPr>
              <w:t xml:space="preserve"> to Friday).</w:t>
            </w:r>
          </w:p>
        </w:tc>
      </w:tr>
    </w:tbl>
    <w:p w14:paraId="7656C81D" w14:textId="6B5345EB" w:rsidR="00804B0A" w:rsidRDefault="00BA3AAD" w:rsidP="008252BB">
      <w:pPr>
        <w:spacing w:before="120" w:after="120"/>
        <w:rPr>
          <w:rFonts w:asciiTheme="minorHAnsi" w:hAnsiTheme="minorHAnsi"/>
          <w:b/>
          <w:i/>
          <w:iCs/>
          <w:snapToGrid w:val="0"/>
          <w:lang w:val="en-GB" w:eastAsia="en-US"/>
        </w:rPr>
      </w:pPr>
      <w:r w:rsidRPr="008E4308">
        <w:rPr>
          <w:rFonts w:asciiTheme="minorHAnsi" w:hAnsiTheme="minorHAnsi"/>
          <w:b/>
          <w:i/>
          <w:iCs/>
          <w:snapToGrid w:val="0"/>
          <w:lang w:val="en-GB" w:eastAsia="en-US"/>
        </w:rPr>
        <w:t>These restrictions may be subject to further review. Should there be any changes made to the restriction the sponsor will be informed.</w:t>
      </w:r>
    </w:p>
    <w:p w14:paraId="57A43A37" w14:textId="77777777" w:rsidR="008E20EF" w:rsidRPr="008E20EF" w:rsidRDefault="008E20EF" w:rsidP="008E20EF">
      <w:pPr>
        <w:keepNext/>
        <w:numPr>
          <w:ilvl w:val="0"/>
          <w:numId w:val="1"/>
        </w:numPr>
        <w:spacing w:before="240" w:after="120"/>
        <w:jc w:val="left"/>
        <w:outlineLvl w:val="0"/>
        <w:rPr>
          <w:rFonts w:asciiTheme="minorHAnsi" w:hAnsiTheme="minorHAnsi"/>
          <w:b/>
          <w:snapToGrid w:val="0"/>
          <w:sz w:val="32"/>
          <w:szCs w:val="32"/>
        </w:rPr>
      </w:pPr>
      <w:r w:rsidRPr="008E20EF">
        <w:rPr>
          <w:rFonts w:asciiTheme="minorHAnsi" w:hAnsiTheme="minorHAnsi"/>
          <w:b/>
          <w:snapToGrid w:val="0"/>
          <w:sz w:val="32"/>
          <w:szCs w:val="32"/>
        </w:rPr>
        <w:t>Context for Decision</w:t>
      </w:r>
    </w:p>
    <w:p w14:paraId="525A434B" w14:textId="77777777" w:rsidR="008E20EF" w:rsidRPr="008E20EF" w:rsidRDefault="008E20EF" w:rsidP="008E20EF">
      <w:pPr>
        <w:spacing w:after="120"/>
        <w:ind w:left="720"/>
        <w:rPr>
          <w:bCs/>
          <w:lang w:val="en-GB"/>
        </w:rPr>
      </w:pPr>
      <w:r w:rsidRPr="008E20EF">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BD482FD" w14:textId="77777777" w:rsidR="008E20EF" w:rsidRPr="008E20EF" w:rsidRDefault="008E20EF" w:rsidP="008E20EF">
      <w:pPr>
        <w:keepNext/>
        <w:numPr>
          <w:ilvl w:val="0"/>
          <w:numId w:val="1"/>
        </w:numPr>
        <w:spacing w:before="240" w:after="120"/>
        <w:jc w:val="left"/>
        <w:outlineLvl w:val="0"/>
        <w:rPr>
          <w:rFonts w:asciiTheme="minorHAnsi" w:hAnsiTheme="minorHAnsi"/>
          <w:b/>
          <w:snapToGrid w:val="0"/>
          <w:sz w:val="32"/>
          <w:szCs w:val="32"/>
        </w:rPr>
      </w:pPr>
      <w:r w:rsidRPr="008E20EF">
        <w:rPr>
          <w:rFonts w:asciiTheme="minorHAnsi" w:hAnsiTheme="minorHAnsi"/>
          <w:b/>
          <w:snapToGrid w:val="0"/>
          <w:sz w:val="32"/>
          <w:szCs w:val="32"/>
        </w:rPr>
        <w:lastRenderedPageBreak/>
        <w:t>Sponsor’s Comment</w:t>
      </w:r>
    </w:p>
    <w:p w14:paraId="7702D2E0" w14:textId="6BABCC93" w:rsidR="00E4584A" w:rsidRDefault="008E20EF" w:rsidP="009322AC">
      <w:pPr>
        <w:spacing w:after="120" w:line="276" w:lineRule="auto"/>
        <w:ind w:left="720"/>
        <w:rPr>
          <w:rFonts w:eastAsia="Calibri"/>
          <w:b/>
          <w:color w:val="FF0000"/>
          <w:sz w:val="28"/>
          <w:szCs w:val="28"/>
        </w:rPr>
      </w:pPr>
      <w:r w:rsidRPr="008E20EF">
        <w:rPr>
          <w:rFonts w:eastAsia="Calibri"/>
          <w:bCs/>
          <w:szCs w:val="22"/>
          <w:lang w:eastAsia="en-US"/>
        </w:rPr>
        <w:t>The sponsor had no comment.</w:t>
      </w:r>
      <w:r w:rsidR="00E4584A">
        <w:rPr>
          <w:rFonts w:eastAsia="Calibri"/>
          <w:b/>
          <w:color w:val="FF0000"/>
          <w:sz w:val="28"/>
          <w:szCs w:val="28"/>
        </w:rPr>
        <w:br w:type="page"/>
      </w:r>
    </w:p>
    <w:p w14:paraId="77E371CA" w14:textId="43678FC2" w:rsidR="0032655B" w:rsidRDefault="0032655B" w:rsidP="0032655B">
      <w:pPr>
        <w:spacing w:before="120" w:after="160"/>
        <w:outlineLvl w:val="0"/>
        <w:rPr>
          <w:rFonts w:eastAsia="Calibri"/>
          <w:b/>
          <w:color w:val="FF0000"/>
          <w:sz w:val="28"/>
          <w:szCs w:val="28"/>
        </w:rPr>
      </w:pPr>
      <w:r w:rsidRPr="0032655B">
        <w:rPr>
          <w:rFonts w:eastAsia="Calibri"/>
          <w:b/>
          <w:color w:val="FF0000"/>
          <w:sz w:val="28"/>
          <w:szCs w:val="28"/>
        </w:rPr>
        <w:lastRenderedPageBreak/>
        <w:t>Addendum to the March 2025 PBAC Minutes:</w:t>
      </w:r>
    </w:p>
    <w:p w14:paraId="6C1C4E8A" w14:textId="1753788B" w:rsidR="009C3884" w:rsidRPr="007427EF" w:rsidRDefault="009C3884" w:rsidP="009C3884">
      <w:pPr>
        <w:pStyle w:val="1-MainHeading"/>
      </w:pPr>
      <w:r>
        <w:t>3</w:t>
      </w:r>
      <w:r w:rsidRPr="007427EF">
        <w:t>.0</w:t>
      </w:r>
      <w:r>
        <w:t>1</w:t>
      </w:r>
      <w:r w:rsidRPr="007427EF">
        <w:tab/>
        <w:t>MOGAMULIZUMAB,</w:t>
      </w:r>
      <w:r w:rsidRPr="007427EF">
        <w:br/>
        <w:t>Solution concentrate for I.V. infusion 20 mg in 5 mL,</w:t>
      </w:r>
      <w:r w:rsidRPr="007427EF">
        <w:br/>
        <w:t>Poteligeo</w:t>
      </w:r>
      <w:r w:rsidRPr="007427EF">
        <w:rPr>
          <w:vertAlign w:val="superscript"/>
        </w:rPr>
        <w:t>®</w:t>
      </w:r>
      <w:r w:rsidRPr="007427EF">
        <w:t>,</w:t>
      </w:r>
      <w:r w:rsidRPr="007427EF">
        <w:br/>
        <w:t>K</w:t>
      </w:r>
      <w:r>
        <w:t>yowa Kirin Australia Pty Ltd</w:t>
      </w:r>
      <w:r w:rsidRPr="007427EF">
        <w:t xml:space="preserve">. </w:t>
      </w:r>
    </w:p>
    <w:p w14:paraId="4541E74E" w14:textId="77777777" w:rsidR="0032655B" w:rsidRPr="0032655B" w:rsidRDefault="0032655B" w:rsidP="0032655B">
      <w:pPr>
        <w:keepNext/>
        <w:keepLines/>
        <w:numPr>
          <w:ilvl w:val="0"/>
          <w:numId w:val="1"/>
        </w:numPr>
        <w:spacing w:before="300" w:after="120"/>
        <w:ind w:left="709" w:hanging="709"/>
        <w:outlineLvl w:val="0"/>
        <w:rPr>
          <w:rFonts w:asciiTheme="minorHAnsi" w:eastAsiaTheme="majorEastAsia" w:hAnsiTheme="minorHAnsi" w:cstheme="majorBidi"/>
          <w:b/>
          <w:sz w:val="32"/>
          <w:szCs w:val="28"/>
        </w:rPr>
      </w:pPr>
      <w:r w:rsidRPr="0032655B">
        <w:rPr>
          <w:rFonts w:asciiTheme="minorHAnsi" w:eastAsiaTheme="majorEastAsia" w:hAnsiTheme="minorHAnsi" w:cstheme="majorBidi"/>
          <w:b/>
          <w:sz w:val="32"/>
          <w:szCs w:val="28"/>
        </w:rPr>
        <w:t>Sponsor proposal</w:t>
      </w:r>
    </w:p>
    <w:p w14:paraId="0C537507" w14:textId="3AE7C173" w:rsidR="0032655B" w:rsidRPr="0032655B" w:rsidRDefault="0032655B" w:rsidP="0032655B">
      <w:pPr>
        <w:numPr>
          <w:ilvl w:val="1"/>
          <w:numId w:val="1"/>
        </w:numPr>
        <w:spacing w:after="120"/>
        <w:rPr>
          <w:rFonts w:asciiTheme="minorHAnsi" w:eastAsiaTheme="majorEastAsia" w:hAnsiTheme="minorHAnsi" w:cstheme="majorBidi"/>
          <w:b/>
          <w:sz w:val="32"/>
          <w:szCs w:val="28"/>
        </w:rPr>
      </w:pPr>
      <w:r w:rsidRPr="0032655B">
        <w:rPr>
          <w:rFonts w:asciiTheme="minorHAnsi" w:eastAsiaTheme="minorHAnsi" w:hAnsiTheme="minorHAnsi" w:cstheme="minorBidi"/>
          <w:szCs w:val="22"/>
        </w:rPr>
        <w:t xml:space="preserve">Following the March 2025 PBAC meeting, the </w:t>
      </w:r>
      <w:r w:rsidRPr="0032655B">
        <w:rPr>
          <w:rFonts w:asciiTheme="minorHAnsi" w:eastAsia="Times New Roman" w:hAnsiTheme="minorHAnsi" w:cs="Times New Roman"/>
          <w:snapToGrid w:val="0"/>
        </w:rPr>
        <w:t>sponsor</w:t>
      </w:r>
      <w:r w:rsidRPr="0032655B">
        <w:rPr>
          <w:rFonts w:asciiTheme="minorHAnsi" w:eastAsiaTheme="minorHAnsi" w:hAnsiTheme="minorHAnsi" w:cstheme="minorBidi"/>
          <w:szCs w:val="22"/>
        </w:rPr>
        <w:t xml:space="preserve"> wrote to the Department and proposed ‘as a best and final offer’, an effective ex-manufacturer price of $</w:t>
      </w:r>
      <w:r w:rsidR="00162BA8" w:rsidRPr="00162BA8">
        <w:rPr>
          <w:rFonts w:asciiTheme="minorHAnsi" w:eastAsiaTheme="minorHAnsi" w:hAnsiTheme="minorHAnsi" w:cstheme="minorBidi"/>
          <w:color w:val="000000"/>
          <w:w w:val="61"/>
          <w:szCs w:val="22"/>
          <w:shd w:val="solid" w:color="000000" w:fill="000000"/>
          <w:fitText w:val="471" w:id="-593762048"/>
          <w14:textFill>
            <w14:solidFill>
              <w14:srgbClr w14:val="000000">
                <w14:alpha w14:val="100000"/>
              </w14:srgbClr>
            </w14:solidFill>
          </w14:textFill>
        </w:rPr>
        <w:t>||</w:t>
      </w:r>
      <w:proofErr w:type="gramStart"/>
      <w:r w:rsidR="00162BA8" w:rsidRPr="00162BA8">
        <w:rPr>
          <w:rFonts w:asciiTheme="minorHAnsi" w:eastAsiaTheme="minorHAnsi" w:hAnsiTheme="minorHAnsi" w:cstheme="minorBidi"/>
          <w:color w:val="000000"/>
          <w:w w:val="61"/>
          <w:szCs w:val="22"/>
          <w:shd w:val="solid" w:color="000000" w:fill="000000"/>
          <w:fitText w:val="471" w:id="-593762048"/>
          <w14:textFill>
            <w14:solidFill>
              <w14:srgbClr w14:val="000000">
                <w14:alpha w14:val="100000"/>
              </w14:srgbClr>
            </w14:solidFill>
          </w14:textFill>
        </w:rPr>
        <w:t>|  |</w:t>
      </w:r>
      <w:proofErr w:type="gramEnd"/>
      <w:r w:rsidR="00162BA8" w:rsidRPr="00162BA8">
        <w:rPr>
          <w:rFonts w:asciiTheme="minorHAnsi" w:eastAsiaTheme="minorHAnsi" w:hAnsiTheme="minorHAnsi" w:cstheme="minorBidi"/>
          <w:color w:val="000000"/>
          <w:w w:val="61"/>
          <w:szCs w:val="22"/>
          <w:shd w:val="solid" w:color="000000" w:fill="000000"/>
          <w:fitText w:val="471" w:id="-593762048"/>
          <w14:textFill>
            <w14:solidFill>
              <w14:srgbClr w14:val="000000">
                <w14:alpha w14:val="100000"/>
              </w14:srgbClr>
            </w14:solidFill>
          </w14:textFill>
        </w:rPr>
        <w:t>|</w:t>
      </w:r>
      <w:r w:rsidR="00162BA8" w:rsidRPr="00162BA8">
        <w:rPr>
          <w:rFonts w:asciiTheme="minorHAnsi" w:eastAsiaTheme="minorHAnsi" w:hAnsiTheme="minorHAnsi" w:cstheme="minorBidi"/>
          <w:color w:val="000000"/>
          <w:spacing w:val="1"/>
          <w:w w:val="61"/>
          <w:szCs w:val="22"/>
          <w:shd w:val="solid" w:color="000000" w:fill="000000"/>
          <w:fitText w:val="471" w:id="-593762048"/>
          <w14:textFill>
            <w14:solidFill>
              <w14:srgbClr w14:val="000000">
                <w14:alpha w14:val="100000"/>
              </w14:srgbClr>
            </w14:solidFill>
          </w14:textFill>
        </w:rPr>
        <w:t>|</w:t>
      </w:r>
      <w:r w:rsidRPr="0032655B">
        <w:rPr>
          <w:rFonts w:asciiTheme="minorHAnsi" w:eastAsiaTheme="minorHAnsi" w:hAnsiTheme="minorHAnsi" w:cstheme="minorBidi"/>
          <w:szCs w:val="22"/>
        </w:rPr>
        <w:t xml:space="preserve">. This was a higher price than would result from the PBAC-recommended CMA in March 2025 (in paragraph </w:t>
      </w:r>
      <w:r w:rsidRPr="0032655B">
        <w:rPr>
          <w:rFonts w:asciiTheme="minorHAnsi" w:eastAsiaTheme="minorHAnsi" w:hAnsiTheme="minorHAnsi" w:cstheme="minorBidi"/>
          <w:szCs w:val="22"/>
        </w:rPr>
        <w:fldChar w:fldCharType="begin"/>
      </w:r>
      <w:r w:rsidRPr="0032655B">
        <w:rPr>
          <w:rFonts w:asciiTheme="minorHAnsi" w:eastAsiaTheme="minorHAnsi" w:hAnsiTheme="minorHAnsi" w:cstheme="minorBidi"/>
          <w:szCs w:val="22"/>
        </w:rPr>
        <w:instrText xml:space="preserve"> REF _Ref193553440 \r \h </w:instrText>
      </w:r>
      <w:r w:rsidRPr="0032655B">
        <w:rPr>
          <w:rFonts w:asciiTheme="minorHAnsi" w:eastAsiaTheme="minorHAnsi" w:hAnsiTheme="minorHAnsi" w:cstheme="minorBidi"/>
          <w:szCs w:val="22"/>
        </w:rPr>
      </w:r>
      <w:r w:rsidRPr="0032655B">
        <w:rPr>
          <w:rFonts w:asciiTheme="minorHAnsi" w:eastAsiaTheme="minorHAnsi" w:hAnsiTheme="minorHAnsi" w:cstheme="minorBidi"/>
          <w:szCs w:val="22"/>
        </w:rPr>
        <w:fldChar w:fldCharType="separate"/>
      </w:r>
      <w:r w:rsidR="00EF6B5D">
        <w:rPr>
          <w:rFonts w:asciiTheme="minorHAnsi" w:eastAsiaTheme="minorHAnsi" w:hAnsiTheme="minorHAnsi" w:cstheme="minorBidi"/>
          <w:szCs w:val="22"/>
        </w:rPr>
        <w:t>7.8</w:t>
      </w:r>
      <w:r w:rsidRPr="0032655B">
        <w:rPr>
          <w:rFonts w:asciiTheme="minorHAnsi" w:eastAsiaTheme="minorHAnsi" w:hAnsiTheme="minorHAnsi" w:cstheme="minorBidi"/>
          <w:szCs w:val="22"/>
        </w:rPr>
        <w:fldChar w:fldCharType="end"/>
      </w:r>
      <w:r w:rsidRPr="0032655B">
        <w:rPr>
          <w:rFonts w:asciiTheme="minorHAnsi" w:eastAsiaTheme="minorHAnsi" w:hAnsiTheme="minorHAnsi" w:cstheme="minorBidi"/>
          <w:szCs w:val="22"/>
        </w:rPr>
        <w:t xml:space="preserve"> and </w:t>
      </w:r>
      <w:r w:rsidRPr="0032655B">
        <w:rPr>
          <w:rFonts w:asciiTheme="minorHAnsi" w:eastAsiaTheme="minorHAnsi" w:hAnsiTheme="minorHAnsi" w:cstheme="minorBidi"/>
          <w:szCs w:val="22"/>
        </w:rPr>
        <w:fldChar w:fldCharType="begin"/>
      </w:r>
      <w:r w:rsidRPr="0032655B">
        <w:rPr>
          <w:rFonts w:asciiTheme="minorHAnsi" w:eastAsiaTheme="minorHAnsi" w:hAnsiTheme="minorHAnsi" w:cstheme="minorBidi"/>
          <w:szCs w:val="22"/>
        </w:rPr>
        <w:instrText xml:space="preserve"> REF _Ref190862621 \h </w:instrText>
      </w:r>
      <w:r w:rsidRPr="0032655B">
        <w:rPr>
          <w:rFonts w:asciiTheme="minorHAnsi" w:eastAsiaTheme="minorHAnsi" w:hAnsiTheme="minorHAnsi" w:cstheme="minorBidi"/>
          <w:szCs w:val="22"/>
        </w:rPr>
      </w:r>
      <w:r w:rsidRPr="0032655B">
        <w:rPr>
          <w:rFonts w:asciiTheme="minorHAnsi" w:eastAsiaTheme="minorHAnsi" w:hAnsiTheme="minorHAnsi" w:cstheme="minorBidi"/>
          <w:szCs w:val="22"/>
        </w:rPr>
        <w:fldChar w:fldCharType="separate"/>
      </w:r>
      <w:r w:rsidR="00EF6B5D" w:rsidRPr="00A559A5">
        <w:rPr>
          <w:iCs/>
        </w:rPr>
        <w:t xml:space="preserve">Table </w:t>
      </w:r>
      <w:r w:rsidR="00EF6B5D">
        <w:rPr>
          <w:iCs/>
          <w:noProof/>
        </w:rPr>
        <w:t>9</w:t>
      </w:r>
      <w:r w:rsidRPr="0032655B">
        <w:rPr>
          <w:rFonts w:asciiTheme="minorHAnsi" w:eastAsiaTheme="minorHAnsi" w:hAnsiTheme="minorHAnsi" w:cstheme="minorBidi"/>
          <w:szCs w:val="22"/>
        </w:rPr>
        <w:fldChar w:fldCharType="end"/>
      </w:r>
      <w:r w:rsidRPr="0032655B">
        <w:rPr>
          <w:rFonts w:asciiTheme="minorHAnsi" w:eastAsiaTheme="minorHAnsi" w:hAnsiTheme="minorHAnsi" w:cstheme="minorBidi"/>
          <w:szCs w:val="22"/>
        </w:rPr>
        <w:t>).</w:t>
      </w:r>
    </w:p>
    <w:p w14:paraId="78BD5146" w14:textId="77777777" w:rsidR="0032655B" w:rsidRPr="0032655B" w:rsidRDefault="0032655B" w:rsidP="0032655B">
      <w:pPr>
        <w:numPr>
          <w:ilvl w:val="1"/>
          <w:numId w:val="1"/>
        </w:numPr>
        <w:spacing w:after="120"/>
        <w:rPr>
          <w:rFonts w:asciiTheme="minorHAnsi" w:eastAsiaTheme="minorHAnsi" w:hAnsiTheme="minorHAnsi" w:cstheme="minorBidi"/>
          <w:szCs w:val="22"/>
        </w:rPr>
      </w:pPr>
      <w:r w:rsidRPr="0032655B">
        <w:rPr>
          <w:rFonts w:asciiTheme="minorHAnsi" w:eastAsia="Times New Roman" w:hAnsiTheme="minorHAnsi" w:cs="Times New Roman"/>
          <w:snapToGrid w:val="0"/>
        </w:rPr>
        <w:t xml:space="preserve">The sponsor </w:t>
      </w:r>
      <w:r w:rsidRPr="0032655B">
        <w:rPr>
          <w:rFonts w:asciiTheme="minorHAnsi" w:eastAsiaTheme="minorHAnsi" w:hAnsiTheme="minorHAnsi" w:cstheme="minorBidi"/>
          <w:szCs w:val="22"/>
        </w:rPr>
        <w:t>outlined that it was unable to progress with listing on the basis recommended by PBAC</w:t>
      </w:r>
      <w:r w:rsidRPr="0032655B">
        <w:rPr>
          <w:rFonts w:asciiTheme="minorHAnsi" w:eastAsia="Times New Roman" w:hAnsiTheme="minorHAnsi" w:cs="Times New Roman"/>
          <w:snapToGrid w:val="0"/>
        </w:rPr>
        <w:t xml:space="preserve"> and highlighted:</w:t>
      </w:r>
    </w:p>
    <w:p w14:paraId="11E3F26D" w14:textId="77777777" w:rsidR="0032655B" w:rsidRPr="0032655B" w:rsidRDefault="0032655B" w:rsidP="0032655B">
      <w:pPr>
        <w:spacing w:after="120"/>
        <w:ind w:left="720"/>
        <w:rPr>
          <w:rFonts w:asciiTheme="minorHAnsi" w:eastAsiaTheme="minorHAnsi" w:hAnsiTheme="minorHAnsi" w:cstheme="minorBidi"/>
          <w:szCs w:val="22"/>
        </w:rPr>
      </w:pPr>
      <w:r w:rsidRPr="0032655B">
        <w:rPr>
          <w:rFonts w:asciiTheme="minorHAnsi" w:eastAsia="Times New Roman" w:hAnsiTheme="minorHAnsi" w:cs="Times New Roman"/>
          <w:snapToGrid w:val="0"/>
        </w:rPr>
        <w:t>“CTCL is a rare, aggressive, and incurable type of cancer, with which around 40 Australians are diagnosed each year, that causes intense suffering and major life disruption. In consideration of extensive input from clinicians and affected individuals, the PBAC agreed that there is a high clinical need for alternate therapy options for patients with this rare condition.</w:t>
      </w:r>
    </w:p>
    <w:p w14:paraId="70D80D25" w14:textId="77777777" w:rsidR="0032655B" w:rsidRPr="0032655B" w:rsidRDefault="0032655B" w:rsidP="0032655B">
      <w:pPr>
        <w:spacing w:after="120"/>
        <w:ind w:left="720"/>
        <w:rPr>
          <w:rFonts w:asciiTheme="minorHAnsi" w:eastAsiaTheme="minorHAnsi" w:hAnsiTheme="minorHAnsi" w:cstheme="minorBidi"/>
          <w:szCs w:val="22"/>
        </w:rPr>
      </w:pPr>
      <w:r w:rsidRPr="0032655B">
        <w:rPr>
          <w:rFonts w:asciiTheme="minorHAnsi" w:eastAsia="Times New Roman" w:hAnsiTheme="minorHAnsi" w:cs="Times New Roman"/>
          <w:snapToGrid w:val="0"/>
        </w:rPr>
        <w:t>Mogamulizumab represents an attractive new treatment option for CTCL, which the PBAC has acknowledged has a unique mechanism of action and would be particularly useful in patients with blood compartment involvement. Since its approval by the FDA in 2018, mogamulizumab has become an internationally established standard of care, which is widely considered by clinical experts to be superior to other available therapies, for at least this subgroup of patients.”</w:t>
      </w:r>
    </w:p>
    <w:p w14:paraId="2B7D4492" w14:textId="047AA52D" w:rsidR="0032655B" w:rsidRPr="0032655B" w:rsidRDefault="0032655B" w:rsidP="0032655B">
      <w:pPr>
        <w:numPr>
          <w:ilvl w:val="1"/>
          <w:numId w:val="1"/>
        </w:numPr>
        <w:spacing w:after="120"/>
        <w:rPr>
          <w:rFonts w:asciiTheme="minorHAnsi" w:eastAsiaTheme="minorHAnsi" w:hAnsiTheme="minorHAnsi" w:cstheme="minorBidi"/>
          <w:szCs w:val="22"/>
        </w:rPr>
      </w:pPr>
      <w:r w:rsidRPr="0032655B">
        <w:rPr>
          <w:rFonts w:asciiTheme="minorHAnsi" w:eastAsiaTheme="minorHAnsi" w:hAnsiTheme="minorHAnsi" w:cstheme="minorBidi"/>
          <w:szCs w:val="22"/>
        </w:rPr>
        <w:t>The PBAC noted that applying the current MBS Item 13950 85% benefit ($107.10, from 1 July 2025), and 100% dose intensity to both medicines in the CMA in results in an AEMP of $</w:t>
      </w:r>
      <w:r w:rsidR="00162BA8" w:rsidRPr="00162BA8">
        <w:rPr>
          <w:rFonts w:asciiTheme="minorHAnsi" w:eastAsiaTheme="minorHAnsi" w:hAnsiTheme="minorHAnsi" w:cstheme="minorBidi"/>
          <w:color w:val="000000"/>
          <w:w w:val="61"/>
          <w:szCs w:val="22"/>
          <w:shd w:val="solid" w:color="000000" w:fill="000000"/>
          <w:fitText w:val="471" w:id="-593762047"/>
          <w14:textFill>
            <w14:solidFill>
              <w14:srgbClr w14:val="000000">
                <w14:alpha w14:val="100000"/>
              </w14:srgbClr>
            </w14:solidFill>
          </w14:textFill>
        </w:rPr>
        <w:t>||</w:t>
      </w:r>
      <w:proofErr w:type="gramStart"/>
      <w:r w:rsidR="00162BA8" w:rsidRPr="00162BA8">
        <w:rPr>
          <w:rFonts w:asciiTheme="minorHAnsi" w:eastAsiaTheme="minorHAnsi" w:hAnsiTheme="minorHAnsi" w:cstheme="minorBidi"/>
          <w:color w:val="000000"/>
          <w:w w:val="61"/>
          <w:szCs w:val="22"/>
          <w:shd w:val="solid" w:color="000000" w:fill="000000"/>
          <w:fitText w:val="471" w:id="-593762047"/>
          <w14:textFill>
            <w14:solidFill>
              <w14:srgbClr w14:val="000000">
                <w14:alpha w14:val="100000"/>
              </w14:srgbClr>
            </w14:solidFill>
          </w14:textFill>
        </w:rPr>
        <w:t>|  |</w:t>
      </w:r>
      <w:proofErr w:type="gramEnd"/>
      <w:r w:rsidR="00162BA8" w:rsidRPr="00162BA8">
        <w:rPr>
          <w:rFonts w:asciiTheme="minorHAnsi" w:eastAsiaTheme="minorHAnsi" w:hAnsiTheme="minorHAnsi" w:cstheme="minorBidi"/>
          <w:color w:val="000000"/>
          <w:w w:val="61"/>
          <w:szCs w:val="22"/>
          <w:shd w:val="solid" w:color="000000" w:fill="000000"/>
          <w:fitText w:val="471" w:id="-593762047"/>
          <w14:textFill>
            <w14:solidFill>
              <w14:srgbClr w14:val="000000">
                <w14:alpha w14:val="100000"/>
              </w14:srgbClr>
            </w14:solidFill>
          </w14:textFill>
        </w:rPr>
        <w:t>|</w:t>
      </w:r>
      <w:r w:rsidR="00162BA8" w:rsidRPr="00162BA8">
        <w:rPr>
          <w:rFonts w:asciiTheme="minorHAnsi" w:eastAsiaTheme="minorHAnsi" w:hAnsiTheme="minorHAnsi" w:cstheme="minorBidi"/>
          <w:color w:val="000000"/>
          <w:spacing w:val="1"/>
          <w:w w:val="61"/>
          <w:szCs w:val="22"/>
          <w:shd w:val="solid" w:color="000000" w:fill="000000"/>
          <w:fitText w:val="471" w:id="-593762047"/>
          <w14:textFill>
            <w14:solidFill>
              <w14:srgbClr w14:val="000000">
                <w14:alpha w14:val="100000"/>
              </w14:srgbClr>
            </w14:solidFill>
          </w14:textFill>
        </w:rPr>
        <w:t>|</w:t>
      </w:r>
      <w:r w:rsidRPr="0032655B">
        <w:rPr>
          <w:rFonts w:asciiTheme="minorHAnsi" w:eastAsiaTheme="minorHAnsi" w:hAnsiTheme="minorHAnsi" w:cstheme="minorBidi"/>
          <w:szCs w:val="22"/>
        </w:rPr>
        <w:t>.</w:t>
      </w:r>
    </w:p>
    <w:p w14:paraId="7FBC5FE4" w14:textId="0B4E86E9" w:rsidR="0032655B" w:rsidRPr="0032655B" w:rsidRDefault="0032655B" w:rsidP="0032655B">
      <w:pPr>
        <w:numPr>
          <w:ilvl w:val="1"/>
          <w:numId w:val="1"/>
        </w:numPr>
        <w:spacing w:after="120"/>
        <w:rPr>
          <w:rFonts w:asciiTheme="minorHAnsi" w:eastAsiaTheme="minorHAnsi" w:hAnsiTheme="minorHAnsi" w:cstheme="minorBidi"/>
          <w:szCs w:val="22"/>
        </w:rPr>
      </w:pPr>
      <w:r w:rsidRPr="0032655B">
        <w:rPr>
          <w:rFonts w:asciiTheme="minorHAnsi" w:eastAsiaTheme="minorHAnsi" w:hAnsiTheme="minorHAnsi" w:cstheme="minorBidi"/>
          <w:szCs w:val="22"/>
        </w:rPr>
        <w:t>The PBAC noted that the sponsor’s offer of $</w:t>
      </w:r>
      <w:r w:rsidR="00162BA8" w:rsidRPr="00162BA8">
        <w:rPr>
          <w:rFonts w:asciiTheme="minorHAnsi" w:eastAsiaTheme="minorHAnsi" w:hAnsiTheme="minorHAnsi" w:cstheme="minorBidi"/>
          <w:color w:val="000000"/>
          <w:w w:val="61"/>
          <w:szCs w:val="22"/>
          <w:shd w:val="solid" w:color="000000" w:fill="000000"/>
          <w:fitText w:val="471" w:id="-593762046"/>
          <w14:textFill>
            <w14:solidFill>
              <w14:srgbClr w14:val="000000">
                <w14:alpha w14:val="100000"/>
              </w14:srgbClr>
            </w14:solidFill>
          </w14:textFill>
        </w:rPr>
        <w:t>||</w:t>
      </w:r>
      <w:proofErr w:type="gramStart"/>
      <w:r w:rsidR="00162BA8" w:rsidRPr="00162BA8">
        <w:rPr>
          <w:rFonts w:asciiTheme="minorHAnsi" w:eastAsiaTheme="minorHAnsi" w:hAnsiTheme="minorHAnsi" w:cstheme="minorBidi"/>
          <w:color w:val="000000"/>
          <w:w w:val="61"/>
          <w:szCs w:val="22"/>
          <w:shd w:val="solid" w:color="000000" w:fill="000000"/>
          <w:fitText w:val="471" w:id="-593762046"/>
          <w14:textFill>
            <w14:solidFill>
              <w14:srgbClr w14:val="000000">
                <w14:alpha w14:val="100000"/>
              </w14:srgbClr>
            </w14:solidFill>
          </w14:textFill>
        </w:rPr>
        <w:t>|  |</w:t>
      </w:r>
      <w:proofErr w:type="gramEnd"/>
      <w:r w:rsidR="00162BA8" w:rsidRPr="00162BA8">
        <w:rPr>
          <w:rFonts w:asciiTheme="minorHAnsi" w:eastAsiaTheme="minorHAnsi" w:hAnsiTheme="minorHAnsi" w:cstheme="minorBidi"/>
          <w:color w:val="000000"/>
          <w:w w:val="61"/>
          <w:szCs w:val="22"/>
          <w:shd w:val="solid" w:color="000000" w:fill="000000"/>
          <w:fitText w:val="471" w:id="-593762046"/>
          <w14:textFill>
            <w14:solidFill>
              <w14:srgbClr w14:val="000000">
                <w14:alpha w14:val="100000"/>
              </w14:srgbClr>
            </w14:solidFill>
          </w14:textFill>
        </w:rPr>
        <w:t>|</w:t>
      </w:r>
      <w:r w:rsidR="00162BA8" w:rsidRPr="00162BA8">
        <w:rPr>
          <w:rFonts w:asciiTheme="minorHAnsi" w:eastAsiaTheme="minorHAnsi" w:hAnsiTheme="minorHAnsi" w:cstheme="minorBidi"/>
          <w:color w:val="000000"/>
          <w:spacing w:val="1"/>
          <w:w w:val="61"/>
          <w:szCs w:val="22"/>
          <w:shd w:val="solid" w:color="000000" w:fill="000000"/>
          <w:fitText w:val="471" w:id="-593762046"/>
          <w14:textFill>
            <w14:solidFill>
              <w14:srgbClr w14:val="000000">
                <w14:alpha w14:val="100000"/>
              </w14:srgbClr>
            </w14:solidFill>
          </w14:textFill>
        </w:rPr>
        <w:t>|</w:t>
      </w:r>
      <w:r w:rsidRPr="0032655B">
        <w:rPr>
          <w:rFonts w:asciiTheme="minorHAnsi" w:eastAsiaTheme="minorHAnsi" w:hAnsiTheme="minorHAnsi" w:cstheme="minorBidi"/>
          <w:szCs w:val="22"/>
        </w:rPr>
        <w:t xml:space="preserve"> represents a </w:t>
      </w:r>
      <w:r w:rsidR="00162BA8" w:rsidRPr="00162BA8">
        <w:rPr>
          <w:rFonts w:asciiTheme="minorHAnsi" w:eastAsiaTheme="minorHAnsi" w:hAnsiTheme="minorHAnsi" w:cstheme="minorBidi"/>
          <w:color w:val="000000"/>
          <w:w w:val="61"/>
          <w:szCs w:val="22"/>
          <w:shd w:val="solid" w:color="000000" w:fill="000000"/>
          <w:fitText w:val="471" w:id="-593762045"/>
          <w14:textFill>
            <w14:solidFill>
              <w14:srgbClr w14:val="000000">
                <w14:alpha w14:val="100000"/>
              </w14:srgbClr>
            </w14:solidFill>
          </w14:textFill>
        </w:rPr>
        <w:t>||</w:t>
      </w:r>
      <w:proofErr w:type="gramStart"/>
      <w:r w:rsidR="00162BA8" w:rsidRPr="00162BA8">
        <w:rPr>
          <w:rFonts w:asciiTheme="minorHAnsi" w:eastAsiaTheme="minorHAnsi" w:hAnsiTheme="minorHAnsi" w:cstheme="minorBidi"/>
          <w:color w:val="000000"/>
          <w:w w:val="61"/>
          <w:szCs w:val="22"/>
          <w:shd w:val="solid" w:color="000000" w:fill="000000"/>
          <w:fitText w:val="471" w:id="-593762045"/>
          <w14:textFill>
            <w14:solidFill>
              <w14:srgbClr w14:val="000000">
                <w14:alpha w14:val="100000"/>
              </w14:srgbClr>
            </w14:solidFill>
          </w14:textFill>
        </w:rPr>
        <w:t>|  |</w:t>
      </w:r>
      <w:proofErr w:type="gramEnd"/>
      <w:r w:rsidR="00162BA8" w:rsidRPr="00162BA8">
        <w:rPr>
          <w:rFonts w:asciiTheme="minorHAnsi" w:eastAsiaTheme="minorHAnsi" w:hAnsiTheme="minorHAnsi" w:cstheme="minorBidi"/>
          <w:color w:val="000000"/>
          <w:w w:val="61"/>
          <w:szCs w:val="22"/>
          <w:shd w:val="solid" w:color="000000" w:fill="000000"/>
          <w:fitText w:val="471" w:id="-593762045"/>
          <w14:textFill>
            <w14:solidFill>
              <w14:srgbClr w14:val="000000">
                <w14:alpha w14:val="100000"/>
              </w14:srgbClr>
            </w14:solidFill>
          </w14:textFill>
        </w:rPr>
        <w:t>|</w:t>
      </w:r>
      <w:r w:rsidR="00162BA8" w:rsidRPr="00162BA8">
        <w:rPr>
          <w:rFonts w:asciiTheme="minorHAnsi" w:eastAsiaTheme="minorHAnsi" w:hAnsiTheme="minorHAnsi" w:cstheme="minorBidi"/>
          <w:color w:val="000000"/>
          <w:spacing w:val="1"/>
          <w:w w:val="61"/>
          <w:szCs w:val="22"/>
          <w:shd w:val="solid" w:color="000000" w:fill="000000"/>
          <w:fitText w:val="471" w:id="-593762045"/>
          <w14:textFill>
            <w14:solidFill>
              <w14:srgbClr w14:val="000000">
                <w14:alpha w14:val="100000"/>
              </w14:srgbClr>
            </w14:solidFill>
          </w14:textFill>
        </w:rPr>
        <w:t>|</w:t>
      </w:r>
      <w:r w:rsidRPr="0032655B">
        <w:rPr>
          <w:rFonts w:asciiTheme="minorHAnsi" w:eastAsiaTheme="minorHAnsi" w:hAnsiTheme="minorHAnsi" w:cstheme="minorBidi"/>
          <w:szCs w:val="22"/>
        </w:rPr>
        <w:t>% premium over a CMA price of $</w:t>
      </w:r>
      <w:r w:rsidR="00162BA8" w:rsidRPr="00162BA8">
        <w:rPr>
          <w:rFonts w:asciiTheme="minorHAnsi" w:eastAsiaTheme="minorHAnsi" w:hAnsiTheme="minorHAnsi" w:cstheme="minorBidi"/>
          <w:color w:val="000000"/>
          <w:w w:val="61"/>
          <w:szCs w:val="22"/>
          <w:shd w:val="solid" w:color="000000" w:fill="000000"/>
          <w:fitText w:val="471" w:id="-593762044"/>
          <w14:textFill>
            <w14:solidFill>
              <w14:srgbClr w14:val="000000">
                <w14:alpha w14:val="100000"/>
              </w14:srgbClr>
            </w14:solidFill>
          </w14:textFill>
        </w:rPr>
        <w:t>||</w:t>
      </w:r>
      <w:proofErr w:type="gramStart"/>
      <w:r w:rsidR="00162BA8" w:rsidRPr="00162BA8">
        <w:rPr>
          <w:rFonts w:asciiTheme="minorHAnsi" w:eastAsiaTheme="minorHAnsi" w:hAnsiTheme="minorHAnsi" w:cstheme="minorBidi"/>
          <w:color w:val="000000"/>
          <w:w w:val="61"/>
          <w:szCs w:val="22"/>
          <w:shd w:val="solid" w:color="000000" w:fill="000000"/>
          <w:fitText w:val="471" w:id="-593762044"/>
          <w14:textFill>
            <w14:solidFill>
              <w14:srgbClr w14:val="000000">
                <w14:alpha w14:val="100000"/>
              </w14:srgbClr>
            </w14:solidFill>
          </w14:textFill>
        </w:rPr>
        <w:t>|  |</w:t>
      </w:r>
      <w:proofErr w:type="gramEnd"/>
      <w:r w:rsidR="00162BA8" w:rsidRPr="00162BA8">
        <w:rPr>
          <w:rFonts w:asciiTheme="minorHAnsi" w:eastAsiaTheme="minorHAnsi" w:hAnsiTheme="minorHAnsi" w:cstheme="minorBidi"/>
          <w:color w:val="000000"/>
          <w:w w:val="61"/>
          <w:szCs w:val="22"/>
          <w:shd w:val="solid" w:color="000000" w:fill="000000"/>
          <w:fitText w:val="471" w:id="-593762044"/>
          <w14:textFill>
            <w14:solidFill>
              <w14:srgbClr w14:val="000000">
                <w14:alpha w14:val="100000"/>
              </w14:srgbClr>
            </w14:solidFill>
          </w14:textFill>
        </w:rPr>
        <w:t>|</w:t>
      </w:r>
      <w:r w:rsidR="00162BA8" w:rsidRPr="00162BA8">
        <w:rPr>
          <w:rFonts w:asciiTheme="minorHAnsi" w:eastAsiaTheme="minorHAnsi" w:hAnsiTheme="minorHAnsi" w:cstheme="minorBidi"/>
          <w:color w:val="000000"/>
          <w:spacing w:val="1"/>
          <w:w w:val="61"/>
          <w:szCs w:val="22"/>
          <w:shd w:val="solid" w:color="000000" w:fill="000000"/>
          <w:fitText w:val="471" w:id="-593762044"/>
          <w14:textFill>
            <w14:solidFill>
              <w14:srgbClr w14:val="000000">
                <w14:alpha w14:val="100000"/>
              </w14:srgbClr>
            </w14:solidFill>
          </w14:textFill>
        </w:rPr>
        <w:t>|</w:t>
      </w:r>
      <w:r w:rsidRPr="0032655B">
        <w:rPr>
          <w:rFonts w:asciiTheme="minorHAnsi" w:eastAsiaTheme="minorHAnsi" w:hAnsiTheme="minorHAnsi" w:cstheme="minorBidi"/>
          <w:szCs w:val="22"/>
        </w:rPr>
        <w:t xml:space="preserve"> (i.e. derived from applying the 1 July 2025 85% MBS Benefit and the mean dose intensities from the MAIVORIC trial).</w:t>
      </w:r>
    </w:p>
    <w:p w14:paraId="78B79946" w14:textId="77777777" w:rsidR="0032655B" w:rsidRPr="0032655B" w:rsidRDefault="0032655B" w:rsidP="0032655B">
      <w:pPr>
        <w:keepNext/>
        <w:keepLines/>
        <w:numPr>
          <w:ilvl w:val="0"/>
          <w:numId w:val="1"/>
        </w:numPr>
        <w:spacing w:before="300" w:after="120"/>
        <w:ind w:left="709" w:hanging="709"/>
        <w:outlineLvl w:val="0"/>
        <w:rPr>
          <w:rFonts w:asciiTheme="minorHAnsi" w:eastAsia="Times New Roman" w:hAnsiTheme="minorHAnsi" w:cstheme="minorBidi"/>
        </w:rPr>
      </w:pPr>
      <w:r w:rsidRPr="0032655B">
        <w:rPr>
          <w:rFonts w:asciiTheme="minorHAnsi" w:eastAsiaTheme="majorEastAsia" w:hAnsiTheme="minorHAnsi" w:cstheme="majorBidi"/>
          <w:b/>
          <w:sz w:val="32"/>
          <w:szCs w:val="28"/>
        </w:rPr>
        <w:t>PBAC Outcome</w:t>
      </w:r>
    </w:p>
    <w:p w14:paraId="367FFE8D" w14:textId="77777777" w:rsidR="0032655B" w:rsidRPr="0032655B" w:rsidRDefault="0032655B" w:rsidP="0032655B">
      <w:pPr>
        <w:numPr>
          <w:ilvl w:val="1"/>
          <w:numId w:val="1"/>
        </w:numPr>
        <w:spacing w:before="120" w:after="120"/>
        <w:rPr>
          <w:rFonts w:asciiTheme="minorHAnsi" w:eastAsiaTheme="minorHAnsi" w:hAnsiTheme="minorHAnsi" w:cstheme="minorBidi"/>
          <w:b/>
          <w:i/>
          <w:iCs/>
          <w:snapToGrid w:val="0"/>
          <w:szCs w:val="22"/>
          <w:lang w:val="en-GB" w:eastAsia="en-US"/>
        </w:rPr>
      </w:pPr>
      <w:r w:rsidRPr="0032655B">
        <w:rPr>
          <w:rFonts w:asciiTheme="minorHAnsi" w:eastAsiaTheme="minorHAnsi" w:hAnsiTheme="minorHAnsi" w:cstheme="minorBidi"/>
          <w:szCs w:val="22"/>
        </w:rPr>
        <w:t xml:space="preserve">The PBAC recalled </w:t>
      </w:r>
      <w:r w:rsidRPr="0032655B">
        <w:rPr>
          <w:rFonts w:asciiTheme="minorHAnsi" w:eastAsiaTheme="minorHAnsi" w:hAnsiTheme="minorHAnsi" w:cstheme="minorHAnsi"/>
          <w:szCs w:val="22"/>
        </w:rPr>
        <w:t xml:space="preserve">its previous advice regarding the high clinical need for alternative therapy options for this rare disease, and its advice that </w:t>
      </w:r>
      <w:r w:rsidRPr="0032655B">
        <w:rPr>
          <w:rFonts w:asciiTheme="minorHAnsi" w:eastAsiaTheme="minorHAnsi" w:hAnsiTheme="minorHAnsi" w:cstheme="minorHAnsi"/>
          <w:bCs/>
          <w:szCs w:val="22"/>
        </w:rPr>
        <w:t xml:space="preserve">mogamulizumab has a unique mechanism of action which would be particularly useful in patients with blood compartment involvement. The PBAC considered that a small premium over the </w:t>
      </w:r>
      <w:r w:rsidRPr="0032655B">
        <w:rPr>
          <w:rFonts w:asciiTheme="minorHAnsi" w:eastAsiaTheme="minorHAnsi" w:hAnsiTheme="minorHAnsi" w:cstheme="minorHAnsi"/>
          <w:bCs/>
          <w:szCs w:val="22"/>
        </w:rPr>
        <w:lastRenderedPageBreak/>
        <w:t>previously recommended CMA was appropriate to reflect the additional benefits that these patients would receive with treatment with mogamulizumab.</w:t>
      </w:r>
    </w:p>
    <w:p w14:paraId="67554541" w14:textId="6FD1B93E" w:rsidR="0032655B" w:rsidRPr="0032655B" w:rsidRDefault="0032655B" w:rsidP="0032655B">
      <w:pPr>
        <w:numPr>
          <w:ilvl w:val="1"/>
          <w:numId w:val="1"/>
        </w:numPr>
        <w:spacing w:before="120" w:after="120"/>
        <w:rPr>
          <w:rFonts w:asciiTheme="minorHAnsi" w:eastAsiaTheme="minorHAnsi" w:hAnsiTheme="minorHAnsi" w:cstheme="minorBidi"/>
          <w:b/>
          <w:i/>
          <w:iCs/>
          <w:snapToGrid w:val="0"/>
          <w:szCs w:val="22"/>
          <w:lang w:val="en-GB" w:eastAsia="en-US"/>
        </w:rPr>
      </w:pPr>
      <w:r w:rsidRPr="0032655B">
        <w:rPr>
          <w:rFonts w:asciiTheme="minorHAnsi" w:eastAsiaTheme="minorHAnsi" w:hAnsiTheme="minorHAnsi" w:cstheme="minorHAnsi"/>
          <w:bCs/>
          <w:szCs w:val="22"/>
        </w:rPr>
        <w:t>Therefore, the PBAC advised that mogamulizumab would be acceptably cost-effective at the price in the sponsor’s post-PBAC proposal</w:t>
      </w:r>
      <w:r w:rsidRPr="0032655B">
        <w:rPr>
          <w:rFonts w:asciiTheme="minorHAnsi" w:eastAsiaTheme="minorHAnsi" w:hAnsiTheme="minorHAnsi" w:cstheme="minorBidi"/>
          <w:bCs/>
          <w:snapToGrid w:val="0"/>
          <w:szCs w:val="22"/>
          <w:lang w:val="en-GB" w:eastAsia="en-US"/>
        </w:rPr>
        <w:t>.</w:t>
      </w:r>
    </w:p>
    <w:p w14:paraId="4D4ECD3E" w14:textId="77777777" w:rsidR="0032655B" w:rsidRPr="0032655B" w:rsidRDefault="0032655B" w:rsidP="0032655B">
      <w:pPr>
        <w:spacing w:before="240"/>
        <w:rPr>
          <w:rFonts w:asciiTheme="minorHAnsi" w:eastAsia="Times New Roman" w:hAnsiTheme="minorHAnsi"/>
          <w:b/>
          <w:bCs/>
          <w:snapToGrid w:val="0"/>
          <w:lang w:val="en-GB"/>
        </w:rPr>
      </w:pPr>
      <w:r w:rsidRPr="0032655B">
        <w:rPr>
          <w:rFonts w:asciiTheme="minorHAnsi" w:eastAsia="Times New Roman" w:hAnsiTheme="minorHAnsi"/>
          <w:b/>
          <w:bCs/>
          <w:snapToGrid w:val="0"/>
          <w:lang w:val="en-GB"/>
        </w:rPr>
        <w:t>Outcome:</w:t>
      </w:r>
    </w:p>
    <w:p w14:paraId="43A4DA79" w14:textId="2AB02FE9" w:rsidR="008E20EF" w:rsidRPr="008E20EF" w:rsidRDefault="0032655B" w:rsidP="0032655B">
      <w:pPr>
        <w:jc w:val="left"/>
      </w:pPr>
      <w:r w:rsidRPr="0032655B">
        <w:rPr>
          <w:rFonts w:asciiTheme="minorHAnsi" w:eastAsia="Times New Roman" w:hAnsiTheme="minorHAnsi"/>
          <w:bCs/>
          <w:snapToGrid w:val="0"/>
          <w:lang w:val="en-GB"/>
        </w:rPr>
        <w:t>Advice Provi</w:t>
      </w:r>
      <w:r w:rsidR="00AD5C51">
        <w:rPr>
          <w:rFonts w:asciiTheme="minorHAnsi" w:eastAsia="Times New Roman" w:hAnsiTheme="minorHAnsi"/>
          <w:bCs/>
          <w:snapToGrid w:val="0"/>
          <w:lang w:val="en-GB"/>
        </w:rPr>
        <w:t>ded</w:t>
      </w:r>
    </w:p>
    <w:p w14:paraId="6775F569" w14:textId="77777777" w:rsidR="00125621" w:rsidRPr="00125621" w:rsidRDefault="00125621" w:rsidP="00125621">
      <w:pPr>
        <w:keepNext/>
        <w:keepLines/>
        <w:numPr>
          <w:ilvl w:val="0"/>
          <w:numId w:val="1"/>
        </w:numPr>
        <w:spacing w:before="300" w:after="120"/>
        <w:ind w:left="709" w:hanging="709"/>
        <w:outlineLvl w:val="0"/>
        <w:rPr>
          <w:rFonts w:eastAsia="Times New Roman"/>
          <w:b/>
          <w:bCs/>
          <w:snapToGrid w:val="0"/>
          <w:sz w:val="32"/>
          <w:szCs w:val="32"/>
        </w:rPr>
      </w:pPr>
      <w:r w:rsidRPr="00125621">
        <w:rPr>
          <w:rFonts w:eastAsia="Times New Roman"/>
          <w:b/>
          <w:snapToGrid w:val="0"/>
          <w:sz w:val="32"/>
          <w:szCs w:val="32"/>
        </w:rPr>
        <w:t>Context for Decision</w:t>
      </w:r>
    </w:p>
    <w:p w14:paraId="3354A8D1" w14:textId="77777777" w:rsidR="00125621" w:rsidRPr="00125621" w:rsidRDefault="00125621" w:rsidP="00125621">
      <w:pPr>
        <w:spacing w:after="120"/>
        <w:ind w:left="720"/>
        <w:rPr>
          <w:rFonts w:eastAsia="Times New Roman"/>
          <w:bCs/>
        </w:rPr>
      </w:pPr>
      <w:r w:rsidRPr="00125621">
        <w:rPr>
          <w:rFonts w:eastAsia="Times New Roman"/>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1DD3470" w14:textId="77777777" w:rsidR="00125621" w:rsidRPr="00125621" w:rsidRDefault="00125621" w:rsidP="00125621">
      <w:pPr>
        <w:keepNext/>
        <w:keepLines/>
        <w:numPr>
          <w:ilvl w:val="0"/>
          <w:numId w:val="1"/>
        </w:numPr>
        <w:spacing w:before="300" w:after="120"/>
        <w:ind w:left="709" w:hanging="709"/>
        <w:outlineLvl w:val="0"/>
        <w:rPr>
          <w:rFonts w:eastAsia="Times New Roman"/>
          <w:b/>
          <w:snapToGrid w:val="0"/>
          <w:sz w:val="32"/>
          <w:szCs w:val="32"/>
        </w:rPr>
      </w:pPr>
      <w:r w:rsidRPr="00125621">
        <w:rPr>
          <w:rFonts w:eastAsia="Times New Roman"/>
          <w:b/>
          <w:snapToGrid w:val="0"/>
          <w:sz w:val="32"/>
          <w:szCs w:val="32"/>
        </w:rPr>
        <w:t>Sponsor’s Comment</w:t>
      </w:r>
    </w:p>
    <w:p w14:paraId="68E2F38F" w14:textId="010E0ED0" w:rsidR="008E20EF" w:rsidRPr="008252BB" w:rsidRDefault="00125621" w:rsidP="002878CA">
      <w:pPr>
        <w:spacing w:after="120"/>
        <w:ind w:left="720"/>
        <w:rPr>
          <w:rFonts w:asciiTheme="minorHAnsi" w:hAnsiTheme="minorHAnsi"/>
          <w:b/>
          <w:i/>
          <w:iCs/>
          <w:snapToGrid w:val="0"/>
          <w:lang w:val="en-GB" w:eastAsia="en-US"/>
        </w:rPr>
      </w:pPr>
      <w:r w:rsidRPr="00125621">
        <w:rPr>
          <w:rFonts w:eastAsia="Times New Roman"/>
          <w:bCs/>
        </w:rPr>
        <w:t>The sponsor had no comment.</w:t>
      </w:r>
    </w:p>
    <w:sectPr w:rsidR="008E20EF" w:rsidRPr="008252BB" w:rsidSect="00E903DD">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CD97" w14:textId="77777777" w:rsidR="00455CCB" w:rsidRDefault="00455CCB" w:rsidP="00124A51">
      <w:r>
        <w:separator/>
      </w:r>
    </w:p>
    <w:p w14:paraId="1A11EBFB" w14:textId="77777777" w:rsidR="00455CCB" w:rsidRDefault="00455CCB"/>
  </w:endnote>
  <w:endnote w:type="continuationSeparator" w:id="0">
    <w:p w14:paraId="7C50B2E4" w14:textId="77777777" w:rsidR="00455CCB" w:rsidRDefault="00455CCB" w:rsidP="00124A51">
      <w:r>
        <w:continuationSeparator/>
      </w:r>
    </w:p>
    <w:p w14:paraId="3EEBC931" w14:textId="77777777" w:rsidR="00455CCB" w:rsidRDefault="00455CCB"/>
  </w:endnote>
  <w:endnote w:type="continuationNotice" w:id="1">
    <w:p w14:paraId="62CB3D4D" w14:textId="77777777" w:rsidR="00455CCB" w:rsidRDefault="00455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8C43" w14:textId="13E349B2" w:rsidR="00A80A9D" w:rsidRDefault="00CA366C">
    <w:pPr>
      <w:pStyle w:val="Footer"/>
    </w:pPr>
    <w:r>
      <w:rPr>
        <w:noProof/>
      </w:rPr>
      <mc:AlternateContent>
        <mc:Choice Requires="wps">
          <w:drawing>
            <wp:anchor distT="0" distB="0" distL="0" distR="0" simplePos="0" relativeHeight="251658244" behindDoc="0" locked="0" layoutInCell="1" allowOverlap="1" wp14:anchorId="118EE8AA" wp14:editId="7319D055">
              <wp:simplePos x="635" y="635"/>
              <wp:positionH relativeFrom="page">
                <wp:align>center</wp:align>
              </wp:positionH>
              <wp:positionV relativeFrom="page">
                <wp:align>bottom</wp:align>
              </wp:positionV>
              <wp:extent cx="622300" cy="376555"/>
              <wp:effectExtent l="0" t="0" r="6350" b="0"/>
              <wp:wrapNone/>
              <wp:docPr id="12634152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FB7B01" w14:textId="78AA8ED5"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EE8A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6FB7B01" w14:textId="78AA8ED5"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3B08BEC" w:rsidR="00880B7A" w:rsidRDefault="00CA366C" w:rsidP="00753B29">
    <w:pPr>
      <w:pStyle w:val="Footer"/>
      <w:jc w:val="center"/>
    </w:pPr>
    <w:r>
      <w:rPr>
        <w:noProof/>
      </w:rPr>
      <mc:AlternateContent>
        <mc:Choice Requires="wps">
          <w:drawing>
            <wp:anchor distT="0" distB="0" distL="0" distR="0" simplePos="0" relativeHeight="251658245" behindDoc="0" locked="0" layoutInCell="1" allowOverlap="1" wp14:anchorId="06F4CD48" wp14:editId="6348C584">
              <wp:simplePos x="635" y="635"/>
              <wp:positionH relativeFrom="page">
                <wp:align>center</wp:align>
              </wp:positionH>
              <wp:positionV relativeFrom="page">
                <wp:align>bottom</wp:align>
              </wp:positionV>
              <wp:extent cx="622300" cy="376555"/>
              <wp:effectExtent l="0" t="0" r="6350" b="0"/>
              <wp:wrapNone/>
              <wp:docPr id="19864410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C6C22A" w14:textId="6E1391E8"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4CD48"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2C6C22A" w14:textId="6E1391E8"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v:textbox>
              <w10:wrap anchorx="page" anchory="page"/>
            </v:shape>
          </w:pict>
        </mc:Fallback>
      </mc:AlternateContent>
    </w:r>
  </w:p>
  <w:p w14:paraId="37484CD3" w14:textId="5E796508" w:rsidR="00880B7A" w:rsidRPr="007C1CD9" w:rsidRDefault="00260D3C" w:rsidP="006028D3">
    <w:pPr>
      <w:pStyle w:val="PageFooter"/>
    </w:pPr>
    <w:sdt>
      <w:sdtPr>
        <w:id w:val="1036156457"/>
        <w:docPartObj>
          <w:docPartGallery w:val="Page Numbers (Bottom of Page)"/>
          <w:docPartUnique/>
        </w:docPartObj>
      </w:sdtPr>
      <w:sdtEndPr>
        <w:rPr>
          <w:noProof/>
        </w:rPr>
      </w:sdtEndPr>
      <w:sdtContent>
        <w:r w:rsidR="00880B7A">
          <w:fldChar w:fldCharType="begin"/>
        </w:r>
        <w:r w:rsidR="00880B7A">
          <w:instrText xml:space="preserve"> PAGE   \* MERGEFORMAT </w:instrText>
        </w:r>
        <w:r w:rsidR="00880B7A">
          <w:fldChar w:fldCharType="separate"/>
        </w:r>
        <w:r w:rsidR="00880B7A">
          <w:rPr>
            <w:noProof/>
          </w:rPr>
          <w:t>2</w:t>
        </w:r>
        <w:r w:rsidR="00880B7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C94A" w14:textId="59ACA356" w:rsidR="00A80A9D" w:rsidRDefault="00CA366C">
    <w:pPr>
      <w:pStyle w:val="Footer"/>
    </w:pPr>
    <w:r>
      <w:rPr>
        <w:noProof/>
      </w:rPr>
      <mc:AlternateContent>
        <mc:Choice Requires="wps">
          <w:drawing>
            <wp:anchor distT="0" distB="0" distL="0" distR="0" simplePos="0" relativeHeight="251658243" behindDoc="0" locked="0" layoutInCell="1" allowOverlap="1" wp14:anchorId="4F03065D" wp14:editId="4DCF8A14">
              <wp:simplePos x="635" y="635"/>
              <wp:positionH relativeFrom="page">
                <wp:align>center</wp:align>
              </wp:positionH>
              <wp:positionV relativeFrom="page">
                <wp:align>bottom</wp:align>
              </wp:positionV>
              <wp:extent cx="622300" cy="376555"/>
              <wp:effectExtent l="0" t="0" r="6350" b="0"/>
              <wp:wrapNone/>
              <wp:docPr id="8044077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219FAF" w14:textId="7DF7D97B"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3065D"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D219FAF" w14:textId="7DF7D97B"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D6D8" w14:textId="77777777" w:rsidR="00455CCB" w:rsidRDefault="00455CCB" w:rsidP="00124A51">
      <w:r>
        <w:separator/>
      </w:r>
    </w:p>
    <w:p w14:paraId="2CEFE527" w14:textId="77777777" w:rsidR="00455CCB" w:rsidRDefault="00455CCB"/>
  </w:footnote>
  <w:footnote w:type="continuationSeparator" w:id="0">
    <w:p w14:paraId="72098AF0" w14:textId="77777777" w:rsidR="00455CCB" w:rsidRDefault="00455CCB" w:rsidP="00124A51">
      <w:r>
        <w:continuationSeparator/>
      </w:r>
    </w:p>
    <w:p w14:paraId="732404B5" w14:textId="77777777" w:rsidR="00455CCB" w:rsidRDefault="00455CCB"/>
  </w:footnote>
  <w:footnote w:type="continuationNotice" w:id="1">
    <w:p w14:paraId="65A00683" w14:textId="77777777" w:rsidR="00455CCB" w:rsidRDefault="00455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C11" w14:textId="315C5882" w:rsidR="00A80A9D" w:rsidRDefault="00CA366C">
    <w:pPr>
      <w:pStyle w:val="Header"/>
    </w:pPr>
    <w:r>
      <w:rPr>
        <w:noProof/>
      </w:rPr>
      <mc:AlternateContent>
        <mc:Choice Requires="wps">
          <w:drawing>
            <wp:anchor distT="0" distB="0" distL="0" distR="0" simplePos="0" relativeHeight="251658241" behindDoc="0" locked="0" layoutInCell="1" allowOverlap="1" wp14:anchorId="3EBC47F9" wp14:editId="7CEABDB8">
              <wp:simplePos x="635" y="635"/>
              <wp:positionH relativeFrom="page">
                <wp:align>center</wp:align>
              </wp:positionH>
              <wp:positionV relativeFrom="page">
                <wp:align>top</wp:align>
              </wp:positionV>
              <wp:extent cx="622300" cy="376555"/>
              <wp:effectExtent l="0" t="0" r="6350" b="4445"/>
              <wp:wrapNone/>
              <wp:docPr id="14302982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8D7BA9" w14:textId="1CCDB726"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C47F9"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8D7BA9" w14:textId="1CCDB726"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4D6FA46" w:rsidR="00880B7A" w:rsidRPr="00C765A3" w:rsidRDefault="00CA366C" w:rsidP="00C765A3">
    <w:pPr>
      <w:pStyle w:val="Header"/>
      <w:rPr>
        <w:rFonts w:asciiTheme="minorHAnsi" w:hAnsiTheme="minorHAnsi"/>
        <w:color w:val="808080"/>
      </w:rPr>
    </w:pPr>
    <w:r>
      <w:rPr>
        <w:rFonts w:asciiTheme="minorHAnsi" w:hAnsiTheme="minorHAnsi" w:cstheme="minorHAnsi"/>
        <w:noProof/>
        <w:color w:val="808080"/>
      </w:rPr>
      <mc:AlternateContent>
        <mc:Choice Requires="wps">
          <w:drawing>
            <wp:anchor distT="0" distB="0" distL="0" distR="0" simplePos="0" relativeHeight="251658242" behindDoc="0" locked="0" layoutInCell="1" allowOverlap="1" wp14:anchorId="264C2E97" wp14:editId="227C2946">
              <wp:simplePos x="635" y="635"/>
              <wp:positionH relativeFrom="page">
                <wp:align>center</wp:align>
              </wp:positionH>
              <wp:positionV relativeFrom="page">
                <wp:align>top</wp:align>
              </wp:positionV>
              <wp:extent cx="622300" cy="376555"/>
              <wp:effectExtent l="0" t="0" r="6350" b="4445"/>
              <wp:wrapNone/>
              <wp:docPr id="2002566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1B4349" w14:textId="3FF13058"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C2E9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B1B4349" w14:textId="3FF13058"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v:textbox>
              <w10:wrap anchorx="page" anchory="page"/>
            </v:shape>
          </w:pict>
        </mc:Fallback>
      </mc:AlternateContent>
    </w:r>
    <w:r w:rsidR="00F057D4" w:rsidRPr="00F057D4">
      <w:rPr>
        <w:rFonts w:asciiTheme="minorHAnsi" w:hAnsiTheme="minorHAnsi" w:cstheme="minorHAnsi"/>
        <w:color w:val="808080"/>
      </w:rPr>
      <w:t xml:space="preserve">Public Summary Document </w:t>
    </w:r>
    <w:r w:rsidR="00C765A3">
      <w:rPr>
        <w:rFonts w:asciiTheme="minorHAnsi" w:hAnsiTheme="minorHAnsi"/>
        <w:color w:val="808080"/>
      </w:rPr>
      <w:t xml:space="preserve">– </w:t>
    </w:r>
    <w:r w:rsidR="00B24627">
      <w:rPr>
        <w:rFonts w:asciiTheme="minorHAnsi" w:hAnsiTheme="minorHAnsi"/>
        <w:color w:val="808080"/>
      </w:rPr>
      <w:t>March 2025</w:t>
    </w:r>
    <w:r w:rsidR="00880B7A">
      <w:rPr>
        <w:rFonts w:asciiTheme="minorHAnsi" w:hAnsiTheme="minorHAnsi"/>
        <w:color w:val="808080"/>
      </w:rPr>
      <w:t xml:space="preserve"> </w:t>
    </w:r>
    <w:r w:rsidR="00880B7A" w:rsidRPr="00195452">
      <w:rPr>
        <w:rFonts w:asciiTheme="minorHAnsi" w:hAnsiTheme="minorHAnsi"/>
        <w:color w:val="808080"/>
      </w:rPr>
      <w:t>PBAC Meeting</w:t>
    </w:r>
    <w:r w:rsidR="00792107" w:rsidRPr="00792107">
      <w:rPr>
        <w:rFonts w:asciiTheme="minorHAnsi" w:eastAsia="Times New Roman" w:hAnsiTheme="minorHAnsi"/>
        <w:i w:val="0"/>
        <w:iCs w:val="0"/>
        <w:color w:val="808080"/>
      </w:rPr>
      <w:t xml:space="preserve"> </w:t>
    </w:r>
    <w:r w:rsidR="00792107" w:rsidRPr="00792107">
      <w:rPr>
        <w:rFonts w:asciiTheme="minorHAnsi" w:hAnsiTheme="minorHAnsi"/>
        <w:color w:val="808080"/>
      </w:rPr>
      <w:t>with September 2025 Addendum</w:t>
    </w:r>
  </w:p>
  <w:p w14:paraId="03AF943B" w14:textId="77777777" w:rsidR="00DD2D80" w:rsidRDefault="00DD2D80" w:rsidP="008252BB">
    <w:pPr>
      <w:tabs>
        <w:tab w:val="center" w:pos="4513"/>
        <w:tab w:val="right" w:pos="9026"/>
      </w:tabs>
      <w:contextual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57F" w14:textId="71374329" w:rsidR="00A80A9D" w:rsidRDefault="00CA366C">
    <w:pPr>
      <w:pStyle w:val="Header"/>
    </w:pPr>
    <w:r>
      <w:rPr>
        <w:noProof/>
      </w:rPr>
      <mc:AlternateContent>
        <mc:Choice Requires="wps">
          <w:drawing>
            <wp:anchor distT="0" distB="0" distL="0" distR="0" simplePos="0" relativeHeight="251658240" behindDoc="0" locked="0" layoutInCell="1" allowOverlap="1" wp14:anchorId="701869A9" wp14:editId="5931AAC0">
              <wp:simplePos x="635" y="635"/>
              <wp:positionH relativeFrom="page">
                <wp:align>center</wp:align>
              </wp:positionH>
              <wp:positionV relativeFrom="page">
                <wp:align>top</wp:align>
              </wp:positionV>
              <wp:extent cx="622300" cy="376555"/>
              <wp:effectExtent l="0" t="0" r="6350" b="4445"/>
              <wp:wrapNone/>
              <wp:docPr id="2143093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AC9059" w14:textId="5F2A680B"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869A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8AC9059" w14:textId="5F2A680B" w:rsidR="00CA366C" w:rsidRPr="00CA366C" w:rsidRDefault="00CA366C" w:rsidP="00CA366C">
                    <w:pPr>
                      <w:rPr>
                        <w:rFonts w:ascii="Aptos" w:eastAsia="Aptos" w:hAnsi="Aptos" w:cs="Aptos"/>
                        <w:noProof/>
                        <w:color w:val="FF0000"/>
                      </w:rPr>
                    </w:pPr>
                    <w:r w:rsidRPr="00CA366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F078C"/>
    <w:multiLevelType w:val="hybridMultilevel"/>
    <w:tmpl w:val="8C10CFBA"/>
    <w:lvl w:ilvl="0" w:tplc="0C4E4756">
      <w:start w:val="1"/>
      <w:numFmt w:val="lowerLetter"/>
      <w:pStyle w:val="NormalLetter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851AB"/>
    <w:multiLevelType w:val="hybridMultilevel"/>
    <w:tmpl w:val="7D78C8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32005"/>
    <w:multiLevelType w:val="hybridMultilevel"/>
    <w:tmpl w:val="EB1AC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45B48"/>
    <w:multiLevelType w:val="hybridMultilevel"/>
    <w:tmpl w:val="6002A9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99139E"/>
    <w:multiLevelType w:val="hybridMultilevel"/>
    <w:tmpl w:val="7D6C16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77296D"/>
    <w:multiLevelType w:val="hybridMultilevel"/>
    <w:tmpl w:val="E3107EAA"/>
    <w:lvl w:ilvl="0" w:tplc="0C09000F">
      <w:start w:val="1"/>
      <w:numFmt w:val="decimal"/>
      <w:lvlText w:val="%1."/>
      <w:lvlJc w:val="left"/>
      <w:pPr>
        <w:ind w:left="360" w:hanging="360"/>
      </w:pPr>
    </w:lvl>
    <w:lvl w:ilvl="1" w:tplc="F4B682E0">
      <w:start w:val="1"/>
      <w:numFmt w:val="decimal"/>
      <w:lvlText w:val="%2."/>
      <w:lvlJc w:val="left"/>
      <w:pPr>
        <w:ind w:left="1080" w:hanging="360"/>
      </w:pPr>
      <w:rPr>
        <w:rFonts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FB1C0B"/>
    <w:multiLevelType w:val="hybridMultilevel"/>
    <w:tmpl w:val="324CFEEA"/>
    <w:lvl w:ilvl="0" w:tplc="F05CC23E">
      <w:start w:val="1"/>
      <w:numFmt w:val="bullet"/>
      <w:lvlText w:val=""/>
      <w:lvlJc w:val="left"/>
      <w:pPr>
        <w:ind w:left="720" w:hanging="360"/>
      </w:pPr>
      <w:rPr>
        <w:rFonts w:ascii="Symbol" w:hAnsi="Symbol"/>
      </w:rPr>
    </w:lvl>
    <w:lvl w:ilvl="1" w:tplc="6F16FF60">
      <w:start w:val="1"/>
      <w:numFmt w:val="bullet"/>
      <w:lvlText w:val=""/>
      <w:lvlJc w:val="left"/>
      <w:pPr>
        <w:ind w:left="720" w:hanging="360"/>
      </w:pPr>
      <w:rPr>
        <w:rFonts w:ascii="Symbol" w:hAnsi="Symbol"/>
      </w:rPr>
    </w:lvl>
    <w:lvl w:ilvl="2" w:tplc="AF02543C">
      <w:start w:val="1"/>
      <w:numFmt w:val="bullet"/>
      <w:lvlText w:val=""/>
      <w:lvlJc w:val="left"/>
      <w:pPr>
        <w:ind w:left="720" w:hanging="360"/>
      </w:pPr>
      <w:rPr>
        <w:rFonts w:ascii="Symbol" w:hAnsi="Symbol"/>
      </w:rPr>
    </w:lvl>
    <w:lvl w:ilvl="3" w:tplc="EA14BC56">
      <w:start w:val="1"/>
      <w:numFmt w:val="bullet"/>
      <w:lvlText w:val=""/>
      <w:lvlJc w:val="left"/>
      <w:pPr>
        <w:ind w:left="720" w:hanging="360"/>
      </w:pPr>
      <w:rPr>
        <w:rFonts w:ascii="Symbol" w:hAnsi="Symbol"/>
      </w:rPr>
    </w:lvl>
    <w:lvl w:ilvl="4" w:tplc="E61EB810">
      <w:start w:val="1"/>
      <w:numFmt w:val="bullet"/>
      <w:lvlText w:val=""/>
      <w:lvlJc w:val="left"/>
      <w:pPr>
        <w:ind w:left="720" w:hanging="360"/>
      </w:pPr>
      <w:rPr>
        <w:rFonts w:ascii="Symbol" w:hAnsi="Symbol"/>
      </w:rPr>
    </w:lvl>
    <w:lvl w:ilvl="5" w:tplc="CC06BA12">
      <w:start w:val="1"/>
      <w:numFmt w:val="bullet"/>
      <w:lvlText w:val=""/>
      <w:lvlJc w:val="left"/>
      <w:pPr>
        <w:ind w:left="720" w:hanging="360"/>
      </w:pPr>
      <w:rPr>
        <w:rFonts w:ascii="Symbol" w:hAnsi="Symbol"/>
      </w:rPr>
    </w:lvl>
    <w:lvl w:ilvl="6" w:tplc="E76A69B2">
      <w:start w:val="1"/>
      <w:numFmt w:val="bullet"/>
      <w:lvlText w:val=""/>
      <w:lvlJc w:val="left"/>
      <w:pPr>
        <w:ind w:left="720" w:hanging="360"/>
      </w:pPr>
      <w:rPr>
        <w:rFonts w:ascii="Symbol" w:hAnsi="Symbol"/>
      </w:rPr>
    </w:lvl>
    <w:lvl w:ilvl="7" w:tplc="30B29E6C">
      <w:start w:val="1"/>
      <w:numFmt w:val="bullet"/>
      <w:lvlText w:val=""/>
      <w:lvlJc w:val="left"/>
      <w:pPr>
        <w:ind w:left="720" w:hanging="360"/>
      </w:pPr>
      <w:rPr>
        <w:rFonts w:ascii="Symbol" w:hAnsi="Symbol"/>
      </w:rPr>
    </w:lvl>
    <w:lvl w:ilvl="8" w:tplc="38625096">
      <w:start w:val="1"/>
      <w:numFmt w:val="bullet"/>
      <w:lvlText w:val=""/>
      <w:lvlJc w:val="left"/>
      <w:pPr>
        <w:ind w:left="720" w:hanging="360"/>
      </w:pPr>
      <w:rPr>
        <w:rFonts w:ascii="Symbol" w:hAnsi="Symbol"/>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292EB4"/>
    <w:multiLevelType w:val="hybridMultilevel"/>
    <w:tmpl w:val="CB865334"/>
    <w:lvl w:ilvl="0" w:tplc="7C5EB336">
      <w:start w:val="1"/>
      <w:numFmt w:val="bullet"/>
      <w:lvlText w:val=""/>
      <w:lvlJc w:val="left"/>
      <w:pPr>
        <w:ind w:left="720" w:hanging="360"/>
      </w:pPr>
      <w:rPr>
        <w:rFonts w:ascii="Symbol" w:hAnsi="Symbol"/>
      </w:rPr>
    </w:lvl>
    <w:lvl w:ilvl="1" w:tplc="B9C2001A">
      <w:start w:val="1"/>
      <w:numFmt w:val="bullet"/>
      <w:lvlText w:val=""/>
      <w:lvlJc w:val="left"/>
      <w:pPr>
        <w:ind w:left="720" w:hanging="360"/>
      </w:pPr>
      <w:rPr>
        <w:rFonts w:ascii="Symbol" w:hAnsi="Symbol"/>
      </w:rPr>
    </w:lvl>
    <w:lvl w:ilvl="2" w:tplc="4BD0FC96">
      <w:start w:val="1"/>
      <w:numFmt w:val="bullet"/>
      <w:lvlText w:val=""/>
      <w:lvlJc w:val="left"/>
      <w:pPr>
        <w:ind w:left="720" w:hanging="360"/>
      </w:pPr>
      <w:rPr>
        <w:rFonts w:ascii="Symbol" w:hAnsi="Symbol"/>
      </w:rPr>
    </w:lvl>
    <w:lvl w:ilvl="3" w:tplc="A3D81132">
      <w:start w:val="1"/>
      <w:numFmt w:val="bullet"/>
      <w:lvlText w:val=""/>
      <w:lvlJc w:val="left"/>
      <w:pPr>
        <w:ind w:left="720" w:hanging="360"/>
      </w:pPr>
      <w:rPr>
        <w:rFonts w:ascii="Symbol" w:hAnsi="Symbol"/>
      </w:rPr>
    </w:lvl>
    <w:lvl w:ilvl="4" w:tplc="F7B8F9E2">
      <w:start w:val="1"/>
      <w:numFmt w:val="bullet"/>
      <w:lvlText w:val=""/>
      <w:lvlJc w:val="left"/>
      <w:pPr>
        <w:ind w:left="720" w:hanging="360"/>
      </w:pPr>
      <w:rPr>
        <w:rFonts w:ascii="Symbol" w:hAnsi="Symbol"/>
      </w:rPr>
    </w:lvl>
    <w:lvl w:ilvl="5" w:tplc="01F8E52C">
      <w:start w:val="1"/>
      <w:numFmt w:val="bullet"/>
      <w:lvlText w:val=""/>
      <w:lvlJc w:val="left"/>
      <w:pPr>
        <w:ind w:left="720" w:hanging="360"/>
      </w:pPr>
      <w:rPr>
        <w:rFonts w:ascii="Symbol" w:hAnsi="Symbol"/>
      </w:rPr>
    </w:lvl>
    <w:lvl w:ilvl="6" w:tplc="4DF66642">
      <w:start w:val="1"/>
      <w:numFmt w:val="bullet"/>
      <w:lvlText w:val=""/>
      <w:lvlJc w:val="left"/>
      <w:pPr>
        <w:ind w:left="720" w:hanging="360"/>
      </w:pPr>
      <w:rPr>
        <w:rFonts w:ascii="Symbol" w:hAnsi="Symbol"/>
      </w:rPr>
    </w:lvl>
    <w:lvl w:ilvl="7" w:tplc="6A62B4F6">
      <w:start w:val="1"/>
      <w:numFmt w:val="bullet"/>
      <w:lvlText w:val=""/>
      <w:lvlJc w:val="left"/>
      <w:pPr>
        <w:ind w:left="720" w:hanging="360"/>
      </w:pPr>
      <w:rPr>
        <w:rFonts w:ascii="Symbol" w:hAnsi="Symbol"/>
      </w:rPr>
    </w:lvl>
    <w:lvl w:ilvl="8" w:tplc="AF480588">
      <w:start w:val="1"/>
      <w:numFmt w:val="bullet"/>
      <w:lvlText w:val=""/>
      <w:lvlJc w:val="left"/>
      <w:pPr>
        <w:ind w:left="720" w:hanging="360"/>
      </w:pPr>
      <w:rPr>
        <w:rFonts w:ascii="Symbol" w:hAnsi="Symbol"/>
      </w:rPr>
    </w:lvl>
  </w:abstractNum>
  <w:abstractNum w:abstractNumId="15" w15:restartNumberingAfterBreak="0">
    <w:nsid w:val="3229169D"/>
    <w:multiLevelType w:val="hybridMultilevel"/>
    <w:tmpl w:val="517429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5B21BE2"/>
    <w:multiLevelType w:val="hybridMultilevel"/>
    <w:tmpl w:val="C0EE0EA4"/>
    <w:lvl w:ilvl="0" w:tplc="2F98436C">
      <w:start w:val="1"/>
      <w:numFmt w:val="bullet"/>
      <w:lvlText w:val=""/>
      <w:lvlJc w:val="left"/>
      <w:pPr>
        <w:ind w:left="720" w:hanging="360"/>
      </w:pPr>
      <w:rPr>
        <w:rFonts w:ascii="Symbol" w:hAnsi="Symbol"/>
      </w:rPr>
    </w:lvl>
    <w:lvl w:ilvl="1" w:tplc="E33C3AEC">
      <w:start w:val="1"/>
      <w:numFmt w:val="bullet"/>
      <w:lvlText w:val=""/>
      <w:lvlJc w:val="left"/>
      <w:pPr>
        <w:ind w:left="720" w:hanging="360"/>
      </w:pPr>
      <w:rPr>
        <w:rFonts w:ascii="Symbol" w:hAnsi="Symbol"/>
      </w:rPr>
    </w:lvl>
    <w:lvl w:ilvl="2" w:tplc="D71AA270">
      <w:start w:val="1"/>
      <w:numFmt w:val="bullet"/>
      <w:lvlText w:val=""/>
      <w:lvlJc w:val="left"/>
      <w:pPr>
        <w:ind w:left="720" w:hanging="360"/>
      </w:pPr>
      <w:rPr>
        <w:rFonts w:ascii="Symbol" w:hAnsi="Symbol"/>
      </w:rPr>
    </w:lvl>
    <w:lvl w:ilvl="3" w:tplc="50682C9A">
      <w:start w:val="1"/>
      <w:numFmt w:val="bullet"/>
      <w:lvlText w:val=""/>
      <w:lvlJc w:val="left"/>
      <w:pPr>
        <w:ind w:left="720" w:hanging="360"/>
      </w:pPr>
      <w:rPr>
        <w:rFonts w:ascii="Symbol" w:hAnsi="Symbol"/>
      </w:rPr>
    </w:lvl>
    <w:lvl w:ilvl="4" w:tplc="991A1ADC">
      <w:start w:val="1"/>
      <w:numFmt w:val="bullet"/>
      <w:lvlText w:val=""/>
      <w:lvlJc w:val="left"/>
      <w:pPr>
        <w:ind w:left="720" w:hanging="360"/>
      </w:pPr>
      <w:rPr>
        <w:rFonts w:ascii="Symbol" w:hAnsi="Symbol"/>
      </w:rPr>
    </w:lvl>
    <w:lvl w:ilvl="5" w:tplc="E6387A1A">
      <w:start w:val="1"/>
      <w:numFmt w:val="bullet"/>
      <w:lvlText w:val=""/>
      <w:lvlJc w:val="left"/>
      <w:pPr>
        <w:ind w:left="720" w:hanging="360"/>
      </w:pPr>
      <w:rPr>
        <w:rFonts w:ascii="Symbol" w:hAnsi="Symbol"/>
      </w:rPr>
    </w:lvl>
    <w:lvl w:ilvl="6" w:tplc="CA3626B0">
      <w:start w:val="1"/>
      <w:numFmt w:val="bullet"/>
      <w:lvlText w:val=""/>
      <w:lvlJc w:val="left"/>
      <w:pPr>
        <w:ind w:left="720" w:hanging="360"/>
      </w:pPr>
      <w:rPr>
        <w:rFonts w:ascii="Symbol" w:hAnsi="Symbol"/>
      </w:rPr>
    </w:lvl>
    <w:lvl w:ilvl="7" w:tplc="A98CF35C">
      <w:start w:val="1"/>
      <w:numFmt w:val="bullet"/>
      <w:lvlText w:val=""/>
      <w:lvlJc w:val="left"/>
      <w:pPr>
        <w:ind w:left="720" w:hanging="360"/>
      </w:pPr>
      <w:rPr>
        <w:rFonts w:ascii="Symbol" w:hAnsi="Symbol"/>
      </w:rPr>
    </w:lvl>
    <w:lvl w:ilvl="8" w:tplc="997CA12A">
      <w:start w:val="1"/>
      <w:numFmt w:val="bullet"/>
      <w:lvlText w:val=""/>
      <w:lvlJc w:val="left"/>
      <w:pPr>
        <w:ind w:left="720" w:hanging="360"/>
      </w:pPr>
      <w:rPr>
        <w:rFonts w:ascii="Symbol" w:hAnsi="Symbol"/>
      </w:rPr>
    </w:lvl>
  </w:abstractNum>
  <w:abstractNum w:abstractNumId="17" w15:restartNumberingAfterBreak="0">
    <w:nsid w:val="405D7160"/>
    <w:multiLevelType w:val="multilevel"/>
    <w:tmpl w:val="50F06E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21681"/>
    <w:multiLevelType w:val="hybridMultilevel"/>
    <w:tmpl w:val="2760DA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8C62370"/>
    <w:multiLevelType w:val="hybridMultilevel"/>
    <w:tmpl w:val="566E1E82"/>
    <w:lvl w:ilvl="0" w:tplc="C308B034">
      <w:start w:val="1"/>
      <w:numFmt w:val="bullet"/>
      <w:lvlText w:val=""/>
      <w:lvlJc w:val="left"/>
      <w:pPr>
        <w:ind w:left="720" w:hanging="360"/>
      </w:pPr>
      <w:rPr>
        <w:rFonts w:ascii="Symbol" w:hAnsi="Symbol"/>
      </w:rPr>
    </w:lvl>
    <w:lvl w:ilvl="1" w:tplc="33D26C4C">
      <w:start w:val="1"/>
      <w:numFmt w:val="bullet"/>
      <w:lvlText w:val=""/>
      <w:lvlJc w:val="left"/>
      <w:pPr>
        <w:ind w:left="720" w:hanging="360"/>
      </w:pPr>
      <w:rPr>
        <w:rFonts w:ascii="Symbol" w:hAnsi="Symbol"/>
      </w:rPr>
    </w:lvl>
    <w:lvl w:ilvl="2" w:tplc="1FA45BAA">
      <w:start w:val="1"/>
      <w:numFmt w:val="bullet"/>
      <w:lvlText w:val=""/>
      <w:lvlJc w:val="left"/>
      <w:pPr>
        <w:ind w:left="720" w:hanging="360"/>
      </w:pPr>
      <w:rPr>
        <w:rFonts w:ascii="Symbol" w:hAnsi="Symbol"/>
      </w:rPr>
    </w:lvl>
    <w:lvl w:ilvl="3" w:tplc="1E2AA34A">
      <w:start w:val="1"/>
      <w:numFmt w:val="bullet"/>
      <w:lvlText w:val=""/>
      <w:lvlJc w:val="left"/>
      <w:pPr>
        <w:ind w:left="720" w:hanging="360"/>
      </w:pPr>
      <w:rPr>
        <w:rFonts w:ascii="Symbol" w:hAnsi="Symbol"/>
      </w:rPr>
    </w:lvl>
    <w:lvl w:ilvl="4" w:tplc="D8329E0E">
      <w:start w:val="1"/>
      <w:numFmt w:val="bullet"/>
      <w:lvlText w:val=""/>
      <w:lvlJc w:val="left"/>
      <w:pPr>
        <w:ind w:left="720" w:hanging="360"/>
      </w:pPr>
      <w:rPr>
        <w:rFonts w:ascii="Symbol" w:hAnsi="Symbol"/>
      </w:rPr>
    </w:lvl>
    <w:lvl w:ilvl="5" w:tplc="2C10B9DA">
      <w:start w:val="1"/>
      <w:numFmt w:val="bullet"/>
      <w:lvlText w:val=""/>
      <w:lvlJc w:val="left"/>
      <w:pPr>
        <w:ind w:left="720" w:hanging="360"/>
      </w:pPr>
      <w:rPr>
        <w:rFonts w:ascii="Symbol" w:hAnsi="Symbol"/>
      </w:rPr>
    </w:lvl>
    <w:lvl w:ilvl="6" w:tplc="91643EF2">
      <w:start w:val="1"/>
      <w:numFmt w:val="bullet"/>
      <w:lvlText w:val=""/>
      <w:lvlJc w:val="left"/>
      <w:pPr>
        <w:ind w:left="720" w:hanging="360"/>
      </w:pPr>
      <w:rPr>
        <w:rFonts w:ascii="Symbol" w:hAnsi="Symbol"/>
      </w:rPr>
    </w:lvl>
    <w:lvl w:ilvl="7" w:tplc="4782BE5C">
      <w:start w:val="1"/>
      <w:numFmt w:val="bullet"/>
      <w:lvlText w:val=""/>
      <w:lvlJc w:val="left"/>
      <w:pPr>
        <w:ind w:left="720" w:hanging="360"/>
      </w:pPr>
      <w:rPr>
        <w:rFonts w:ascii="Symbol" w:hAnsi="Symbol"/>
      </w:rPr>
    </w:lvl>
    <w:lvl w:ilvl="8" w:tplc="7BFC18B2">
      <w:start w:val="1"/>
      <w:numFmt w:val="bullet"/>
      <w:lvlText w:val=""/>
      <w:lvlJc w:val="left"/>
      <w:pPr>
        <w:ind w:left="720" w:hanging="360"/>
      </w:pPr>
      <w:rPr>
        <w:rFonts w:ascii="Symbol" w:hAnsi="Symbol"/>
      </w:rPr>
    </w:lvl>
  </w:abstractNum>
  <w:abstractNum w:abstractNumId="22" w15:restartNumberingAfterBreak="0">
    <w:nsid w:val="53484B75"/>
    <w:multiLevelType w:val="hybridMultilevel"/>
    <w:tmpl w:val="C1B60E3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47C5304"/>
    <w:multiLevelType w:val="hybridMultilevel"/>
    <w:tmpl w:val="141CD120"/>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ED2F9F"/>
    <w:multiLevelType w:val="hybridMultilevel"/>
    <w:tmpl w:val="228A4976"/>
    <w:lvl w:ilvl="0" w:tplc="8E28410A">
      <w:start w:val="1"/>
      <w:numFmt w:val="bullet"/>
      <w:lvlText w:val=""/>
      <w:lvlJc w:val="left"/>
      <w:pPr>
        <w:ind w:left="720" w:hanging="360"/>
      </w:pPr>
      <w:rPr>
        <w:rFonts w:ascii="Symbol" w:hAnsi="Symbol"/>
      </w:rPr>
    </w:lvl>
    <w:lvl w:ilvl="1" w:tplc="8D569448">
      <w:start w:val="1"/>
      <w:numFmt w:val="bullet"/>
      <w:lvlText w:val=""/>
      <w:lvlJc w:val="left"/>
      <w:pPr>
        <w:ind w:left="720" w:hanging="360"/>
      </w:pPr>
      <w:rPr>
        <w:rFonts w:ascii="Symbol" w:hAnsi="Symbol"/>
      </w:rPr>
    </w:lvl>
    <w:lvl w:ilvl="2" w:tplc="02AE1AF4">
      <w:start w:val="1"/>
      <w:numFmt w:val="bullet"/>
      <w:lvlText w:val=""/>
      <w:lvlJc w:val="left"/>
      <w:pPr>
        <w:ind w:left="720" w:hanging="360"/>
      </w:pPr>
      <w:rPr>
        <w:rFonts w:ascii="Symbol" w:hAnsi="Symbol"/>
      </w:rPr>
    </w:lvl>
    <w:lvl w:ilvl="3" w:tplc="5F5CD962">
      <w:start w:val="1"/>
      <w:numFmt w:val="bullet"/>
      <w:lvlText w:val=""/>
      <w:lvlJc w:val="left"/>
      <w:pPr>
        <w:ind w:left="720" w:hanging="360"/>
      </w:pPr>
      <w:rPr>
        <w:rFonts w:ascii="Symbol" w:hAnsi="Symbol"/>
      </w:rPr>
    </w:lvl>
    <w:lvl w:ilvl="4" w:tplc="0630C46E">
      <w:start w:val="1"/>
      <w:numFmt w:val="bullet"/>
      <w:lvlText w:val=""/>
      <w:lvlJc w:val="left"/>
      <w:pPr>
        <w:ind w:left="720" w:hanging="360"/>
      </w:pPr>
      <w:rPr>
        <w:rFonts w:ascii="Symbol" w:hAnsi="Symbol"/>
      </w:rPr>
    </w:lvl>
    <w:lvl w:ilvl="5" w:tplc="66DA5264">
      <w:start w:val="1"/>
      <w:numFmt w:val="bullet"/>
      <w:lvlText w:val=""/>
      <w:lvlJc w:val="left"/>
      <w:pPr>
        <w:ind w:left="720" w:hanging="360"/>
      </w:pPr>
      <w:rPr>
        <w:rFonts w:ascii="Symbol" w:hAnsi="Symbol"/>
      </w:rPr>
    </w:lvl>
    <w:lvl w:ilvl="6" w:tplc="4E30ED68">
      <w:start w:val="1"/>
      <w:numFmt w:val="bullet"/>
      <w:lvlText w:val=""/>
      <w:lvlJc w:val="left"/>
      <w:pPr>
        <w:ind w:left="720" w:hanging="360"/>
      </w:pPr>
      <w:rPr>
        <w:rFonts w:ascii="Symbol" w:hAnsi="Symbol"/>
      </w:rPr>
    </w:lvl>
    <w:lvl w:ilvl="7" w:tplc="5792FDAA">
      <w:start w:val="1"/>
      <w:numFmt w:val="bullet"/>
      <w:lvlText w:val=""/>
      <w:lvlJc w:val="left"/>
      <w:pPr>
        <w:ind w:left="720" w:hanging="360"/>
      </w:pPr>
      <w:rPr>
        <w:rFonts w:ascii="Symbol" w:hAnsi="Symbol"/>
      </w:rPr>
    </w:lvl>
    <w:lvl w:ilvl="8" w:tplc="0FFEDEAA">
      <w:start w:val="1"/>
      <w:numFmt w:val="bullet"/>
      <w:lvlText w:val=""/>
      <w:lvlJc w:val="left"/>
      <w:pPr>
        <w:ind w:left="720" w:hanging="360"/>
      </w:pPr>
      <w:rPr>
        <w:rFonts w:ascii="Symbol" w:hAnsi="Symbol"/>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71B4839"/>
    <w:multiLevelType w:val="hybridMultilevel"/>
    <w:tmpl w:val="D8B67F06"/>
    <w:lvl w:ilvl="0" w:tplc="70B07F08">
      <w:start w:val="1"/>
      <w:numFmt w:val="bullet"/>
      <w:lvlText w:val=""/>
      <w:lvlJc w:val="left"/>
      <w:pPr>
        <w:ind w:left="720" w:hanging="360"/>
      </w:pPr>
      <w:rPr>
        <w:rFonts w:ascii="Symbol" w:hAnsi="Symbol"/>
      </w:rPr>
    </w:lvl>
    <w:lvl w:ilvl="1" w:tplc="BCD26DC2">
      <w:start w:val="1"/>
      <w:numFmt w:val="bullet"/>
      <w:lvlText w:val=""/>
      <w:lvlJc w:val="left"/>
      <w:pPr>
        <w:ind w:left="720" w:hanging="360"/>
      </w:pPr>
      <w:rPr>
        <w:rFonts w:ascii="Symbol" w:hAnsi="Symbol"/>
      </w:rPr>
    </w:lvl>
    <w:lvl w:ilvl="2" w:tplc="4162ADA6">
      <w:start w:val="1"/>
      <w:numFmt w:val="bullet"/>
      <w:lvlText w:val=""/>
      <w:lvlJc w:val="left"/>
      <w:pPr>
        <w:ind w:left="720" w:hanging="360"/>
      </w:pPr>
      <w:rPr>
        <w:rFonts w:ascii="Symbol" w:hAnsi="Symbol"/>
      </w:rPr>
    </w:lvl>
    <w:lvl w:ilvl="3" w:tplc="2A2EB2B0">
      <w:start w:val="1"/>
      <w:numFmt w:val="bullet"/>
      <w:lvlText w:val=""/>
      <w:lvlJc w:val="left"/>
      <w:pPr>
        <w:ind w:left="720" w:hanging="360"/>
      </w:pPr>
      <w:rPr>
        <w:rFonts w:ascii="Symbol" w:hAnsi="Symbol"/>
      </w:rPr>
    </w:lvl>
    <w:lvl w:ilvl="4" w:tplc="7AFA26EE">
      <w:start w:val="1"/>
      <w:numFmt w:val="bullet"/>
      <w:lvlText w:val=""/>
      <w:lvlJc w:val="left"/>
      <w:pPr>
        <w:ind w:left="720" w:hanging="360"/>
      </w:pPr>
      <w:rPr>
        <w:rFonts w:ascii="Symbol" w:hAnsi="Symbol"/>
      </w:rPr>
    </w:lvl>
    <w:lvl w:ilvl="5" w:tplc="C5E45CA4">
      <w:start w:val="1"/>
      <w:numFmt w:val="bullet"/>
      <w:lvlText w:val=""/>
      <w:lvlJc w:val="left"/>
      <w:pPr>
        <w:ind w:left="720" w:hanging="360"/>
      </w:pPr>
      <w:rPr>
        <w:rFonts w:ascii="Symbol" w:hAnsi="Symbol"/>
      </w:rPr>
    </w:lvl>
    <w:lvl w:ilvl="6" w:tplc="66CC23EA">
      <w:start w:val="1"/>
      <w:numFmt w:val="bullet"/>
      <w:lvlText w:val=""/>
      <w:lvlJc w:val="left"/>
      <w:pPr>
        <w:ind w:left="720" w:hanging="360"/>
      </w:pPr>
      <w:rPr>
        <w:rFonts w:ascii="Symbol" w:hAnsi="Symbol"/>
      </w:rPr>
    </w:lvl>
    <w:lvl w:ilvl="7" w:tplc="26F273BA">
      <w:start w:val="1"/>
      <w:numFmt w:val="bullet"/>
      <w:lvlText w:val=""/>
      <w:lvlJc w:val="left"/>
      <w:pPr>
        <w:ind w:left="720" w:hanging="360"/>
      </w:pPr>
      <w:rPr>
        <w:rFonts w:ascii="Symbol" w:hAnsi="Symbol"/>
      </w:rPr>
    </w:lvl>
    <w:lvl w:ilvl="8" w:tplc="0ADAD068">
      <w:start w:val="1"/>
      <w:numFmt w:val="bullet"/>
      <w:lvlText w:val=""/>
      <w:lvlJc w:val="left"/>
      <w:pPr>
        <w:ind w:left="720" w:hanging="360"/>
      </w:pPr>
      <w:rPr>
        <w:rFonts w:ascii="Symbol" w:hAnsi="Symbol"/>
      </w:rPr>
    </w:lvl>
  </w:abstractNum>
  <w:abstractNum w:abstractNumId="31" w15:restartNumberingAfterBreak="0">
    <w:nsid w:val="69E82D25"/>
    <w:multiLevelType w:val="hybridMultilevel"/>
    <w:tmpl w:val="24C867D4"/>
    <w:lvl w:ilvl="0" w:tplc="C8F631BA">
      <w:start w:val="1"/>
      <w:numFmt w:val="bullet"/>
      <w:lvlText w:val=""/>
      <w:lvlJc w:val="left"/>
      <w:pPr>
        <w:ind w:left="720" w:hanging="360"/>
      </w:pPr>
      <w:rPr>
        <w:rFonts w:ascii="Symbol" w:hAnsi="Symbol"/>
      </w:rPr>
    </w:lvl>
    <w:lvl w:ilvl="1" w:tplc="F884879E">
      <w:start w:val="1"/>
      <w:numFmt w:val="bullet"/>
      <w:lvlText w:val=""/>
      <w:lvlJc w:val="left"/>
      <w:pPr>
        <w:ind w:left="720" w:hanging="360"/>
      </w:pPr>
      <w:rPr>
        <w:rFonts w:ascii="Symbol" w:hAnsi="Symbol"/>
      </w:rPr>
    </w:lvl>
    <w:lvl w:ilvl="2" w:tplc="18B68844">
      <w:start w:val="1"/>
      <w:numFmt w:val="bullet"/>
      <w:lvlText w:val=""/>
      <w:lvlJc w:val="left"/>
      <w:pPr>
        <w:ind w:left="720" w:hanging="360"/>
      </w:pPr>
      <w:rPr>
        <w:rFonts w:ascii="Symbol" w:hAnsi="Symbol"/>
      </w:rPr>
    </w:lvl>
    <w:lvl w:ilvl="3" w:tplc="2884CFDC">
      <w:start w:val="1"/>
      <w:numFmt w:val="bullet"/>
      <w:lvlText w:val=""/>
      <w:lvlJc w:val="left"/>
      <w:pPr>
        <w:ind w:left="720" w:hanging="360"/>
      </w:pPr>
      <w:rPr>
        <w:rFonts w:ascii="Symbol" w:hAnsi="Symbol"/>
      </w:rPr>
    </w:lvl>
    <w:lvl w:ilvl="4" w:tplc="B546F068">
      <w:start w:val="1"/>
      <w:numFmt w:val="bullet"/>
      <w:lvlText w:val=""/>
      <w:lvlJc w:val="left"/>
      <w:pPr>
        <w:ind w:left="720" w:hanging="360"/>
      </w:pPr>
      <w:rPr>
        <w:rFonts w:ascii="Symbol" w:hAnsi="Symbol"/>
      </w:rPr>
    </w:lvl>
    <w:lvl w:ilvl="5" w:tplc="5760978A">
      <w:start w:val="1"/>
      <w:numFmt w:val="bullet"/>
      <w:lvlText w:val=""/>
      <w:lvlJc w:val="left"/>
      <w:pPr>
        <w:ind w:left="720" w:hanging="360"/>
      </w:pPr>
      <w:rPr>
        <w:rFonts w:ascii="Symbol" w:hAnsi="Symbol"/>
      </w:rPr>
    </w:lvl>
    <w:lvl w:ilvl="6" w:tplc="31B67F2C">
      <w:start w:val="1"/>
      <w:numFmt w:val="bullet"/>
      <w:lvlText w:val=""/>
      <w:lvlJc w:val="left"/>
      <w:pPr>
        <w:ind w:left="720" w:hanging="360"/>
      </w:pPr>
      <w:rPr>
        <w:rFonts w:ascii="Symbol" w:hAnsi="Symbol"/>
      </w:rPr>
    </w:lvl>
    <w:lvl w:ilvl="7" w:tplc="2BC0ECE4">
      <w:start w:val="1"/>
      <w:numFmt w:val="bullet"/>
      <w:lvlText w:val=""/>
      <w:lvlJc w:val="left"/>
      <w:pPr>
        <w:ind w:left="720" w:hanging="360"/>
      </w:pPr>
      <w:rPr>
        <w:rFonts w:ascii="Symbol" w:hAnsi="Symbol"/>
      </w:rPr>
    </w:lvl>
    <w:lvl w:ilvl="8" w:tplc="87D4420E">
      <w:start w:val="1"/>
      <w:numFmt w:val="bullet"/>
      <w:lvlText w:val=""/>
      <w:lvlJc w:val="left"/>
      <w:pPr>
        <w:ind w:left="720" w:hanging="360"/>
      </w:pPr>
      <w:rPr>
        <w:rFonts w:ascii="Symbol" w:hAnsi="Symbol"/>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0C3CAB"/>
    <w:multiLevelType w:val="hybridMultilevel"/>
    <w:tmpl w:val="5162A522"/>
    <w:lvl w:ilvl="0" w:tplc="B1F6BB66">
      <w:start w:val="1"/>
      <w:numFmt w:val="bullet"/>
      <w:lvlText w:val=""/>
      <w:lvlJc w:val="left"/>
      <w:pPr>
        <w:ind w:left="720" w:hanging="360"/>
      </w:pPr>
      <w:rPr>
        <w:rFonts w:ascii="Symbol" w:hAnsi="Symbol"/>
      </w:rPr>
    </w:lvl>
    <w:lvl w:ilvl="1" w:tplc="B380BD90">
      <w:start w:val="1"/>
      <w:numFmt w:val="bullet"/>
      <w:lvlText w:val=""/>
      <w:lvlJc w:val="left"/>
      <w:pPr>
        <w:ind w:left="720" w:hanging="360"/>
      </w:pPr>
      <w:rPr>
        <w:rFonts w:ascii="Symbol" w:hAnsi="Symbol"/>
      </w:rPr>
    </w:lvl>
    <w:lvl w:ilvl="2" w:tplc="B3706FB6">
      <w:start w:val="1"/>
      <w:numFmt w:val="bullet"/>
      <w:lvlText w:val=""/>
      <w:lvlJc w:val="left"/>
      <w:pPr>
        <w:ind w:left="720" w:hanging="360"/>
      </w:pPr>
      <w:rPr>
        <w:rFonts w:ascii="Symbol" w:hAnsi="Symbol"/>
      </w:rPr>
    </w:lvl>
    <w:lvl w:ilvl="3" w:tplc="F19ECA36">
      <w:start w:val="1"/>
      <w:numFmt w:val="bullet"/>
      <w:lvlText w:val=""/>
      <w:lvlJc w:val="left"/>
      <w:pPr>
        <w:ind w:left="720" w:hanging="360"/>
      </w:pPr>
      <w:rPr>
        <w:rFonts w:ascii="Symbol" w:hAnsi="Symbol"/>
      </w:rPr>
    </w:lvl>
    <w:lvl w:ilvl="4" w:tplc="25A8F90A">
      <w:start w:val="1"/>
      <w:numFmt w:val="bullet"/>
      <w:lvlText w:val=""/>
      <w:lvlJc w:val="left"/>
      <w:pPr>
        <w:ind w:left="720" w:hanging="360"/>
      </w:pPr>
      <w:rPr>
        <w:rFonts w:ascii="Symbol" w:hAnsi="Symbol"/>
      </w:rPr>
    </w:lvl>
    <w:lvl w:ilvl="5" w:tplc="8384C60E">
      <w:start w:val="1"/>
      <w:numFmt w:val="bullet"/>
      <w:lvlText w:val=""/>
      <w:lvlJc w:val="left"/>
      <w:pPr>
        <w:ind w:left="720" w:hanging="360"/>
      </w:pPr>
      <w:rPr>
        <w:rFonts w:ascii="Symbol" w:hAnsi="Symbol"/>
      </w:rPr>
    </w:lvl>
    <w:lvl w:ilvl="6" w:tplc="8DBE16C6">
      <w:start w:val="1"/>
      <w:numFmt w:val="bullet"/>
      <w:lvlText w:val=""/>
      <w:lvlJc w:val="left"/>
      <w:pPr>
        <w:ind w:left="720" w:hanging="360"/>
      </w:pPr>
      <w:rPr>
        <w:rFonts w:ascii="Symbol" w:hAnsi="Symbol"/>
      </w:rPr>
    </w:lvl>
    <w:lvl w:ilvl="7" w:tplc="15CA41BA">
      <w:start w:val="1"/>
      <w:numFmt w:val="bullet"/>
      <w:lvlText w:val=""/>
      <w:lvlJc w:val="left"/>
      <w:pPr>
        <w:ind w:left="720" w:hanging="360"/>
      </w:pPr>
      <w:rPr>
        <w:rFonts w:ascii="Symbol" w:hAnsi="Symbol"/>
      </w:rPr>
    </w:lvl>
    <w:lvl w:ilvl="8" w:tplc="F20E8EE6">
      <w:start w:val="1"/>
      <w:numFmt w:val="bullet"/>
      <w:lvlText w:val=""/>
      <w:lvlJc w:val="left"/>
      <w:pPr>
        <w:ind w:left="720" w:hanging="360"/>
      </w:pPr>
      <w:rPr>
        <w:rFonts w:ascii="Symbol" w:hAnsi="Symbol"/>
      </w:rPr>
    </w:lvl>
  </w:abstractNum>
  <w:num w:numId="1" w16cid:durableId="1039208206">
    <w:abstractNumId w:val="33"/>
  </w:num>
  <w:num w:numId="2" w16cid:durableId="2084177917">
    <w:abstractNumId w:val="19"/>
  </w:num>
  <w:num w:numId="3" w16cid:durableId="283849348">
    <w:abstractNumId w:val="0"/>
  </w:num>
  <w:num w:numId="4" w16cid:durableId="1387530018">
    <w:abstractNumId w:val="29"/>
  </w:num>
  <w:num w:numId="5" w16cid:durableId="1600479383">
    <w:abstractNumId w:val="13"/>
  </w:num>
  <w:num w:numId="6" w16cid:durableId="2043747789">
    <w:abstractNumId w:val="33"/>
  </w:num>
  <w:num w:numId="7" w16cid:durableId="1268805709">
    <w:abstractNumId w:val="28"/>
  </w:num>
  <w:num w:numId="8" w16cid:durableId="1666132551">
    <w:abstractNumId w:val="2"/>
  </w:num>
  <w:num w:numId="9" w16cid:durableId="1137451525">
    <w:abstractNumId w:val="18"/>
  </w:num>
  <w:num w:numId="10" w16cid:durableId="1026637065">
    <w:abstractNumId w:val="23"/>
  </w:num>
  <w:num w:numId="11" w16cid:durableId="101196017">
    <w:abstractNumId w:val="7"/>
  </w:num>
  <w:num w:numId="12" w16cid:durableId="1241325641">
    <w:abstractNumId w:val="5"/>
  </w:num>
  <w:num w:numId="13" w16cid:durableId="1717702200">
    <w:abstractNumId w:val="15"/>
  </w:num>
  <w:num w:numId="14" w16cid:durableId="114369119">
    <w:abstractNumId w:val="17"/>
  </w:num>
  <w:num w:numId="15" w16cid:durableId="1171020172">
    <w:abstractNumId w:val="4"/>
  </w:num>
  <w:num w:numId="16" w16cid:durableId="524637774">
    <w:abstractNumId w:val="22"/>
  </w:num>
  <w:num w:numId="17" w16cid:durableId="1368869836">
    <w:abstractNumId w:val="8"/>
  </w:num>
  <w:num w:numId="18" w16cid:durableId="1252010140">
    <w:abstractNumId w:val="6"/>
  </w:num>
  <w:num w:numId="19" w16cid:durableId="340548935">
    <w:abstractNumId w:val="13"/>
  </w:num>
  <w:num w:numId="20" w16cid:durableId="14694927">
    <w:abstractNumId w:val="13"/>
  </w:num>
  <w:num w:numId="21" w16cid:durableId="1479612457">
    <w:abstractNumId w:val="13"/>
  </w:num>
  <w:num w:numId="22" w16cid:durableId="145897453">
    <w:abstractNumId w:val="13"/>
  </w:num>
  <w:num w:numId="23" w16cid:durableId="1516846570">
    <w:abstractNumId w:val="13"/>
  </w:num>
  <w:num w:numId="24" w16cid:durableId="373042725">
    <w:abstractNumId w:val="13"/>
  </w:num>
  <w:num w:numId="25" w16cid:durableId="2025128580">
    <w:abstractNumId w:val="13"/>
  </w:num>
  <w:num w:numId="26" w16cid:durableId="534657076">
    <w:abstractNumId w:val="33"/>
  </w:num>
  <w:num w:numId="27" w16cid:durableId="1172602288">
    <w:abstractNumId w:val="33"/>
  </w:num>
  <w:num w:numId="28" w16cid:durableId="872769900">
    <w:abstractNumId w:val="26"/>
  </w:num>
  <w:num w:numId="29" w16cid:durableId="1214803865">
    <w:abstractNumId w:val="16"/>
  </w:num>
  <w:num w:numId="30" w16cid:durableId="1052077452">
    <w:abstractNumId w:val="14"/>
  </w:num>
  <w:num w:numId="31" w16cid:durableId="432165297">
    <w:abstractNumId w:val="30"/>
  </w:num>
  <w:num w:numId="32" w16cid:durableId="749084273">
    <w:abstractNumId w:val="11"/>
  </w:num>
  <w:num w:numId="33" w16cid:durableId="1361709770">
    <w:abstractNumId w:val="34"/>
  </w:num>
  <w:num w:numId="34" w16cid:durableId="1659116973">
    <w:abstractNumId w:val="24"/>
  </w:num>
  <w:num w:numId="35" w16cid:durableId="2011760466">
    <w:abstractNumId w:val="25"/>
  </w:num>
  <w:num w:numId="36" w16cid:durableId="683555535">
    <w:abstractNumId w:val="3"/>
  </w:num>
  <w:num w:numId="37" w16cid:durableId="408234987">
    <w:abstractNumId w:val="1"/>
  </w:num>
  <w:num w:numId="38" w16cid:durableId="1049915182">
    <w:abstractNumId w:val="10"/>
  </w:num>
  <w:num w:numId="39" w16cid:durableId="1175992476">
    <w:abstractNumId w:val="12"/>
  </w:num>
  <w:num w:numId="40" w16cid:durableId="1633438052">
    <w:abstractNumId w:val="9"/>
  </w:num>
  <w:num w:numId="41" w16cid:durableId="12080920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02295">
    <w:abstractNumId w:val="32"/>
  </w:num>
  <w:num w:numId="43" w16cid:durableId="39717423">
    <w:abstractNumId w:val="20"/>
  </w:num>
  <w:num w:numId="44" w16cid:durableId="264116681">
    <w:abstractNumId w:val="21"/>
  </w:num>
  <w:num w:numId="45" w16cid:durableId="1868638497">
    <w:abstractNumId w:val="31"/>
  </w:num>
  <w:num w:numId="46" w16cid:durableId="347870256">
    <w:abstractNumId w:val="33"/>
  </w:num>
  <w:num w:numId="47" w16cid:durableId="35758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SwsDAyNLc0MjIwNTdU0lEKTi0uzszPAykwrAUAf4mr8SwAAAA="/>
  </w:docVars>
  <w:rsids>
    <w:rsidRoot w:val="00E65E79"/>
    <w:rsid w:val="0000046F"/>
    <w:rsid w:val="00000646"/>
    <w:rsid w:val="00000790"/>
    <w:rsid w:val="0000092C"/>
    <w:rsid w:val="0000110B"/>
    <w:rsid w:val="0000179F"/>
    <w:rsid w:val="00001B99"/>
    <w:rsid w:val="00002030"/>
    <w:rsid w:val="000021EC"/>
    <w:rsid w:val="00002305"/>
    <w:rsid w:val="000023D8"/>
    <w:rsid w:val="00002553"/>
    <w:rsid w:val="00002748"/>
    <w:rsid w:val="00002791"/>
    <w:rsid w:val="00002E5B"/>
    <w:rsid w:val="00003499"/>
    <w:rsid w:val="000035C6"/>
    <w:rsid w:val="000037CC"/>
    <w:rsid w:val="000039B7"/>
    <w:rsid w:val="000040DA"/>
    <w:rsid w:val="000043FA"/>
    <w:rsid w:val="000045E2"/>
    <w:rsid w:val="00004612"/>
    <w:rsid w:val="0000487E"/>
    <w:rsid w:val="00004912"/>
    <w:rsid w:val="00004B7A"/>
    <w:rsid w:val="00004C2C"/>
    <w:rsid w:val="000056B9"/>
    <w:rsid w:val="00005805"/>
    <w:rsid w:val="00005ACA"/>
    <w:rsid w:val="0000631F"/>
    <w:rsid w:val="0000639A"/>
    <w:rsid w:val="0000696C"/>
    <w:rsid w:val="000069E1"/>
    <w:rsid w:val="00006C2F"/>
    <w:rsid w:val="00006CB7"/>
    <w:rsid w:val="00006E6F"/>
    <w:rsid w:val="0000776A"/>
    <w:rsid w:val="00007A20"/>
    <w:rsid w:val="00007FEC"/>
    <w:rsid w:val="00010230"/>
    <w:rsid w:val="00010402"/>
    <w:rsid w:val="0001040B"/>
    <w:rsid w:val="000104B9"/>
    <w:rsid w:val="00010573"/>
    <w:rsid w:val="0001087F"/>
    <w:rsid w:val="00011285"/>
    <w:rsid w:val="00011311"/>
    <w:rsid w:val="00011678"/>
    <w:rsid w:val="00011721"/>
    <w:rsid w:val="00011AB6"/>
    <w:rsid w:val="00011FEC"/>
    <w:rsid w:val="000121AF"/>
    <w:rsid w:val="00013099"/>
    <w:rsid w:val="00013247"/>
    <w:rsid w:val="00013574"/>
    <w:rsid w:val="00013676"/>
    <w:rsid w:val="0001371B"/>
    <w:rsid w:val="00013753"/>
    <w:rsid w:val="000139A5"/>
    <w:rsid w:val="00013A8C"/>
    <w:rsid w:val="00013AAA"/>
    <w:rsid w:val="0001412B"/>
    <w:rsid w:val="000144F5"/>
    <w:rsid w:val="00014628"/>
    <w:rsid w:val="000149A2"/>
    <w:rsid w:val="00015186"/>
    <w:rsid w:val="0001522E"/>
    <w:rsid w:val="0001532C"/>
    <w:rsid w:val="00015886"/>
    <w:rsid w:val="00015A54"/>
    <w:rsid w:val="00015F75"/>
    <w:rsid w:val="000160FB"/>
    <w:rsid w:val="00016114"/>
    <w:rsid w:val="00016121"/>
    <w:rsid w:val="000162EF"/>
    <w:rsid w:val="00016C1C"/>
    <w:rsid w:val="00016CAC"/>
    <w:rsid w:val="00017C77"/>
    <w:rsid w:val="00017DA7"/>
    <w:rsid w:val="00017EE6"/>
    <w:rsid w:val="00017F79"/>
    <w:rsid w:val="000204A7"/>
    <w:rsid w:val="00020782"/>
    <w:rsid w:val="000207C9"/>
    <w:rsid w:val="000208E5"/>
    <w:rsid w:val="00020B1D"/>
    <w:rsid w:val="000212B9"/>
    <w:rsid w:val="00021338"/>
    <w:rsid w:val="00021444"/>
    <w:rsid w:val="000214C7"/>
    <w:rsid w:val="000215B6"/>
    <w:rsid w:val="0002172B"/>
    <w:rsid w:val="00021779"/>
    <w:rsid w:val="0002193B"/>
    <w:rsid w:val="00021F03"/>
    <w:rsid w:val="000220C5"/>
    <w:rsid w:val="00022153"/>
    <w:rsid w:val="0002225F"/>
    <w:rsid w:val="0002233E"/>
    <w:rsid w:val="000223E5"/>
    <w:rsid w:val="0002266C"/>
    <w:rsid w:val="000229A9"/>
    <w:rsid w:val="00022C0C"/>
    <w:rsid w:val="00022DEC"/>
    <w:rsid w:val="00023757"/>
    <w:rsid w:val="00023763"/>
    <w:rsid w:val="00023CDC"/>
    <w:rsid w:val="0002429B"/>
    <w:rsid w:val="000243A0"/>
    <w:rsid w:val="000247BA"/>
    <w:rsid w:val="00024EB5"/>
    <w:rsid w:val="00025328"/>
    <w:rsid w:val="00025589"/>
    <w:rsid w:val="00025783"/>
    <w:rsid w:val="00025AB6"/>
    <w:rsid w:val="00025B1F"/>
    <w:rsid w:val="0002655A"/>
    <w:rsid w:val="000268B7"/>
    <w:rsid w:val="00026970"/>
    <w:rsid w:val="00026D1E"/>
    <w:rsid w:val="00026FB9"/>
    <w:rsid w:val="00027066"/>
    <w:rsid w:val="000270C0"/>
    <w:rsid w:val="00027187"/>
    <w:rsid w:val="000274B8"/>
    <w:rsid w:val="00027B55"/>
    <w:rsid w:val="00027B9C"/>
    <w:rsid w:val="00027E78"/>
    <w:rsid w:val="0003019A"/>
    <w:rsid w:val="0003026C"/>
    <w:rsid w:val="00030584"/>
    <w:rsid w:val="000307BF"/>
    <w:rsid w:val="000307DE"/>
    <w:rsid w:val="000309AB"/>
    <w:rsid w:val="00030C2C"/>
    <w:rsid w:val="00030D40"/>
    <w:rsid w:val="00030E1D"/>
    <w:rsid w:val="00030E61"/>
    <w:rsid w:val="00030ED7"/>
    <w:rsid w:val="00030FDB"/>
    <w:rsid w:val="0003120B"/>
    <w:rsid w:val="000314A6"/>
    <w:rsid w:val="0003161D"/>
    <w:rsid w:val="000317E4"/>
    <w:rsid w:val="00031899"/>
    <w:rsid w:val="00031BF4"/>
    <w:rsid w:val="00031E4F"/>
    <w:rsid w:val="00031FDB"/>
    <w:rsid w:val="0003203E"/>
    <w:rsid w:val="000322F9"/>
    <w:rsid w:val="0003236E"/>
    <w:rsid w:val="00032477"/>
    <w:rsid w:val="00032499"/>
    <w:rsid w:val="000326A1"/>
    <w:rsid w:val="00032805"/>
    <w:rsid w:val="00032DCE"/>
    <w:rsid w:val="00032FB5"/>
    <w:rsid w:val="00033085"/>
    <w:rsid w:val="00033404"/>
    <w:rsid w:val="00033863"/>
    <w:rsid w:val="000339F6"/>
    <w:rsid w:val="00033B41"/>
    <w:rsid w:val="00033C1B"/>
    <w:rsid w:val="00034645"/>
    <w:rsid w:val="000346AB"/>
    <w:rsid w:val="00034A89"/>
    <w:rsid w:val="000356E1"/>
    <w:rsid w:val="000356F2"/>
    <w:rsid w:val="000358D5"/>
    <w:rsid w:val="000359E6"/>
    <w:rsid w:val="00035DC0"/>
    <w:rsid w:val="0003615E"/>
    <w:rsid w:val="0003645D"/>
    <w:rsid w:val="000364A8"/>
    <w:rsid w:val="00036582"/>
    <w:rsid w:val="00036829"/>
    <w:rsid w:val="00036880"/>
    <w:rsid w:val="0003698B"/>
    <w:rsid w:val="00036B97"/>
    <w:rsid w:val="00036BD2"/>
    <w:rsid w:val="00036F45"/>
    <w:rsid w:val="00036FAB"/>
    <w:rsid w:val="00037066"/>
    <w:rsid w:val="00037343"/>
    <w:rsid w:val="00037380"/>
    <w:rsid w:val="00037649"/>
    <w:rsid w:val="00037F26"/>
    <w:rsid w:val="00037F80"/>
    <w:rsid w:val="00040051"/>
    <w:rsid w:val="00040296"/>
    <w:rsid w:val="00040585"/>
    <w:rsid w:val="00040895"/>
    <w:rsid w:val="00040D92"/>
    <w:rsid w:val="000410A0"/>
    <w:rsid w:val="000414F9"/>
    <w:rsid w:val="00041653"/>
    <w:rsid w:val="00041729"/>
    <w:rsid w:val="0004194F"/>
    <w:rsid w:val="00041B21"/>
    <w:rsid w:val="00041B26"/>
    <w:rsid w:val="00041EEE"/>
    <w:rsid w:val="00041F35"/>
    <w:rsid w:val="000420E1"/>
    <w:rsid w:val="000424EF"/>
    <w:rsid w:val="000424FB"/>
    <w:rsid w:val="0004294C"/>
    <w:rsid w:val="000429B2"/>
    <w:rsid w:val="00042DBD"/>
    <w:rsid w:val="00042F3A"/>
    <w:rsid w:val="000435EE"/>
    <w:rsid w:val="000436FB"/>
    <w:rsid w:val="00043B57"/>
    <w:rsid w:val="00043C37"/>
    <w:rsid w:val="00043C7B"/>
    <w:rsid w:val="00043E5F"/>
    <w:rsid w:val="000445E3"/>
    <w:rsid w:val="00044956"/>
    <w:rsid w:val="00044AC9"/>
    <w:rsid w:val="00044DCE"/>
    <w:rsid w:val="00044E15"/>
    <w:rsid w:val="00044E53"/>
    <w:rsid w:val="00045016"/>
    <w:rsid w:val="00045017"/>
    <w:rsid w:val="00045478"/>
    <w:rsid w:val="00045A2B"/>
    <w:rsid w:val="00045CFC"/>
    <w:rsid w:val="0004698F"/>
    <w:rsid w:val="000469F5"/>
    <w:rsid w:val="00046D47"/>
    <w:rsid w:val="00046D64"/>
    <w:rsid w:val="00046F52"/>
    <w:rsid w:val="0004709C"/>
    <w:rsid w:val="00047321"/>
    <w:rsid w:val="00047782"/>
    <w:rsid w:val="000477F0"/>
    <w:rsid w:val="000478E2"/>
    <w:rsid w:val="00047A67"/>
    <w:rsid w:val="000502DE"/>
    <w:rsid w:val="000508C2"/>
    <w:rsid w:val="00050911"/>
    <w:rsid w:val="00050BBD"/>
    <w:rsid w:val="00050ED8"/>
    <w:rsid w:val="000515F6"/>
    <w:rsid w:val="00051949"/>
    <w:rsid w:val="000519AE"/>
    <w:rsid w:val="00051A9F"/>
    <w:rsid w:val="0005231F"/>
    <w:rsid w:val="000526D9"/>
    <w:rsid w:val="000528EA"/>
    <w:rsid w:val="000529DF"/>
    <w:rsid w:val="00052D24"/>
    <w:rsid w:val="00052E9D"/>
    <w:rsid w:val="000531BC"/>
    <w:rsid w:val="000536F8"/>
    <w:rsid w:val="00053977"/>
    <w:rsid w:val="000539D0"/>
    <w:rsid w:val="000539ED"/>
    <w:rsid w:val="00053A08"/>
    <w:rsid w:val="00053DE1"/>
    <w:rsid w:val="000540B4"/>
    <w:rsid w:val="00054621"/>
    <w:rsid w:val="000546D7"/>
    <w:rsid w:val="00054A8D"/>
    <w:rsid w:val="00054C8C"/>
    <w:rsid w:val="00054D4F"/>
    <w:rsid w:val="00054D53"/>
    <w:rsid w:val="0005517A"/>
    <w:rsid w:val="00055282"/>
    <w:rsid w:val="000558FC"/>
    <w:rsid w:val="00056B64"/>
    <w:rsid w:val="00056D5E"/>
    <w:rsid w:val="00056DEB"/>
    <w:rsid w:val="00056ECF"/>
    <w:rsid w:val="0005728A"/>
    <w:rsid w:val="000576F9"/>
    <w:rsid w:val="00057A8E"/>
    <w:rsid w:val="00057BBB"/>
    <w:rsid w:val="000604DF"/>
    <w:rsid w:val="00060BA7"/>
    <w:rsid w:val="000611BB"/>
    <w:rsid w:val="00061430"/>
    <w:rsid w:val="0006146E"/>
    <w:rsid w:val="00061508"/>
    <w:rsid w:val="00061B7E"/>
    <w:rsid w:val="00062324"/>
    <w:rsid w:val="00062F05"/>
    <w:rsid w:val="0006322A"/>
    <w:rsid w:val="00063478"/>
    <w:rsid w:val="00063571"/>
    <w:rsid w:val="00063655"/>
    <w:rsid w:val="00063902"/>
    <w:rsid w:val="00063AC7"/>
    <w:rsid w:val="00063C32"/>
    <w:rsid w:val="00063DF8"/>
    <w:rsid w:val="00063E22"/>
    <w:rsid w:val="00064000"/>
    <w:rsid w:val="000640C4"/>
    <w:rsid w:val="000640F6"/>
    <w:rsid w:val="000645FF"/>
    <w:rsid w:val="000647CE"/>
    <w:rsid w:val="00064AAB"/>
    <w:rsid w:val="00064EA0"/>
    <w:rsid w:val="000653B5"/>
    <w:rsid w:val="00065553"/>
    <w:rsid w:val="0006581D"/>
    <w:rsid w:val="00065D0B"/>
    <w:rsid w:val="00065FF6"/>
    <w:rsid w:val="000660EC"/>
    <w:rsid w:val="000661F7"/>
    <w:rsid w:val="00066360"/>
    <w:rsid w:val="00066433"/>
    <w:rsid w:val="00066449"/>
    <w:rsid w:val="00066478"/>
    <w:rsid w:val="0006682D"/>
    <w:rsid w:val="00066875"/>
    <w:rsid w:val="00066AAD"/>
    <w:rsid w:val="00066AF8"/>
    <w:rsid w:val="000670BD"/>
    <w:rsid w:val="00067136"/>
    <w:rsid w:val="00067355"/>
    <w:rsid w:val="00067792"/>
    <w:rsid w:val="00067797"/>
    <w:rsid w:val="0006798F"/>
    <w:rsid w:val="00067E00"/>
    <w:rsid w:val="00067F8E"/>
    <w:rsid w:val="00070304"/>
    <w:rsid w:val="0007079C"/>
    <w:rsid w:val="0007113A"/>
    <w:rsid w:val="00071248"/>
    <w:rsid w:val="000712E4"/>
    <w:rsid w:val="00071AB2"/>
    <w:rsid w:val="00071CBC"/>
    <w:rsid w:val="0007207C"/>
    <w:rsid w:val="000720B9"/>
    <w:rsid w:val="000722D4"/>
    <w:rsid w:val="00072333"/>
    <w:rsid w:val="00072506"/>
    <w:rsid w:val="000725C4"/>
    <w:rsid w:val="00072B90"/>
    <w:rsid w:val="000731F1"/>
    <w:rsid w:val="000737F7"/>
    <w:rsid w:val="00073C91"/>
    <w:rsid w:val="00073FE1"/>
    <w:rsid w:val="00074374"/>
    <w:rsid w:val="00074A5C"/>
    <w:rsid w:val="00074BE1"/>
    <w:rsid w:val="000750D9"/>
    <w:rsid w:val="00075903"/>
    <w:rsid w:val="00075A40"/>
    <w:rsid w:val="00075C4A"/>
    <w:rsid w:val="00075F66"/>
    <w:rsid w:val="00076125"/>
    <w:rsid w:val="000763B3"/>
    <w:rsid w:val="0007670A"/>
    <w:rsid w:val="0007672F"/>
    <w:rsid w:val="00076B09"/>
    <w:rsid w:val="00076B54"/>
    <w:rsid w:val="00076D1D"/>
    <w:rsid w:val="00076D48"/>
    <w:rsid w:val="00076F7C"/>
    <w:rsid w:val="0007703D"/>
    <w:rsid w:val="0007745E"/>
    <w:rsid w:val="000774F0"/>
    <w:rsid w:val="00077A64"/>
    <w:rsid w:val="00077C97"/>
    <w:rsid w:val="00077E52"/>
    <w:rsid w:val="00077E55"/>
    <w:rsid w:val="00080397"/>
    <w:rsid w:val="00080506"/>
    <w:rsid w:val="00080685"/>
    <w:rsid w:val="000806B1"/>
    <w:rsid w:val="00080909"/>
    <w:rsid w:val="000810C9"/>
    <w:rsid w:val="000810D5"/>
    <w:rsid w:val="000812CA"/>
    <w:rsid w:val="000815A2"/>
    <w:rsid w:val="00081732"/>
    <w:rsid w:val="000818A1"/>
    <w:rsid w:val="000818BE"/>
    <w:rsid w:val="00081A5C"/>
    <w:rsid w:val="00081E63"/>
    <w:rsid w:val="0008258D"/>
    <w:rsid w:val="00082878"/>
    <w:rsid w:val="0008299D"/>
    <w:rsid w:val="00082DAD"/>
    <w:rsid w:val="0008315D"/>
    <w:rsid w:val="000835F6"/>
    <w:rsid w:val="00083892"/>
    <w:rsid w:val="00083BA2"/>
    <w:rsid w:val="00083E99"/>
    <w:rsid w:val="00084058"/>
    <w:rsid w:val="000845E0"/>
    <w:rsid w:val="00084892"/>
    <w:rsid w:val="00084FA8"/>
    <w:rsid w:val="00085068"/>
    <w:rsid w:val="0008550F"/>
    <w:rsid w:val="00085578"/>
    <w:rsid w:val="000856C5"/>
    <w:rsid w:val="00085C31"/>
    <w:rsid w:val="00086B59"/>
    <w:rsid w:val="00086CAF"/>
    <w:rsid w:val="00086D21"/>
    <w:rsid w:val="00086EDF"/>
    <w:rsid w:val="00086F5A"/>
    <w:rsid w:val="00087612"/>
    <w:rsid w:val="00087B85"/>
    <w:rsid w:val="00087B9D"/>
    <w:rsid w:val="000902D9"/>
    <w:rsid w:val="0009056A"/>
    <w:rsid w:val="00090632"/>
    <w:rsid w:val="00090C7E"/>
    <w:rsid w:val="00090EDC"/>
    <w:rsid w:val="00090EE9"/>
    <w:rsid w:val="000911AC"/>
    <w:rsid w:val="0009159B"/>
    <w:rsid w:val="00091ABE"/>
    <w:rsid w:val="00091CB8"/>
    <w:rsid w:val="000922E2"/>
    <w:rsid w:val="00092600"/>
    <w:rsid w:val="0009262B"/>
    <w:rsid w:val="000927FF"/>
    <w:rsid w:val="00092B04"/>
    <w:rsid w:val="00092F50"/>
    <w:rsid w:val="00093054"/>
    <w:rsid w:val="00093310"/>
    <w:rsid w:val="000937CE"/>
    <w:rsid w:val="00093997"/>
    <w:rsid w:val="00093BC7"/>
    <w:rsid w:val="00093F1C"/>
    <w:rsid w:val="00094030"/>
    <w:rsid w:val="000941A7"/>
    <w:rsid w:val="00094219"/>
    <w:rsid w:val="0009445C"/>
    <w:rsid w:val="000944FA"/>
    <w:rsid w:val="00094645"/>
    <w:rsid w:val="00094956"/>
    <w:rsid w:val="00094C91"/>
    <w:rsid w:val="00095200"/>
    <w:rsid w:val="00095323"/>
    <w:rsid w:val="0009555B"/>
    <w:rsid w:val="00095592"/>
    <w:rsid w:val="00095AC8"/>
    <w:rsid w:val="00095C21"/>
    <w:rsid w:val="00095DE3"/>
    <w:rsid w:val="00095DEC"/>
    <w:rsid w:val="00095E2E"/>
    <w:rsid w:val="00095FE5"/>
    <w:rsid w:val="000960FC"/>
    <w:rsid w:val="00096284"/>
    <w:rsid w:val="000962E1"/>
    <w:rsid w:val="0009647D"/>
    <w:rsid w:val="00096530"/>
    <w:rsid w:val="00096884"/>
    <w:rsid w:val="00096A37"/>
    <w:rsid w:val="00096BF7"/>
    <w:rsid w:val="000971A7"/>
    <w:rsid w:val="000971D4"/>
    <w:rsid w:val="000972E4"/>
    <w:rsid w:val="00097303"/>
    <w:rsid w:val="000973B4"/>
    <w:rsid w:val="000974E3"/>
    <w:rsid w:val="000976CB"/>
    <w:rsid w:val="00097765"/>
    <w:rsid w:val="00097A6A"/>
    <w:rsid w:val="00097D48"/>
    <w:rsid w:val="000A0058"/>
    <w:rsid w:val="000A031B"/>
    <w:rsid w:val="000A0B6B"/>
    <w:rsid w:val="000A103F"/>
    <w:rsid w:val="000A12AE"/>
    <w:rsid w:val="000A12CC"/>
    <w:rsid w:val="000A14A2"/>
    <w:rsid w:val="000A14A8"/>
    <w:rsid w:val="000A1511"/>
    <w:rsid w:val="000A1570"/>
    <w:rsid w:val="000A15A4"/>
    <w:rsid w:val="000A1A68"/>
    <w:rsid w:val="000A1A90"/>
    <w:rsid w:val="000A1ADB"/>
    <w:rsid w:val="000A1AE5"/>
    <w:rsid w:val="000A1BC0"/>
    <w:rsid w:val="000A1BFC"/>
    <w:rsid w:val="000A22F3"/>
    <w:rsid w:val="000A28BC"/>
    <w:rsid w:val="000A2F9E"/>
    <w:rsid w:val="000A3200"/>
    <w:rsid w:val="000A3663"/>
    <w:rsid w:val="000A3855"/>
    <w:rsid w:val="000A3B61"/>
    <w:rsid w:val="000A3BF9"/>
    <w:rsid w:val="000A3C5D"/>
    <w:rsid w:val="000A3CEE"/>
    <w:rsid w:val="000A3E47"/>
    <w:rsid w:val="000A4320"/>
    <w:rsid w:val="000A46AF"/>
    <w:rsid w:val="000A4899"/>
    <w:rsid w:val="000A48D9"/>
    <w:rsid w:val="000A4A08"/>
    <w:rsid w:val="000A4A27"/>
    <w:rsid w:val="000A4C74"/>
    <w:rsid w:val="000A4EF9"/>
    <w:rsid w:val="000A522B"/>
    <w:rsid w:val="000A5D88"/>
    <w:rsid w:val="000A6039"/>
    <w:rsid w:val="000A6463"/>
    <w:rsid w:val="000A6514"/>
    <w:rsid w:val="000A6928"/>
    <w:rsid w:val="000A6930"/>
    <w:rsid w:val="000A7238"/>
    <w:rsid w:val="000A732F"/>
    <w:rsid w:val="000A7453"/>
    <w:rsid w:val="000A755E"/>
    <w:rsid w:val="000A7631"/>
    <w:rsid w:val="000A77FB"/>
    <w:rsid w:val="000A7BC2"/>
    <w:rsid w:val="000A7D08"/>
    <w:rsid w:val="000A7FF3"/>
    <w:rsid w:val="000B0121"/>
    <w:rsid w:val="000B01B7"/>
    <w:rsid w:val="000B0670"/>
    <w:rsid w:val="000B080F"/>
    <w:rsid w:val="000B0AEC"/>
    <w:rsid w:val="000B0DC7"/>
    <w:rsid w:val="000B0E03"/>
    <w:rsid w:val="000B0E75"/>
    <w:rsid w:val="000B0FF2"/>
    <w:rsid w:val="000B1130"/>
    <w:rsid w:val="000B13F9"/>
    <w:rsid w:val="000B140B"/>
    <w:rsid w:val="000B1E65"/>
    <w:rsid w:val="000B206D"/>
    <w:rsid w:val="000B218C"/>
    <w:rsid w:val="000B260C"/>
    <w:rsid w:val="000B282B"/>
    <w:rsid w:val="000B2DCB"/>
    <w:rsid w:val="000B337E"/>
    <w:rsid w:val="000B33F1"/>
    <w:rsid w:val="000B3589"/>
    <w:rsid w:val="000B3723"/>
    <w:rsid w:val="000B4097"/>
    <w:rsid w:val="000B41F0"/>
    <w:rsid w:val="000B4252"/>
    <w:rsid w:val="000B4351"/>
    <w:rsid w:val="000B4C71"/>
    <w:rsid w:val="000B5165"/>
    <w:rsid w:val="000B583A"/>
    <w:rsid w:val="000B5A48"/>
    <w:rsid w:val="000B5B17"/>
    <w:rsid w:val="000B5CE0"/>
    <w:rsid w:val="000B6104"/>
    <w:rsid w:val="000B68BE"/>
    <w:rsid w:val="000B6CAC"/>
    <w:rsid w:val="000B707B"/>
    <w:rsid w:val="000B70B3"/>
    <w:rsid w:val="000B71BC"/>
    <w:rsid w:val="000B7229"/>
    <w:rsid w:val="000B732A"/>
    <w:rsid w:val="000B7612"/>
    <w:rsid w:val="000B7773"/>
    <w:rsid w:val="000B78AE"/>
    <w:rsid w:val="000B78B8"/>
    <w:rsid w:val="000B7CB7"/>
    <w:rsid w:val="000B7CE7"/>
    <w:rsid w:val="000B7EC7"/>
    <w:rsid w:val="000C045E"/>
    <w:rsid w:val="000C0774"/>
    <w:rsid w:val="000C162C"/>
    <w:rsid w:val="000C1CEA"/>
    <w:rsid w:val="000C1E81"/>
    <w:rsid w:val="000C21B0"/>
    <w:rsid w:val="000C21EF"/>
    <w:rsid w:val="000C23DE"/>
    <w:rsid w:val="000C24F2"/>
    <w:rsid w:val="000C276C"/>
    <w:rsid w:val="000C2CEB"/>
    <w:rsid w:val="000C3DF9"/>
    <w:rsid w:val="000C4287"/>
    <w:rsid w:val="000C44E4"/>
    <w:rsid w:val="000C4524"/>
    <w:rsid w:val="000C480B"/>
    <w:rsid w:val="000C4B65"/>
    <w:rsid w:val="000C4CF2"/>
    <w:rsid w:val="000C514C"/>
    <w:rsid w:val="000C5241"/>
    <w:rsid w:val="000C551D"/>
    <w:rsid w:val="000C578D"/>
    <w:rsid w:val="000C5850"/>
    <w:rsid w:val="000C597B"/>
    <w:rsid w:val="000C5B8D"/>
    <w:rsid w:val="000C5D80"/>
    <w:rsid w:val="000C60CA"/>
    <w:rsid w:val="000C6713"/>
    <w:rsid w:val="000C679D"/>
    <w:rsid w:val="000C699E"/>
    <w:rsid w:val="000C6D24"/>
    <w:rsid w:val="000C6DE6"/>
    <w:rsid w:val="000C74E8"/>
    <w:rsid w:val="000C775B"/>
    <w:rsid w:val="000C7763"/>
    <w:rsid w:val="000C77D1"/>
    <w:rsid w:val="000C7CF8"/>
    <w:rsid w:val="000C7FBC"/>
    <w:rsid w:val="000D05F8"/>
    <w:rsid w:val="000D065E"/>
    <w:rsid w:val="000D0D09"/>
    <w:rsid w:val="000D1431"/>
    <w:rsid w:val="000D187D"/>
    <w:rsid w:val="000D1BFC"/>
    <w:rsid w:val="000D1CA4"/>
    <w:rsid w:val="000D1D5D"/>
    <w:rsid w:val="000D1FDD"/>
    <w:rsid w:val="000D202C"/>
    <w:rsid w:val="000D250C"/>
    <w:rsid w:val="000D2641"/>
    <w:rsid w:val="000D281A"/>
    <w:rsid w:val="000D2848"/>
    <w:rsid w:val="000D2E36"/>
    <w:rsid w:val="000D2E8A"/>
    <w:rsid w:val="000D326A"/>
    <w:rsid w:val="000D3501"/>
    <w:rsid w:val="000D452E"/>
    <w:rsid w:val="000D4603"/>
    <w:rsid w:val="000D4809"/>
    <w:rsid w:val="000D4F9A"/>
    <w:rsid w:val="000D51FB"/>
    <w:rsid w:val="000D5472"/>
    <w:rsid w:val="000D54A8"/>
    <w:rsid w:val="000D5647"/>
    <w:rsid w:val="000D5AEB"/>
    <w:rsid w:val="000D6041"/>
    <w:rsid w:val="000D6179"/>
    <w:rsid w:val="000D68DF"/>
    <w:rsid w:val="000D6A60"/>
    <w:rsid w:val="000D6B95"/>
    <w:rsid w:val="000D6ED8"/>
    <w:rsid w:val="000D704C"/>
    <w:rsid w:val="000D705C"/>
    <w:rsid w:val="000D75FA"/>
    <w:rsid w:val="000D767F"/>
    <w:rsid w:val="000D7B02"/>
    <w:rsid w:val="000D7B37"/>
    <w:rsid w:val="000D7CE7"/>
    <w:rsid w:val="000D7D80"/>
    <w:rsid w:val="000E042B"/>
    <w:rsid w:val="000E060C"/>
    <w:rsid w:val="000E0640"/>
    <w:rsid w:val="000E09B1"/>
    <w:rsid w:val="000E0EA5"/>
    <w:rsid w:val="000E135D"/>
    <w:rsid w:val="000E18AF"/>
    <w:rsid w:val="000E1F0F"/>
    <w:rsid w:val="000E20C3"/>
    <w:rsid w:val="000E2768"/>
    <w:rsid w:val="000E2B40"/>
    <w:rsid w:val="000E2E08"/>
    <w:rsid w:val="000E2FD9"/>
    <w:rsid w:val="000E3137"/>
    <w:rsid w:val="000E35A3"/>
    <w:rsid w:val="000E35F9"/>
    <w:rsid w:val="000E36AD"/>
    <w:rsid w:val="000E395D"/>
    <w:rsid w:val="000E39C4"/>
    <w:rsid w:val="000E46D0"/>
    <w:rsid w:val="000E47D2"/>
    <w:rsid w:val="000E4EF8"/>
    <w:rsid w:val="000E544F"/>
    <w:rsid w:val="000E5554"/>
    <w:rsid w:val="000E571A"/>
    <w:rsid w:val="000E5F69"/>
    <w:rsid w:val="000E6027"/>
    <w:rsid w:val="000E60E1"/>
    <w:rsid w:val="000E6223"/>
    <w:rsid w:val="000E6407"/>
    <w:rsid w:val="000E6580"/>
    <w:rsid w:val="000E6744"/>
    <w:rsid w:val="000E6E2B"/>
    <w:rsid w:val="000E6FD4"/>
    <w:rsid w:val="000E7189"/>
    <w:rsid w:val="000E727B"/>
    <w:rsid w:val="000E72EC"/>
    <w:rsid w:val="000E7409"/>
    <w:rsid w:val="000E7765"/>
    <w:rsid w:val="000F00BA"/>
    <w:rsid w:val="000F0417"/>
    <w:rsid w:val="000F048A"/>
    <w:rsid w:val="000F0B1E"/>
    <w:rsid w:val="000F1172"/>
    <w:rsid w:val="000F1413"/>
    <w:rsid w:val="000F22CD"/>
    <w:rsid w:val="000F23C8"/>
    <w:rsid w:val="000F2619"/>
    <w:rsid w:val="000F2A80"/>
    <w:rsid w:val="000F2F48"/>
    <w:rsid w:val="000F316A"/>
    <w:rsid w:val="000F328F"/>
    <w:rsid w:val="000F32C7"/>
    <w:rsid w:val="000F3372"/>
    <w:rsid w:val="000F3629"/>
    <w:rsid w:val="000F3718"/>
    <w:rsid w:val="000F3909"/>
    <w:rsid w:val="000F3C36"/>
    <w:rsid w:val="000F3C74"/>
    <w:rsid w:val="000F4189"/>
    <w:rsid w:val="000F4627"/>
    <w:rsid w:val="000F475B"/>
    <w:rsid w:val="000F4BB8"/>
    <w:rsid w:val="000F4FA9"/>
    <w:rsid w:val="000F5179"/>
    <w:rsid w:val="000F53FB"/>
    <w:rsid w:val="000F5595"/>
    <w:rsid w:val="000F5AC3"/>
    <w:rsid w:val="000F5C20"/>
    <w:rsid w:val="000F5F80"/>
    <w:rsid w:val="000F60BC"/>
    <w:rsid w:val="000F6193"/>
    <w:rsid w:val="000F62C5"/>
    <w:rsid w:val="000F659E"/>
    <w:rsid w:val="000F6A68"/>
    <w:rsid w:val="000F6D1A"/>
    <w:rsid w:val="000F6F9D"/>
    <w:rsid w:val="000F7127"/>
    <w:rsid w:val="000F7376"/>
    <w:rsid w:val="000F75C7"/>
    <w:rsid w:val="000F7958"/>
    <w:rsid w:val="000F7B54"/>
    <w:rsid w:val="000F7B8C"/>
    <w:rsid w:val="000F7CA0"/>
    <w:rsid w:val="001000B3"/>
    <w:rsid w:val="001008B6"/>
    <w:rsid w:val="001008F1"/>
    <w:rsid w:val="00100EBD"/>
    <w:rsid w:val="00100F8A"/>
    <w:rsid w:val="00101735"/>
    <w:rsid w:val="00101D65"/>
    <w:rsid w:val="00101E8D"/>
    <w:rsid w:val="00101EB2"/>
    <w:rsid w:val="00102041"/>
    <w:rsid w:val="001022C0"/>
    <w:rsid w:val="001027F0"/>
    <w:rsid w:val="00102C8D"/>
    <w:rsid w:val="00102DF0"/>
    <w:rsid w:val="00103632"/>
    <w:rsid w:val="001037B4"/>
    <w:rsid w:val="00103878"/>
    <w:rsid w:val="00103C87"/>
    <w:rsid w:val="00103EE2"/>
    <w:rsid w:val="00104248"/>
    <w:rsid w:val="0010452E"/>
    <w:rsid w:val="001046A0"/>
    <w:rsid w:val="001048FF"/>
    <w:rsid w:val="00104C74"/>
    <w:rsid w:val="00104D9E"/>
    <w:rsid w:val="001050E8"/>
    <w:rsid w:val="001055F0"/>
    <w:rsid w:val="00105AE2"/>
    <w:rsid w:val="00105C90"/>
    <w:rsid w:val="001060C6"/>
    <w:rsid w:val="0010638D"/>
    <w:rsid w:val="00106756"/>
    <w:rsid w:val="0010676A"/>
    <w:rsid w:val="00106B80"/>
    <w:rsid w:val="001073AA"/>
    <w:rsid w:val="0011002C"/>
    <w:rsid w:val="0011032E"/>
    <w:rsid w:val="0011036F"/>
    <w:rsid w:val="00110782"/>
    <w:rsid w:val="00110854"/>
    <w:rsid w:val="001118B8"/>
    <w:rsid w:val="00111AD4"/>
    <w:rsid w:val="001126F8"/>
    <w:rsid w:val="001129AE"/>
    <w:rsid w:val="00112B18"/>
    <w:rsid w:val="00112F59"/>
    <w:rsid w:val="00112F5E"/>
    <w:rsid w:val="001133A9"/>
    <w:rsid w:val="0011348B"/>
    <w:rsid w:val="00113713"/>
    <w:rsid w:val="00113AA4"/>
    <w:rsid w:val="00113C5F"/>
    <w:rsid w:val="00113FE5"/>
    <w:rsid w:val="001140EA"/>
    <w:rsid w:val="00114336"/>
    <w:rsid w:val="001152CB"/>
    <w:rsid w:val="001154AF"/>
    <w:rsid w:val="0011580B"/>
    <w:rsid w:val="00115982"/>
    <w:rsid w:val="00115B89"/>
    <w:rsid w:val="001167E5"/>
    <w:rsid w:val="0011688D"/>
    <w:rsid w:val="00116A1A"/>
    <w:rsid w:val="00116C53"/>
    <w:rsid w:val="0011743D"/>
    <w:rsid w:val="00117ABE"/>
    <w:rsid w:val="00117BDB"/>
    <w:rsid w:val="00117D3D"/>
    <w:rsid w:val="00117E1F"/>
    <w:rsid w:val="00117F69"/>
    <w:rsid w:val="00120644"/>
    <w:rsid w:val="00120957"/>
    <w:rsid w:val="00120963"/>
    <w:rsid w:val="00120B1A"/>
    <w:rsid w:val="00120C81"/>
    <w:rsid w:val="00120F09"/>
    <w:rsid w:val="00120F70"/>
    <w:rsid w:val="0012131C"/>
    <w:rsid w:val="00121390"/>
    <w:rsid w:val="001216E2"/>
    <w:rsid w:val="00121790"/>
    <w:rsid w:val="00121799"/>
    <w:rsid w:val="00121808"/>
    <w:rsid w:val="00121B16"/>
    <w:rsid w:val="00121D4A"/>
    <w:rsid w:val="001222FC"/>
    <w:rsid w:val="00122AE3"/>
    <w:rsid w:val="00122E22"/>
    <w:rsid w:val="0012326D"/>
    <w:rsid w:val="001232B0"/>
    <w:rsid w:val="001234B9"/>
    <w:rsid w:val="001236CA"/>
    <w:rsid w:val="00123902"/>
    <w:rsid w:val="0012422B"/>
    <w:rsid w:val="0012447F"/>
    <w:rsid w:val="0012461D"/>
    <w:rsid w:val="0012497B"/>
    <w:rsid w:val="001249FD"/>
    <w:rsid w:val="00124A51"/>
    <w:rsid w:val="00124E7F"/>
    <w:rsid w:val="00124E97"/>
    <w:rsid w:val="0012509B"/>
    <w:rsid w:val="0012531B"/>
    <w:rsid w:val="00125605"/>
    <w:rsid w:val="00125621"/>
    <w:rsid w:val="00125837"/>
    <w:rsid w:val="00125B9F"/>
    <w:rsid w:val="00125C4B"/>
    <w:rsid w:val="00125E7B"/>
    <w:rsid w:val="001262DF"/>
    <w:rsid w:val="001265A9"/>
    <w:rsid w:val="00126621"/>
    <w:rsid w:val="00126932"/>
    <w:rsid w:val="00126B1D"/>
    <w:rsid w:val="00126BA0"/>
    <w:rsid w:val="00126C6E"/>
    <w:rsid w:val="00126D7D"/>
    <w:rsid w:val="00127133"/>
    <w:rsid w:val="00127171"/>
    <w:rsid w:val="00127176"/>
    <w:rsid w:val="0012784A"/>
    <w:rsid w:val="00127893"/>
    <w:rsid w:val="001279D7"/>
    <w:rsid w:val="00127D37"/>
    <w:rsid w:val="001301E9"/>
    <w:rsid w:val="00130387"/>
    <w:rsid w:val="00130422"/>
    <w:rsid w:val="00130EE8"/>
    <w:rsid w:val="00130F1B"/>
    <w:rsid w:val="001314FA"/>
    <w:rsid w:val="001315E9"/>
    <w:rsid w:val="0013179B"/>
    <w:rsid w:val="00131A85"/>
    <w:rsid w:val="00131D82"/>
    <w:rsid w:val="00131F51"/>
    <w:rsid w:val="00132498"/>
    <w:rsid w:val="00132A61"/>
    <w:rsid w:val="00132B22"/>
    <w:rsid w:val="00132CF6"/>
    <w:rsid w:val="00132CFB"/>
    <w:rsid w:val="00132D11"/>
    <w:rsid w:val="001330B2"/>
    <w:rsid w:val="0013374E"/>
    <w:rsid w:val="001338E6"/>
    <w:rsid w:val="00133A09"/>
    <w:rsid w:val="00133D36"/>
    <w:rsid w:val="00134138"/>
    <w:rsid w:val="001343CE"/>
    <w:rsid w:val="001344CD"/>
    <w:rsid w:val="001345AE"/>
    <w:rsid w:val="00134A09"/>
    <w:rsid w:val="0013547E"/>
    <w:rsid w:val="00135E31"/>
    <w:rsid w:val="00136895"/>
    <w:rsid w:val="001368A7"/>
    <w:rsid w:val="0013699F"/>
    <w:rsid w:val="0013704B"/>
    <w:rsid w:val="00137242"/>
    <w:rsid w:val="00137645"/>
    <w:rsid w:val="00137657"/>
    <w:rsid w:val="001376A9"/>
    <w:rsid w:val="00137947"/>
    <w:rsid w:val="0014015A"/>
    <w:rsid w:val="00140241"/>
    <w:rsid w:val="001403C7"/>
    <w:rsid w:val="00140A40"/>
    <w:rsid w:val="00140BA8"/>
    <w:rsid w:val="00140E99"/>
    <w:rsid w:val="00141830"/>
    <w:rsid w:val="00141C50"/>
    <w:rsid w:val="00141D7B"/>
    <w:rsid w:val="00141DDE"/>
    <w:rsid w:val="001422DB"/>
    <w:rsid w:val="00142383"/>
    <w:rsid w:val="00142A57"/>
    <w:rsid w:val="00142EA6"/>
    <w:rsid w:val="0014307A"/>
    <w:rsid w:val="001435BA"/>
    <w:rsid w:val="001436CD"/>
    <w:rsid w:val="00143A53"/>
    <w:rsid w:val="00143DCC"/>
    <w:rsid w:val="00143E50"/>
    <w:rsid w:val="00143F67"/>
    <w:rsid w:val="0014405C"/>
    <w:rsid w:val="0014424B"/>
    <w:rsid w:val="001443C6"/>
    <w:rsid w:val="00144426"/>
    <w:rsid w:val="0014504B"/>
    <w:rsid w:val="0014508E"/>
    <w:rsid w:val="00145234"/>
    <w:rsid w:val="001452EF"/>
    <w:rsid w:val="001452F0"/>
    <w:rsid w:val="00145424"/>
    <w:rsid w:val="00145540"/>
    <w:rsid w:val="001456B0"/>
    <w:rsid w:val="00147201"/>
    <w:rsid w:val="00147547"/>
    <w:rsid w:val="0014765F"/>
    <w:rsid w:val="0014775B"/>
    <w:rsid w:val="001477D9"/>
    <w:rsid w:val="00147D4D"/>
    <w:rsid w:val="00150327"/>
    <w:rsid w:val="0015077F"/>
    <w:rsid w:val="00150EB3"/>
    <w:rsid w:val="00150F49"/>
    <w:rsid w:val="00151570"/>
    <w:rsid w:val="00151715"/>
    <w:rsid w:val="001519B3"/>
    <w:rsid w:val="00151AA4"/>
    <w:rsid w:val="001524B8"/>
    <w:rsid w:val="00152AE8"/>
    <w:rsid w:val="00152C99"/>
    <w:rsid w:val="00152DDC"/>
    <w:rsid w:val="00152E5F"/>
    <w:rsid w:val="00152F81"/>
    <w:rsid w:val="00153279"/>
    <w:rsid w:val="001536BA"/>
    <w:rsid w:val="0015419F"/>
    <w:rsid w:val="001541F2"/>
    <w:rsid w:val="00154444"/>
    <w:rsid w:val="00154450"/>
    <w:rsid w:val="001547AB"/>
    <w:rsid w:val="001549E2"/>
    <w:rsid w:val="00154FFB"/>
    <w:rsid w:val="00155C5B"/>
    <w:rsid w:val="00155DF9"/>
    <w:rsid w:val="00155E48"/>
    <w:rsid w:val="00156444"/>
    <w:rsid w:val="00156516"/>
    <w:rsid w:val="00156A38"/>
    <w:rsid w:val="00156F8F"/>
    <w:rsid w:val="00156FD3"/>
    <w:rsid w:val="00157028"/>
    <w:rsid w:val="00157130"/>
    <w:rsid w:val="001572E6"/>
    <w:rsid w:val="001575D4"/>
    <w:rsid w:val="00157600"/>
    <w:rsid w:val="001576B1"/>
    <w:rsid w:val="00157BFE"/>
    <w:rsid w:val="00157DED"/>
    <w:rsid w:val="00157E48"/>
    <w:rsid w:val="001601B4"/>
    <w:rsid w:val="001602F7"/>
    <w:rsid w:val="0016047B"/>
    <w:rsid w:val="001604FF"/>
    <w:rsid w:val="00160A4C"/>
    <w:rsid w:val="001610C9"/>
    <w:rsid w:val="001610E7"/>
    <w:rsid w:val="0016111A"/>
    <w:rsid w:val="001611C1"/>
    <w:rsid w:val="0016121F"/>
    <w:rsid w:val="0016122C"/>
    <w:rsid w:val="00161539"/>
    <w:rsid w:val="00161791"/>
    <w:rsid w:val="001618E6"/>
    <w:rsid w:val="001622B1"/>
    <w:rsid w:val="00162809"/>
    <w:rsid w:val="00162913"/>
    <w:rsid w:val="00162BA8"/>
    <w:rsid w:val="00162EEA"/>
    <w:rsid w:val="001631F4"/>
    <w:rsid w:val="00163340"/>
    <w:rsid w:val="001634CB"/>
    <w:rsid w:val="00163528"/>
    <w:rsid w:val="00163A6C"/>
    <w:rsid w:val="00163AC2"/>
    <w:rsid w:val="00163AFE"/>
    <w:rsid w:val="00163C32"/>
    <w:rsid w:val="00163EFF"/>
    <w:rsid w:val="00163F66"/>
    <w:rsid w:val="0016478E"/>
    <w:rsid w:val="00164854"/>
    <w:rsid w:val="00164A5E"/>
    <w:rsid w:val="00164A7F"/>
    <w:rsid w:val="00164CC1"/>
    <w:rsid w:val="00164F0D"/>
    <w:rsid w:val="00165390"/>
    <w:rsid w:val="00165758"/>
    <w:rsid w:val="0016591C"/>
    <w:rsid w:val="00165931"/>
    <w:rsid w:val="00165C33"/>
    <w:rsid w:val="00165EC4"/>
    <w:rsid w:val="00166029"/>
    <w:rsid w:val="001661B0"/>
    <w:rsid w:val="001661B4"/>
    <w:rsid w:val="001661FB"/>
    <w:rsid w:val="001665D3"/>
    <w:rsid w:val="001669C8"/>
    <w:rsid w:val="00166BB2"/>
    <w:rsid w:val="00166D49"/>
    <w:rsid w:val="00166E15"/>
    <w:rsid w:val="00166E4C"/>
    <w:rsid w:val="001671A0"/>
    <w:rsid w:val="001674BB"/>
    <w:rsid w:val="0016767F"/>
    <w:rsid w:val="00167F70"/>
    <w:rsid w:val="00170476"/>
    <w:rsid w:val="0017063B"/>
    <w:rsid w:val="00170C42"/>
    <w:rsid w:val="00170F90"/>
    <w:rsid w:val="001711D4"/>
    <w:rsid w:val="0017155B"/>
    <w:rsid w:val="001719BC"/>
    <w:rsid w:val="00171A40"/>
    <w:rsid w:val="00171D1D"/>
    <w:rsid w:val="00171FA8"/>
    <w:rsid w:val="0017200D"/>
    <w:rsid w:val="001722A3"/>
    <w:rsid w:val="001729BC"/>
    <w:rsid w:val="00172E31"/>
    <w:rsid w:val="0017312D"/>
    <w:rsid w:val="001733BA"/>
    <w:rsid w:val="001734E5"/>
    <w:rsid w:val="00173565"/>
    <w:rsid w:val="00173789"/>
    <w:rsid w:val="001737DC"/>
    <w:rsid w:val="00173B07"/>
    <w:rsid w:val="00173C11"/>
    <w:rsid w:val="00173C31"/>
    <w:rsid w:val="00173DEF"/>
    <w:rsid w:val="00173EBA"/>
    <w:rsid w:val="001744E8"/>
    <w:rsid w:val="001749E7"/>
    <w:rsid w:val="00174FDD"/>
    <w:rsid w:val="001751FA"/>
    <w:rsid w:val="0017543B"/>
    <w:rsid w:val="001755FB"/>
    <w:rsid w:val="0017586A"/>
    <w:rsid w:val="001758D9"/>
    <w:rsid w:val="00175AF4"/>
    <w:rsid w:val="00175CC3"/>
    <w:rsid w:val="00175EFB"/>
    <w:rsid w:val="001764DC"/>
    <w:rsid w:val="001765CD"/>
    <w:rsid w:val="001765CE"/>
    <w:rsid w:val="00176803"/>
    <w:rsid w:val="00176C71"/>
    <w:rsid w:val="00177068"/>
    <w:rsid w:val="0017706D"/>
    <w:rsid w:val="00177435"/>
    <w:rsid w:val="001774F4"/>
    <w:rsid w:val="00177B54"/>
    <w:rsid w:val="00177C76"/>
    <w:rsid w:val="0018011B"/>
    <w:rsid w:val="00180316"/>
    <w:rsid w:val="001803DC"/>
    <w:rsid w:val="0018072B"/>
    <w:rsid w:val="00180768"/>
    <w:rsid w:val="001807C0"/>
    <w:rsid w:val="00181047"/>
    <w:rsid w:val="001817CE"/>
    <w:rsid w:val="001817E8"/>
    <w:rsid w:val="00181B1A"/>
    <w:rsid w:val="00181C10"/>
    <w:rsid w:val="00181D9C"/>
    <w:rsid w:val="00181E2F"/>
    <w:rsid w:val="00181FCD"/>
    <w:rsid w:val="0018221C"/>
    <w:rsid w:val="00182CC5"/>
    <w:rsid w:val="00182CF5"/>
    <w:rsid w:val="00182DFC"/>
    <w:rsid w:val="00183724"/>
    <w:rsid w:val="001837FF"/>
    <w:rsid w:val="00183817"/>
    <w:rsid w:val="0018384C"/>
    <w:rsid w:val="00183E22"/>
    <w:rsid w:val="00184276"/>
    <w:rsid w:val="001844B9"/>
    <w:rsid w:val="001844F6"/>
    <w:rsid w:val="00184577"/>
    <w:rsid w:val="0018470C"/>
    <w:rsid w:val="00184920"/>
    <w:rsid w:val="00184A49"/>
    <w:rsid w:val="00184B0E"/>
    <w:rsid w:val="001853F3"/>
    <w:rsid w:val="0018543D"/>
    <w:rsid w:val="00185774"/>
    <w:rsid w:val="0018593A"/>
    <w:rsid w:val="00185DEB"/>
    <w:rsid w:val="00186032"/>
    <w:rsid w:val="00186B48"/>
    <w:rsid w:val="00186C77"/>
    <w:rsid w:val="00186DA6"/>
    <w:rsid w:val="00186EB6"/>
    <w:rsid w:val="001874BB"/>
    <w:rsid w:val="0018752F"/>
    <w:rsid w:val="00187E38"/>
    <w:rsid w:val="00187E73"/>
    <w:rsid w:val="001902AE"/>
    <w:rsid w:val="00190695"/>
    <w:rsid w:val="0019076F"/>
    <w:rsid w:val="0019092F"/>
    <w:rsid w:val="00190E1F"/>
    <w:rsid w:val="00191559"/>
    <w:rsid w:val="001919E9"/>
    <w:rsid w:val="001920DE"/>
    <w:rsid w:val="001922DC"/>
    <w:rsid w:val="001924A1"/>
    <w:rsid w:val="001927F5"/>
    <w:rsid w:val="00192E3D"/>
    <w:rsid w:val="001933DD"/>
    <w:rsid w:val="0019365A"/>
    <w:rsid w:val="00193838"/>
    <w:rsid w:val="00193A33"/>
    <w:rsid w:val="00193A41"/>
    <w:rsid w:val="00193A4F"/>
    <w:rsid w:val="00193DA3"/>
    <w:rsid w:val="001947ED"/>
    <w:rsid w:val="00194AD8"/>
    <w:rsid w:val="00194AE9"/>
    <w:rsid w:val="00195222"/>
    <w:rsid w:val="001952BC"/>
    <w:rsid w:val="00195452"/>
    <w:rsid w:val="00195812"/>
    <w:rsid w:val="001963C1"/>
    <w:rsid w:val="00196494"/>
    <w:rsid w:val="001964FB"/>
    <w:rsid w:val="00196691"/>
    <w:rsid w:val="0019692F"/>
    <w:rsid w:val="00196EC6"/>
    <w:rsid w:val="001975D8"/>
    <w:rsid w:val="00197AE6"/>
    <w:rsid w:val="001A01C1"/>
    <w:rsid w:val="001A04AF"/>
    <w:rsid w:val="001A0ECD"/>
    <w:rsid w:val="001A0F08"/>
    <w:rsid w:val="001A127C"/>
    <w:rsid w:val="001A1487"/>
    <w:rsid w:val="001A1584"/>
    <w:rsid w:val="001A1721"/>
    <w:rsid w:val="001A178E"/>
    <w:rsid w:val="001A193E"/>
    <w:rsid w:val="001A1A8E"/>
    <w:rsid w:val="001A1AE6"/>
    <w:rsid w:val="001A236A"/>
    <w:rsid w:val="001A248C"/>
    <w:rsid w:val="001A2652"/>
    <w:rsid w:val="001A26A7"/>
    <w:rsid w:val="001A3359"/>
    <w:rsid w:val="001A336C"/>
    <w:rsid w:val="001A3787"/>
    <w:rsid w:val="001A3ED3"/>
    <w:rsid w:val="001A4062"/>
    <w:rsid w:val="001A41E3"/>
    <w:rsid w:val="001A421F"/>
    <w:rsid w:val="001A4318"/>
    <w:rsid w:val="001A43FA"/>
    <w:rsid w:val="001A4750"/>
    <w:rsid w:val="001A47C5"/>
    <w:rsid w:val="001A4A0B"/>
    <w:rsid w:val="001A4B4D"/>
    <w:rsid w:val="001A4E2C"/>
    <w:rsid w:val="001A5460"/>
    <w:rsid w:val="001A5761"/>
    <w:rsid w:val="001A59FB"/>
    <w:rsid w:val="001A5BB8"/>
    <w:rsid w:val="001A5E9E"/>
    <w:rsid w:val="001A6354"/>
    <w:rsid w:val="001A6366"/>
    <w:rsid w:val="001A67F4"/>
    <w:rsid w:val="001A70F8"/>
    <w:rsid w:val="001A73FF"/>
    <w:rsid w:val="001A7AD3"/>
    <w:rsid w:val="001A7AE8"/>
    <w:rsid w:val="001A7C70"/>
    <w:rsid w:val="001A7E41"/>
    <w:rsid w:val="001B029F"/>
    <w:rsid w:val="001B039E"/>
    <w:rsid w:val="001B0588"/>
    <w:rsid w:val="001B0891"/>
    <w:rsid w:val="001B0BB3"/>
    <w:rsid w:val="001B0BDF"/>
    <w:rsid w:val="001B0EA2"/>
    <w:rsid w:val="001B15AC"/>
    <w:rsid w:val="001B162C"/>
    <w:rsid w:val="001B171A"/>
    <w:rsid w:val="001B1A4B"/>
    <w:rsid w:val="001B1C43"/>
    <w:rsid w:val="001B1CA6"/>
    <w:rsid w:val="001B204E"/>
    <w:rsid w:val="001B2372"/>
    <w:rsid w:val="001B2D7F"/>
    <w:rsid w:val="001B3319"/>
    <w:rsid w:val="001B3443"/>
    <w:rsid w:val="001B38C5"/>
    <w:rsid w:val="001B3A7B"/>
    <w:rsid w:val="001B3ACD"/>
    <w:rsid w:val="001B3C4F"/>
    <w:rsid w:val="001B4045"/>
    <w:rsid w:val="001B418C"/>
    <w:rsid w:val="001B4495"/>
    <w:rsid w:val="001B45D5"/>
    <w:rsid w:val="001B4615"/>
    <w:rsid w:val="001B472D"/>
    <w:rsid w:val="001B4A9E"/>
    <w:rsid w:val="001B4B81"/>
    <w:rsid w:val="001B4D20"/>
    <w:rsid w:val="001B5160"/>
    <w:rsid w:val="001B5228"/>
    <w:rsid w:val="001B5278"/>
    <w:rsid w:val="001B5640"/>
    <w:rsid w:val="001B5A60"/>
    <w:rsid w:val="001B5C2D"/>
    <w:rsid w:val="001B5C9C"/>
    <w:rsid w:val="001B5E23"/>
    <w:rsid w:val="001B6632"/>
    <w:rsid w:val="001B66ED"/>
    <w:rsid w:val="001B6922"/>
    <w:rsid w:val="001B6DD1"/>
    <w:rsid w:val="001B70FF"/>
    <w:rsid w:val="001B710B"/>
    <w:rsid w:val="001B71DC"/>
    <w:rsid w:val="001B74C8"/>
    <w:rsid w:val="001B76DB"/>
    <w:rsid w:val="001B7B5A"/>
    <w:rsid w:val="001B7EB2"/>
    <w:rsid w:val="001B7F84"/>
    <w:rsid w:val="001B7FF4"/>
    <w:rsid w:val="001C0197"/>
    <w:rsid w:val="001C0790"/>
    <w:rsid w:val="001C08AD"/>
    <w:rsid w:val="001C19F8"/>
    <w:rsid w:val="001C2325"/>
    <w:rsid w:val="001C25B8"/>
    <w:rsid w:val="001C272F"/>
    <w:rsid w:val="001C2929"/>
    <w:rsid w:val="001C2A9B"/>
    <w:rsid w:val="001C2C5D"/>
    <w:rsid w:val="001C2D0B"/>
    <w:rsid w:val="001C300E"/>
    <w:rsid w:val="001C30B9"/>
    <w:rsid w:val="001C330E"/>
    <w:rsid w:val="001C373B"/>
    <w:rsid w:val="001C3DD2"/>
    <w:rsid w:val="001C3DD6"/>
    <w:rsid w:val="001C3F18"/>
    <w:rsid w:val="001C419E"/>
    <w:rsid w:val="001C4299"/>
    <w:rsid w:val="001C4341"/>
    <w:rsid w:val="001C4404"/>
    <w:rsid w:val="001C486A"/>
    <w:rsid w:val="001C4874"/>
    <w:rsid w:val="001C4CF7"/>
    <w:rsid w:val="001C5E50"/>
    <w:rsid w:val="001C5F94"/>
    <w:rsid w:val="001C6171"/>
    <w:rsid w:val="001C61D3"/>
    <w:rsid w:val="001C6239"/>
    <w:rsid w:val="001C630A"/>
    <w:rsid w:val="001C68DA"/>
    <w:rsid w:val="001C6ABD"/>
    <w:rsid w:val="001C6D50"/>
    <w:rsid w:val="001C6E66"/>
    <w:rsid w:val="001C6F9D"/>
    <w:rsid w:val="001C7051"/>
    <w:rsid w:val="001C7371"/>
    <w:rsid w:val="001C73DD"/>
    <w:rsid w:val="001C747F"/>
    <w:rsid w:val="001C7765"/>
    <w:rsid w:val="001C7D6E"/>
    <w:rsid w:val="001C7F68"/>
    <w:rsid w:val="001D01C8"/>
    <w:rsid w:val="001D04D4"/>
    <w:rsid w:val="001D066F"/>
    <w:rsid w:val="001D0A00"/>
    <w:rsid w:val="001D0A0C"/>
    <w:rsid w:val="001D0B38"/>
    <w:rsid w:val="001D0DFF"/>
    <w:rsid w:val="001D1100"/>
    <w:rsid w:val="001D1338"/>
    <w:rsid w:val="001D1391"/>
    <w:rsid w:val="001D1AD8"/>
    <w:rsid w:val="001D244A"/>
    <w:rsid w:val="001D25D7"/>
    <w:rsid w:val="001D27C4"/>
    <w:rsid w:val="001D2C6C"/>
    <w:rsid w:val="001D32D9"/>
    <w:rsid w:val="001D3366"/>
    <w:rsid w:val="001D33E7"/>
    <w:rsid w:val="001D3B3F"/>
    <w:rsid w:val="001D3B7F"/>
    <w:rsid w:val="001D3F59"/>
    <w:rsid w:val="001D42E3"/>
    <w:rsid w:val="001D4317"/>
    <w:rsid w:val="001D4371"/>
    <w:rsid w:val="001D46D3"/>
    <w:rsid w:val="001D475A"/>
    <w:rsid w:val="001D47F6"/>
    <w:rsid w:val="001D4E4C"/>
    <w:rsid w:val="001D50B2"/>
    <w:rsid w:val="001D6275"/>
    <w:rsid w:val="001D630B"/>
    <w:rsid w:val="001D6654"/>
    <w:rsid w:val="001D69DC"/>
    <w:rsid w:val="001D6B41"/>
    <w:rsid w:val="001D6E94"/>
    <w:rsid w:val="001D6F94"/>
    <w:rsid w:val="001D7065"/>
    <w:rsid w:val="001D71F4"/>
    <w:rsid w:val="001D73AA"/>
    <w:rsid w:val="001D7413"/>
    <w:rsid w:val="001D7508"/>
    <w:rsid w:val="001D75D8"/>
    <w:rsid w:val="001D7645"/>
    <w:rsid w:val="001D78D4"/>
    <w:rsid w:val="001D79D3"/>
    <w:rsid w:val="001E0427"/>
    <w:rsid w:val="001E076F"/>
    <w:rsid w:val="001E078D"/>
    <w:rsid w:val="001E0A96"/>
    <w:rsid w:val="001E0C28"/>
    <w:rsid w:val="001E1638"/>
    <w:rsid w:val="001E1B42"/>
    <w:rsid w:val="001E1BAD"/>
    <w:rsid w:val="001E1BCD"/>
    <w:rsid w:val="001E1C65"/>
    <w:rsid w:val="001E1E86"/>
    <w:rsid w:val="001E1F4D"/>
    <w:rsid w:val="001E20FF"/>
    <w:rsid w:val="001E238E"/>
    <w:rsid w:val="001E2483"/>
    <w:rsid w:val="001E26C1"/>
    <w:rsid w:val="001E28CD"/>
    <w:rsid w:val="001E2B1E"/>
    <w:rsid w:val="001E2B65"/>
    <w:rsid w:val="001E2CFB"/>
    <w:rsid w:val="001E2CFF"/>
    <w:rsid w:val="001E2EFE"/>
    <w:rsid w:val="001E2F24"/>
    <w:rsid w:val="001E30D4"/>
    <w:rsid w:val="001E3416"/>
    <w:rsid w:val="001E34DF"/>
    <w:rsid w:val="001E37CE"/>
    <w:rsid w:val="001E3BDC"/>
    <w:rsid w:val="001E4438"/>
    <w:rsid w:val="001E452B"/>
    <w:rsid w:val="001E4616"/>
    <w:rsid w:val="001E48FD"/>
    <w:rsid w:val="001E4AB5"/>
    <w:rsid w:val="001E4B5B"/>
    <w:rsid w:val="001E4E78"/>
    <w:rsid w:val="001E52EB"/>
    <w:rsid w:val="001E5304"/>
    <w:rsid w:val="001E5647"/>
    <w:rsid w:val="001E5708"/>
    <w:rsid w:val="001E5B06"/>
    <w:rsid w:val="001E5E4E"/>
    <w:rsid w:val="001E61D2"/>
    <w:rsid w:val="001E6B7E"/>
    <w:rsid w:val="001E6E0D"/>
    <w:rsid w:val="001E6E2B"/>
    <w:rsid w:val="001E72AF"/>
    <w:rsid w:val="001E731F"/>
    <w:rsid w:val="001E740C"/>
    <w:rsid w:val="001E78FB"/>
    <w:rsid w:val="001E7972"/>
    <w:rsid w:val="001E7A03"/>
    <w:rsid w:val="001E7ACD"/>
    <w:rsid w:val="001E7CF7"/>
    <w:rsid w:val="001F0285"/>
    <w:rsid w:val="001F02D1"/>
    <w:rsid w:val="001F0911"/>
    <w:rsid w:val="001F0ACC"/>
    <w:rsid w:val="001F0B5C"/>
    <w:rsid w:val="001F0B7F"/>
    <w:rsid w:val="001F0E0A"/>
    <w:rsid w:val="001F0E36"/>
    <w:rsid w:val="001F1235"/>
    <w:rsid w:val="001F124D"/>
    <w:rsid w:val="001F192F"/>
    <w:rsid w:val="001F1CB3"/>
    <w:rsid w:val="001F1CE5"/>
    <w:rsid w:val="001F204D"/>
    <w:rsid w:val="001F24AA"/>
    <w:rsid w:val="001F254D"/>
    <w:rsid w:val="001F269A"/>
    <w:rsid w:val="001F2922"/>
    <w:rsid w:val="001F2DA5"/>
    <w:rsid w:val="001F2DAC"/>
    <w:rsid w:val="001F2F10"/>
    <w:rsid w:val="001F2F93"/>
    <w:rsid w:val="001F344C"/>
    <w:rsid w:val="001F3578"/>
    <w:rsid w:val="001F3618"/>
    <w:rsid w:val="001F367E"/>
    <w:rsid w:val="001F37BF"/>
    <w:rsid w:val="001F38B5"/>
    <w:rsid w:val="001F3A42"/>
    <w:rsid w:val="001F3AE0"/>
    <w:rsid w:val="001F3DCF"/>
    <w:rsid w:val="001F3E4A"/>
    <w:rsid w:val="001F4081"/>
    <w:rsid w:val="001F46BF"/>
    <w:rsid w:val="001F4A88"/>
    <w:rsid w:val="001F4CDE"/>
    <w:rsid w:val="001F4D47"/>
    <w:rsid w:val="001F53AE"/>
    <w:rsid w:val="001F59BC"/>
    <w:rsid w:val="001F5AF5"/>
    <w:rsid w:val="001F5B75"/>
    <w:rsid w:val="001F5D14"/>
    <w:rsid w:val="001F5E49"/>
    <w:rsid w:val="001F61AC"/>
    <w:rsid w:val="001F6237"/>
    <w:rsid w:val="001F62D7"/>
    <w:rsid w:val="001F6E1A"/>
    <w:rsid w:val="001F6F3B"/>
    <w:rsid w:val="001F6F44"/>
    <w:rsid w:val="001F6FC9"/>
    <w:rsid w:val="001F735E"/>
    <w:rsid w:val="001F7361"/>
    <w:rsid w:val="001F7618"/>
    <w:rsid w:val="001F78E5"/>
    <w:rsid w:val="001F7A1F"/>
    <w:rsid w:val="001F7AF1"/>
    <w:rsid w:val="001F7F68"/>
    <w:rsid w:val="002001F8"/>
    <w:rsid w:val="002002F0"/>
    <w:rsid w:val="00200483"/>
    <w:rsid w:val="0020086C"/>
    <w:rsid w:val="002008B4"/>
    <w:rsid w:val="002011B0"/>
    <w:rsid w:val="00201937"/>
    <w:rsid w:val="00201A52"/>
    <w:rsid w:val="00202252"/>
    <w:rsid w:val="00202866"/>
    <w:rsid w:val="00202C09"/>
    <w:rsid w:val="0020300F"/>
    <w:rsid w:val="002030CB"/>
    <w:rsid w:val="00203181"/>
    <w:rsid w:val="00203783"/>
    <w:rsid w:val="0020385F"/>
    <w:rsid w:val="00203AB2"/>
    <w:rsid w:val="00203B71"/>
    <w:rsid w:val="00203EBA"/>
    <w:rsid w:val="00204138"/>
    <w:rsid w:val="00204A13"/>
    <w:rsid w:val="00204ACE"/>
    <w:rsid w:val="00204BA8"/>
    <w:rsid w:val="00204E1F"/>
    <w:rsid w:val="0020500D"/>
    <w:rsid w:val="00205390"/>
    <w:rsid w:val="002054B4"/>
    <w:rsid w:val="00205815"/>
    <w:rsid w:val="00205A6D"/>
    <w:rsid w:val="00205C24"/>
    <w:rsid w:val="00205D10"/>
    <w:rsid w:val="00206523"/>
    <w:rsid w:val="002068A0"/>
    <w:rsid w:val="0020694D"/>
    <w:rsid w:val="002069FC"/>
    <w:rsid w:val="00206AE9"/>
    <w:rsid w:val="00207021"/>
    <w:rsid w:val="0020732F"/>
    <w:rsid w:val="002073C0"/>
    <w:rsid w:val="00207C04"/>
    <w:rsid w:val="00207C56"/>
    <w:rsid w:val="00207D00"/>
    <w:rsid w:val="00207D27"/>
    <w:rsid w:val="002101BC"/>
    <w:rsid w:val="002102B6"/>
    <w:rsid w:val="002105C1"/>
    <w:rsid w:val="00210763"/>
    <w:rsid w:val="00210EED"/>
    <w:rsid w:val="002116D1"/>
    <w:rsid w:val="002116FD"/>
    <w:rsid w:val="00211834"/>
    <w:rsid w:val="00211C14"/>
    <w:rsid w:val="00211E2B"/>
    <w:rsid w:val="0021256A"/>
    <w:rsid w:val="00213028"/>
    <w:rsid w:val="002132C6"/>
    <w:rsid w:val="00213547"/>
    <w:rsid w:val="00213753"/>
    <w:rsid w:val="00213DD6"/>
    <w:rsid w:val="00213EF5"/>
    <w:rsid w:val="0021435D"/>
    <w:rsid w:val="002147A5"/>
    <w:rsid w:val="00214900"/>
    <w:rsid w:val="00214920"/>
    <w:rsid w:val="00214929"/>
    <w:rsid w:val="00214F69"/>
    <w:rsid w:val="00214FD9"/>
    <w:rsid w:val="00214FF5"/>
    <w:rsid w:val="00215212"/>
    <w:rsid w:val="0021524C"/>
    <w:rsid w:val="00215930"/>
    <w:rsid w:val="00216393"/>
    <w:rsid w:val="002165B1"/>
    <w:rsid w:val="00216788"/>
    <w:rsid w:val="00216BF5"/>
    <w:rsid w:val="0021720F"/>
    <w:rsid w:val="00217269"/>
    <w:rsid w:val="002174EA"/>
    <w:rsid w:val="00217A3B"/>
    <w:rsid w:val="00217F16"/>
    <w:rsid w:val="0022006B"/>
    <w:rsid w:val="00220088"/>
    <w:rsid w:val="00220506"/>
    <w:rsid w:val="0022052C"/>
    <w:rsid w:val="002206D6"/>
    <w:rsid w:val="0022078C"/>
    <w:rsid w:val="0022090B"/>
    <w:rsid w:val="00220ABE"/>
    <w:rsid w:val="00221051"/>
    <w:rsid w:val="00221947"/>
    <w:rsid w:val="00221A86"/>
    <w:rsid w:val="00222492"/>
    <w:rsid w:val="002224E0"/>
    <w:rsid w:val="00222E80"/>
    <w:rsid w:val="002233EB"/>
    <w:rsid w:val="0022373D"/>
    <w:rsid w:val="0022390B"/>
    <w:rsid w:val="00223B49"/>
    <w:rsid w:val="00223D5A"/>
    <w:rsid w:val="00224866"/>
    <w:rsid w:val="00224C73"/>
    <w:rsid w:val="00224DD4"/>
    <w:rsid w:val="002251CB"/>
    <w:rsid w:val="002252E6"/>
    <w:rsid w:val="002255DA"/>
    <w:rsid w:val="002255EF"/>
    <w:rsid w:val="0022566D"/>
    <w:rsid w:val="00225934"/>
    <w:rsid w:val="00225E70"/>
    <w:rsid w:val="00225E8D"/>
    <w:rsid w:val="002261DC"/>
    <w:rsid w:val="002267CD"/>
    <w:rsid w:val="002267D0"/>
    <w:rsid w:val="00226AC7"/>
    <w:rsid w:val="002274B1"/>
    <w:rsid w:val="002275F2"/>
    <w:rsid w:val="002278A0"/>
    <w:rsid w:val="00227A89"/>
    <w:rsid w:val="0023021D"/>
    <w:rsid w:val="002303D4"/>
    <w:rsid w:val="00230936"/>
    <w:rsid w:val="002309CC"/>
    <w:rsid w:val="002309EF"/>
    <w:rsid w:val="00230F56"/>
    <w:rsid w:val="00231358"/>
    <w:rsid w:val="002314E0"/>
    <w:rsid w:val="002317BB"/>
    <w:rsid w:val="0023193E"/>
    <w:rsid w:val="00231BA9"/>
    <w:rsid w:val="00231FCB"/>
    <w:rsid w:val="00232099"/>
    <w:rsid w:val="0023209F"/>
    <w:rsid w:val="00232131"/>
    <w:rsid w:val="002323CF"/>
    <w:rsid w:val="00232469"/>
    <w:rsid w:val="002324CB"/>
    <w:rsid w:val="002333E0"/>
    <w:rsid w:val="0023351D"/>
    <w:rsid w:val="0023354A"/>
    <w:rsid w:val="00233838"/>
    <w:rsid w:val="00233A2E"/>
    <w:rsid w:val="00233C01"/>
    <w:rsid w:val="0023413C"/>
    <w:rsid w:val="0023424D"/>
    <w:rsid w:val="002342DA"/>
    <w:rsid w:val="002343B7"/>
    <w:rsid w:val="002344BA"/>
    <w:rsid w:val="0023453F"/>
    <w:rsid w:val="00234609"/>
    <w:rsid w:val="002346F0"/>
    <w:rsid w:val="00234F2C"/>
    <w:rsid w:val="00234F81"/>
    <w:rsid w:val="00235039"/>
    <w:rsid w:val="002353D4"/>
    <w:rsid w:val="00235473"/>
    <w:rsid w:val="002354FE"/>
    <w:rsid w:val="002355E4"/>
    <w:rsid w:val="002356D0"/>
    <w:rsid w:val="0023578E"/>
    <w:rsid w:val="0023594B"/>
    <w:rsid w:val="00235A3F"/>
    <w:rsid w:val="00235DE4"/>
    <w:rsid w:val="00235E3E"/>
    <w:rsid w:val="0023606C"/>
    <w:rsid w:val="00236154"/>
    <w:rsid w:val="0023623A"/>
    <w:rsid w:val="0023629D"/>
    <w:rsid w:val="002363ED"/>
    <w:rsid w:val="0023641C"/>
    <w:rsid w:val="00236426"/>
    <w:rsid w:val="002364C3"/>
    <w:rsid w:val="0023671C"/>
    <w:rsid w:val="00236C99"/>
    <w:rsid w:val="00236CB5"/>
    <w:rsid w:val="00236D22"/>
    <w:rsid w:val="00237224"/>
    <w:rsid w:val="00237255"/>
    <w:rsid w:val="002375F1"/>
    <w:rsid w:val="00237647"/>
    <w:rsid w:val="00240B1C"/>
    <w:rsid w:val="00240C42"/>
    <w:rsid w:val="00240D41"/>
    <w:rsid w:val="00240FB6"/>
    <w:rsid w:val="0024139C"/>
    <w:rsid w:val="0024146C"/>
    <w:rsid w:val="00241697"/>
    <w:rsid w:val="00241712"/>
    <w:rsid w:val="0024179D"/>
    <w:rsid w:val="00241E63"/>
    <w:rsid w:val="002422A4"/>
    <w:rsid w:val="002423D7"/>
    <w:rsid w:val="00242470"/>
    <w:rsid w:val="002424AF"/>
    <w:rsid w:val="002425B5"/>
    <w:rsid w:val="002427F7"/>
    <w:rsid w:val="00242B20"/>
    <w:rsid w:val="00242EC5"/>
    <w:rsid w:val="00242EF2"/>
    <w:rsid w:val="00243017"/>
    <w:rsid w:val="0024325A"/>
    <w:rsid w:val="00243559"/>
    <w:rsid w:val="00243905"/>
    <w:rsid w:val="002439DC"/>
    <w:rsid w:val="00243A11"/>
    <w:rsid w:val="00243AC1"/>
    <w:rsid w:val="00243E66"/>
    <w:rsid w:val="002441D2"/>
    <w:rsid w:val="00244592"/>
    <w:rsid w:val="00244A03"/>
    <w:rsid w:val="00244DC8"/>
    <w:rsid w:val="00244E9A"/>
    <w:rsid w:val="0024508D"/>
    <w:rsid w:val="00245250"/>
    <w:rsid w:val="002454DE"/>
    <w:rsid w:val="002458BA"/>
    <w:rsid w:val="00245A66"/>
    <w:rsid w:val="00245CE9"/>
    <w:rsid w:val="0024636C"/>
    <w:rsid w:val="00246B62"/>
    <w:rsid w:val="00246C3F"/>
    <w:rsid w:val="00246C93"/>
    <w:rsid w:val="002472F3"/>
    <w:rsid w:val="00247656"/>
    <w:rsid w:val="0024765F"/>
    <w:rsid w:val="00247925"/>
    <w:rsid w:val="00247C79"/>
    <w:rsid w:val="00250125"/>
    <w:rsid w:val="00250302"/>
    <w:rsid w:val="002507F3"/>
    <w:rsid w:val="00250D7C"/>
    <w:rsid w:val="00250DBD"/>
    <w:rsid w:val="00250E15"/>
    <w:rsid w:val="00250EF3"/>
    <w:rsid w:val="00250F5C"/>
    <w:rsid w:val="00251006"/>
    <w:rsid w:val="002511D2"/>
    <w:rsid w:val="002514D2"/>
    <w:rsid w:val="002515FB"/>
    <w:rsid w:val="00251C32"/>
    <w:rsid w:val="00251F6D"/>
    <w:rsid w:val="00251FEF"/>
    <w:rsid w:val="0025209C"/>
    <w:rsid w:val="002524D5"/>
    <w:rsid w:val="00252535"/>
    <w:rsid w:val="00252536"/>
    <w:rsid w:val="002527BE"/>
    <w:rsid w:val="00252A34"/>
    <w:rsid w:val="00252A65"/>
    <w:rsid w:val="00252BBE"/>
    <w:rsid w:val="00252C89"/>
    <w:rsid w:val="002533A4"/>
    <w:rsid w:val="00253546"/>
    <w:rsid w:val="00253702"/>
    <w:rsid w:val="00253719"/>
    <w:rsid w:val="002537DF"/>
    <w:rsid w:val="00253B1D"/>
    <w:rsid w:val="00254931"/>
    <w:rsid w:val="00254B61"/>
    <w:rsid w:val="00254C65"/>
    <w:rsid w:val="00254DCF"/>
    <w:rsid w:val="00254F02"/>
    <w:rsid w:val="002552B6"/>
    <w:rsid w:val="00255314"/>
    <w:rsid w:val="0025534B"/>
    <w:rsid w:val="0025541C"/>
    <w:rsid w:val="002555EC"/>
    <w:rsid w:val="00255BB7"/>
    <w:rsid w:val="00255EC3"/>
    <w:rsid w:val="00255ECE"/>
    <w:rsid w:val="00255EF8"/>
    <w:rsid w:val="0025608F"/>
    <w:rsid w:val="002560DC"/>
    <w:rsid w:val="00256858"/>
    <w:rsid w:val="002568DA"/>
    <w:rsid w:val="00256EDC"/>
    <w:rsid w:val="00257541"/>
    <w:rsid w:val="00257A39"/>
    <w:rsid w:val="00257AC4"/>
    <w:rsid w:val="00257BBE"/>
    <w:rsid w:val="002603BD"/>
    <w:rsid w:val="00260C12"/>
    <w:rsid w:val="00260D3C"/>
    <w:rsid w:val="00261756"/>
    <w:rsid w:val="00261B79"/>
    <w:rsid w:val="00261CF1"/>
    <w:rsid w:val="00261E66"/>
    <w:rsid w:val="00261EEF"/>
    <w:rsid w:val="00262020"/>
    <w:rsid w:val="002620D8"/>
    <w:rsid w:val="002621F5"/>
    <w:rsid w:val="002629A0"/>
    <w:rsid w:val="00262A1A"/>
    <w:rsid w:val="00262A87"/>
    <w:rsid w:val="00262C9C"/>
    <w:rsid w:val="002642C5"/>
    <w:rsid w:val="00264456"/>
    <w:rsid w:val="002646D8"/>
    <w:rsid w:val="00264825"/>
    <w:rsid w:val="002648A7"/>
    <w:rsid w:val="00264B05"/>
    <w:rsid w:val="00264B3C"/>
    <w:rsid w:val="00264D26"/>
    <w:rsid w:val="00265145"/>
    <w:rsid w:val="0026542A"/>
    <w:rsid w:val="0026552F"/>
    <w:rsid w:val="002658BF"/>
    <w:rsid w:val="00265DF5"/>
    <w:rsid w:val="00266367"/>
    <w:rsid w:val="002666B5"/>
    <w:rsid w:val="0026693E"/>
    <w:rsid w:val="00266C45"/>
    <w:rsid w:val="00266F89"/>
    <w:rsid w:val="00267323"/>
    <w:rsid w:val="00267642"/>
    <w:rsid w:val="00267696"/>
    <w:rsid w:val="00267AEA"/>
    <w:rsid w:val="00267B83"/>
    <w:rsid w:val="00267DA4"/>
    <w:rsid w:val="00267DD6"/>
    <w:rsid w:val="00267E62"/>
    <w:rsid w:val="002700E6"/>
    <w:rsid w:val="00270333"/>
    <w:rsid w:val="00270438"/>
    <w:rsid w:val="0027064F"/>
    <w:rsid w:val="00270673"/>
    <w:rsid w:val="00270748"/>
    <w:rsid w:val="00270830"/>
    <w:rsid w:val="00270EB6"/>
    <w:rsid w:val="0027103C"/>
    <w:rsid w:val="0027106E"/>
    <w:rsid w:val="002717E0"/>
    <w:rsid w:val="00271819"/>
    <w:rsid w:val="00271F96"/>
    <w:rsid w:val="00272057"/>
    <w:rsid w:val="00272083"/>
    <w:rsid w:val="002723ED"/>
    <w:rsid w:val="0027294B"/>
    <w:rsid w:val="00272953"/>
    <w:rsid w:val="002734AD"/>
    <w:rsid w:val="00273548"/>
    <w:rsid w:val="002737EC"/>
    <w:rsid w:val="002739AA"/>
    <w:rsid w:val="00273B9E"/>
    <w:rsid w:val="00273D42"/>
    <w:rsid w:val="00273EB4"/>
    <w:rsid w:val="00274158"/>
    <w:rsid w:val="00274290"/>
    <w:rsid w:val="002745D9"/>
    <w:rsid w:val="00274682"/>
    <w:rsid w:val="00274912"/>
    <w:rsid w:val="0027497E"/>
    <w:rsid w:val="00274A3D"/>
    <w:rsid w:val="00274A76"/>
    <w:rsid w:val="00274A7E"/>
    <w:rsid w:val="00274B65"/>
    <w:rsid w:val="00275158"/>
    <w:rsid w:val="00275601"/>
    <w:rsid w:val="00275A1F"/>
    <w:rsid w:val="00275C5A"/>
    <w:rsid w:val="00275E81"/>
    <w:rsid w:val="00276217"/>
    <w:rsid w:val="002764C9"/>
    <w:rsid w:val="002765A9"/>
    <w:rsid w:val="002766F2"/>
    <w:rsid w:val="00276740"/>
    <w:rsid w:val="0027686E"/>
    <w:rsid w:val="0027688E"/>
    <w:rsid w:val="00276906"/>
    <w:rsid w:val="002771E6"/>
    <w:rsid w:val="0027730E"/>
    <w:rsid w:val="002776CA"/>
    <w:rsid w:val="0027789F"/>
    <w:rsid w:val="00277A59"/>
    <w:rsid w:val="00277D4D"/>
    <w:rsid w:val="00281014"/>
    <w:rsid w:val="0028109A"/>
    <w:rsid w:val="0028109D"/>
    <w:rsid w:val="00281A2F"/>
    <w:rsid w:val="00281B92"/>
    <w:rsid w:val="00281E78"/>
    <w:rsid w:val="00281E99"/>
    <w:rsid w:val="0028202E"/>
    <w:rsid w:val="002820FE"/>
    <w:rsid w:val="00282566"/>
    <w:rsid w:val="002825D3"/>
    <w:rsid w:val="0028270E"/>
    <w:rsid w:val="00282A2C"/>
    <w:rsid w:val="00282CC7"/>
    <w:rsid w:val="00283023"/>
    <w:rsid w:val="00283167"/>
    <w:rsid w:val="0028328E"/>
    <w:rsid w:val="00283529"/>
    <w:rsid w:val="00283657"/>
    <w:rsid w:val="00283701"/>
    <w:rsid w:val="00283A6A"/>
    <w:rsid w:val="00283ACB"/>
    <w:rsid w:val="00284566"/>
    <w:rsid w:val="00284D70"/>
    <w:rsid w:val="00285047"/>
    <w:rsid w:val="002851C8"/>
    <w:rsid w:val="00285542"/>
    <w:rsid w:val="00285BCE"/>
    <w:rsid w:val="00285F0F"/>
    <w:rsid w:val="002862A8"/>
    <w:rsid w:val="0028665D"/>
    <w:rsid w:val="00286670"/>
    <w:rsid w:val="002868BE"/>
    <w:rsid w:val="00286B07"/>
    <w:rsid w:val="00286C17"/>
    <w:rsid w:val="00286CB1"/>
    <w:rsid w:val="00287011"/>
    <w:rsid w:val="002872B8"/>
    <w:rsid w:val="002873B0"/>
    <w:rsid w:val="00287671"/>
    <w:rsid w:val="0028787B"/>
    <w:rsid w:val="002878CA"/>
    <w:rsid w:val="002879AE"/>
    <w:rsid w:val="00287E0B"/>
    <w:rsid w:val="002905BE"/>
    <w:rsid w:val="00290EA3"/>
    <w:rsid w:val="00290EE8"/>
    <w:rsid w:val="00291045"/>
    <w:rsid w:val="00291FCC"/>
    <w:rsid w:val="002922F0"/>
    <w:rsid w:val="002923B4"/>
    <w:rsid w:val="00292615"/>
    <w:rsid w:val="002927C3"/>
    <w:rsid w:val="002927ED"/>
    <w:rsid w:val="002928FB"/>
    <w:rsid w:val="0029290E"/>
    <w:rsid w:val="00292B63"/>
    <w:rsid w:val="00292CD7"/>
    <w:rsid w:val="00292F72"/>
    <w:rsid w:val="00293904"/>
    <w:rsid w:val="00293B07"/>
    <w:rsid w:val="00293FBC"/>
    <w:rsid w:val="002940D0"/>
    <w:rsid w:val="00294775"/>
    <w:rsid w:val="00294D0C"/>
    <w:rsid w:val="0029513B"/>
    <w:rsid w:val="002951B4"/>
    <w:rsid w:val="00295554"/>
    <w:rsid w:val="00295655"/>
    <w:rsid w:val="00295687"/>
    <w:rsid w:val="00295A0E"/>
    <w:rsid w:val="00295E13"/>
    <w:rsid w:val="00295E59"/>
    <w:rsid w:val="00296235"/>
    <w:rsid w:val="00296B5A"/>
    <w:rsid w:val="00297076"/>
    <w:rsid w:val="002977D0"/>
    <w:rsid w:val="002A016E"/>
    <w:rsid w:val="002A033C"/>
    <w:rsid w:val="002A072A"/>
    <w:rsid w:val="002A0E96"/>
    <w:rsid w:val="002A14AB"/>
    <w:rsid w:val="002A16CD"/>
    <w:rsid w:val="002A2087"/>
    <w:rsid w:val="002A2118"/>
    <w:rsid w:val="002A24AD"/>
    <w:rsid w:val="002A26D7"/>
    <w:rsid w:val="002A2945"/>
    <w:rsid w:val="002A2ADE"/>
    <w:rsid w:val="002A2DED"/>
    <w:rsid w:val="002A2F50"/>
    <w:rsid w:val="002A3175"/>
    <w:rsid w:val="002A3180"/>
    <w:rsid w:val="002A333A"/>
    <w:rsid w:val="002A35E7"/>
    <w:rsid w:val="002A36E2"/>
    <w:rsid w:val="002A37EE"/>
    <w:rsid w:val="002A49ED"/>
    <w:rsid w:val="002A4ADF"/>
    <w:rsid w:val="002A5189"/>
    <w:rsid w:val="002A53F8"/>
    <w:rsid w:val="002A547E"/>
    <w:rsid w:val="002A54C4"/>
    <w:rsid w:val="002A5B16"/>
    <w:rsid w:val="002A5F5F"/>
    <w:rsid w:val="002A607A"/>
    <w:rsid w:val="002A633B"/>
    <w:rsid w:val="002A6422"/>
    <w:rsid w:val="002A69EC"/>
    <w:rsid w:val="002A6C3A"/>
    <w:rsid w:val="002A6C87"/>
    <w:rsid w:val="002A7013"/>
    <w:rsid w:val="002A7155"/>
    <w:rsid w:val="002A7235"/>
    <w:rsid w:val="002A7358"/>
    <w:rsid w:val="002A73E7"/>
    <w:rsid w:val="002A751E"/>
    <w:rsid w:val="002A76CD"/>
    <w:rsid w:val="002A7943"/>
    <w:rsid w:val="002A7CEE"/>
    <w:rsid w:val="002A7F33"/>
    <w:rsid w:val="002B0282"/>
    <w:rsid w:val="002B05A1"/>
    <w:rsid w:val="002B074E"/>
    <w:rsid w:val="002B08D0"/>
    <w:rsid w:val="002B09A4"/>
    <w:rsid w:val="002B0CA9"/>
    <w:rsid w:val="002B0FC9"/>
    <w:rsid w:val="002B109F"/>
    <w:rsid w:val="002B1A32"/>
    <w:rsid w:val="002B1A40"/>
    <w:rsid w:val="002B1C1F"/>
    <w:rsid w:val="002B2140"/>
    <w:rsid w:val="002B29FB"/>
    <w:rsid w:val="002B2B9C"/>
    <w:rsid w:val="002B345F"/>
    <w:rsid w:val="002B364A"/>
    <w:rsid w:val="002B38E3"/>
    <w:rsid w:val="002B3D34"/>
    <w:rsid w:val="002B3DF5"/>
    <w:rsid w:val="002B412D"/>
    <w:rsid w:val="002B432F"/>
    <w:rsid w:val="002B46AE"/>
    <w:rsid w:val="002B471B"/>
    <w:rsid w:val="002B4844"/>
    <w:rsid w:val="002B4AE1"/>
    <w:rsid w:val="002B4C22"/>
    <w:rsid w:val="002B50CA"/>
    <w:rsid w:val="002B50CF"/>
    <w:rsid w:val="002B52F3"/>
    <w:rsid w:val="002B53E6"/>
    <w:rsid w:val="002B5881"/>
    <w:rsid w:val="002B60BD"/>
    <w:rsid w:val="002B62B3"/>
    <w:rsid w:val="002B6754"/>
    <w:rsid w:val="002B6802"/>
    <w:rsid w:val="002B6CCE"/>
    <w:rsid w:val="002B6D79"/>
    <w:rsid w:val="002B6E83"/>
    <w:rsid w:val="002B7660"/>
    <w:rsid w:val="002B769B"/>
    <w:rsid w:val="002B774C"/>
    <w:rsid w:val="002B77F0"/>
    <w:rsid w:val="002C02CE"/>
    <w:rsid w:val="002C043B"/>
    <w:rsid w:val="002C05B8"/>
    <w:rsid w:val="002C0612"/>
    <w:rsid w:val="002C0682"/>
    <w:rsid w:val="002C0918"/>
    <w:rsid w:val="002C0AF7"/>
    <w:rsid w:val="002C0ED7"/>
    <w:rsid w:val="002C12A6"/>
    <w:rsid w:val="002C1391"/>
    <w:rsid w:val="002C2163"/>
    <w:rsid w:val="002C2191"/>
    <w:rsid w:val="002C2510"/>
    <w:rsid w:val="002C25A2"/>
    <w:rsid w:val="002C2775"/>
    <w:rsid w:val="002C27C1"/>
    <w:rsid w:val="002C287C"/>
    <w:rsid w:val="002C29F9"/>
    <w:rsid w:val="002C2BF2"/>
    <w:rsid w:val="002C2DBE"/>
    <w:rsid w:val="002C2FB8"/>
    <w:rsid w:val="002C32EC"/>
    <w:rsid w:val="002C3305"/>
    <w:rsid w:val="002C36B5"/>
    <w:rsid w:val="002C36E3"/>
    <w:rsid w:val="002C3802"/>
    <w:rsid w:val="002C3A66"/>
    <w:rsid w:val="002C3F8C"/>
    <w:rsid w:val="002C40F2"/>
    <w:rsid w:val="002C439A"/>
    <w:rsid w:val="002C480B"/>
    <w:rsid w:val="002C49D7"/>
    <w:rsid w:val="002C4AD3"/>
    <w:rsid w:val="002C4C40"/>
    <w:rsid w:val="002C4CCE"/>
    <w:rsid w:val="002C4D5D"/>
    <w:rsid w:val="002C4DEE"/>
    <w:rsid w:val="002C4FA3"/>
    <w:rsid w:val="002C5038"/>
    <w:rsid w:val="002C5099"/>
    <w:rsid w:val="002C5698"/>
    <w:rsid w:val="002C5888"/>
    <w:rsid w:val="002C5889"/>
    <w:rsid w:val="002C5B44"/>
    <w:rsid w:val="002C5D15"/>
    <w:rsid w:val="002C65EB"/>
    <w:rsid w:val="002C68AE"/>
    <w:rsid w:val="002C68E9"/>
    <w:rsid w:val="002C6CD2"/>
    <w:rsid w:val="002C71CE"/>
    <w:rsid w:val="002C7489"/>
    <w:rsid w:val="002C7C6F"/>
    <w:rsid w:val="002C7FEA"/>
    <w:rsid w:val="002C7FF3"/>
    <w:rsid w:val="002D03FA"/>
    <w:rsid w:val="002D074D"/>
    <w:rsid w:val="002D07B1"/>
    <w:rsid w:val="002D08F8"/>
    <w:rsid w:val="002D0D22"/>
    <w:rsid w:val="002D1328"/>
    <w:rsid w:val="002D138C"/>
    <w:rsid w:val="002D1417"/>
    <w:rsid w:val="002D1461"/>
    <w:rsid w:val="002D1518"/>
    <w:rsid w:val="002D177E"/>
    <w:rsid w:val="002D19C0"/>
    <w:rsid w:val="002D1B3C"/>
    <w:rsid w:val="002D1E6A"/>
    <w:rsid w:val="002D2BFD"/>
    <w:rsid w:val="002D31BF"/>
    <w:rsid w:val="002D3271"/>
    <w:rsid w:val="002D34B7"/>
    <w:rsid w:val="002D35E1"/>
    <w:rsid w:val="002D388F"/>
    <w:rsid w:val="002D396B"/>
    <w:rsid w:val="002D4313"/>
    <w:rsid w:val="002D4605"/>
    <w:rsid w:val="002D47A7"/>
    <w:rsid w:val="002D4B72"/>
    <w:rsid w:val="002D4E12"/>
    <w:rsid w:val="002D535E"/>
    <w:rsid w:val="002D577C"/>
    <w:rsid w:val="002D582B"/>
    <w:rsid w:val="002D61BD"/>
    <w:rsid w:val="002D6202"/>
    <w:rsid w:val="002D6326"/>
    <w:rsid w:val="002D651E"/>
    <w:rsid w:val="002D686E"/>
    <w:rsid w:val="002D6FE5"/>
    <w:rsid w:val="002D718D"/>
    <w:rsid w:val="002D782B"/>
    <w:rsid w:val="002D7832"/>
    <w:rsid w:val="002D7EB0"/>
    <w:rsid w:val="002E0147"/>
    <w:rsid w:val="002E01A5"/>
    <w:rsid w:val="002E05B2"/>
    <w:rsid w:val="002E06F5"/>
    <w:rsid w:val="002E0BCD"/>
    <w:rsid w:val="002E0BD6"/>
    <w:rsid w:val="002E1071"/>
    <w:rsid w:val="002E1400"/>
    <w:rsid w:val="002E148B"/>
    <w:rsid w:val="002E15B9"/>
    <w:rsid w:val="002E188E"/>
    <w:rsid w:val="002E2158"/>
    <w:rsid w:val="002E23CF"/>
    <w:rsid w:val="002E29A9"/>
    <w:rsid w:val="002E2A2D"/>
    <w:rsid w:val="002E2B81"/>
    <w:rsid w:val="002E2C72"/>
    <w:rsid w:val="002E3288"/>
    <w:rsid w:val="002E3428"/>
    <w:rsid w:val="002E3C60"/>
    <w:rsid w:val="002E3CA6"/>
    <w:rsid w:val="002E3F07"/>
    <w:rsid w:val="002E3F89"/>
    <w:rsid w:val="002E4147"/>
    <w:rsid w:val="002E4356"/>
    <w:rsid w:val="002E4F02"/>
    <w:rsid w:val="002E4F3F"/>
    <w:rsid w:val="002E5A09"/>
    <w:rsid w:val="002E5E46"/>
    <w:rsid w:val="002E607F"/>
    <w:rsid w:val="002E674F"/>
    <w:rsid w:val="002E6AAE"/>
    <w:rsid w:val="002E6C59"/>
    <w:rsid w:val="002E73A4"/>
    <w:rsid w:val="002E749B"/>
    <w:rsid w:val="002E7722"/>
    <w:rsid w:val="002E78A4"/>
    <w:rsid w:val="002E7CC3"/>
    <w:rsid w:val="002E7E45"/>
    <w:rsid w:val="002F0213"/>
    <w:rsid w:val="002F0294"/>
    <w:rsid w:val="002F0370"/>
    <w:rsid w:val="002F07BA"/>
    <w:rsid w:val="002F0BAA"/>
    <w:rsid w:val="002F0BB9"/>
    <w:rsid w:val="002F0DA9"/>
    <w:rsid w:val="002F1014"/>
    <w:rsid w:val="002F1399"/>
    <w:rsid w:val="002F143E"/>
    <w:rsid w:val="002F155B"/>
    <w:rsid w:val="002F171B"/>
    <w:rsid w:val="002F1E3B"/>
    <w:rsid w:val="002F2030"/>
    <w:rsid w:val="002F3228"/>
    <w:rsid w:val="002F3881"/>
    <w:rsid w:val="002F3887"/>
    <w:rsid w:val="002F3A64"/>
    <w:rsid w:val="002F3B3F"/>
    <w:rsid w:val="002F425C"/>
    <w:rsid w:val="002F440C"/>
    <w:rsid w:val="002F46B6"/>
    <w:rsid w:val="002F51E2"/>
    <w:rsid w:val="002F5505"/>
    <w:rsid w:val="002F57A3"/>
    <w:rsid w:val="002F5D69"/>
    <w:rsid w:val="002F6061"/>
    <w:rsid w:val="002F643C"/>
    <w:rsid w:val="002F671C"/>
    <w:rsid w:val="002F679F"/>
    <w:rsid w:val="002F6DB1"/>
    <w:rsid w:val="002F6E32"/>
    <w:rsid w:val="002F6FB3"/>
    <w:rsid w:val="002F71C0"/>
    <w:rsid w:val="002F74F1"/>
    <w:rsid w:val="002F756F"/>
    <w:rsid w:val="002F7582"/>
    <w:rsid w:val="002F7673"/>
    <w:rsid w:val="002F79B0"/>
    <w:rsid w:val="002F7C93"/>
    <w:rsid w:val="0030075D"/>
    <w:rsid w:val="00300BC9"/>
    <w:rsid w:val="00301017"/>
    <w:rsid w:val="0030155F"/>
    <w:rsid w:val="0030174B"/>
    <w:rsid w:val="0030174F"/>
    <w:rsid w:val="0030189A"/>
    <w:rsid w:val="00301F64"/>
    <w:rsid w:val="00302719"/>
    <w:rsid w:val="00302B2B"/>
    <w:rsid w:val="00302D19"/>
    <w:rsid w:val="00303388"/>
    <w:rsid w:val="003035C9"/>
    <w:rsid w:val="0030364F"/>
    <w:rsid w:val="003037D1"/>
    <w:rsid w:val="0030383C"/>
    <w:rsid w:val="0030386F"/>
    <w:rsid w:val="00303C5E"/>
    <w:rsid w:val="00303D8A"/>
    <w:rsid w:val="00303E79"/>
    <w:rsid w:val="00303EF6"/>
    <w:rsid w:val="00304107"/>
    <w:rsid w:val="003042DF"/>
    <w:rsid w:val="003044F0"/>
    <w:rsid w:val="00304AD6"/>
    <w:rsid w:val="00304B9F"/>
    <w:rsid w:val="003052FE"/>
    <w:rsid w:val="0030587B"/>
    <w:rsid w:val="00305B69"/>
    <w:rsid w:val="00305C22"/>
    <w:rsid w:val="00305E4D"/>
    <w:rsid w:val="00306068"/>
    <w:rsid w:val="0030626E"/>
    <w:rsid w:val="0030631C"/>
    <w:rsid w:val="003066ED"/>
    <w:rsid w:val="00306D98"/>
    <w:rsid w:val="003070DB"/>
    <w:rsid w:val="00307109"/>
    <w:rsid w:val="003072D3"/>
    <w:rsid w:val="0030786C"/>
    <w:rsid w:val="0031031A"/>
    <w:rsid w:val="00310776"/>
    <w:rsid w:val="003107ED"/>
    <w:rsid w:val="00310981"/>
    <w:rsid w:val="00310A28"/>
    <w:rsid w:val="00310FA0"/>
    <w:rsid w:val="00311158"/>
    <w:rsid w:val="00311262"/>
    <w:rsid w:val="003119E7"/>
    <w:rsid w:val="00311D5E"/>
    <w:rsid w:val="00311D9B"/>
    <w:rsid w:val="00312383"/>
    <w:rsid w:val="003124D9"/>
    <w:rsid w:val="00312502"/>
    <w:rsid w:val="00312594"/>
    <w:rsid w:val="00312720"/>
    <w:rsid w:val="003127B4"/>
    <w:rsid w:val="00312C45"/>
    <w:rsid w:val="00312D3D"/>
    <w:rsid w:val="0031327B"/>
    <w:rsid w:val="003133D8"/>
    <w:rsid w:val="003134BE"/>
    <w:rsid w:val="0031369A"/>
    <w:rsid w:val="0031388A"/>
    <w:rsid w:val="00313A0D"/>
    <w:rsid w:val="00313AB6"/>
    <w:rsid w:val="00313D03"/>
    <w:rsid w:val="00313D09"/>
    <w:rsid w:val="0031420B"/>
    <w:rsid w:val="003149AA"/>
    <w:rsid w:val="003151B5"/>
    <w:rsid w:val="00315498"/>
    <w:rsid w:val="003161D0"/>
    <w:rsid w:val="00316474"/>
    <w:rsid w:val="0031682F"/>
    <w:rsid w:val="00316CBA"/>
    <w:rsid w:val="00316E8B"/>
    <w:rsid w:val="0031721A"/>
    <w:rsid w:val="003179B0"/>
    <w:rsid w:val="00317E89"/>
    <w:rsid w:val="00320067"/>
    <w:rsid w:val="00320310"/>
    <w:rsid w:val="00320609"/>
    <w:rsid w:val="00320893"/>
    <w:rsid w:val="00320C31"/>
    <w:rsid w:val="003210DF"/>
    <w:rsid w:val="003211D2"/>
    <w:rsid w:val="00321229"/>
    <w:rsid w:val="00321312"/>
    <w:rsid w:val="003214D8"/>
    <w:rsid w:val="00321570"/>
    <w:rsid w:val="00321B16"/>
    <w:rsid w:val="00321B8F"/>
    <w:rsid w:val="0032200D"/>
    <w:rsid w:val="00322107"/>
    <w:rsid w:val="00322355"/>
    <w:rsid w:val="00322392"/>
    <w:rsid w:val="003225CA"/>
    <w:rsid w:val="00322619"/>
    <w:rsid w:val="003226C8"/>
    <w:rsid w:val="00322846"/>
    <w:rsid w:val="00322AC1"/>
    <w:rsid w:val="00322ECF"/>
    <w:rsid w:val="00323037"/>
    <w:rsid w:val="00323163"/>
    <w:rsid w:val="0032391E"/>
    <w:rsid w:val="00323A07"/>
    <w:rsid w:val="003243BD"/>
    <w:rsid w:val="003244BE"/>
    <w:rsid w:val="00324E44"/>
    <w:rsid w:val="003255D2"/>
    <w:rsid w:val="00325825"/>
    <w:rsid w:val="0032587F"/>
    <w:rsid w:val="00325EFB"/>
    <w:rsid w:val="0032653E"/>
    <w:rsid w:val="0032655B"/>
    <w:rsid w:val="003265A8"/>
    <w:rsid w:val="00326DA7"/>
    <w:rsid w:val="003270E4"/>
    <w:rsid w:val="0032735D"/>
    <w:rsid w:val="003273A1"/>
    <w:rsid w:val="00327AA7"/>
    <w:rsid w:val="00327CCC"/>
    <w:rsid w:val="00327F82"/>
    <w:rsid w:val="00330411"/>
    <w:rsid w:val="00330626"/>
    <w:rsid w:val="0033070F"/>
    <w:rsid w:val="00330774"/>
    <w:rsid w:val="003309B2"/>
    <w:rsid w:val="00330A08"/>
    <w:rsid w:val="00330C64"/>
    <w:rsid w:val="00330C84"/>
    <w:rsid w:val="00330DAA"/>
    <w:rsid w:val="00330F5C"/>
    <w:rsid w:val="00331005"/>
    <w:rsid w:val="00331170"/>
    <w:rsid w:val="00331774"/>
    <w:rsid w:val="00331D59"/>
    <w:rsid w:val="003321D7"/>
    <w:rsid w:val="003323E3"/>
    <w:rsid w:val="0033268F"/>
    <w:rsid w:val="003328AA"/>
    <w:rsid w:val="003328E6"/>
    <w:rsid w:val="00332C1E"/>
    <w:rsid w:val="00332E2D"/>
    <w:rsid w:val="0033305F"/>
    <w:rsid w:val="003330B3"/>
    <w:rsid w:val="0033315E"/>
    <w:rsid w:val="0033332E"/>
    <w:rsid w:val="00333336"/>
    <w:rsid w:val="003334A2"/>
    <w:rsid w:val="003336D1"/>
    <w:rsid w:val="00333899"/>
    <w:rsid w:val="00333FEB"/>
    <w:rsid w:val="0033412A"/>
    <w:rsid w:val="00334370"/>
    <w:rsid w:val="003344E7"/>
    <w:rsid w:val="00334727"/>
    <w:rsid w:val="00334CA2"/>
    <w:rsid w:val="00334D21"/>
    <w:rsid w:val="00334E97"/>
    <w:rsid w:val="00335088"/>
    <w:rsid w:val="003351B9"/>
    <w:rsid w:val="00335204"/>
    <w:rsid w:val="003352B0"/>
    <w:rsid w:val="00335569"/>
    <w:rsid w:val="003359FB"/>
    <w:rsid w:val="00336007"/>
    <w:rsid w:val="003363D5"/>
    <w:rsid w:val="003365FE"/>
    <w:rsid w:val="00336698"/>
    <w:rsid w:val="003366C9"/>
    <w:rsid w:val="003367B8"/>
    <w:rsid w:val="00336CA2"/>
    <w:rsid w:val="00336EA5"/>
    <w:rsid w:val="00336F11"/>
    <w:rsid w:val="003371B0"/>
    <w:rsid w:val="00337227"/>
    <w:rsid w:val="00337474"/>
    <w:rsid w:val="00337515"/>
    <w:rsid w:val="003375AA"/>
    <w:rsid w:val="0033798D"/>
    <w:rsid w:val="0034011D"/>
    <w:rsid w:val="0034035D"/>
    <w:rsid w:val="00340379"/>
    <w:rsid w:val="00340870"/>
    <w:rsid w:val="003409E0"/>
    <w:rsid w:val="00340A2B"/>
    <w:rsid w:val="00340DF1"/>
    <w:rsid w:val="00340FAE"/>
    <w:rsid w:val="00341444"/>
    <w:rsid w:val="0034185E"/>
    <w:rsid w:val="00341D15"/>
    <w:rsid w:val="00341EB3"/>
    <w:rsid w:val="00341F89"/>
    <w:rsid w:val="003422F8"/>
    <w:rsid w:val="0034240B"/>
    <w:rsid w:val="0034240C"/>
    <w:rsid w:val="00342596"/>
    <w:rsid w:val="00342937"/>
    <w:rsid w:val="00342C08"/>
    <w:rsid w:val="00343409"/>
    <w:rsid w:val="00343A4E"/>
    <w:rsid w:val="00343C0F"/>
    <w:rsid w:val="00343FD0"/>
    <w:rsid w:val="00344172"/>
    <w:rsid w:val="003449C5"/>
    <w:rsid w:val="00344AF6"/>
    <w:rsid w:val="00344AFD"/>
    <w:rsid w:val="00344BFF"/>
    <w:rsid w:val="00344F02"/>
    <w:rsid w:val="0034504C"/>
    <w:rsid w:val="003452C6"/>
    <w:rsid w:val="00345357"/>
    <w:rsid w:val="0034537E"/>
    <w:rsid w:val="003453B9"/>
    <w:rsid w:val="00345786"/>
    <w:rsid w:val="003457C3"/>
    <w:rsid w:val="0034584F"/>
    <w:rsid w:val="00346CE7"/>
    <w:rsid w:val="00346ECF"/>
    <w:rsid w:val="003471D7"/>
    <w:rsid w:val="00347321"/>
    <w:rsid w:val="00347D70"/>
    <w:rsid w:val="00347F86"/>
    <w:rsid w:val="00347FEE"/>
    <w:rsid w:val="00350091"/>
    <w:rsid w:val="0035050C"/>
    <w:rsid w:val="00350F1D"/>
    <w:rsid w:val="00350F2E"/>
    <w:rsid w:val="00350F98"/>
    <w:rsid w:val="00350FFC"/>
    <w:rsid w:val="00351530"/>
    <w:rsid w:val="003517F9"/>
    <w:rsid w:val="00351B43"/>
    <w:rsid w:val="00351BA9"/>
    <w:rsid w:val="00351F11"/>
    <w:rsid w:val="00352923"/>
    <w:rsid w:val="00352C7E"/>
    <w:rsid w:val="00352EF2"/>
    <w:rsid w:val="00353901"/>
    <w:rsid w:val="0035399F"/>
    <w:rsid w:val="00353A38"/>
    <w:rsid w:val="00353FC8"/>
    <w:rsid w:val="0035421C"/>
    <w:rsid w:val="00354810"/>
    <w:rsid w:val="003548F9"/>
    <w:rsid w:val="00354AA6"/>
    <w:rsid w:val="00354F64"/>
    <w:rsid w:val="00355052"/>
    <w:rsid w:val="0035539D"/>
    <w:rsid w:val="003553CF"/>
    <w:rsid w:val="00355829"/>
    <w:rsid w:val="00355F36"/>
    <w:rsid w:val="003561A6"/>
    <w:rsid w:val="0035620E"/>
    <w:rsid w:val="0035669E"/>
    <w:rsid w:val="00356715"/>
    <w:rsid w:val="0035697D"/>
    <w:rsid w:val="00356E41"/>
    <w:rsid w:val="00357557"/>
    <w:rsid w:val="00357574"/>
    <w:rsid w:val="003575BE"/>
    <w:rsid w:val="0035786F"/>
    <w:rsid w:val="00357BF0"/>
    <w:rsid w:val="00357E6D"/>
    <w:rsid w:val="00360345"/>
    <w:rsid w:val="00360569"/>
    <w:rsid w:val="00360A8B"/>
    <w:rsid w:val="00360D19"/>
    <w:rsid w:val="00360E88"/>
    <w:rsid w:val="00361A05"/>
    <w:rsid w:val="00361BE4"/>
    <w:rsid w:val="00361D4B"/>
    <w:rsid w:val="0036236B"/>
    <w:rsid w:val="00362388"/>
    <w:rsid w:val="0036241B"/>
    <w:rsid w:val="003624C4"/>
    <w:rsid w:val="003629B9"/>
    <w:rsid w:val="00362ADF"/>
    <w:rsid w:val="00362B93"/>
    <w:rsid w:val="00362BCA"/>
    <w:rsid w:val="00363245"/>
    <w:rsid w:val="003634AC"/>
    <w:rsid w:val="00363673"/>
    <w:rsid w:val="00363730"/>
    <w:rsid w:val="00363B00"/>
    <w:rsid w:val="00363B4D"/>
    <w:rsid w:val="00363C17"/>
    <w:rsid w:val="00364535"/>
    <w:rsid w:val="0036463A"/>
    <w:rsid w:val="003647AF"/>
    <w:rsid w:val="00364AD4"/>
    <w:rsid w:val="00364DAE"/>
    <w:rsid w:val="00364E2D"/>
    <w:rsid w:val="003654AC"/>
    <w:rsid w:val="003655B3"/>
    <w:rsid w:val="003657AD"/>
    <w:rsid w:val="00365855"/>
    <w:rsid w:val="00365974"/>
    <w:rsid w:val="0036599F"/>
    <w:rsid w:val="0036607A"/>
    <w:rsid w:val="00366268"/>
    <w:rsid w:val="00366586"/>
    <w:rsid w:val="003665E5"/>
    <w:rsid w:val="003665F4"/>
    <w:rsid w:val="00366984"/>
    <w:rsid w:val="00366DEF"/>
    <w:rsid w:val="00366E22"/>
    <w:rsid w:val="00367119"/>
    <w:rsid w:val="00367712"/>
    <w:rsid w:val="00367E95"/>
    <w:rsid w:val="003700BB"/>
    <w:rsid w:val="00370330"/>
    <w:rsid w:val="003705A8"/>
    <w:rsid w:val="003705AA"/>
    <w:rsid w:val="003708ED"/>
    <w:rsid w:val="0037093E"/>
    <w:rsid w:val="00370B66"/>
    <w:rsid w:val="00370BCD"/>
    <w:rsid w:val="00370BFE"/>
    <w:rsid w:val="00370FA8"/>
    <w:rsid w:val="003710CF"/>
    <w:rsid w:val="0037110A"/>
    <w:rsid w:val="0037134D"/>
    <w:rsid w:val="00371705"/>
    <w:rsid w:val="0037175C"/>
    <w:rsid w:val="00371D98"/>
    <w:rsid w:val="0037205A"/>
    <w:rsid w:val="003722FA"/>
    <w:rsid w:val="003723EF"/>
    <w:rsid w:val="00372543"/>
    <w:rsid w:val="003726B9"/>
    <w:rsid w:val="00372925"/>
    <w:rsid w:val="00372D7B"/>
    <w:rsid w:val="00373027"/>
    <w:rsid w:val="00373172"/>
    <w:rsid w:val="0037350B"/>
    <w:rsid w:val="0037358A"/>
    <w:rsid w:val="0037369A"/>
    <w:rsid w:val="003737F5"/>
    <w:rsid w:val="00373DD0"/>
    <w:rsid w:val="00373F65"/>
    <w:rsid w:val="00374395"/>
    <w:rsid w:val="0037439B"/>
    <w:rsid w:val="003743DA"/>
    <w:rsid w:val="00374980"/>
    <w:rsid w:val="00374BE8"/>
    <w:rsid w:val="00374F04"/>
    <w:rsid w:val="003750F6"/>
    <w:rsid w:val="00375215"/>
    <w:rsid w:val="003756C3"/>
    <w:rsid w:val="003756CE"/>
    <w:rsid w:val="00375E34"/>
    <w:rsid w:val="003760FC"/>
    <w:rsid w:val="003762CA"/>
    <w:rsid w:val="003767CC"/>
    <w:rsid w:val="003768A1"/>
    <w:rsid w:val="00376AAE"/>
    <w:rsid w:val="00376C8A"/>
    <w:rsid w:val="00376D37"/>
    <w:rsid w:val="00376FEF"/>
    <w:rsid w:val="003770BA"/>
    <w:rsid w:val="003772C6"/>
    <w:rsid w:val="00377694"/>
    <w:rsid w:val="003778F8"/>
    <w:rsid w:val="00377C69"/>
    <w:rsid w:val="00377D76"/>
    <w:rsid w:val="00377DC9"/>
    <w:rsid w:val="00377E79"/>
    <w:rsid w:val="00380134"/>
    <w:rsid w:val="00380628"/>
    <w:rsid w:val="003807AA"/>
    <w:rsid w:val="0038104A"/>
    <w:rsid w:val="003811CA"/>
    <w:rsid w:val="0038129D"/>
    <w:rsid w:val="0038166E"/>
    <w:rsid w:val="003816BA"/>
    <w:rsid w:val="00381782"/>
    <w:rsid w:val="00381793"/>
    <w:rsid w:val="00381880"/>
    <w:rsid w:val="003818AC"/>
    <w:rsid w:val="003819F6"/>
    <w:rsid w:val="00382185"/>
    <w:rsid w:val="003822C0"/>
    <w:rsid w:val="00382433"/>
    <w:rsid w:val="00382792"/>
    <w:rsid w:val="0038291D"/>
    <w:rsid w:val="003829B6"/>
    <w:rsid w:val="00382AE8"/>
    <w:rsid w:val="00382B1C"/>
    <w:rsid w:val="00383075"/>
    <w:rsid w:val="00383239"/>
    <w:rsid w:val="0038331F"/>
    <w:rsid w:val="003833CF"/>
    <w:rsid w:val="0038365C"/>
    <w:rsid w:val="0038369B"/>
    <w:rsid w:val="003837DD"/>
    <w:rsid w:val="00383B78"/>
    <w:rsid w:val="00383BE9"/>
    <w:rsid w:val="003842DA"/>
    <w:rsid w:val="00384713"/>
    <w:rsid w:val="003848DA"/>
    <w:rsid w:val="00384A32"/>
    <w:rsid w:val="00384DA9"/>
    <w:rsid w:val="00384EAB"/>
    <w:rsid w:val="00385392"/>
    <w:rsid w:val="00385532"/>
    <w:rsid w:val="003855D0"/>
    <w:rsid w:val="003856D0"/>
    <w:rsid w:val="0038590F"/>
    <w:rsid w:val="00385A9D"/>
    <w:rsid w:val="00385F2D"/>
    <w:rsid w:val="003860BF"/>
    <w:rsid w:val="00386752"/>
    <w:rsid w:val="00386B20"/>
    <w:rsid w:val="00386CC6"/>
    <w:rsid w:val="00387045"/>
    <w:rsid w:val="00387121"/>
    <w:rsid w:val="003872FE"/>
    <w:rsid w:val="00387698"/>
    <w:rsid w:val="0038779A"/>
    <w:rsid w:val="003877D9"/>
    <w:rsid w:val="00387DC2"/>
    <w:rsid w:val="00387E63"/>
    <w:rsid w:val="00390172"/>
    <w:rsid w:val="003902B1"/>
    <w:rsid w:val="00390478"/>
    <w:rsid w:val="00390500"/>
    <w:rsid w:val="0039066D"/>
    <w:rsid w:val="00390990"/>
    <w:rsid w:val="00390FC5"/>
    <w:rsid w:val="003911BE"/>
    <w:rsid w:val="0039127D"/>
    <w:rsid w:val="00391374"/>
    <w:rsid w:val="00391551"/>
    <w:rsid w:val="0039179C"/>
    <w:rsid w:val="003917C6"/>
    <w:rsid w:val="00391E6B"/>
    <w:rsid w:val="003925A7"/>
    <w:rsid w:val="003927AE"/>
    <w:rsid w:val="00393466"/>
    <w:rsid w:val="003934DD"/>
    <w:rsid w:val="00393772"/>
    <w:rsid w:val="00393B02"/>
    <w:rsid w:val="003940BC"/>
    <w:rsid w:val="003941A2"/>
    <w:rsid w:val="003942DC"/>
    <w:rsid w:val="00394398"/>
    <w:rsid w:val="0039455F"/>
    <w:rsid w:val="0039477B"/>
    <w:rsid w:val="003947C3"/>
    <w:rsid w:val="00394D6B"/>
    <w:rsid w:val="00395936"/>
    <w:rsid w:val="00395DC4"/>
    <w:rsid w:val="00395F7F"/>
    <w:rsid w:val="00395FAF"/>
    <w:rsid w:val="003966FC"/>
    <w:rsid w:val="00396896"/>
    <w:rsid w:val="00396FD0"/>
    <w:rsid w:val="00397349"/>
    <w:rsid w:val="00397946"/>
    <w:rsid w:val="00397A13"/>
    <w:rsid w:val="00397D94"/>
    <w:rsid w:val="00397E96"/>
    <w:rsid w:val="003A01C7"/>
    <w:rsid w:val="003A025D"/>
    <w:rsid w:val="003A07C7"/>
    <w:rsid w:val="003A09A9"/>
    <w:rsid w:val="003A12FC"/>
    <w:rsid w:val="003A14C8"/>
    <w:rsid w:val="003A19EB"/>
    <w:rsid w:val="003A1A7A"/>
    <w:rsid w:val="003A1C1F"/>
    <w:rsid w:val="003A1E47"/>
    <w:rsid w:val="003A1E7E"/>
    <w:rsid w:val="003A1F27"/>
    <w:rsid w:val="003A2032"/>
    <w:rsid w:val="003A2392"/>
    <w:rsid w:val="003A25EA"/>
    <w:rsid w:val="003A2831"/>
    <w:rsid w:val="003A2D1D"/>
    <w:rsid w:val="003A3731"/>
    <w:rsid w:val="003A3773"/>
    <w:rsid w:val="003A3A53"/>
    <w:rsid w:val="003A3CB6"/>
    <w:rsid w:val="003A3ED1"/>
    <w:rsid w:val="003A421D"/>
    <w:rsid w:val="003A44DB"/>
    <w:rsid w:val="003A471A"/>
    <w:rsid w:val="003A474F"/>
    <w:rsid w:val="003A47E0"/>
    <w:rsid w:val="003A4C14"/>
    <w:rsid w:val="003A52D0"/>
    <w:rsid w:val="003A5493"/>
    <w:rsid w:val="003A5785"/>
    <w:rsid w:val="003A588A"/>
    <w:rsid w:val="003A6949"/>
    <w:rsid w:val="003A69F3"/>
    <w:rsid w:val="003A6D98"/>
    <w:rsid w:val="003A6E01"/>
    <w:rsid w:val="003A73C2"/>
    <w:rsid w:val="003A74CE"/>
    <w:rsid w:val="003A7604"/>
    <w:rsid w:val="003A77D9"/>
    <w:rsid w:val="003A7ADA"/>
    <w:rsid w:val="003B01C6"/>
    <w:rsid w:val="003B03C2"/>
    <w:rsid w:val="003B052D"/>
    <w:rsid w:val="003B0A8A"/>
    <w:rsid w:val="003B1387"/>
    <w:rsid w:val="003B150D"/>
    <w:rsid w:val="003B1514"/>
    <w:rsid w:val="003B1784"/>
    <w:rsid w:val="003B22A3"/>
    <w:rsid w:val="003B27EC"/>
    <w:rsid w:val="003B29BF"/>
    <w:rsid w:val="003B2C2F"/>
    <w:rsid w:val="003B2C5B"/>
    <w:rsid w:val="003B2FC5"/>
    <w:rsid w:val="003B3378"/>
    <w:rsid w:val="003B3971"/>
    <w:rsid w:val="003B3E93"/>
    <w:rsid w:val="003B4070"/>
    <w:rsid w:val="003B41F0"/>
    <w:rsid w:val="003B4398"/>
    <w:rsid w:val="003B47BF"/>
    <w:rsid w:val="003B4A02"/>
    <w:rsid w:val="003B4AB1"/>
    <w:rsid w:val="003B4D0E"/>
    <w:rsid w:val="003B55D1"/>
    <w:rsid w:val="003B57E8"/>
    <w:rsid w:val="003B5B61"/>
    <w:rsid w:val="003B607A"/>
    <w:rsid w:val="003B6238"/>
    <w:rsid w:val="003B694F"/>
    <w:rsid w:val="003B6B5A"/>
    <w:rsid w:val="003B6C6C"/>
    <w:rsid w:val="003B6D3D"/>
    <w:rsid w:val="003B6F65"/>
    <w:rsid w:val="003B7852"/>
    <w:rsid w:val="003C04CA"/>
    <w:rsid w:val="003C0955"/>
    <w:rsid w:val="003C0B09"/>
    <w:rsid w:val="003C12FA"/>
    <w:rsid w:val="003C1654"/>
    <w:rsid w:val="003C1FC5"/>
    <w:rsid w:val="003C264F"/>
    <w:rsid w:val="003C267C"/>
    <w:rsid w:val="003C2883"/>
    <w:rsid w:val="003C2B6E"/>
    <w:rsid w:val="003C2DD4"/>
    <w:rsid w:val="003C2F1D"/>
    <w:rsid w:val="003C2F27"/>
    <w:rsid w:val="003C3319"/>
    <w:rsid w:val="003C3932"/>
    <w:rsid w:val="003C3A59"/>
    <w:rsid w:val="003C3FD3"/>
    <w:rsid w:val="003C4248"/>
    <w:rsid w:val="003C4896"/>
    <w:rsid w:val="003C4BE9"/>
    <w:rsid w:val="003C4CFC"/>
    <w:rsid w:val="003C4E25"/>
    <w:rsid w:val="003C5205"/>
    <w:rsid w:val="003C5542"/>
    <w:rsid w:val="003C5547"/>
    <w:rsid w:val="003C578E"/>
    <w:rsid w:val="003C5BEC"/>
    <w:rsid w:val="003C6643"/>
    <w:rsid w:val="003C6AE3"/>
    <w:rsid w:val="003C6F12"/>
    <w:rsid w:val="003C7047"/>
    <w:rsid w:val="003C7051"/>
    <w:rsid w:val="003C7391"/>
    <w:rsid w:val="003C7B5E"/>
    <w:rsid w:val="003C7C15"/>
    <w:rsid w:val="003C7D19"/>
    <w:rsid w:val="003C7D2F"/>
    <w:rsid w:val="003D03F3"/>
    <w:rsid w:val="003D0C5A"/>
    <w:rsid w:val="003D0EC4"/>
    <w:rsid w:val="003D0FB0"/>
    <w:rsid w:val="003D1828"/>
    <w:rsid w:val="003D1B72"/>
    <w:rsid w:val="003D1BCB"/>
    <w:rsid w:val="003D1CC9"/>
    <w:rsid w:val="003D1DDA"/>
    <w:rsid w:val="003D1DE4"/>
    <w:rsid w:val="003D1E9A"/>
    <w:rsid w:val="003D1EE9"/>
    <w:rsid w:val="003D23B3"/>
    <w:rsid w:val="003D2422"/>
    <w:rsid w:val="003D2676"/>
    <w:rsid w:val="003D39A1"/>
    <w:rsid w:val="003D39D4"/>
    <w:rsid w:val="003D3BAB"/>
    <w:rsid w:val="003D3F68"/>
    <w:rsid w:val="003D3FBF"/>
    <w:rsid w:val="003D44DC"/>
    <w:rsid w:val="003D4593"/>
    <w:rsid w:val="003D474B"/>
    <w:rsid w:val="003D4A30"/>
    <w:rsid w:val="003D4B4B"/>
    <w:rsid w:val="003D5124"/>
    <w:rsid w:val="003D5749"/>
    <w:rsid w:val="003D580C"/>
    <w:rsid w:val="003D5A66"/>
    <w:rsid w:val="003D5CDA"/>
    <w:rsid w:val="003D6144"/>
    <w:rsid w:val="003D61F4"/>
    <w:rsid w:val="003D6DA1"/>
    <w:rsid w:val="003D6EDB"/>
    <w:rsid w:val="003D6F30"/>
    <w:rsid w:val="003D6F54"/>
    <w:rsid w:val="003D7452"/>
    <w:rsid w:val="003D76AA"/>
    <w:rsid w:val="003D76E8"/>
    <w:rsid w:val="003D79BB"/>
    <w:rsid w:val="003D7C98"/>
    <w:rsid w:val="003D7D9D"/>
    <w:rsid w:val="003D7EFB"/>
    <w:rsid w:val="003E0001"/>
    <w:rsid w:val="003E0543"/>
    <w:rsid w:val="003E0F65"/>
    <w:rsid w:val="003E1276"/>
    <w:rsid w:val="003E1B53"/>
    <w:rsid w:val="003E1E26"/>
    <w:rsid w:val="003E1E77"/>
    <w:rsid w:val="003E1F1F"/>
    <w:rsid w:val="003E26BE"/>
    <w:rsid w:val="003E31B8"/>
    <w:rsid w:val="003E33F9"/>
    <w:rsid w:val="003E343A"/>
    <w:rsid w:val="003E357E"/>
    <w:rsid w:val="003E377B"/>
    <w:rsid w:val="003E3B38"/>
    <w:rsid w:val="003E4046"/>
    <w:rsid w:val="003E48FC"/>
    <w:rsid w:val="003E4DDA"/>
    <w:rsid w:val="003E4EFA"/>
    <w:rsid w:val="003E53EC"/>
    <w:rsid w:val="003E54E1"/>
    <w:rsid w:val="003E5603"/>
    <w:rsid w:val="003E5895"/>
    <w:rsid w:val="003E599E"/>
    <w:rsid w:val="003E5D21"/>
    <w:rsid w:val="003E66BD"/>
    <w:rsid w:val="003E67A1"/>
    <w:rsid w:val="003E69B2"/>
    <w:rsid w:val="003E6AA2"/>
    <w:rsid w:val="003E7058"/>
    <w:rsid w:val="003E70F5"/>
    <w:rsid w:val="003E72D6"/>
    <w:rsid w:val="003E749E"/>
    <w:rsid w:val="003E74BB"/>
    <w:rsid w:val="003E7A25"/>
    <w:rsid w:val="003E7B4C"/>
    <w:rsid w:val="003E7E85"/>
    <w:rsid w:val="003F03FB"/>
    <w:rsid w:val="003F073C"/>
    <w:rsid w:val="003F0D91"/>
    <w:rsid w:val="003F0E73"/>
    <w:rsid w:val="003F1367"/>
    <w:rsid w:val="003F143C"/>
    <w:rsid w:val="003F16C7"/>
    <w:rsid w:val="003F18BA"/>
    <w:rsid w:val="003F1DDE"/>
    <w:rsid w:val="003F2557"/>
    <w:rsid w:val="003F29AC"/>
    <w:rsid w:val="003F2FB9"/>
    <w:rsid w:val="003F3389"/>
    <w:rsid w:val="003F35FF"/>
    <w:rsid w:val="003F3A47"/>
    <w:rsid w:val="003F3B22"/>
    <w:rsid w:val="003F3DD1"/>
    <w:rsid w:val="003F3FEA"/>
    <w:rsid w:val="003F4156"/>
    <w:rsid w:val="003F4313"/>
    <w:rsid w:val="003F48CF"/>
    <w:rsid w:val="003F4DA1"/>
    <w:rsid w:val="003F4F59"/>
    <w:rsid w:val="003F566B"/>
    <w:rsid w:val="003F5719"/>
    <w:rsid w:val="003F5ADF"/>
    <w:rsid w:val="003F6211"/>
    <w:rsid w:val="003F64D2"/>
    <w:rsid w:val="003F69DD"/>
    <w:rsid w:val="003F6ADA"/>
    <w:rsid w:val="003F6EDC"/>
    <w:rsid w:val="003F6EE1"/>
    <w:rsid w:val="003F7038"/>
    <w:rsid w:val="003F78C9"/>
    <w:rsid w:val="003F7995"/>
    <w:rsid w:val="003F7D4A"/>
    <w:rsid w:val="003F7DC0"/>
    <w:rsid w:val="00400365"/>
    <w:rsid w:val="00400427"/>
    <w:rsid w:val="0040056F"/>
    <w:rsid w:val="004006A2"/>
    <w:rsid w:val="004007AE"/>
    <w:rsid w:val="004008C0"/>
    <w:rsid w:val="00400A08"/>
    <w:rsid w:val="00400B29"/>
    <w:rsid w:val="00400D14"/>
    <w:rsid w:val="00400D32"/>
    <w:rsid w:val="0040129A"/>
    <w:rsid w:val="0040162E"/>
    <w:rsid w:val="0040177A"/>
    <w:rsid w:val="00401948"/>
    <w:rsid w:val="004019C4"/>
    <w:rsid w:val="00401BD0"/>
    <w:rsid w:val="00401CC7"/>
    <w:rsid w:val="004021D7"/>
    <w:rsid w:val="00402506"/>
    <w:rsid w:val="004027EB"/>
    <w:rsid w:val="00402812"/>
    <w:rsid w:val="00403137"/>
    <w:rsid w:val="00403547"/>
    <w:rsid w:val="00403942"/>
    <w:rsid w:val="004039F7"/>
    <w:rsid w:val="00403CD3"/>
    <w:rsid w:val="00403F94"/>
    <w:rsid w:val="00404021"/>
    <w:rsid w:val="00404075"/>
    <w:rsid w:val="00404308"/>
    <w:rsid w:val="00404760"/>
    <w:rsid w:val="0040504B"/>
    <w:rsid w:val="00405256"/>
    <w:rsid w:val="0040594A"/>
    <w:rsid w:val="00405960"/>
    <w:rsid w:val="004059F4"/>
    <w:rsid w:val="00405BD6"/>
    <w:rsid w:val="00405C43"/>
    <w:rsid w:val="00405CE7"/>
    <w:rsid w:val="00405DD7"/>
    <w:rsid w:val="00405EF1"/>
    <w:rsid w:val="004060FE"/>
    <w:rsid w:val="00406585"/>
    <w:rsid w:val="00406AAC"/>
    <w:rsid w:val="00406CD9"/>
    <w:rsid w:val="0040705A"/>
    <w:rsid w:val="0040729C"/>
    <w:rsid w:val="00407635"/>
    <w:rsid w:val="004078FB"/>
    <w:rsid w:val="00407FE5"/>
    <w:rsid w:val="004101B0"/>
    <w:rsid w:val="00410326"/>
    <w:rsid w:val="00410708"/>
    <w:rsid w:val="00410859"/>
    <w:rsid w:val="00410862"/>
    <w:rsid w:val="00410C02"/>
    <w:rsid w:val="00410EBB"/>
    <w:rsid w:val="00410EC7"/>
    <w:rsid w:val="00410ED2"/>
    <w:rsid w:val="00411A01"/>
    <w:rsid w:val="00411A74"/>
    <w:rsid w:val="00411B39"/>
    <w:rsid w:val="004122C6"/>
    <w:rsid w:val="0041261A"/>
    <w:rsid w:val="004127A7"/>
    <w:rsid w:val="00412B2D"/>
    <w:rsid w:val="00412D47"/>
    <w:rsid w:val="004134DF"/>
    <w:rsid w:val="0041351B"/>
    <w:rsid w:val="00413A1E"/>
    <w:rsid w:val="00413F42"/>
    <w:rsid w:val="00414476"/>
    <w:rsid w:val="004149F4"/>
    <w:rsid w:val="00414BAF"/>
    <w:rsid w:val="00414C2E"/>
    <w:rsid w:val="00414C31"/>
    <w:rsid w:val="004151A5"/>
    <w:rsid w:val="004151CF"/>
    <w:rsid w:val="004159B3"/>
    <w:rsid w:val="00415AAD"/>
    <w:rsid w:val="00415ADD"/>
    <w:rsid w:val="00415C02"/>
    <w:rsid w:val="00415E23"/>
    <w:rsid w:val="0041631F"/>
    <w:rsid w:val="00416364"/>
    <w:rsid w:val="004165AB"/>
    <w:rsid w:val="00416B04"/>
    <w:rsid w:val="00417116"/>
    <w:rsid w:val="00417708"/>
    <w:rsid w:val="004178E4"/>
    <w:rsid w:val="00417EAB"/>
    <w:rsid w:val="004202B1"/>
    <w:rsid w:val="0042047F"/>
    <w:rsid w:val="004205DE"/>
    <w:rsid w:val="00420A71"/>
    <w:rsid w:val="00420AA6"/>
    <w:rsid w:val="00420B43"/>
    <w:rsid w:val="00420B9F"/>
    <w:rsid w:val="00420FA0"/>
    <w:rsid w:val="00421448"/>
    <w:rsid w:val="00421678"/>
    <w:rsid w:val="00421849"/>
    <w:rsid w:val="0042192C"/>
    <w:rsid w:val="00421B40"/>
    <w:rsid w:val="00421C24"/>
    <w:rsid w:val="00421C88"/>
    <w:rsid w:val="00422260"/>
    <w:rsid w:val="00422290"/>
    <w:rsid w:val="0042271A"/>
    <w:rsid w:val="00423E04"/>
    <w:rsid w:val="00423FE4"/>
    <w:rsid w:val="0042413F"/>
    <w:rsid w:val="00424557"/>
    <w:rsid w:val="00424B2D"/>
    <w:rsid w:val="00424B58"/>
    <w:rsid w:val="0042544B"/>
    <w:rsid w:val="00425718"/>
    <w:rsid w:val="0042574F"/>
    <w:rsid w:val="00425B0F"/>
    <w:rsid w:val="00425C9A"/>
    <w:rsid w:val="00426CB4"/>
    <w:rsid w:val="00426F11"/>
    <w:rsid w:val="00427067"/>
    <w:rsid w:val="00427714"/>
    <w:rsid w:val="00427909"/>
    <w:rsid w:val="00427A26"/>
    <w:rsid w:val="00427B3B"/>
    <w:rsid w:val="00427F39"/>
    <w:rsid w:val="004300B7"/>
    <w:rsid w:val="004306D6"/>
    <w:rsid w:val="0043071B"/>
    <w:rsid w:val="00430E42"/>
    <w:rsid w:val="00430FD4"/>
    <w:rsid w:val="00431353"/>
    <w:rsid w:val="004316A7"/>
    <w:rsid w:val="004319F8"/>
    <w:rsid w:val="00431E55"/>
    <w:rsid w:val="0043211A"/>
    <w:rsid w:val="00432139"/>
    <w:rsid w:val="004321F6"/>
    <w:rsid w:val="00432324"/>
    <w:rsid w:val="00432584"/>
    <w:rsid w:val="00432717"/>
    <w:rsid w:val="00432781"/>
    <w:rsid w:val="00432830"/>
    <w:rsid w:val="00432891"/>
    <w:rsid w:val="00432A72"/>
    <w:rsid w:val="00433044"/>
    <w:rsid w:val="00433764"/>
    <w:rsid w:val="00433BFB"/>
    <w:rsid w:val="00433FE9"/>
    <w:rsid w:val="00434088"/>
    <w:rsid w:val="00434A55"/>
    <w:rsid w:val="00434A67"/>
    <w:rsid w:val="00434FE3"/>
    <w:rsid w:val="004355D2"/>
    <w:rsid w:val="00435751"/>
    <w:rsid w:val="00435791"/>
    <w:rsid w:val="004357EB"/>
    <w:rsid w:val="004361DC"/>
    <w:rsid w:val="00437046"/>
    <w:rsid w:val="0043707A"/>
    <w:rsid w:val="004375B9"/>
    <w:rsid w:val="00437A5F"/>
    <w:rsid w:val="00437E68"/>
    <w:rsid w:val="0044017C"/>
    <w:rsid w:val="00440279"/>
    <w:rsid w:val="00440593"/>
    <w:rsid w:val="00440634"/>
    <w:rsid w:val="00440977"/>
    <w:rsid w:val="00440D5E"/>
    <w:rsid w:val="004414B2"/>
    <w:rsid w:val="004414C1"/>
    <w:rsid w:val="00441568"/>
    <w:rsid w:val="004416D0"/>
    <w:rsid w:val="00441ED5"/>
    <w:rsid w:val="0044208D"/>
    <w:rsid w:val="00442127"/>
    <w:rsid w:val="0044225C"/>
    <w:rsid w:val="004422DF"/>
    <w:rsid w:val="00442350"/>
    <w:rsid w:val="004428D0"/>
    <w:rsid w:val="00442BE9"/>
    <w:rsid w:val="00443296"/>
    <w:rsid w:val="004439A6"/>
    <w:rsid w:val="00443D9E"/>
    <w:rsid w:val="00444185"/>
    <w:rsid w:val="0044419E"/>
    <w:rsid w:val="004443A7"/>
    <w:rsid w:val="0044442C"/>
    <w:rsid w:val="0044451A"/>
    <w:rsid w:val="00444C0F"/>
    <w:rsid w:val="00444C37"/>
    <w:rsid w:val="004452DE"/>
    <w:rsid w:val="00445303"/>
    <w:rsid w:val="004453B3"/>
    <w:rsid w:val="00445523"/>
    <w:rsid w:val="00445941"/>
    <w:rsid w:val="00445994"/>
    <w:rsid w:val="00445C12"/>
    <w:rsid w:val="00446086"/>
    <w:rsid w:val="004464EB"/>
    <w:rsid w:val="0044678D"/>
    <w:rsid w:val="0044679E"/>
    <w:rsid w:val="00446D5D"/>
    <w:rsid w:val="004470BA"/>
    <w:rsid w:val="004470E7"/>
    <w:rsid w:val="00447581"/>
    <w:rsid w:val="0044779A"/>
    <w:rsid w:val="00447904"/>
    <w:rsid w:val="00447BD2"/>
    <w:rsid w:val="00447D26"/>
    <w:rsid w:val="00447DFC"/>
    <w:rsid w:val="0045004F"/>
    <w:rsid w:val="00450242"/>
    <w:rsid w:val="0045026B"/>
    <w:rsid w:val="004504A0"/>
    <w:rsid w:val="00450EC9"/>
    <w:rsid w:val="00451022"/>
    <w:rsid w:val="004511E3"/>
    <w:rsid w:val="00452246"/>
    <w:rsid w:val="004522E2"/>
    <w:rsid w:val="00452333"/>
    <w:rsid w:val="004528CB"/>
    <w:rsid w:val="00452C18"/>
    <w:rsid w:val="00452E9B"/>
    <w:rsid w:val="004530B6"/>
    <w:rsid w:val="00453304"/>
    <w:rsid w:val="00453995"/>
    <w:rsid w:val="00453C63"/>
    <w:rsid w:val="00453D47"/>
    <w:rsid w:val="00453E02"/>
    <w:rsid w:val="00453F5E"/>
    <w:rsid w:val="00454226"/>
    <w:rsid w:val="00454482"/>
    <w:rsid w:val="0045497E"/>
    <w:rsid w:val="004549BF"/>
    <w:rsid w:val="00454C06"/>
    <w:rsid w:val="00454DEE"/>
    <w:rsid w:val="004551A3"/>
    <w:rsid w:val="00455503"/>
    <w:rsid w:val="00455A5B"/>
    <w:rsid w:val="00455CCB"/>
    <w:rsid w:val="00455CE4"/>
    <w:rsid w:val="00455D45"/>
    <w:rsid w:val="00455F5A"/>
    <w:rsid w:val="00456341"/>
    <w:rsid w:val="00456C63"/>
    <w:rsid w:val="00456D44"/>
    <w:rsid w:val="0045702A"/>
    <w:rsid w:val="004571E4"/>
    <w:rsid w:val="004576AC"/>
    <w:rsid w:val="004577B0"/>
    <w:rsid w:val="004577DF"/>
    <w:rsid w:val="0045781B"/>
    <w:rsid w:val="00457BCD"/>
    <w:rsid w:val="00457EFE"/>
    <w:rsid w:val="00457FE3"/>
    <w:rsid w:val="004600E4"/>
    <w:rsid w:val="00460720"/>
    <w:rsid w:val="004607DE"/>
    <w:rsid w:val="004608C8"/>
    <w:rsid w:val="004608E8"/>
    <w:rsid w:val="00460A0B"/>
    <w:rsid w:val="00460D3D"/>
    <w:rsid w:val="00460E0A"/>
    <w:rsid w:val="00461876"/>
    <w:rsid w:val="00461947"/>
    <w:rsid w:val="00461ABB"/>
    <w:rsid w:val="00461C18"/>
    <w:rsid w:val="00461E10"/>
    <w:rsid w:val="00461EC6"/>
    <w:rsid w:val="00461FDF"/>
    <w:rsid w:val="004628BB"/>
    <w:rsid w:val="00462F5C"/>
    <w:rsid w:val="004633A0"/>
    <w:rsid w:val="00463985"/>
    <w:rsid w:val="00463AB9"/>
    <w:rsid w:val="0046406A"/>
    <w:rsid w:val="0046436C"/>
    <w:rsid w:val="00464398"/>
    <w:rsid w:val="004643A3"/>
    <w:rsid w:val="00464595"/>
    <w:rsid w:val="004646B5"/>
    <w:rsid w:val="004647F6"/>
    <w:rsid w:val="00464CDD"/>
    <w:rsid w:val="00464F91"/>
    <w:rsid w:val="00465014"/>
    <w:rsid w:val="00465278"/>
    <w:rsid w:val="00465283"/>
    <w:rsid w:val="00465352"/>
    <w:rsid w:val="0046551B"/>
    <w:rsid w:val="00465614"/>
    <w:rsid w:val="004657CA"/>
    <w:rsid w:val="004658B5"/>
    <w:rsid w:val="004659C2"/>
    <w:rsid w:val="004659DF"/>
    <w:rsid w:val="00465A70"/>
    <w:rsid w:val="004664BA"/>
    <w:rsid w:val="0046659A"/>
    <w:rsid w:val="00466637"/>
    <w:rsid w:val="00466AD3"/>
    <w:rsid w:val="00466B31"/>
    <w:rsid w:val="00467399"/>
    <w:rsid w:val="004675F1"/>
    <w:rsid w:val="00467632"/>
    <w:rsid w:val="004676B4"/>
    <w:rsid w:val="00467EA2"/>
    <w:rsid w:val="00467ECF"/>
    <w:rsid w:val="00470162"/>
    <w:rsid w:val="00470233"/>
    <w:rsid w:val="004709A2"/>
    <w:rsid w:val="00470B41"/>
    <w:rsid w:val="00470DDF"/>
    <w:rsid w:val="00471EA5"/>
    <w:rsid w:val="00472050"/>
    <w:rsid w:val="0047231C"/>
    <w:rsid w:val="00472372"/>
    <w:rsid w:val="00472897"/>
    <w:rsid w:val="00472A79"/>
    <w:rsid w:val="004734C7"/>
    <w:rsid w:val="00473F19"/>
    <w:rsid w:val="00474534"/>
    <w:rsid w:val="00474DAD"/>
    <w:rsid w:val="00475549"/>
    <w:rsid w:val="004755D7"/>
    <w:rsid w:val="00475686"/>
    <w:rsid w:val="004759C9"/>
    <w:rsid w:val="00475D3B"/>
    <w:rsid w:val="00475E22"/>
    <w:rsid w:val="0047625E"/>
    <w:rsid w:val="004764E5"/>
    <w:rsid w:val="0047675E"/>
    <w:rsid w:val="004767DF"/>
    <w:rsid w:val="00476DCC"/>
    <w:rsid w:val="00477DB5"/>
    <w:rsid w:val="00477EA0"/>
    <w:rsid w:val="00477F2B"/>
    <w:rsid w:val="00480335"/>
    <w:rsid w:val="00480671"/>
    <w:rsid w:val="0048074B"/>
    <w:rsid w:val="0048088E"/>
    <w:rsid w:val="00480DA6"/>
    <w:rsid w:val="00480F2B"/>
    <w:rsid w:val="00480FF1"/>
    <w:rsid w:val="00481603"/>
    <w:rsid w:val="004816A2"/>
    <w:rsid w:val="00481761"/>
    <w:rsid w:val="00481CA9"/>
    <w:rsid w:val="00481F1F"/>
    <w:rsid w:val="004822A9"/>
    <w:rsid w:val="00482720"/>
    <w:rsid w:val="004829BC"/>
    <w:rsid w:val="00482D3E"/>
    <w:rsid w:val="00483084"/>
    <w:rsid w:val="004835E7"/>
    <w:rsid w:val="00483F96"/>
    <w:rsid w:val="00484020"/>
    <w:rsid w:val="004841D9"/>
    <w:rsid w:val="0048472C"/>
    <w:rsid w:val="0048474E"/>
    <w:rsid w:val="00484841"/>
    <w:rsid w:val="00484A3A"/>
    <w:rsid w:val="00484AA9"/>
    <w:rsid w:val="00484C90"/>
    <w:rsid w:val="0048500C"/>
    <w:rsid w:val="00485178"/>
    <w:rsid w:val="0048555B"/>
    <w:rsid w:val="004859E1"/>
    <w:rsid w:val="00485EBF"/>
    <w:rsid w:val="00485FB7"/>
    <w:rsid w:val="004864DA"/>
    <w:rsid w:val="0048659B"/>
    <w:rsid w:val="004867E2"/>
    <w:rsid w:val="00486823"/>
    <w:rsid w:val="00486F68"/>
    <w:rsid w:val="00487178"/>
    <w:rsid w:val="00487192"/>
    <w:rsid w:val="0048727D"/>
    <w:rsid w:val="00487A47"/>
    <w:rsid w:val="00487C0B"/>
    <w:rsid w:val="00487E4E"/>
    <w:rsid w:val="00490204"/>
    <w:rsid w:val="0049038D"/>
    <w:rsid w:val="0049044D"/>
    <w:rsid w:val="0049053C"/>
    <w:rsid w:val="0049061F"/>
    <w:rsid w:val="00490715"/>
    <w:rsid w:val="0049072D"/>
    <w:rsid w:val="00490B17"/>
    <w:rsid w:val="00491043"/>
    <w:rsid w:val="004915D2"/>
    <w:rsid w:val="00491624"/>
    <w:rsid w:val="00491A21"/>
    <w:rsid w:val="00491A5A"/>
    <w:rsid w:val="00491B3A"/>
    <w:rsid w:val="00491E7D"/>
    <w:rsid w:val="0049261E"/>
    <w:rsid w:val="004926A5"/>
    <w:rsid w:val="004928E2"/>
    <w:rsid w:val="00492CFD"/>
    <w:rsid w:val="00493136"/>
    <w:rsid w:val="00494207"/>
    <w:rsid w:val="004943A5"/>
    <w:rsid w:val="004949C7"/>
    <w:rsid w:val="00494A2E"/>
    <w:rsid w:val="00494D50"/>
    <w:rsid w:val="00494DD5"/>
    <w:rsid w:val="004951B0"/>
    <w:rsid w:val="00495361"/>
    <w:rsid w:val="00495436"/>
    <w:rsid w:val="0049549C"/>
    <w:rsid w:val="00495501"/>
    <w:rsid w:val="0049572E"/>
    <w:rsid w:val="00495BE4"/>
    <w:rsid w:val="00496249"/>
    <w:rsid w:val="004962A0"/>
    <w:rsid w:val="004962D2"/>
    <w:rsid w:val="00496728"/>
    <w:rsid w:val="0049689D"/>
    <w:rsid w:val="004968CD"/>
    <w:rsid w:val="00496BB7"/>
    <w:rsid w:val="00496CE5"/>
    <w:rsid w:val="00496ED0"/>
    <w:rsid w:val="004972D0"/>
    <w:rsid w:val="004973B3"/>
    <w:rsid w:val="00497478"/>
    <w:rsid w:val="00497581"/>
    <w:rsid w:val="00497583"/>
    <w:rsid w:val="0049770B"/>
    <w:rsid w:val="00497A76"/>
    <w:rsid w:val="00497A86"/>
    <w:rsid w:val="00497B30"/>
    <w:rsid w:val="00497B81"/>
    <w:rsid w:val="004A008D"/>
    <w:rsid w:val="004A0867"/>
    <w:rsid w:val="004A0A6C"/>
    <w:rsid w:val="004A0DA1"/>
    <w:rsid w:val="004A1287"/>
    <w:rsid w:val="004A13D6"/>
    <w:rsid w:val="004A151C"/>
    <w:rsid w:val="004A15D6"/>
    <w:rsid w:val="004A1B66"/>
    <w:rsid w:val="004A1BC3"/>
    <w:rsid w:val="004A1C50"/>
    <w:rsid w:val="004A1C66"/>
    <w:rsid w:val="004A289D"/>
    <w:rsid w:val="004A2A72"/>
    <w:rsid w:val="004A2C6C"/>
    <w:rsid w:val="004A2CDD"/>
    <w:rsid w:val="004A35EF"/>
    <w:rsid w:val="004A35FA"/>
    <w:rsid w:val="004A3690"/>
    <w:rsid w:val="004A3D41"/>
    <w:rsid w:val="004A4135"/>
    <w:rsid w:val="004A4A05"/>
    <w:rsid w:val="004A4FE5"/>
    <w:rsid w:val="004A52E9"/>
    <w:rsid w:val="004A533C"/>
    <w:rsid w:val="004A53CD"/>
    <w:rsid w:val="004A549D"/>
    <w:rsid w:val="004A5914"/>
    <w:rsid w:val="004A5D5F"/>
    <w:rsid w:val="004A5DA5"/>
    <w:rsid w:val="004A6040"/>
    <w:rsid w:val="004A6255"/>
    <w:rsid w:val="004A63A2"/>
    <w:rsid w:val="004A642E"/>
    <w:rsid w:val="004A6534"/>
    <w:rsid w:val="004A6597"/>
    <w:rsid w:val="004A6C42"/>
    <w:rsid w:val="004A6D89"/>
    <w:rsid w:val="004A70B9"/>
    <w:rsid w:val="004A70D1"/>
    <w:rsid w:val="004A7107"/>
    <w:rsid w:val="004A727C"/>
    <w:rsid w:val="004A73D5"/>
    <w:rsid w:val="004A7848"/>
    <w:rsid w:val="004A793B"/>
    <w:rsid w:val="004A7973"/>
    <w:rsid w:val="004A7A0B"/>
    <w:rsid w:val="004A7D02"/>
    <w:rsid w:val="004B03AB"/>
    <w:rsid w:val="004B060E"/>
    <w:rsid w:val="004B0CBE"/>
    <w:rsid w:val="004B0DA9"/>
    <w:rsid w:val="004B1300"/>
    <w:rsid w:val="004B18B9"/>
    <w:rsid w:val="004B1B74"/>
    <w:rsid w:val="004B1CB4"/>
    <w:rsid w:val="004B1D0E"/>
    <w:rsid w:val="004B1DAD"/>
    <w:rsid w:val="004B1E1E"/>
    <w:rsid w:val="004B24F2"/>
    <w:rsid w:val="004B2532"/>
    <w:rsid w:val="004B2807"/>
    <w:rsid w:val="004B2AFC"/>
    <w:rsid w:val="004B2CDB"/>
    <w:rsid w:val="004B2F03"/>
    <w:rsid w:val="004B2F18"/>
    <w:rsid w:val="004B30D3"/>
    <w:rsid w:val="004B37D2"/>
    <w:rsid w:val="004B3B66"/>
    <w:rsid w:val="004B3DB2"/>
    <w:rsid w:val="004B3DDB"/>
    <w:rsid w:val="004B441B"/>
    <w:rsid w:val="004B44FD"/>
    <w:rsid w:val="004B4746"/>
    <w:rsid w:val="004B489E"/>
    <w:rsid w:val="004B4B51"/>
    <w:rsid w:val="004B4DD1"/>
    <w:rsid w:val="004B524B"/>
    <w:rsid w:val="004B5322"/>
    <w:rsid w:val="004B57A3"/>
    <w:rsid w:val="004B57B9"/>
    <w:rsid w:val="004B59BA"/>
    <w:rsid w:val="004B5A69"/>
    <w:rsid w:val="004B5CFC"/>
    <w:rsid w:val="004B6449"/>
    <w:rsid w:val="004B675F"/>
    <w:rsid w:val="004B68E5"/>
    <w:rsid w:val="004B699E"/>
    <w:rsid w:val="004B6C9C"/>
    <w:rsid w:val="004B6DDA"/>
    <w:rsid w:val="004B6DFC"/>
    <w:rsid w:val="004B6F79"/>
    <w:rsid w:val="004B705D"/>
    <w:rsid w:val="004B7173"/>
    <w:rsid w:val="004B774D"/>
    <w:rsid w:val="004B7905"/>
    <w:rsid w:val="004B79A2"/>
    <w:rsid w:val="004B7D0A"/>
    <w:rsid w:val="004B7FAF"/>
    <w:rsid w:val="004C0618"/>
    <w:rsid w:val="004C0634"/>
    <w:rsid w:val="004C0893"/>
    <w:rsid w:val="004C0D86"/>
    <w:rsid w:val="004C1809"/>
    <w:rsid w:val="004C1F28"/>
    <w:rsid w:val="004C23C5"/>
    <w:rsid w:val="004C243E"/>
    <w:rsid w:val="004C24F2"/>
    <w:rsid w:val="004C2AC2"/>
    <w:rsid w:val="004C2D66"/>
    <w:rsid w:val="004C2DE3"/>
    <w:rsid w:val="004C2E14"/>
    <w:rsid w:val="004C33AF"/>
    <w:rsid w:val="004C36B0"/>
    <w:rsid w:val="004C3B02"/>
    <w:rsid w:val="004C4207"/>
    <w:rsid w:val="004C446C"/>
    <w:rsid w:val="004C450A"/>
    <w:rsid w:val="004C45D4"/>
    <w:rsid w:val="004C466E"/>
    <w:rsid w:val="004C48D5"/>
    <w:rsid w:val="004C4AED"/>
    <w:rsid w:val="004C4B54"/>
    <w:rsid w:val="004C4C58"/>
    <w:rsid w:val="004C519E"/>
    <w:rsid w:val="004C52DB"/>
    <w:rsid w:val="004C5675"/>
    <w:rsid w:val="004C5693"/>
    <w:rsid w:val="004C577C"/>
    <w:rsid w:val="004C5822"/>
    <w:rsid w:val="004C5840"/>
    <w:rsid w:val="004C58C8"/>
    <w:rsid w:val="004C5DAD"/>
    <w:rsid w:val="004C65D1"/>
    <w:rsid w:val="004C6860"/>
    <w:rsid w:val="004C6BC0"/>
    <w:rsid w:val="004C7029"/>
    <w:rsid w:val="004C73E3"/>
    <w:rsid w:val="004C78C6"/>
    <w:rsid w:val="004C7BD4"/>
    <w:rsid w:val="004C7D12"/>
    <w:rsid w:val="004C7D35"/>
    <w:rsid w:val="004D030F"/>
    <w:rsid w:val="004D07EF"/>
    <w:rsid w:val="004D0F52"/>
    <w:rsid w:val="004D1E32"/>
    <w:rsid w:val="004D1F84"/>
    <w:rsid w:val="004D207B"/>
    <w:rsid w:val="004D2271"/>
    <w:rsid w:val="004D2572"/>
    <w:rsid w:val="004D2A0F"/>
    <w:rsid w:val="004D2B57"/>
    <w:rsid w:val="004D2C2D"/>
    <w:rsid w:val="004D2E8A"/>
    <w:rsid w:val="004D3669"/>
    <w:rsid w:val="004D3A82"/>
    <w:rsid w:val="004D3D13"/>
    <w:rsid w:val="004D3F63"/>
    <w:rsid w:val="004D42C2"/>
    <w:rsid w:val="004D4A68"/>
    <w:rsid w:val="004D4C59"/>
    <w:rsid w:val="004D4E02"/>
    <w:rsid w:val="004D4E50"/>
    <w:rsid w:val="004D51E3"/>
    <w:rsid w:val="004D55B7"/>
    <w:rsid w:val="004D5BF9"/>
    <w:rsid w:val="004D5CE1"/>
    <w:rsid w:val="004D5E3C"/>
    <w:rsid w:val="004D6095"/>
    <w:rsid w:val="004D60DA"/>
    <w:rsid w:val="004D6132"/>
    <w:rsid w:val="004D6470"/>
    <w:rsid w:val="004D65D0"/>
    <w:rsid w:val="004D68C1"/>
    <w:rsid w:val="004D69B5"/>
    <w:rsid w:val="004D6D26"/>
    <w:rsid w:val="004D71B3"/>
    <w:rsid w:val="004D7227"/>
    <w:rsid w:val="004D73F8"/>
    <w:rsid w:val="004D76B0"/>
    <w:rsid w:val="004D76D6"/>
    <w:rsid w:val="004D7736"/>
    <w:rsid w:val="004D7B5E"/>
    <w:rsid w:val="004D7D34"/>
    <w:rsid w:val="004E00A1"/>
    <w:rsid w:val="004E03AD"/>
    <w:rsid w:val="004E0858"/>
    <w:rsid w:val="004E0902"/>
    <w:rsid w:val="004E0BC8"/>
    <w:rsid w:val="004E0C11"/>
    <w:rsid w:val="004E0E7F"/>
    <w:rsid w:val="004E0EB8"/>
    <w:rsid w:val="004E13A9"/>
    <w:rsid w:val="004E16CE"/>
    <w:rsid w:val="004E18E9"/>
    <w:rsid w:val="004E1A41"/>
    <w:rsid w:val="004E27A4"/>
    <w:rsid w:val="004E27E6"/>
    <w:rsid w:val="004E29B2"/>
    <w:rsid w:val="004E2ADC"/>
    <w:rsid w:val="004E31C9"/>
    <w:rsid w:val="004E3469"/>
    <w:rsid w:val="004E3896"/>
    <w:rsid w:val="004E3CC3"/>
    <w:rsid w:val="004E3D69"/>
    <w:rsid w:val="004E3F4C"/>
    <w:rsid w:val="004E3FD9"/>
    <w:rsid w:val="004E439A"/>
    <w:rsid w:val="004E43B2"/>
    <w:rsid w:val="004E4921"/>
    <w:rsid w:val="004E5184"/>
    <w:rsid w:val="004E539E"/>
    <w:rsid w:val="004E54F4"/>
    <w:rsid w:val="004E6D8E"/>
    <w:rsid w:val="004E7108"/>
    <w:rsid w:val="004E72CA"/>
    <w:rsid w:val="004E7626"/>
    <w:rsid w:val="004F001D"/>
    <w:rsid w:val="004F00F2"/>
    <w:rsid w:val="004F036F"/>
    <w:rsid w:val="004F04A1"/>
    <w:rsid w:val="004F05A7"/>
    <w:rsid w:val="004F0A56"/>
    <w:rsid w:val="004F0AA0"/>
    <w:rsid w:val="004F0CF9"/>
    <w:rsid w:val="004F159C"/>
    <w:rsid w:val="004F19AE"/>
    <w:rsid w:val="004F1BA3"/>
    <w:rsid w:val="004F1CF8"/>
    <w:rsid w:val="004F1D02"/>
    <w:rsid w:val="004F1DF3"/>
    <w:rsid w:val="004F206F"/>
    <w:rsid w:val="004F22DC"/>
    <w:rsid w:val="004F266D"/>
    <w:rsid w:val="004F2679"/>
    <w:rsid w:val="004F2B96"/>
    <w:rsid w:val="004F2EE3"/>
    <w:rsid w:val="004F2F21"/>
    <w:rsid w:val="004F3196"/>
    <w:rsid w:val="004F319D"/>
    <w:rsid w:val="004F33B3"/>
    <w:rsid w:val="004F34F6"/>
    <w:rsid w:val="004F36E8"/>
    <w:rsid w:val="004F3CF0"/>
    <w:rsid w:val="004F3D30"/>
    <w:rsid w:val="004F3DE5"/>
    <w:rsid w:val="004F4550"/>
    <w:rsid w:val="004F459F"/>
    <w:rsid w:val="004F499F"/>
    <w:rsid w:val="004F4A8A"/>
    <w:rsid w:val="004F50AB"/>
    <w:rsid w:val="004F52DE"/>
    <w:rsid w:val="004F580B"/>
    <w:rsid w:val="004F5A08"/>
    <w:rsid w:val="004F5D34"/>
    <w:rsid w:val="004F5D36"/>
    <w:rsid w:val="004F5DB3"/>
    <w:rsid w:val="004F6750"/>
    <w:rsid w:val="004F6913"/>
    <w:rsid w:val="004F6BA3"/>
    <w:rsid w:val="004F6CFB"/>
    <w:rsid w:val="004F6D64"/>
    <w:rsid w:val="004F6ED1"/>
    <w:rsid w:val="004F6F60"/>
    <w:rsid w:val="004F72E3"/>
    <w:rsid w:val="004F7457"/>
    <w:rsid w:val="004F7865"/>
    <w:rsid w:val="004F7C19"/>
    <w:rsid w:val="004F7DF1"/>
    <w:rsid w:val="004F7F4E"/>
    <w:rsid w:val="0050006D"/>
    <w:rsid w:val="005007D9"/>
    <w:rsid w:val="00500DFF"/>
    <w:rsid w:val="0050174E"/>
    <w:rsid w:val="00501776"/>
    <w:rsid w:val="00501854"/>
    <w:rsid w:val="00501A93"/>
    <w:rsid w:val="00501E80"/>
    <w:rsid w:val="00502172"/>
    <w:rsid w:val="0050219B"/>
    <w:rsid w:val="0050272E"/>
    <w:rsid w:val="00502C9E"/>
    <w:rsid w:val="005032AC"/>
    <w:rsid w:val="00503470"/>
    <w:rsid w:val="00503475"/>
    <w:rsid w:val="00503617"/>
    <w:rsid w:val="00503690"/>
    <w:rsid w:val="00503D21"/>
    <w:rsid w:val="00503F17"/>
    <w:rsid w:val="00503F3A"/>
    <w:rsid w:val="00503F74"/>
    <w:rsid w:val="00503FB5"/>
    <w:rsid w:val="00504F91"/>
    <w:rsid w:val="00505736"/>
    <w:rsid w:val="00505D62"/>
    <w:rsid w:val="00505D7F"/>
    <w:rsid w:val="00505F06"/>
    <w:rsid w:val="00506574"/>
    <w:rsid w:val="00506685"/>
    <w:rsid w:val="00506726"/>
    <w:rsid w:val="00506928"/>
    <w:rsid w:val="005069A6"/>
    <w:rsid w:val="00506AD7"/>
    <w:rsid w:val="00506AD9"/>
    <w:rsid w:val="00507298"/>
    <w:rsid w:val="005075EF"/>
    <w:rsid w:val="00507680"/>
    <w:rsid w:val="00507791"/>
    <w:rsid w:val="005077B7"/>
    <w:rsid w:val="005077EF"/>
    <w:rsid w:val="00507AA6"/>
    <w:rsid w:val="00507C6C"/>
    <w:rsid w:val="00507C9A"/>
    <w:rsid w:val="00507CB7"/>
    <w:rsid w:val="00507D5C"/>
    <w:rsid w:val="00507EF4"/>
    <w:rsid w:val="00510381"/>
    <w:rsid w:val="00510818"/>
    <w:rsid w:val="0051091B"/>
    <w:rsid w:val="005109A8"/>
    <w:rsid w:val="00510CD4"/>
    <w:rsid w:val="0051123E"/>
    <w:rsid w:val="005112A3"/>
    <w:rsid w:val="005113DD"/>
    <w:rsid w:val="00511AD5"/>
    <w:rsid w:val="00511C9A"/>
    <w:rsid w:val="00511DC7"/>
    <w:rsid w:val="005124BE"/>
    <w:rsid w:val="0051253C"/>
    <w:rsid w:val="00512556"/>
    <w:rsid w:val="00512766"/>
    <w:rsid w:val="00512F2F"/>
    <w:rsid w:val="0051312B"/>
    <w:rsid w:val="00513348"/>
    <w:rsid w:val="00513361"/>
    <w:rsid w:val="005133F0"/>
    <w:rsid w:val="0051366A"/>
    <w:rsid w:val="00513D13"/>
    <w:rsid w:val="005142C5"/>
    <w:rsid w:val="005144F8"/>
    <w:rsid w:val="00514839"/>
    <w:rsid w:val="00514880"/>
    <w:rsid w:val="0051497F"/>
    <w:rsid w:val="00514B86"/>
    <w:rsid w:val="00514EFB"/>
    <w:rsid w:val="0051501B"/>
    <w:rsid w:val="005151E0"/>
    <w:rsid w:val="00515264"/>
    <w:rsid w:val="005152B5"/>
    <w:rsid w:val="00515323"/>
    <w:rsid w:val="0051532A"/>
    <w:rsid w:val="005155E1"/>
    <w:rsid w:val="00515730"/>
    <w:rsid w:val="00515886"/>
    <w:rsid w:val="005159CD"/>
    <w:rsid w:val="00515B27"/>
    <w:rsid w:val="00515BC5"/>
    <w:rsid w:val="00515C2A"/>
    <w:rsid w:val="00515E6F"/>
    <w:rsid w:val="0051617A"/>
    <w:rsid w:val="00516902"/>
    <w:rsid w:val="00516CF1"/>
    <w:rsid w:val="005178CE"/>
    <w:rsid w:val="00517C98"/>
    <w:rsid w:val="00517E34"/>
    <w:rsid w:val="00517E68"/>
    <w:rsid w:val="00520BDC"/>
    <w:rsid w:val="00520D86"/>
    <w:rsid w:val="00520DCD"/>
    <w:rsid w:val="0052123C"/>
    <w:rsid w:val="00521319"/>
    <w:rsid w:val="005214C4"/>
    <w:rsid w:val="00521881"/>
    <w:rsid w:val="00521973"/>
    <w:rsid w:val="005219D1"/>
    <w:rsid w:val="005219F0"/>
    <w:rsid w:val="00521F03"/>
    <w:rsid w:val="00522006"/>
    <w:rsid w:val="00522323"/>
    <w:rsid w:val="005227AF"/>
    <w:rsid w:val="005229CD"/>
    <w:rsid w:val="005229DE"/>
    <w:rsid w:val="00522A51"/>
    <w:rsid w:val="00522A78"/>
    <w:rsid w:val="00522BBB"/>
    <w:rsid w:val="00522BC8"/>
    <w:rsid w:val="00522D35"/>
    <w:rsid w:val="00522DE4"/>
    <w:rsid w:val="00523286"/>
    <w:rsid w:val="00523418"/>
    <w:rsid w:val="00523C28"/>
    <w:rsid w:val="00523FC8"/>
    <w:rsid w:val="005242A5"/>
    <w:rsid w:val="005243C7"/>
    <w:rsid w:val="0052469D"/>
    <w:rsid w:val="00524D6D"/>
    <w:rsid w:val="005252DF"/>
    <w:rsid w:val="00525F95"/>
    <w:rsid w:val="005268BD"/>
    <w:rsid w:val="00526F94"/>
    <w:rsid w:val="005270FF"/>
    <w:rsid w:val="005271FB"/>
    <w:rsid w:val="005276F0"/>
    <w:rsid w:val="00527841"/>
    <w:rsid w:val="00527AAA"/>
    <w:rsid w:val="005301CD"/>
    <w:rsid w:val="005309B4"/>
    <w:rsid w:val="00530AB7"/>
    <w:rsid w:val="00530E18"/>
    <w:rsid w:val="0053138C"/>
    <w:rsid w:val="00531620"/>
    <w:rsid w:val="0053168E"/>
    <w:rsid w:val="0053176B"/>
    <w:rsid w:val="00531771"/>
    <w:rsid w:val="005318C4"/>
    <w:rsid w:val="005320F9"/>
    <w:rsid w:val="0053221C"/>
    <w:rsid w:val="005323B1"/>
    <w:rsid w:val="00532463"/>
    <w:rsid w:val="00532619"/>
    <w:rsid w:val="005326A9"/>
    <w:rsid w:val="005328AF"/>
    <w:rsid w:val="005334CC"/>
    <w:rsid w:val="00533936"/>
    <w:rsid w:val="00533B66"/>
    <w:rsid w:val="00533C96"/>
    <w:rsid w:val="00533D92"/>
    <w:rsid w:val="00533DCA"/>
    <w:rsid w:val="00533FE7"/>
    <w:rsid w:val="005341B3"/>
    <w:rsid w:val="005344D3"/>
    <w:rsid w:val="0053476B"/>
    <w:rsid w:val="00535090"/>
    <w:rsid w:val="005350AA"/>
    <w:rsid w:val="0053519E"/>
    <w:rsid w:val="005359B1"/>
    <w:rsid w:val="00536129"/>
    <w:rsid w:val="00536378"/>
    <w:rsid w:val="00536383"/>
    <w:rsid w:val="005367D8"/>
    <w:rsid w:val="00536839"/>
    <w:rsid w:val="005368D3"/>
    <w:rsid w:val="00536AEF"/>
    <w:rsid w:val="00536E56"/>
    <w:rsid w:val="00536EB7"/>
    <w:rsid w:val="00536F42"/>
    <w:rsid w:val="00537182"/>
    <w:rsid w:val="00537273"/>
    <w:rsid w:val="00537511"/>
    <w:rsid w:val="005375CF"/>
    <w:rsid w:val="005376EB"/>
    <w:rsid w:val="00537A41"/>
    <w:rsid w:val="00537BB6"/>
    <w:rsid w:val="00537E2D"/>
    <w:rsid w:val="00537E37"/>
    <w:rsid w:val="00540090"/>
    <w:rsid w:val="005402E5"/>
    <w:rsid w:val="00540896"/>
    <w:rsid w:val="00540A61"/>
    <w:rsid w:val="00540A91"/>
    <w:rsid w:val="0054112A"/>
    <w:rsid w:val="005414DD"/>
    <w:rsid w:val="00541616"/>
    <w:rsid w:val="005417B8"/>
    <w:rsid w:val="00541D34"/>
    <w:rsid w:val="00541D9C"/>
    <w:rsid w:val="00541E98"/>
    <w:rsid w:val="00541EDD"/>
    <w:rsid w:val="005422BB"/>
    <w:rsid w:val="00542743"/>
    <w:rsid w:val="00542B9F"/>
    <w:rsid w:val="00542C1A"/>
    <w:rsid w:val="00542C2D"/>
    <w:rsid w:val="00543616"/>
    <w:rsid w:val="0054388D"/>
    <w:rsid w:val="00543BBF"/>
    <w:rsid w:val="00543EB4"/>
    <w:rsid w:val="00543EC4"/>
    <w:rsid w:val="00543F80"/>
    <w:rsid w:val="00544013"/>
    <w:rsid w:val="0054420D"/>
    <w:rsid w:val="00544788"/>
    <w:rsid w:val="005450C9"/>
    <w:rsid w:val="005452D3"/>
    <w:rsid w:val="00545B56"/>
    <w:rsid w:val="00545C45"/>
    <w:rsid w:val="00545C67"/>
    <w:rsid w:val="00545F3E"/>
    <w:rsid w:val="00546617"/>
    <w:rsid w:val="005466E1"/>
    <w:rsid w:val="00546788"/>
    <w:rsid w:val="005469B9"/>
    <w:rsid w:val="00546BA6"/>
    <w:rsid w:val="00546CDD"/>
    <w:rsid w:val="00546E0A"/>
    <w:rsid w:val="00547028"/>
    <w:rsid w:val="0054771C"/>
    <w:rsid w:val="005478B2"/>
    <w:rsid w:val="005478BD"/>
    <w:rsid w:val="005479E3"/>
    <w:rsid w:val="00547DD3"/>
    <w:rsid w:val="0055013F"/>
    <w:rsid w:val="00550592"/>
    <w:rsid w:val="00550DDB"/>
    <w:rsid w:val="00550F1F"/>
    <w:rsid w:val="00550F88"/>
    <w:rsid w:val="00551292"/>
    <w:rsid w:val="00551985"/>
    <w:rsid w:val="00551AEE"/>
    <w:rsid w:val="00551E61"/>
    <w:rsid w:val="00551E8E"/>
    <w:rsid w:val="00551EF9"/>
    <w:rsid w:val="00551F8A"/>
    <w:rsid w:val="0055220C"/>
    <w:rsid w:val="00552307"/>
    <w:rsid w:val="005526FA"/>
    <w:rsid w:val="0055282B"/>
    <w:rsid w:val="00552BD3"/>
    <w:rsid w:val="00552E0C"/>
    <w:rsid w:val="00553031"/>
    <w:rsid w:val="00553155"/>
    <w:rsid w:val="005532A0"/>
    <w:rsid w:val="005535EE"/>
    <w:rsid w:val="0055360B"/>
    <w:rsid w:val="005536EE"/>
    <w:rsid w:val="0055381C"/>
    <w:rsid w:val="00553BEF"/>
    <w:rsid w:val="00553EE1"/>
    <w:rsid w:val="005542D3"/>
    <w:rsid w:val="005544D8"/>
    <w:rsid w:val="0055474D"/>
    <w:rsid w:val="00554B0F"/>
    <w:rsid w:val="00554B16"/>
    <w:rsid w:val="00554DD1"/>
    <w:rsid w:val="00554E4F"/>
    <w:rsid w:val="00554E5A"/>
    <w:rsid w:val="005550ED"/>
    <w:rsid w:val="00555109"/>
    <w:rsid w:val="005554EC"/>
    <w:rsid w:val="00555FCE"/>
    <w:rsid w:val="00556232"/>
    <w:rsid w:val="005562B8"/>
    <w:rsid w:val="00556480"/>
    <w:rsid w:val="00556601"/>
    <w:rsid w:val="0055670F"/>
    <w:rsid w:val="00556B35"/>
    <w:rsid w:val="00556F8B"/>
    <w:rsid w:val="0055741A"/>
    <w:rsid w:val="0055795E"/>
    <w:rsid w:val="00557A9F"/>
    <w:rsid w:val="005601A1"/>
    <w:rsid w:val="00560290"/>
    <w:rsid w:val="005606D3"/>
    <w:rsid w:val="00560A0C"/>
    <w:rsid w:val="00560B66"/>
    <w:rsid w:val="00560C30"/>
    <w:rsid w:val="00560D6B"/>
    <w:rsid w:val="00560F6B"/>
    <w:rsid w:val="0056104E"/>
    <w:rsid w:val="005610D4"/>
    <w:rsid w:val="005611B7"/>
    <w:rsid w:val="00561809"/>
    <w:rsid w:val="005618D4"/>
    <w:rsid w:val="00562513"/>
    <w:rsid w:val="00562930"/>
    <w:rsid w:val="00562BF0"/>
    <w:rsid w:val="00562D66"/>
    <w:rsid w:val="005633AE"/>
    <w:rsid w:val="00563663"/>
    <w:rsid w:val="00563B64"/>
    <w:rsid w:val="00563BC2"/>
    <w:rsid w:val="0056417C"/>
    <w:rsid w:val="00564576"/>
    <w:rsid w:val="005645ED"/>
    <w:rsid w:val="005645EE"/>
    <w:rsid w:val="00564867"/>
    <w:rsid w:val="00564998"/>
    <w:rsid w:val="00565470"/>
    <w:rsid w:val="00565AB1"/>
    <w:rsid w:val="00565B8C"/>
    <w:rsid w:val="00565C27"/>
    <w:rsid w:val="00565C79"/>
    <w:rsid w:val="00565DEC"/>
    <w:rsid w:val="00565DF0"/>
    <w:rsid w:val="00565F1D"/>
    <w:rsid w:val="005661D2"/>
    <w:rsid w:val="005664CD"/>
    <w:rsid w:val="005664D0"/>
    <w:rsid w:val="0056658D"/>
    <w:rsid w:val="0056696F"/>
    <w:rsid w:val="00566B1A"/>
    <w:rsid w:val="00566B7E"/>
    <w:rsid w:val="0056713D"/>
    <w:rsid w:val="00567544"/>
    <w:rsid w:val="0057070E"/>
    <w:rsid w:val="00570AC8"/>
    <w:rsid w:val="00570BA7"/>
    <w:rsid w:val="00570F6F"/>
    <w:rsid w:val="00571012"/>
    <w:rsid w:val="005710D9"/>
    <w:rsid w:val="00571A5B"/>
    <w:rsid w:val="00571B9D"/>
    <w:rsid w:val="00572269"/>
    <w:rsid w:val="0057244A"/>
    <w:rsid w:val="00572511"/>
    <w:rsid w:val="00572958"/>
    <w:rsid w:val="00572F26"/>
    <w:rsid w:val="0057368D"/>
    <w:rsid w:val="00573823"/>
    <w:rsid w:val="00573CAD"/>
    <w:rsid w:val="00574110"/>
    <w:rsid w:val="00574531"/>
    <w:rsid w:val="005745B5"/>
    <w:rsid w:val="0057468A"/>
    <w:rsid w:val="005750C5"/>
    <w:rsid w:val="005752DE"/>
    <w:rsid w:val="005754AC"/>
    <w:rsid w:val="005756B0"/>
    <w:rsid w:val="00575887"/>
    <w:rsid w:val="005759F8"/>
    <w:rsid w:val="00575D60"/>
    <w:rsid w:val="00575D8D"/>
    <w:rsid w:val="00575FF6"/>
    <w:rsid w:val="00576247"/>
    <w:rsid w:val="00576426"/>
    <w:rsid w:val="005767D3"/>
    <w:rsid w:val="00576972"/>
    <w:rsid w:val="005769D5"/>
    <w:rsid w:val="00576A9A"/>
    <w:rsid w:val="00576BF2"/>
    <w:rsid w:val="00576C15"/>
    <w:rsid w:val="00576CFB"/>
    <w:rsid w:val="00576F1D"/>
    <w:rsid w:val="00577248"/>
    <w:rsid w:val="005773F6"/>
    <w:rsid w:val="005777FB"/>
    <w:rsid w:val="00577F4C"/>
    <w:rsid w:val="00580061"/>
    <w:rsid w:val="0058049F"/>
    <w:rsid w:val="00580BE7"/>
    <w:rsid w:val="00580E94"/>
    <w:rsid w:val="0058223B"/>
    <w:rsid w:val="005822D6"/>
    <w:rsid w:val="00582354"/>
    <w:rsid w:val="00582900"/>
    <w:rsid w:val="0058294B"/>
    <w:rsid w:val="00582B62"/>
    <w:rsid w:val="00583119"/>
    <w:rsid w:val="00583259"/>
    <w:rsid w:val="005833B8"/>
    <w:rsid w:val="00583699"/>
    <w:rsid w:val="00583877"/>
    <w:rsid w:val="005839BD"/>
    <w:rsid w:val="00583CFC"/>
    <w:rsid w:val="00583DEC"/>
    <w:rsid w:val="00584E1F"/>
    <w:rsid w:val="005850D1"/>
    <w:rsid w:val="0058549F"/>
    <w:rsid w:val="005859BD"/>
    <w:rsid w:val="00585B92"/>
    <w:rsid w:val="00585CDD"/>
    <w:rsid w:val="00585DAD"/>
    <w:rsid w:val="00585EF3"/>
    <w:rsid w:val="0058629B"/>
    <w:rsid w:val="0058646C"/>
    <w:rsid w:val="005865FB"/>
    <w:rsid w:val="00586755"/>
    <w:rsid w:val="00586868"/>
    <w:rsid w:val="005868B3"/>
    <w:rsid w:val="00586918"/>
    <w:rsid w:val="00586991"/>
    <w:rsid w:val="00586BB8"/>
    <w:rsid w:val="00586C33"/>
    <w:rsid w:val="00586D0A"/>
    <w:rsid w:val="00586FB2"/>
    <w:rsid w:val="00587058"/>
    <w:rsid w:val="005870B1"/>
    <w:rsid w:val="0058719D"/>
    <w:rsid w:val="005875E0"/>
    <w:rsid w:val="00587BFC"/>
    <w:rsid w:val="0059042E"/>
    <w:rsid w:val="005907D4"/>
    <w:rsid w:val="005909CE"/>
    <w:rsid w:val="00591918"/>
    <w:rsid w:val="00591957"/>
    <w:rsid w:val="00591B0B"/>
    <w:rsid w:val="00591C12"/>
    <w:rsid w:val="00591E91"/>
    <w:rsid w:val="005922B4"/>
    <w:rsid w:val="0059234F"/>
    <w:rsid w:val="0059238D"/>
    <w:rsid w:val="00592699"/>
    <w:rsid w:val="005928B0"/>
    <w:rsid w:val="00592AFD"/>
    <w:rsid w:val="00593B3B"/>
    <w:rsid w:val="00593B8A"/>
    <w:rsid w:val="00593D7E"/>
    <w:rsid w:val="00593E24"/>
    <w:rsid w:val="00593F6F"/>
    <w:rsid w:val="005940C3"/>
    <w:rsid w:val="00594988"/>
    <w:rsid w:val="005949F9"/>
    <w:rsid w:val="00594A96"/>
    <w:rsid w:val="0059528E"/>
    <w:rsid w:val="00595609"/>
    <w:rsid w:val="005958AE"/>
    <w:rsid w:val="0059598E"/>
    <w:rsid w:val="00595B40"/>
    <w:rsid w:val="00596681"/>
    <w:rsid w:val="005966D9"/>
    <w:rsid w:val="00596905"/>
    <w:rsid w:val="00596A92"/>
    <w:rsid w:val="00596BAA"/>
    <w:rsid w:val="00596C6B"/>
    <w:rsid w:val="00596DE7"/>
    <w:rsid w:val="00596EF1"/>
    <w:rsid w:val="00597004"/>
    <w:rsid w:val="005970A3"/>
    <w:rsid w:val="00597BF9"/>
    <w:rsid w:val="00597ED6"/>
    <w:rsid w:val="00597EEE"/>
    <w:rsid w:val="00597F1A"/>
    <w:rsid w:val="005A0035"/>
    <w:rsid w:val="005A018C"/>
    <w:rsid w:val="005A01C2"/>
    <w:rsid w:val="005A0281"/>
    <w:rsid w:val="005A0599"/>
    <w:rsid w:val="005A0935"/>
    <w:rsid w:val="005A0AEE"/>
    <w:rsid w:val="005A0C11"/>
    <w:rsid w:val="005A17B1"/>
    <w:rsid w:val="005A1CF4"/>
    <w:rsid w:val="005A1D67"/>
    <w:rsid w:val="005A1F6B"/>
    <w:rsid w:val="005A2094"/>
    <w:rsid w:val="005A2833"/>
    <w:rsid w:val="005A2A90"/>
    <w:rsid w:val="005A2AB2"/>
    <w:rsid w:val="005A2DED"/>
    <w:rsid w:val="005A309A"/>
    <w:rsid w:val="005A31BA"/>
    <w:rsid w:val="005A34B7"/>
    <w:rsid w:val="005A373D"/>
    <w:rsid w:val="005A3B2F"/>
    <w:rsid w:val="005A3C15"/>
    <w:rsid w:val="005A3F8B"/>
    <w:rsid w:val="005A435D"/>
    <w:rsid w:val="005A4560"/>
    <w:rsid w:val="005A4E93"/>
    <w:rsid w:val="005A50ED"/>
    <w:rsid w:val="005A5680"/>
    <w:rsid w:val="005A56AE"/>
    <w:rsid w:val="005A591B"/>
    <w:rsid w:val="005A59A1"/>
    <w:rsid w:val="005A5C2B"/>
    <w:rsid w:val="005A5C2C"/>
    <w:rsid w:val="005A5CA5"/>
    <w:rsid w:val="005A6592"/>
    <w:rsid w:val="005A684A"/>
    <w:rsid w:val="005A68DE"/>
    <w:rsid w:val="005A6C70"/>
    <w:rsid w:val="005A6CCB"/>
    <w:rsid w:val="005A6E83"/>
    <w:rsid w:val="005A6ECA"/>
    <w:rsid w:val="005A6FCB"/>
    <w:rsid w:val="005A7835"/>
    <w:rsid w:val="005A79F9"/>
    <w:rsid w:val="005B0253"/>
    <w:rsid w:val="005B04DA"/>
    <w:rsid w:val="005B05B2"/>
    <w:rsid w:val="005B07D5"/>
    <w:rsid w:val="005B0B58"/>
    <w:rsid w:val="005B0D9E"/>
    <w:rsid w:val="005B0DA1"/>
    <w:rsid w:val="005B147C"/>
    <w:rsid w:val="005B14E3"/>
    <w:rsid w:val="005B1628"/>
    <w:rsid w:val="005B1778"/>
    <w:rsid w:val="005B19AC"/>
    <w:rsid w:val="005B1CCA"/>
    <w:rsid w:val="005B1DC8"/>
    <w:rsid w:val="005B227E"/>
    <w:rsid w:val="005B2C59"/>
    <w:rsid w:val="005B2F14"/>
    <w:rsid w:val="005B2FA0"/>
    <w:rsid w:val="005B331C"/>
    <w:rsid w:val="005B35CB"/>
    <w:rsid w:val="005B36FB"/>
    <w:rsid w:val="005B3D71"/>
    <w:rsid w:val="005B4032"/>
    <w:rsid w:val="005B47A5"/>
    <w:rsid w:val="005B4E53"/>
    <w:rsid w:val="005B5005"/>
    <w:rsid w:val="005B5410"/>
    <w:rsid w:val="005B5429"/>
    <w:rsid w:val="005B5857"/>
    <w:rsid w:val="005B5FEF"/>
    <w:rsid w:val="005B64B4"/>
    <w:rsid w:val="005B655B"/>
    <w:rsid w:val="005B6945"/>
    <w:rsid w:val="005B6E14"/>
    <w:rsid w:val="005B7428"/>
    <w:rsid w:val="005B7813"/>
    <w:rsid w:val="005B7A22"/>
    <w:rsid w:val="005B7AC1"/>
    <w:rsid w:val="005B7D70"/>
    <w:rsid w:val="005C023F"/>
    <w:rsid w:val="005C0598"/>
    <w:rsid w:val="005C0676"/>
    <w:rsid w:val="005C0964"/>
    <w:rsid w:val="005C0E68"/>
    <w:rsid w:val="005C19C4"/>
    <w:rsid w:val="005C1B83"/>
    <w:rsid w:val="005C1D0F"/>
    <w:rsid w:val="005C1EF4"/>
    <w:rsid w:val="005C1F48"/>
    <w:rsid w:val="005C2364"/>
    <w:rsid w:val="005C25FF"/>
    <w:rsid w:val="005C298C"/>
    <w:rsid w:val="005C2A19"/>
    <w:rsid w:val="005C2C73"/>
    <w:rsid w:val="005C2D55"/>
    <w:rsid w:val="005C346B"/>
    <w:rsid w:val="005C35DE"/>
    <w:rsid w:val="005C37C6"/>
    <w:rsid w:val="005C3B0C"/>
    <w:rsid w:val="005C3CA7"/>
    <w:rsid w:val="005C430F"/>
    <w:rsid w:val="005C464C"/>
    <w:rsid w:val="005C4801"/>
    <w:rsid w:val="005C4A26"/>
    <w:rsid w:val="005C4B26"/>
    <w:rsid w:val="005C4BE5"/>
    <w:rsid w:val="005C4FAF"/>
    <w:rsid w:val="005C50B4"/>
    <w:rsid w:val="005C52DF"/>
    <w:rsid w:val="005C5519"/>
    <w:rsid w:val="005C5588"/>
    <w:rsid w:val="005C568B"/>
    <w:rsid w:val="005C5708"/>
    <w:rsid w:val="005C5ABC"/>
    <w:rsid w:val="005C5BC6"/>
    <w:rsid w:val="005C5E5C"/>
    <w:rsid w:val="005C5F19"/>
    <w:rsid w:val="005C5FB4"/>
    <w:rsid w:val="005C6B67"/>
    <w:rsid w:val="005C7911"/>
    <w:rsid w:val="005C7D58"/>
    <w:rsid w:val="005C7D9A"/>
    <w:rsid w:val="005C7E1C"/>
    <w:rsid w:val="005D044D"/>
    <w:rsid w:val="005D08CA"/>
    <w:rsid w:val="005D0ABD"/>
    <w:rsid w:val="005D0B07"/>
    <w:rsid w:val="005D18AD"/>
    <w:rsid w:val="005D1924"/>
    <w:rsid w:val="005D19B6"/>
    <w:rsid w:val="005D1D3E"/>
    <w:rsid w:val="005D1DF8"/>
    <w:rsid w:val="005D2111"/>
    <w:rsid w:val="005D26B4"/>
    <w:rsid w:val="005D2A6D"/>
    <w:rsid w:val="005D2BAF"/>
    <w:rsid w:val="005D2D69"/>
    <w:rsid w:val="005D2DD8"/>
    <w:rsid w:val="005D2F8B"/>
    <w:rsid w:val="005D309B"/>
    <w:rsid w:val="005D3264"/>
    <w:rsid w:val="005D332C"/>
    <w:rsid w:val="005D3615"/>
    <w:rsid w:val="005D3C26"/>
    <w:rsid w:val="005D4421"/>
    <w:rsid w:val="005D462B"/>
    <w:rsid w:val="005D4E79"/>
    <w:rsid w:val="005D4F2B"/>
    <w:rsid w:val="005D4F6A"/>
    <w:rsid w:val="005D518E"/>
    <w:rsid w:val="005D54CC"/>
    <w:rsid w:val="005D54D1"/>
    <w:rsid w:val="005D5B68"/>
    <w:rsid w:val="005D5C1A"/>
    <w:rsid w:val="005D5FF4"/>
    <w:rsid w:val="005D6862"/>
    <w:rsid w:val="005D6970"/>
    <w:rsid w:val="005D6A86"/>
    <w:rsid w:val="005D6B02"/>
    <w:rsid w:val="005D7785"/>
    <w:rsid w:val="005D787B"/>
    <w:rsid w:val="005D78DF"/>
    <w:rsid w:val="005D790A"/>
    <w:rsid w:val="005E016E"/>
    <w:rsid w:val="005E034D"/>
    <w:rsid w:val="005E03C2"/>
    <w:rsid w:val="005E08A8"/>
    <w:rsid w:val="005E0C8B"/>
    <w:rsid w:val="005E0CF8"/>
    <w:rsid w:val="005E1023"/>
    <w:rsid w:val="005E1031"/>
    <w:rsid w:val="005E1282"/>
    <w:rsid w:val="005E14F4"/>
    <w:rsid w:val="005E161B"/>
    <w:rsid w:val="005E1806"/>
    <w:rsid w:val="005E1995"/>
    <w:rsid w:val="005E1A28"/>
    <w:rsid w:val="005E1E4B"/>
    <w:rsid w:val="005E1EA6"/>
    <w:rsid w:val="005E2189"/>
    <w:rsid w:val="005E242D"/>
    <w:rsid w:val="005E2689"/>
    <w:rsid w:val="005E2957"/>
    <w:rsid w:val="005E2CBC"/>
    <w:rsid w:val="005E388B"/>
    <w:rsid w:val="005E38C8"/>
    <w:rsid w:val="005E442C"/>
    <w:rsid w:val="005E44D5"/>
    <w:rsid w:val="005E45FC"/>
    <w:rsid w:val="005E47B8"/>
    <w:rsid w:val="005E5029"/>
    <w:rsid w:val="005E50DE"/>
    <w:rsid w:val="005E518C"/>
    <w:rsid w:val="005E543E"/>
    <w:rsid w:val="005E569E"/>
    <w:rsid w:val="005E56A3"/>
    <w:rsid w:val="005E5DAC"/>
    <w:rsid w:val="005E6272"/>
    <w:rsid w:val="005E67B0"/>
    <w:rsid w:val="005E6941"/>
    <w:rsid w:val="005E6AA7"/>
    <w:rsid w:val="005E6C35"/>
    <w:rsid w:val="005E6CBC"/>
    <w:rsid w:val="005E705F"/>
    <w:rsid w:val="005E72FF"/>
    <w:rsid w:val="005E73C0"/>
    <w:rsid w:val="005E7D8F"/>
    <w:rsid w:val="005F0480"/>
    <w:rsid w:val="005F07ED"/>
    <w:rsid w:val="005F0915"/>
    <w:rsid w:val="005F0E65"/>
    <w:rsid w:val="005F1315"/>
    <w:rsid w:val="005F1625"/>
    <w:rsid w:val="005F1802"/>
    <w:rsid w:val="005F180D"/>
    <w:rsid w:val="005F1D0F"/>
    <w:rsid w:val="005F1F66"/>
    <w:rsid w:val="005F23F1"/>
    <w:rsid w:val="005F24DE"/>
    <w:rsid w:val="005F2706"/>
    <w:rsid w:val="005F2A7D"/>
    <w:rsid w:val="005F2B3C"/>
    <w:rsid w:val="005F2BB3"/>
    <w:rsid w:val="005F31B1"/>
    <w:rsid w:val="005F322D"/>
    <w:rsid w:val="005F34D2"/>
    <w:rsid w:val="005F3527"/>
    <w:rsid w:val="005F394F"/>
    <w:rsid w:val="005F3A10"/>
    <w:rsid w:val="005F3A24"/>
    <w:rsid w:val="005F3C02"/>
    <w:rsid w:val="005F3D3E"/>
    <w:rsid w:val="005F3E65"/>
    <w:rsid w:val="005F461F"/>
    <w:rsid w:val="005F475F"/>
    <w:rsid w:val="005F480C"/>
    <w:rsid w:val="005F4C3D"/>
    <w:rsid w:val="005F5012"/>
    <w:rsid w:val="005F598C"/>
    <w:rsid w:val="005F5B5F"/>
    <w:rsid w:val="005F5CD8"/>
    <w:rsid w:val="005F5E7D"/>
    <w:rsid w:val="005F63CD"/>
    <w:rsid w:val="005F6778"/>
    <w:rsid w:val="005F6A3E"/>
    <w:rsid w:val="005F6A8F"/>
    <w:rsid w:val="005F6AA2"/>
    <w:rsid w:val="005F6BB7"/>
    <w:rsid w:val="005F7020"/>
    <w:rsid w:val="005F72E8"/>
    <w:rsid w:val="005F7588"/>
    <w:rsid w:val="005F77CF"/>
    <w:rsid w:val="005F78EF"/>
    <w:rsid w:val="005F7E22"/>
    <w:rsid w:val="005F7FFC"/>
    <w:rsid w:val="00600975"/>
    <w:rsid w:val="006009F2"/>
    <w:rsid w:val="00600A4F"/>
    <w:rsid w:val="00600C3A"/>
    <w:rsid w:val="00600F1C"/>
    <w:rsid w:val="00600FDD"/>
    <w:rsid w:val="0060119F"/>
    <w:rsid w:val="006012C7"/>
    <w:rsid w:val="0060162C"/>
    <w:rsid w:val="006017A5"/>
    <w:rsid w:val="00601DEB"/>
    <w:rsid w:val="00601E03"/>
    <w:rsid w:val="006028D3"/>
    <w:rsid w:val="00602EB2"/>
    <w:rsid w:val="00602F16"/>
    <w:rsid w:val="006032F3"/>
    <w:rsid w:val="00603339"/>
    <w:rsid w:val="00603352"/>
    <w:rsid w:val="0060354C"/>
    <w:rsid w:val="00603B54"/>
    <w:rsid w:val="00603DB9"/>
    <w:rsid w:val="00603E94"/>
    <w:rsid w:val="00604617"/>
    <w:rsid w:val="0060467D"/>
    <w:rsid w:val="00604891"/>
    <w:rsid w:val="00604D19"/>
    <w:rsid w:val="00604DE9"/>
    <w:rsid w:val="00604F1C"/>
    <w:rsid w:val="00605000"/>
    <w:rsid w:val="0060504D"/>
    <w:rsid w:val="006054C4"/>
    <w:rsid w:val="00605A6D"/>
    <w:rsid w:val="006061D0"/>
    <w:rsid w:val="00606746"/>
    <w:rsid w:val="00606948"/>
    <w:rsid w:val="00606C53"/>
    <w:rsid w:val="00606DDB"/>
    <w:rsid w:val="00606FBA"/>
    <w:rsid w:val="0060723D"/>
    <w:rsid w:val="00607501"/>
    <w:rsid w:val="0060761D"/>
    <w:rsid w:val="00607669"/>
    <w:rsid w:val="006076F4"/>
    <w:rsid w:val="006078B5"/>
    <w:rsid w:val="00607AFD"/>
    <w:rsid w:val="00607F59"/>
    <w:rsid w:val="0061049D"/>
    <w:rsid w:val="00610703"/>
    <w:rsid w:val="0061075B"/>
    <w:rsid w:val="00611100"/>
    <w:rsid w:val="006113BA"/>
    <w:rsid w:val="0061153C"/>
    <w:rsid w:val="006117FA"/>
    <w:rsid w:val="00611B12"/>
    <w:rsid w:val="00611B63"/>
    <w:rsid w:val="00611DCF"/>
    <w:rsid w:val="0061225D"/>
    <w:rsid w:val="006123CA"/>
    <w:rsid w:val="006123CC"/>
    <w:rsid w:val="0061248A"/>
    <w:rsid w:val="006124D3"/>
    <w:rsid w:val="00612A59"/>
    <w:rsid w:val="00612F97"/>
    <w:rsid w:val="0061345D"/>
    <w:rsid w:val="00613B5D"/>
    <w:rsid w:val="00613CC5"/>
    <w:rsid w:val="00613EEF"/>
    <w:rsid w:val="006146F3"/>
    <w:rsid w:val="00614724"/>
    <w:rsid w:val="00614E1E"/>
    <w:rsid w:val="0061549B"/>
    <w:rsid w:val="00615653"/>
    <w:rsid w:val="00615E39"/>
    <w:rsid w:val="006161AF"/>
    <w:rsid w:val="006161D3"/>
    <w:rsid w:val="0061621E"/>
    <w:rsid w:val="00616802"/>
    <w:rsid w:val="00616DD3"/>
    <w:rsid w:val="00616E1E"/>
    <w:rsid w:val="0061738B"/>
    <w:rsid w:val="00617577"/>
    <w:rsid w:val="00617B61"/>
    <w:rsid w:val="00617BA2"/>
    <w:rsid w:val="00617D2B"/>
    <w:rsid w:val="00617E12"/>
    <w:rsid w:val="006203CE"/>
    <w:rsid w:val="006203E0"/>
    <w:rsid w:val="00620912"/>
    <w:rsid w:val="00620C25"/>
    <w:rsid w:val="00620DC7"/>
    <w:rsid w:val="00620EA2"/>
    <w:rsid w:val="00620F20"/>
    <w:rsid w:val="0062139B"/>
    <w:rsid w:val="006213AD"/>
    <w:rsid w:val="00621477"/>
    <w:rsid w:val="00621653"/>
    <w:rsid w:val="006216B5"/>
    <w:rsid w:val="00621797"/>
    <w:rsid w:val="00621ADA"/>
    <w:rsid w:val="00621DAF"/>
    <w:rsid w:val="0062230F"/>
    <w:rsid w:val="006227FB"/>
    <w:rsid w:val="006229F2"/>
    <w:rsid w:val="00622C4F"/>
    <w:rsid w:val="00622D28"/>
    <w:rsid w:val="006231A7"/>
    <w:rsid w:val="00623A5D"/>
    <w:rsid w:val="00623B55"/>
    <w:rsid w:val="00623D63"/>
    <w:rsid w:val="00623DA5"/>
    <w:rsid w:val="00623F7B"/>
    <w:rsid w:val="006242A4"/>
    <w:rsid w:val="0062464D"/>
    <w:rsid w:val="00624947"/>
    <w:rsid w:val="00624A6D"/>
    <w:rsid w:val="00624BD4"/>
    <w:rsid w:val="00625170"/>
    <w:rsid w:val="0062543B"/>
    <w:rsid w:val="00625547"/>
    <w:rsid w:val="006259A5"/>
    <w:rsid w:val="00625A57"/>
    <w:rsid w:val="00625D2C"/>
    <w:rsid w:val="00625F83"/>
    <w:rsid w:val="006260A9"/>
    <w:rsid w:val="00626777"/>
    <w:rsid w:val="00626AA9"/>
    <w:rsid w:val="00627295"/>
    <w:rsid w:val="00627505"/>
    <w:rsid w:val="00627945"/>
    <w:rsid w:val="00630043"/>
    <w:rsid w:val="00630220"/>
    <w:rsid w:val="006305AD"/>
    <w:rsid w:val="006314B3"/>
    <w:rsid w:val="0063158A"/>
    <w:rsid w:val="0063158F"/>
    <w:rsid w:val="00631770"/>
    <w:rsid w:val="00631A7C"/>
    <w:rsid w:val="00631B1A"/>
    <w:rsid w:val="00631D6B"/>
    <w:rsid w:val="0063207D"/>
    <w:rsid w:val="00632183"/>
    <w:rsid w:val="00632281"/>
    <w:rsid w:val="00632443"/>
    <w:rsid w:val="0063297C"/>
    <w:rsid w:val="006329C5"/>
    <w:rsid w:val="00632C91"/>
    <w:rsid w:val="00632CBC"/>
    <w:rsid w:val="00632D99"/>
    <w:rsid w:val="00632FD0"/>
    <w:rsid w:val="006330A1"/>
    <w:rsid w:val="00633C04"/>
    <w:rsid w:val="00634124"/>
    <w:rsid w:val="006342CC"/>
    <w:rsid w:val="0063479F"/>
    <w:rsid w:val="00634963"/>
    <w:rsid w:val="00634F07"/>
    <w:rsid w:val="006350EE"/>
    <w:rsid w:val="0063521D"/>
    <w:rsid w:val="006353A0"/>
    <w:rsid w:val="006353F0"/>
    <w:rsid w:val="006355BB"/>
    <w:rsid w:val="006357B5"/>
    <w:rsid w:val="00635F6A"/>
    <w:rsid w:val="0063618B"/>
    <w:rsid w:val="006364A1"/>
    <w:rsid w:val="006365DC"/>
    <w:rsid w:val="0063678E"/>
    <w:rsid w:val="00636CC3"/>
    <w:rsid w:val="00637BFD"/>
    <w:rsid w:val="00637C5C"/>
    <w:rsid w:val="0064012C"/>
    <w:rsid w:val="00640B64"/>
    <w:rsid w:val="00640B70"/>
    <w:rsid w:val="00641593"/>
    <w:rsid w:val="006418AA"/>
    <w:rsid w:val="0064197A"/>
    <w:rsid w:val="00641C4E"/>
    <w:rsid w:val="00641FB3"/>
    <w:rsid w:val="00642199"/>
    <w:rsid w:val="006421F4"/>
    <w:rsid w:val="006425AB"/>
    <w:rsid w:val="006428B8"/>
    <w:rsid w:val="00642980"/>
    <w:rsid w:val="006430BB"/>
    <w:rsid w:val="006436B6"/>
    <w:rsid w:val="00643FA7"/>
    <w:rsid w:val="00643FE2"/>
    <w:rsid w:val="0064434C"/>
    <w:rsid w:val="00644C9A"/>
    <w:rsid w:val="00645179"/>
    <w:rsid w:val="0064573A"/>
    <w:rsid w:val="0064599E"/>
    <w:rsid w:val="00645D4C"/>
    <w:rsid w:val="00645DDB"/>
    <w:rsid w:val="00645E5C"/>
    <w:rsid w:val="00646544"/>
    <w:rsid w:val="00646AE4"/>
    <w:rsid w:val="00646B3E"/>
    <w:rsid w:val="00646C09"/>
    <w:rsid w:val="00646D86"/>
    <w:rsid w:val="00646E47"/>
    <w:rsid w:val="00646F55"/>
    <w:rsid w:val="0064705F"/>
    <w:rsid w:val="0064717B"/>
    <w:rsid w:val="006471CC"/>
    <w:rsid w:val="006472FE"/>
    <w:rsid w:val="006475F9"/>
    <w:rsid w:val="00647A29"/>
    <w:rsid w:val="00647A62"/>
    <w:rsid w:val="00647BBB"/>
    <w:rsid w:val="00647BE5"/>
    <w:rsid w:val="0065005E"/>
    <w:rsid w:val="0065062E"/>
    <w:rsid w:val="00650766"/>
    <w:rsid w:val="0065079F"/>
    <w:rsid w:val="00650C7C"/>
    <w:rsid w:val="00650CE7"/>
    <w:rsid w:val="00650D85"/>
    <w:rsid w:val="006510F0"/>
    <w:rsid w:val="0065139E"/>
    <w:rsid w:val="00651938"/>
    <w:rsid w:val="00652278"/>
    <w:rsid w:val="006524A0"/>
    <w:rsid w:val="00652661"/>
    <w:rsid w:val="00652A28"/>
    <w:rsid w:val="00652CA9"/>
    <w:rsid w:val="0065321B"/>
    <w:rsid w:val="0065379F"/>
    <w:rsid w:val="006537FB"/>
    <w:rsid w:val="00653E11"/>
    <w:rsid w:val="006540BB"/>
    <w:rsid w:val="00654184"/>
    <w:rsid w:val="006544E3"/>
    <w:rsid w:val="00654DE7"/>
    <w:rsid w:val="00655207"/>
    <w:rsid w:val="006555E9"/>
    <w:rsid w:val="00655CB5"/>
    <w:rsid w:val="00655F7D"/>
    <w:rsid w:val="00656188"/>
    <w:rsid w:val="006562C2"/>
    <w:rsid w:val="006564E5"/>
    <w:rsid w:val="00656777"/>
    <w:rsid w:val="006567BA"/>
    <w:rsid w:val="0065697C"/>
    <w:rsid w:val="0065715A"/>
    <w:rsid w:val="00657198"/>
    <w:rsid w:val="0065772D"/>
    <w:rsid w:val="00657BA5"/>
    <w:rsid w:val="00657D2A"/>
    <w:rsid w:val="00660101"/>
    <w:rsid w:val="00660535"/>
    <w:rsid w:val="00660664"/>
    <w:rsid w:val="006606FC"/>
    <w:rsid w:val="0066076E"/>
    <w:rsid w:val="006607A2"/>
    <w:rsid w:val="00660849"/>
    <w:rsid w:val="00660B8C"/>
    <w:rsid w:val="00660C6D"/>
    <w:rsid w:val="006610C7"/>
    <w:rsid w:val="006610F1"/>
    <w:rsid w:val="006611C1"/>
    <w:rsid w:val="00661569"/>
    <w:rsid w:val="00661810"/>
    <w:rsid w:val="006618BD"/>
    <w:rsid w:val="0066191F"/>
    <w:rsid w:val="00661C6B"/>
    <w:rsid w:val="00662435"/>
    <w:rsid w:val="00662647"/>
    <w:rsid w:val="00662AF4"/>
    <w:rsid w:val="00662D2A"/>
    <w:rsid w:val="00662D3E"/>
    <w:rsid w:val="00662E0F"/>
    <w:rsid w:val="00662E52"/>
    <w:rsid w:val="00663181"/>
    <w:rsid w:val="006633B2"/>
    <w:rsid w:val="00663B5D"/>
    <w:rsid w:val="00664016"/>
    <w:rsid w:val="0066409F"/>
    <w:rsid w:val="006640C1"/>
    <w:rsid w:val="00664253"/>
    <w:rsid w:val="0066456B"/>
    <w:rsid w:val="0066471E"/>
    <w:rsid w:val="006648A3"/>
    <w:rsid w:val="00664ADB"/>
    <w:rsid w:val="006650C9"/>
    <w:rsid w:val="006651CB"/>
    <w:rsid w:val="0066573B"/>
    <w:rsid w:val="006658B0"/>
    <w:rsid w:val="00665AD2"/>
    <w:rsid w:val="00665CC0"/>
    <w:rsid w:val="006660F5"/>
    <w:rsid w:val="0066620E"/>
    <w:rsid w:val="00666861"/>
    <w:rsid w:val="00666E74"/>
    <w:rsid w:val="00666E87"/>
    <w:rsid w:val="00666FDB"/>
    <w:rsid w:val="0066726C"/>
    <w:rsid w:val="0066798A"/>
    <w:rsid w:val="00667BE3"/>
    <w:rsid w:val="00667EF8"/>
    <w:rsid w:val="00667F17"/>
    <w:rsid w:val="00670423"/>
    <w:rsid w:val="0067047B"/>
    <w:rsid w:val="0067052C"/>
    <w:rsid w:val="00670548"/>
    <w:rsid w:val="00670D36"/>
    <w:rsid w:val="00670F77"/>
    <w:rsid w:val="00671004"/>
    <w:rsid w:val="00671ADA"/>
    <w:rsid w:val="00671BA3"/>
    <w:rsid w:val="00671BCD"/>
    <w:rsid w:val="00671DE1"/>
    <w:rsid w:val="00671E71"/>
    <w:rsid w:val="00671F17"/>
    <w:rsid w:val="00672646"/>
    <w:rsid w:val="00672AAE"/>
    <w:rsid w:val="00672ADB"/>
    <w:rsid w:val="00672C14"/>
    <w:rsid w:val="00672E23"/>
    <w:rsid w:val="00672E82"/>
    <w:rsid w:val="00672ED5"/>
    <w:rsid w:val="00673064"/>
    <w:rsid w:val="006732FB"/>
    <w:rsid w:val="00673304"/>
    <w:rsid w:val="0067337D"/>
    <w:rsid w:val="00673E0A"/>
    <w:rsid w:val="00674243"/>
    <w:rsid w:val="00674381"/>
    <w:rsid w:val="00674660"/>
    <w:rsid w:val="0067489B"/>
    <w:rsid w:val="006748EE"/>
    <w:rsid w:val="00674B7D"/>
    <w:rsid w:val="00674C49"/>
    <w:rsid w:val="00674CB8"/>
    <w:rsid w:val="00674E42"/>
    <w:rsid w:val="0067575E"/>
    <w:rsid w:val="00675B8B"/>
    <w:rsid w:val="00675F2F"/>
    <w:rsid w:val="00676242"/>
    <w:rsid w:val="00676437"/>
    <w:rsid w:val="00676563"/>
    <w:rsid w:val="006765C0"/>
    <w:rsid w:val="00676611"/>
    <w:rsid w:val="006768F0"/>
    <w:rsid w:val="00676D6E"/>
    <w:rsid w:val="00677052"/>
    <w:rsid w:val="006772D8"/>
    <w:rsid w:val="006774AF"/>
    <w:rsid w:val="00677ABF"/>
    <w:rsid w:val="00677BD1"/>
    <w:rsid w:val="0068008E"/>
    <w:rsid w:val="006807DE"/>
    <w:rsid w:val="006808CA"/>
    <w:rsid w:val="00680EE0"/>
    <w:rsid w:val="00681336"/>
    <w:rsid w:val="006813F8"/>
    <w:rsid w:val="00681497"/>
    <w:rsid w:val="006817F4"/>
    <w:rsid w:val="00681C54"/>
    <w:rsid w:val="00682112"/>
    <w:rsid w:val="00682294"/>
    <w:rsid w:val="00682398"/>
    <w:rsid w:val="00682BA6"/>
    <w:rsid w:val="00682E27"/>
    <w:rsid w:val="006835ED"/>
    <w:rsid w:val="0068363A"/>
    <w:rsid w:val="006837F8"/>
    <w:rsid w:val="006839A5"/>
    <w:rsid w:val="006839F2"/>
    <w:rsid w:val="00683B2F"/>
    <w:rsid w:val="00683C53"/>
    <w:rsid w:val="00683D74"/>
    <w:rsid w:val="00683D8A"/>
    <w:rsid w:val="00683E7A"/>
    <w:rsid w:val="00683F96"/>
    <w:rsid w:val="006840A1"/>
    <w:rsid w:val="00684387"/>
    <w:rsid w:val="0068446A"/>
    <w:rsid w:val="00684755"/>
    <w:rsid w:val="00684C6D"/>
    <w:rsid w:val="00685095"/>
    <w:rsid w:val="006851B2"/>
    <w:rsid w:val="0068579C"/>
    <w:rsid w:val="006859B1"/>
    <w:rsid w:val="00685CE2"/>
    <w:rsid w:val="0068617A"/>
    <w:rsid w:val="0068623B"/>
    <w:rsid w:val="006866B1"/>
    <w:rsid w:val="00686957"/>
    <w:rsid w:val="00686CD6"/>
    <w:rsid w:val="0068700B"/>
    <w:rsid w:val="00687061"/>
    <w:rsid w:val="00687068"/>
    <w:rsid w:val="00687133"/>
    <w:rsid w:val="006872BA"/>
    <w:rsid w:val="006877C0"/>
    <w:rsid w:val="006878D7"/>
    <w:rsid w:val="00687A93"/>
    <w:rsid w:val="00687D76"/>
    <w:rsid w:val="00687D84"/>
    <w:rsid w:val="00687EF1"/>
    <w:rsid w:val="00690795"/>
    <w:rsid w:val="00690FB2"/>
    <w:rsid w:val="006910F0"/>
    <w:rsid w:val="00691247"/>
    <w:rsid w:val="006912B4"/>
    <w:rsid w:val="006913A2"/>
    <w:rsid w:val="006914C8"/>
    <w:rsid w:val="00691648"/>
    <w:rsid w:val="006917D7"/>
    <w:rsid w:val="006918FA"/>
    <w:rsid w:val="00691C45"/>
    <w:rsid w:val="00691D99"/>
    <w:rsid w:val="006923AA"/>
    <w:rsid w:val="00692453"/>
    <w:rsid w:val="006929B9"/>
    <w:rsid w:val="00692BE3"/>
    <w:rsid w:val="00692E77"/>
    <w:rsid w:val="006936E4"/>
    <w:rsid w:val="00693794"/>
    <w:rsid w:val="00693873"/>
    <w:rsid w:val="00693B75"/>
    <w:rsid w:val="0069405B"/>
    <w:rsid w:val="00694132"/>
    <w:rsid w:val="006941F4"/>
    <w:rsid w:val="0069434C"/>
    <w:rsid w:val="00694839"/>
    <w:rsid w:val="00694935"/>
    <w:rsid w:val="00694B65"/>
    <w:rsid w:val="00694D53"/>
    <w:rsid w:val="00694F44"/>
    <w:rsid w:val="0069501A"/>
    <w:rsid w:val="006955B2"/>
    <w:rsid w:val="00695DD1"/>
    <w:rsid w:val="00696004"/>
    <w:rsid w:val="00696089"/>
    <w:rsid w:val="0069627F"/>
    <w:rsid w:val="006964FE"/>
    <w:rsid w:val="00696EF9"/>
    <w:rsid w:val="00696F51"/>
    <w:rsid w:val="006975CE"/>
    <w:rsid w:val="00697936"/>
    <w:rsid w:val="006979A5"/>
    <w:rsid w:val="00697D91"/>
    <w:rsid w:val="006A016F"/>
    <w:rsid w:val="006A0298"/>
    <w:rsid w:val="006A02B6"/>
    <w:rsid w:val="006A0724"/>
    <w:rsid w:val="006A0967"/>
    <w:rsid w:val="006A0968"/>
    <w:rsid w:val="006A0DF7"/>
    <w:rsid w:val="006A0EDD"/>
    <w:rsid w:val="006A0EE3"/>
    <w:rsid w:val="006A18B6"/>
    <w:rsid w:val="006A22C7"/>
    <w:rsid w:val="006A247B"/>
    <w:rsid w:val="006A27FA"/>
    <w:rsid w:val="006A2B05"/>
    <w:rsid w:val="006A2CA4"/>
    <w:rsid w:val="006A319E"/>
    <w:rsid w:val="006A32E2"/>
    <w:rsid w:val="006A363B"/>
    <w:rsid w:val="006A384F"/>
    <w:rsid w:val="006A392D"/>
    <w:rsid w:val="006A3D53"/>
    <w:rsid w:val="006A41A9"/>
    <w:rsid w:val="006A4321"/>
    <w:rsid w:val="006A43D7"/>
    <w:rsid w:val="006A43D9"/>
    <w:rsid w:val="006A508E"/>
    <w:rsid w:val="006A56DB"/>
    <w:rsid w:val="006A5711"/>
    <w:rsid w:val="006A626D"/>
    <w:rsid w:val="006A64D2"/>
    <w:rsid w:val="006A6505"/>
    <w:rsid w:val="006A6852"/>
    <w:rsid w:val="006A6AD8"/>
    <w:rsid w:val="006A6B99"/>
    <w:rsid w:val="006A6E0C"/>
    <w:rsid w:val="006A6F23"/>
    <w:rsid w:val="006A6FE4"/>
    <w:rsid w:val="006A78B9"/>
    <w:rsid w:val="006A7ABA"/>
    <w:rsid w:val="006A7D06"/>
    <w:rsid w:val="006A7E5F"/>
    <w:rsid w:val="006B0EAA"/>
    <w:rsid w:val="006B148D"/>
    <w:rsid w:val="006B1BD4"/>
    <w:rsid w:val="006B2050"/>
    <w:rsid w:val="006B2146"/>
    <w:rsid w:val="006B2312"/>
    <w:rsid w:val="006B23C4"/>
    <w:rsid w:val="006B247E"/>
    <w:rsid w:val="006B261B"/>
    <w:rsid w:val="006B26D3"/>
    <w:rsid w:val="006B2C90"/>
    <w:rsid w:val="006B2D6A"/>
    <w:rsid w:val="006B2E2B"/>
    <w:rsid w:val="006B329C"/>
    <w:rsid w:val="006B34BB"/>
    <w:rsid w:val="006B3559"/>
    <w:rsid w:val="006B359D"/>
    <w:rsid w:val="006B35E6"/>
    <w:rsid w:val="006B3633"/>
    <w:rsid w:val="006B372A"/>
    <w:rsid w:val="006B37E5"/>
    <w:rsid w:val="006B392C"/>
    <w:rsid w:val="006B3DBC"/>
    <w:rsid w:val="006B40C3"/>
    <w:rsid w:val="006B465A"/>
    <w:rsid w:val="006B46E2"/>
    <w:rsid w:val="006B4783"/>
    <w:rsid w:val="006B5590"/>
    <w:rsid w:val="006B5A1C"/>
    <w:rsid w:val="006B5F8E"/>
    <w:rsid w:val="006B602D"/>
    <w:rsid w:val="006B63A8"/>
    <w:rsid w:val="006B65F8"/>
    <w:rsid w:val="006B676B"/>
    <w:rsid w:val="006B6B4A"/>
    <w:rsid w:val="006B6D35"/>
    <w:rsid w:val="006B6D4E"/>
    <w:rsid w:val="006B6DD0"/>
    <w:rsid w:val="006B7551"/>
    <w:rsid w:val="006B758A"/>
    <w:rsid w:val="006B7744"/>
    <w:rsid w:val="006B780C"/>
    <w:rsid w:val="006B7D1E"/>
    <w:rsid w:val="006B7DB9"/>
    <w:rsid w:val="006B7EC1"/>
    <w:rsid w:val="006C0399"/>
    <w:rsid w:val="006C04B2"/>
    <w:rsid w:val="006C05C3"/>
    <w:rsid w:val="006C05F8"/>
    <w:rsid w:val="006C08DE"/>
    <w:rsid w:val="006C0943"/>
    <w:rsid w:val="006C0A36"/>
    <w:rsid w:val="006C0DB5"/>
    <w:rsid w:val="006C0FC0"/>
    <w:rsid w:val="006C127C"/>
    <w:rsid w:val="006C18F4"/>
    <w:rsid w:val="006C18F7"/>
    <w:rsid w:val="006C1A72"/>
    <w:rsid w:val="006C1C18"/>
    <w:rsid w:val="006C1EE5"/>
    <w:rsid w:val="006C2240"/>
    <w:rsid w:val="006C2A8E"/>
    <w:rsid w:val="006C2DBD"/>
    <w:rsid w:val="006C2DFA"/>
    <w:rsid w:val="006C2E43"/>
    <w:rsid w:val="006C3255"/>
    <w:rsid w:val="006C361B"/>
    <w:rsid w:val="006C3F26"/>
    <w:rsid w:val="006C423D"/>
    <w:rsid w:val="006C449F"/>
    <w:rsid w:val="006C4896"/>
    <w:rsid w:val="006C4B7D"/>
    <w:rsid w:val="006C4DA5"/>
    <w:rsid w:val="006C4DBC"/>
    <w:rsid w:val="006C4E10"/>
    <w:rsid w:val="006C5097"/>
    <w:rsid w:val="006C534E"/>
    <w:rsid w:val="006C5411"/>
    <w:rsid w:val="006C57E4"/>
    <w:rsid w:val="006C57FF"/>
    <w:rsid w:val="006C597E"/>
    <w:rsid w:val="006C5B29"/>
    <w:rsid w:val="006C5C76"/>
    <w:rsid w:val="006C5EF7"/>
    <w:rsid w:val="006C6309"/>
    <w:rsid w:val="006C63DF"/>
    <w:rsid w:val="006C6A72"/>
    <w:rsid w:val="006C6BDA"/>
    <w:rsid w:val="006C6F4E"/>
    <w:rsid w:val="006C7176"/>
    <w:rsid w:val="006C783A"/>
    <w:rsid w:val="006C795D"/>
    <w:rsid w:val="006C7A9B"/>
    <w:rsid w:val="006C7E2F"/>
    <w:rsid w:val="006C7EDC"/>
    <w:rsid w:val="006D01FF"/>
    <w:rsid w:val="006D025F"/>
    <w:rsid w:val="006D047F"/>
    <w:rsid w:val="006D0529"/>
    <w:rsid w:val="006D08CF"/>
    <w:rsid w:val="006D0A41"/>
    <w:rsid w:val="006D0D17"/>
    <w:rsid w:val="006D0F8D"/>
    <w:rsid w:val="006D10A6"/>
    <w:rsid w:val="006D127C"/>
    <w:rsid w:val="006D1EA4"/>
    <w:rsid w:val="006D215A"/>
    <w:rsid w:val="006D21FB"/>
    <w:rsid w:val="006D250F"/>
    <w:rsid w:val="006D280E"/>
    <w:rsid w:val="006D28F2"/>
    <w:rsid w:val="006D2B50"/>
    <w:rsid w:val="006D2DF2"/>
    <w:rsid w:val="006D2F4C"/>
    <w:rsid w:val="006D301B"/>
    <w:rsid w:val="006D3434"/>
    <w:rsid w:val="006D37AB"/>
    <w:rsid w:val="006D39FF"/>
    <w:rsid w:val="006D3A09"/>
    <w:rsid w:val="006D3C7D"/>
    <w:rsid w:val="006D405A"/>
    <w:rsid w:val="006D40A2"/>
    <w:rsid w:val="006D4283"/>
    <w:rsid w:val="006D4659"/>
    <w:rsid w:val="006D4D0D"/>
    <w:rsid w:val="006D4D4C"/>
    <w:rsid w:val="006D51B4"/>
    <w:rsid w:val="006D5401"/>
    <w:rsid w:val="006D5490"/>
    <w:rsid w:val="006D568B"/>
    <w:rsid w:val="006D58A1"/>
    <w:rsid w:val="006D5D5F"/>
    <w:rsid w:val="006D5F4D"/>
    <w:rsid w:val="006D608A"/>
    <w:rsid w:val="006D68C0"/>
    <w:rsid w:val="006D68FB"/>
    <w:rsid w:val="006D7095"/>
    <w:rsid w:val="006D71D2"/>
    <w:rsid w:val="006D7719"/>
    <w:rsid w:val="006D77F3"/>
    <w:rsid w:val="006D7E4A"/>
    <w:rsid w:val="006E0105"/>
    <w:rsid w:val="006E012B"/>
    <w:rsid w:val="006E016E"/>
    <w:rsid w:val="006E0593"/>
    <w:rsid w:val="006E087F"/>
    <w:rsid w:val="006E0A35"/>
    <w:rsid w:val="006E0AC4"/>
    <w:rsid w:val="006E0DE4"/>
    <w:rsid w:val="006E10AB"/>
    <w:rsid w:val="006E1C8B"/>
    <w:rsid w:val="006E1CC7"/>
    <w:rsid w:val="006E1ECD"/>
    <w:rsid w:val="006E1FED"/>
    <w:rsid w:val="006E22D4"/>
    <w:rsid w:val="006E2325"/>
    <w:rsid w:val="006E2651"/>
    <w:rsid w:val="006E2868"/>
    <w:rsid w:val="006E2CE8"/>
    <w:rsid w:val="006E3400"/>
    <w:rsid w:val="006E34FF"/>
    <w:rsid w:val="006E3919"/>
    <w:rsid w:val="006E3CAC"/>
    <w:rsid w:val="006E3E63"/>
    <w:rsid w:val="006E3F85"/>
    <w:rsid w:val="006E4EA0"/>
    <w:rsid w:val="006E504F"/>
    <w:rsid w:val="006E535F"/>
    <w:rsid w:val="006E556B"/>
    <w:rsid w:val="006E5FAD"/>
    <w:rsid w:val="006E65DF"/>
    <w:rsid w:val="006E6AC5"/>
    <w:rsid w:val="006E6D6A"/>
    <w:rsid w:val="006E72ED"/>
    <w:rsid w:val="006E756D"/>
    <w:rsid w:val="006E760A"/>
    <w:rsid w:val="006E762B"/>
    <w:rsid w:val="006E7952"/>
    <w:rsid w:val="006E7CD5"/>
    <w:rsid w:val="006E7DCB"/>
    <w:rsid w:val="006F059D"/>
    <w:rsid w:val="006F0AA3"/>
    <w:rsid w:val="006F0AD5"/>
    <w:rsid w:val="006F15CA"/>
    <w:rsid w:val="006F1A47"/>
    <w:rsid w:val="006F1CC7"/>
    <w:rsid w:val="006F2393"/>
    <w:rsid w:val="006F2522"/>
    <w:rsid w:val="006F29A5"/>
    <w:rsid w:val="006F2CD6"/>
    <w:rsid w:val="006F2F99"/>
    <w:rsid w:val="006F306C"/>
    <w:rsid w:val="006F4048"/>
    <w:rsid w:val="006F482E"/>
    <w:rsid w:val="006F4A92"/>
    <w:rsid w:val="006F4B92"/>
    <w:rsid w:val="006F4F17"/>
    <w:rsid w:val="006F4FAE"/>
    <w:rsid w:val="006F506C"/>
    <w:rsid w:val="006F51DC"/>
    <w:rsid w:val="006F62CF"/>
    <w:rsid w:val="006F63A5"/>
    <w:rsid w:val="006F68B1"/>
    <w:rsid w:val="006F6956"/>
    <w:rsid w:val="006F6CA3"/>
    <w:rsid w:val="006F6EF4"/>
    <w:rsid w:val="006F7432"/>
    <w:rsid w:val="006F7BC4"/>
    <w:rsid w:val="006F7DB5"/>
    <w:rsid w:val="006F7FA6"/>
    <w:rsid w:val="00700785"/>
    <w:rsid w:val="00700A95"/>
    <w:rsid w:val="00700C24"/>
    <w:rsid w:val="0070136C"/>
    <w:rsid w:val="0070142B"/>
    <w:rsid w:val="00701C93"/>
    <w:rsid w:val="00701E85"/>
    <w:rsid w:val="0070276E"/>
    <w:rsid w:val="00702A94"/>
    <w:rsid w:val="00702CEE"/>
    <w:rsid w:val="00702DAE"/>
    <w:rsid w:val="00702F8F"/>
    <w:rsid w:val="00703AA8"/>
    <w:rsid w:val="00703B72"/>
    <w:rsid w:val="00704071"/>
    <w:rsid w:val="00704145"/>
    <w:rsid w:val="00704695"/>
    <w:rsid w:val="007046AC"/>
    <w:rsid w:val="00704B69"/>
    <w:rsid w:val="00704BA7"/>
    <w:rsid w:val="00704BFE"/>
    <w:rsid w:val="00704D51"/>
    <w:rsid w:val="0070502C"/>
    <w:rsid w:val="007050ED"/>
    <w:rsid w:val="00705339"/>
    <w:rsid w:val="00705388"/>
    <w:rsid w:val="0070544F"/>
    <w:rsid w:val="00705682"/>
    <w:rsid w:val="007061BF"/>
    <w:rsid w:val="00706841"/>
    <w:rsid w:val="00706A02"/>
    <w:rsid w:val="00706EEE"/>
    <w:rsid w:val="00706EFF"/>
    <w:rsid w:val="00706F87"/>
    <w:rsid w:val="00706FDD"/>
    <w:rsid w:val="007071F9"/>
    <w:rsid w:val="007074EF"/>
    <w:rsid w:val="007078C9"/>
    <w:rsid w:val="007079FC"/>
    <w:rsid w:val="00707B49"/>
    <w:rsid w:val="00707D15"/>
    <w:rsid w:val="00707E1E"/>
    <w:rsid w:val="00707FCE"/>
    <w:rsid w:val="007101CA"/>
    <w:rsid w:val="00710360"/>
    <w:rsid w:val="0071060E"/>
    <w:rsid w:val="00710817"/>
    <w:rsid w:val="00710917"/>
    <w:rsid w:val="00710C5E"/>
    <w:rsid w:val="00711021"/>
    <w:rsid w:val="007111FE"/>
    <w:rsid w:val="00711239"/>
    <w:rsid w:val="00711639"/>
    <w:rsid w:val="007117BB"/>
    <w:rsid w:val="00711A36"/>
    <w:rsid w:val="00711AA9"/>
    <w:rsid w:val="007125D3"/>
    <w:rsid w:val="00712B3A"/>
    <w:rsid w:val="00713038"/>
    <w:rsid w:val="0071399D"/>
    <w:rsid w:val="00713D29"/>
    <w:rsid w:val="00713FBC"/>
    <w:rsid w:val="00714133"/>
    <w:rsid w:val="007142DC"/>
    <w:rsid w:val="0071432C"/>
    <w:rsid w:val="007146C7"/>
    <w:rsid w:val="00714C26"/>
    <w:rsid w:val="00714C98"/>
    <w:rsid w:val="0071514E"/>
    <w:rsid w:val="0071529C"/>
    <w:rsid w:val="0071590F"/>
    <w:rsid w:val="00715B88"/>
    <w:rsid w:val="00715FBC"/>
    <w:rsid w:val="00716958"/>
    <w:rsid w:val="00716DF8"/>
    <w:rsid w:val="007170DA"/>
    <w:rsid w:val="007172AD"/>
    <w:rsid w:val="0071739D"/>
    <w:rsid w:val="00717479"/>
    <w:rsid w:val="00717538"/>
    <w:rsid w:val="00717546"/>
    <w:rsid w:val="007175C4"/>
    <w:rsid w:val="0071763D"/>
    <w:rsid w:val="0071763F"/>
    <w:rsid w:val="00717FED"/>
    <w:rsid w:val="00720082"/>
    <w:rsid w:val="00720801"/>
    <w:rsid w:val="007208FE"/>
    <w:rsid w:val="00720923"/>
    <w:rsid w:val="00720AB9"/>
    <w:rsid w:val="0072148D"/>
    <w:rsid w:val="007215B5"/>
    <w:rsid w:val="007221BF"/>
    <w:rsid w:val="00722B1B"/>
    <w:rsid w:val="00722C88"/>
    <w:rsid w:val="00722F63"/>
    <w:rsid w:val="007237A0"/>
    <w:rsid w:val="00723B4B"/>
    <w:rsid w:val="00723FB1"/>
    <w:rsid w:val="0072416F"/>
    <w:rsid w:val="00724247"/>
    <w:rsid w:val="007244A8"/>
    <w:rsid w:val="007246E8"/>
    <w:rsid w:val="00725051"/>
    <w:rsid w:val="00725121"/>
    <w:rsid w:val="00725635"/>
    <w:rsid w:val="00725696"/>
    <w:rsid w:val="00725DA4"/>
    <w:rsid w:val="00725F15"/>
    <w:rsid w:val="007262E8"/>
    <w:rsid w:val="007265EC"/>
    <w:rsid w:val="00726DFB"/>
    <w:rsid w:val="00727014"/>
    <w:rsid w:val="00727245"/>
    <w:rsid w:val="00727348"/>
    <w:rsid w:val="00727544"/>
    <w:rsid w:val="0072778B"/>
    <w:rsid w:val="007279D9"/>
    <w:rsid w:val="00727A63"/>
    <w:rsid w:val="00727C94"/>
    <w:rsid w:val="00727CBA"/>
    <w:rsid w:val="00730206"/>
    <w:rsid w:val="00730A59"/>
    <w:rsid w:val="00730C20"/>
    <w:rsid w:val="00730C6B"/>
    <w:rsid w:val="00730D6E"/>
    <w:rsid w:val="00731522"/>
    <w:rsid w:val="007315ED"/>
    <w:rsid w:val="007319BB"/>
    <w:rsid w:val="00731B0A"/>
    <w:rsid w:val="00731C53"/>
    <w:rsid w:val="00731E99"/>
    <w:rsid w:val="00731EAE"/>
    <w:rsid w:val="0073224C"/>
    <w:rsid w:val="00732BA0"/>
    <w:rsid w:val="00732C84"/>
    <w:rsid w:val="00732EA3"/>
    <w:rsid w:val="00732F2E"/>
    <w:rsid w:val="00733073"/>
    <w:rsid w:val="00733262"/>
    <w:rsid w:val="00733275"/>
    <w:rsid w:val="00733763"/>
    <w:rsid w:val="007339F4"/>
    <w:rsid w:val="007346DB"/>
    <w:rsid w:val="0073470C"/>
    <w:rsid w:val="00734EFC"/>
    <w:rsid w:val="00735033"/>
    <w:rsid w:val="0073519D"/>
    <w:rsid w:val="00735328"/>
    <w:rsid w:val="00735F83"/>
    <w:rsid w:val="00736226"/>
    <w:rsid w:val="00736437"/>
    <w:rsid w:val="007364D2"/>
    <w:rsid w:val="0073668A"/>
    <w:rsid w:val="0073685B"/>
    <w:rsid w:val="00736A42"/>
    <w:rsid w:val="00736CD3"/>
    <w:rsid w:val="00737133"/>
    <w:rsid w:val="00737250"/>
    <w:rsid w:val="0073797E"/>
    <w:rsid w:val="00737A3D"/>
    <w:rsid w:val="00737CDA"/>
    <w:rsid w:val="00737F48"/>
    <w:rsid w:val="007405AA"/>
    <w:rsid w:val="00740849"/>
    <w:rsid w:val="00740DB8"/>
    <w:rsid w:val="00741123"/>
    <w:rsid w:val="007413F6"/>
    <w:rsid w:val="007414C5"/>
    <w:rsid w:val="007415C5"/>
    <w:rsid w:val="00741813"/>
    <w:rsid w:val="00742393"/>
    <w:rsid w:val="0074277A"/>
    <w:rsid w:val="007427EF"/>
    <w:rsid w:val="00742D11"/>
    <w:rsid w:val="00743123"/>
    <w:rsid w:val="0074354B"/>
    <w:rsid w:val="0074484C"/>
    <w:rsid w:val="0074489E"/>
    <w:rsid w:val="007448D0"/>
    <w:rsid w:val="0074495C"/>
    <w:rsid w:val="007449BF"/>
    <w:rsid w:val="007449EA"/>
    <w:rsid w:val="00744EAD"/>
    <w:rsid w:val="00744EB8"/>
    <w:rsid w:val="00744F59"/>
    <w:rsid w:val="007453B0"/>
    <w:rsid w:val="00745621"/>
    <w:rsid w:val="007456DA"/>
    <w:rsid w:val="00745FD9"/>
    <w:rsid w:val="00746160"/>
    <w:rsid w:val="00746168"/>
    <w:rsid w:val="007463FE"/>
    <w:rsid w:val="0074684C"/>
    <w:rsid w:val="00746BC0"/>
    <w:rsid w:val="007476BA"/>
    <w:rsid w:val="00747742"/>
    <w:rsid w:val="00747C86"/>
    <w:rsid w:val="00747DCE"/>
    <w:rsid w:val="00747E1E"/>
    <w:rsid w:val="00747E7F"/>
    <w:rsid w:val="007506A7"/>
    <w:rsid w:val="0075080B"/>
    <w:rsid w:val="007508C9"/>
    <w:rsid w:val="00750965"/>
    <w:rsid w:val="00750EDD"/>
    <w:rsid w:val="007510B4"/>
    <w:rsid w:val="00751135"/>
    <w:rsid w:val="00751311"/>
    <w:rsid w:val="007516D4"/>
    <w:rsid w:val="00751DDE"/>
    <w:rsid w:val="00752142"/>
    <w:rsid w:val="007523F9"/>
    <w:rsid w:val="00752838"/>
    <w:rsid w:val="00752870"/>
    <w:rsid w:val="00752A8C"/>
    <w:rsid w:val="00753221"/>
    <w:rsid w:val="007533E7"/>
    <w:rsid w:val="0075357E"/>
    <w:rsid w:val="007535B5"/>
    <w:rsid w:val="007537F7"/>
    <w:rsid w:val="00753B01"/>
    <w:rsid w:val="00753B29"/>
    <w:rsid w:val="00753B5C"/>
    <w:rsid w:val="00753BDC"/>
    <w:rsid w:val="00753C23"/>
    <w:rsid w:val="00753FD1"/>
    <w:rsid w:val="0075467D"/>
    <w:rsid w:val="00754816"/>
    <w:rsid w:val="0075484A"/>
    <w:rsid w:val="00754AC5"/>
    <w:rsid w:val="00754B70"/>
    <w:rsid w:val="00754F01"/>
    <w:rsid w:val="00755118"/>
    <w:rsid w:val="007551E6"/>
    <w:rsid w:val="00755280"/>
    <w:rsid w:val="007553D1"/>
    <w:rsid w:val="0075551D"/>
    <w:rsid w:val="007556AC"/>
    <w:rsid w:val="007558C6"/>
    <w:rsid w:val="00755B63"/>
    <w:rsid w:val="00755FFA"/>
    <w:rsid w:val="007562DB"/>
    <w:rsid w:val="007562EB"/>
    <w:rsid w:val="007563DB"/>
    <w:rsid w:val="007563DF"/>
    <w:rsid w:val="00756835"/>
    <w:rsid w:val="00756A49"/>
    <w:rsid w:val="0075701A"/>
    <w:rsid w:val="007570D1"/>
    <w:rsid w:val="007573E8"/>
    <w:rsid w:val="00757BD6"/>
    <w:rsid w:val="00757DEE"/>
    <w:rsid w:val="00757EEA"/>
    <w:rsid w:val="007600AD"/>
    <w:rsid w:val="0076051C"/>
    <w:rsid w:val="00760A78"/>
    <w:rsid w:val="00760C4E"/>
    <w:rsid w:val="00760CF8"/>
    <w:rsid w:val="00760EE7"/>
    <w:rsid w:val="00760F9E"/>
    <w:rsid w:val="00761012"/>
    <w:rsid w:val="00761272"/>
    <w:rsid w:val="0076129B"/>
    <w:rsid w:val="007616E6"/>
    <w:rsid w:val="007618AB"/>
    <w:rsid w:val="00761990"/>
    <w:rsid w:val="00761A94"/>
    <w:rsid w:val="00761B88"/>
    <w:rsid w:val="00761D91"/>
    <w:rsid w:val="00761E62"/>
    <w:rsid w:val="0076209C"/>
    <w:rsid w:val="00762529"/>
    <w:rsid w:val="00762695"/>
    <w:rsid w:val="007627BE"/>
    <w:rsid w:val="00762CFC"/>
    <w:rsid w:val="00762D5D"/>
    <w:rsid w:val="00762DB9"/>
    <w:rsid w:val="00762FC6"/>
    <w:rsid w:val="0076305A"/>
    <w:rsid w:val="0076310A"/>
    <w:rsid w:val="007636EC"/>
    <w:rsid w:val="00763D90"/>
    <w:rsid w:val="00763DC4"/>
    <w:rsid w:val="00763E60"/>
    <w:rsid w:val="00763EAF"/>
    <w:rsid w:val="00764670"/>
    <w:rsid w:val="007646C4"/>
    <w:rsid w:val="00764AA2"/>
    <w:rsid w:val="00764E8C"/>
    <w:rsid w:val="00764F03"/>
    <w:rsid w:val="00764F15"/>
    <w:rsid w:val="00764FDA"/>
    <w:rsid w:val="007650F5"/>
    <w:rsid w:val="0076536B"/>
    <w:rsid w:val="0076550C"/>
    <w:rsid w:val="00765597"/>
    <w:rsid w:val="007657F6"/>
    <w:rsid w:val="007658A9"/>
    <w:rsid w:val="00765B1A"/>
    <w:rsid w:val="00765B6B"/>
    <w:rsid w:val="00765DC1"/>
    <w:rsid w:val="00765E54"/>
    <w:rsid w:val="00765ECD"/>
    <w:rsid w:val="00765FE8"/>
    <w:rsid w:val="00766419"/>
    <w:rsid w:val="00766635"/>
    <w:rsid w:val="0076668E"/>
    <w:rsid w:val="007666AB"/>
    <w:rsid w:val="00766D3F"/>
    <w:rsid w:val="00766ED6"/>
    <w:rsid w:val="00767E96"/>
    <w:rsid w:val="007701BA"/>
    <w:rsid w:val="0077195A"/>
    <w:rsid w:val="00771D02"/>
    <w:rsid w:val="00771DC6"/>
    <w:rsid w:val="00771EEA"/>
    <w:rsid w:val="0077220D"/>
    <w:rsid w:val="007725CE"/>
    <w:rsid w:val="007727DE"/>
    <w:rsid w:val="0077371F"/>
    <w:rsid w:val="0077396A"/>
    <w:rsid w:val="007747C8"/>
    <w:rsid w:val="007749DA"/>
    <w:rsid w:val="00774C03"/>
    <w:rsid w:val="00774E91"/>
    <w:rsid w:val="00774F72"/>
    <w:rsid w:val="00775178"/>
    <w:rsid w:val="00775FFF"/>
    <w:rsid w:val="00776371"/>
    <w:rsid w:val="00776548"/>
    <w:rsid w:val="007767A1"/>
    <w:rsid w:val="00776918"/>
    <w:rsid w:val="00776929"/>
    <w:rsid w:val="00776A29"/>
    <w:rsid w:val="00776C3F"/>
    <w:rsid w:val="00776DD5"/>
    <w:rsid w:val="00777335"/>
    <w:rsid w:val="00777544"/>
    <w:rsid w:val="00777B81"/>
    <w:rsid w:val="00777BE6"/>
    <w:rsid w:val="00777F32"/>
    <w:rsid w:val="00777F54"/>
    <w:rsid w:val="00780AA3"/>
    <w:rsid w:val="007810F1"/>
    <w:rsid w:val="00781521"/>
    <w:rsid w:val="00781523"/>
    <w:rsid w:val="0078176E"/>
    <w:rsid w:val="00781997"/>
    <w:rsid w:val="00781FEB"/>
    <w:rsid w:val="007821EB"/>
    <w:rsid w:val="00782283"/>
    <w:rsid w:val="00782342"/>
    <w:rsid w:val="00782489"/>
    <w:rsid w:val="00782619"/>
    <w:rsid w:val="00782A58"/>
    <w:rsid w:val="00782B3E"/>
    <w:rsid w:val="007830FC"/>
    <w:rsid w:val="007831B7"/>
    <w:rsid w:val="00783383"/>
    <w:rsid w:val="007838B2"/>
    <w:rsid w:val="007839C8"/>
    <w:rsid w:val="00783C62"/>
    <w:rsid w:val="00784067"/>
    <w:rsid w:val="007840C8"/>
    <w:rsid w:val="007843F2"/>
    <w:rsid w:val="00784580"/>
    <w:rsid w:val="007846FA"/>
    <w:rsid w:val="00784777"/>
    <w:rsid w:val="00784ABB"/>
    <w:rsid w:val="00784C1A"/>
    <w:rsid w:val="00784D60"/>
    <w:rsid w:val="00784DB7"/>
    <w:rsid w:val="007853E6"/>
    <w:rsid w:val="0078541E"/>
    <w:rsid w:val="0078542D"/>
    <w:rsid w:val="0078598E"/>
    <w:rsid w:val="00785A9F"/>
    <w:rsid w:val="00785B50"/>
    <w:rsid w:val="00785D49"/>
    <w:rsid w:val="007861F7"/>
    <w:rsid w:val="00786576"/>
    <w:rsid w:val="007866CD"/>
    <w:rsid w:val="00786A21"/>
    <w:rsid w:val="0078738A"/>
    <w:rsid w:val="0078767A"/>
    <w:rsid w:val="007876F5"/>
    <w:rsid w:val="00787F20"/>
    <w:rsid w:val="00787FCD"/>
    <w:rsid w:val="007901BC"/>
    <w:rsid w:val="007905E2"/>
    <w:rsid w:val="00791073"/>
    <w:rsid w:val="00791212"/>
    <w:rsid w:val="007917DF"/>
    <w:rsid w:val="00791914"/>
    <w:rsid w:val="00791917"/>
    <w:rsid w:val="00791CD7"/>
    <w:rsid w:val="00791F9E"/>
    <w:rsid w:val="00792107"/>
    <w:rsid w:val="007925DF"/>
    <w:rsid w:val="007926B7"/>
    <w:rsid w:val="007932A9"/>
    <w:rsid w:val="007935AD"/>
    <w:rsid w:val="00793687"/>
    <w:rsid w:val="007936A5"/>
    <w:rsid w:val="007937AF"/>
    <w:rsid w:val="00793BAD"/>
    <w:rsid w:val="00793EE9"/>
    <w:rsid w:val="007946DB"/>
    <w:rsid w:val="00794A2E"/>
    <w:rsid w:val="00794C44"/>
    <w:rsid w:val="00794F42"/>
    <w:rsid w:val="0079510B"/>
    <w:rsid w:val="007954B7"/>
    <w:rsid w:val="00795AC3"/>
    <w:rsid w:val="007961A7"/>
    <w:rsid w:val="007962A2"/>
    <w:rsid w:val="0079645F"/>
    <w:rsid w:val="0079689E"/>
    <w:rsid w:val="007969C7"/>
    <w:rsid w:val="00797045"/>
    <w:rsid w:val="0079745E"/>
    <w:rsid w:val="007974D9"/>
    <w:rsid w:val="007975A7"/>
    <w:rsid w:val="00797627"/>
    <w:rsid w:val="00797723"/>
    <w:rsid w:val="00797800"/>
    <w:rsid w:val="00797A53"/>
    <w:rsid w:val="007A035D"/>
    <w:rsid w:val="007A04C6"/>
    <w:rsid w:val="007A0679"/>
    <w:rsid w:val="007A08AA"/>
    <w:rsid w:val="007A095B"/>
    <w:rsid w:val="007A098E"/>
    <w:rsid w:val="007A0A12"/>
    <w:rsid w:val="007A0F23"/>
    <w:rsid w:val="007A0FD6"/>
    <w:rsid w:val="007A0FDA"/>
    <w:rsid w:val="007A108B"/>
    <w:rsid w:val="007A1200"/>
    <w:rsid w:val="007A12C5"/>
    <w:rsid w:val="007A132D"/>
    <w:rsid w:val="007A1345"/>
    <w:rsid w:val="007A14EF"/>
    <w:rsid w:val="007A170A"/>
    <w:rsid w:val="007A1823"/>
    <w:rsid w:val="007A193C"/>
    <w:rsid w:val="007A1A79"/>
    <w:rsid w:val="007A2458"/>
    <w:rsid w:val="007A2634"/>
    <w:rsid w:val="007A2BA9"/>
    <w:rsid w:val="007A2DDB"/>
    <w:rsid w:val="007A2E35"/>
    <w:rsid w:val="007A3022"/>
    <w:rsid w:val="007A3114"/>
    <w:rsid w:val="007A32E6"/>
    <w:rsid w:val="007A3681"/>
    <w:rsid w:val="007A39B5"/>
    <w:rsid w:val="007A3A08"/>
    <w:rsid w:val="007A4265"/>
    <w:rsid w:val="007A4425"/>
    <w:rsid w:val="007A4426"/>
    <w:rsid w:val="007A44AF"/>
    <w:rsid w:val="007A5BF2"/>
    <w:rsid w:val="007A5DF1"/>
    <w:rsid w:val="007A5E06"/>
    <w:rsid w:val="007A66AC"/>
    <w:rsid w:val="007A6BF3"/>
    <w:rsid w:val="007A6C4D"/>
    <w:rsid w:val="007A6D6F"/>
    <w:rsid w:val="007A6F1C"/>
    <w:rsid w:val="007A70BA"/>
    <w:rsid w:val="007A7A00"/>
    <w:rsid w:val="007A7A28"/>
    <w:rsid w:val="007A7F9C"/>
    <w:rsid w:val="007B018E"/>
    <w:rsid w:val="007B05C6"/>
    <w:rsid w:val="007B0D68"/>
    <w:rsid w:val="007B171A"/>
    <w:rsid w:val="007B1A3A"/>
    <w:rsid w:val="007B1BC0"/>
    <w:rsid w:val="007B1C86"/>
    <w:rsid w:val="007B2274"/>
    <w:rsid w:val="007B231C"/>
    <w:rsid w:val="007B251D"/>
    <w:rsid w:val="007B2538"/>
    <w:rsid w:val="007B2841"/>
    <w:rsid w:val="007B288C"/>
    <w:rsid w:val="007B2C9D"/>
    <w:rsid w:val="007B3073"/>
    <w:rsid w:val="007B3341"/>
    <w:rsid w:val="007B348A"/>
    <w:rsid w:val="007B3533"/>
    <w:rsid w:val="007B378A"/>
    <w:rsid w:val="007B3AEA"/>
    <w:rsid w:val="007B3CF2"/>
    <w:rsid w:val="007B3DD3"/>
    <w:rsid w:val="007B48FA"/>
    <w:rsid w:val="007B4ABF"/>
    <w:rsid w:val="007B4CBD"/>
    <w:rsid w:val="007B4D50"/>
    <w:rsid w:val="007B4F58"/>
    <w:rsid w:val="007B528D"/>
    <w:rsid w:val="007B581A"/>
    <w:rsid w:val="007B5C0E"/>
    <w:rsid w:val="007B5CD8"/>
    <w:rsid w:val="007B5DA7"/>
    <w:rsid w:val="007B5F93"/>
    <w:rsid w:val="007B63CA"/>
    <w:rsid w:val="007B69B0"/>
    <w:rsid w:val="007B69ED"/>
    <w:rsid w:val="007B700C"/>
    <w:rsid w:val="007B73BE"/>
    <w:rsid w:val="007B776C"/>
    <w:rsid w:val="007B77D1"/>
    <w:rsid w:val="007B7D49"/>
    <w:rsid w:val="007B7DC7"/>
    <w:rsid w:val="007C0233"/>
    <w:rsid w:val="007C0792"/>
    <w:rsid w:val="007C07C7"/>
    <w:rsid w:val="007C0AFC"/>
    <w:rsid w:val="007C1277"/>
    <w:rsid w:val="007C14B8"/>
    <w:rsid w:val="007C1A61"/>
    <w:rsid w:val="007C1B34"/>
    <w:rsid w:val="007C1B58"/>
    <w:rsid w:val="007C1BC2"/>
    <w:rsid w:val="007C1CD8"/>
    <w:rsid w:val="007C1CD9"/>
    <w:rsid w:val="007C1EA6"/>
    <w:rsid w:val="007C2086"/>
    <w:rsid w:val="007C2094"/>
    <w:rsid w:val="007C2476"/>
    <w:rsid w:val="007C2A32"/>
    <w:rsid w:val="007C2B03"/>
    <w:rsid w:val="007C2E43"/>
    <w:rsid w:val="007C2F5A"/>
    <w:rsid w:val="007C3185"/>
    <w:rsid w:val="007C32EF"/>
    <w:rsid w:val="007C34F1"/>
    <w:rsid w:val="007C361D"/>
    <w:rsid w:val="007C364C"/>
    <w:rsid w:val="007C3AB7"/>
    <w:rsid w:val="007C3C96"/>
    <w:rsid w:val="007C3DEA"/>
    <w:rsid w:val="007C4082"/>
    <w:rsid w:val="007C41C8"/>
    <w:rsid w:val="007C427C"/>
    <w:rsid w:val="007C44D7"/>
    <w:rsid w:val="007C47DF"/>
    <w:rsid w:val="007C47FD"/>
    <w:rsid w:val="007C492C"/>
    <w:rsid w:val="007C4B84"/>
    <w:rsid w:val="007C516D"/>
    <w:rsid w:val="007C53DC"/>
    <w:rsid w:val="007C57D0"/>
    <w:rsid w:val="007C620F"/>
    <w:rsid w:val="007C621B"/>
    <w:rsid w:val="007C621E"/>
    <w:rsid w:val="007C640A"/>
    <w:rsid w:val="007C6622"/>
    <w:rsid w:val="007C6ABC"/>
    <w:rsid w:val="007C6D64"/>
    <w:rsid w:val="007C6D6F"/>
    <w:rsid w:val="007C70FF"/>
    <w:rsid w:val="007C778D"/>
    <w:rsid w:val="007C7C25"/>
    <w:rsid w:val="007D004F"/>
    <w:rsid w:val="007D031F"/>
    <w:rsid w:val="007D035F"/>
    <w:rsid w:val="007D06B2"/>
    <w:rsid w:val="007D0B38"/>
    <w:rsid w:val="007D0D16"/>
    <w:rsid w:val="007D0D44"/>
    <w:rsid w:val="007D0F00"/>
    <w:rsid w:val="007D188B"/>
    <w:rsid w:val="007D1FEA"/>
    <w:rsid w:val="007D1FF6"/>
    <w:rsid w:val="007D23C3"/>
    <w:rsid w:val="007D26B2"/>
    <w:rsid w:val="007D28E7"/>
    <w:rsid w:val="007D2C26"/>
    <w:rsid w:val="007D2F9F"/>
    <w:rsid w:val="007D357E"/>
    <w:rsid w:val="007D3764"/>
    <w:rsid w:val="007D416C"/>
    <w:rsid w:val="007D4B25"/>
    <w:rsid w:val="007D4B9E"/>
    <w:rsid w:val="007D4C5B"/>
    <w:rsid w:val="007D4E10"/>
    <w:rsid w:val="007D5440"/>
    <w:rsid w:val="007D577B"/>
    <w:rsid w:val="007D586A"/>
    <w:rsid w:val="007D5A5D"/>
    <w:rsid w:val="007D5A68"/>
    <w:rsid w:val="007D5A70"/>
    <w:rsid w:val="007D649B"/>
    <w:rsid w:val="007D6756"/>
    <w:rsid w:val="007D69EB"/>
    <w:rsid w:val="007D6B9F"/>
    <w:rsid w:val="007D6F0B"/>
    <w:rsid w:val="007D7295"/>
    <w:rsid w:val="007D73D5"/>
    <w:rsid w:val="007D7754"/>
    <w:rsid w:val="007D787E"/>
    <w:rsid w:val="007D7BC4"/>
    <w:rsid w:val="007D7D77"/>
    <w:rsid w:val="007D7F03"/>
    <w:rsid w:val="007E006C"/>
    <w:rsid w:val="007E0924"/>
    <w:rsid w:val="007E0A0F"/>
    <w:rsid w:val="007E0EFD"/>
    <w:rsid w:val="007E1013"/>
    <w:rsid w:val="007E11F6"/>
    <w:rsid w:val="007E128F"/>
    <w:rsid w:val="007E133C"/>
    <w:rsid w:val="007E13C9"/>
    <w:rsid w:val="007E155C"/>
    <w:rsid w:val="007E1CA5"/>
    <w:rsid w:val="007E1D27"/>
    <w:rsid w:val="007E225B"/>
    <w:rsid w:val="007E25B2"/>
    <w:rsid w:val="007E2647"/>
    <w:rsid w:val="007E268A"/>
    <w:rsid w:val="007E3060"/>
    <w:rsid w:val="007E3145"/>
    <w:rsid w:val="007E341E"/>
    <w:rsid w:val="007E37A7"/>
    <w:rsid w:val="007E37FA"/>
    <w:rsid w:val="007E3A35"/>
    <w:rsid w:val="007E3FEB"/>
    <w:rsid w:val="007E3FF0"/>
    <w:rsid w:val="007E4496"/>
    <w:rsid w:val="007E45CE"/>
    <w:rsid w:val="007E4942"/>
    <w:rsid w:val="007E49C2"/>
    <w:rsid w:val="007E4A97"/>
    <w:rsid w:val="007E4EF7"/>
    <w:rsid w:val="007E51B9"/>
    <w:rsid w:val="007E55C9"/>
    <w:rsid w:val="007E5CD4"/>
    <w:rsid w:val="007E5E71"/>
    <w:rsid w:val="007E5EA7"/>
    <w:rsid w:val="007E627F"/>
    <w:rsid w:val="007E6375"/>
    <w:rsid w:val="007E6470"/>
    <w:rsid w:val="007E6649"/>
    <w:rsid w:val="007E6AE6"/>
    <w:rsid w:val="007E6E75"/>
    <w:rsid w:val="007E7230"/>
    <w:rsid w:val="007E7237"/>
    <w:rsid w:val="007E72C3"/>
    <w:rsid w:val="007E7568"/>
    <w:rsid w:val="007E7607"/>
    <w:rsid w:val="007E7932"/>
    <w:rsid w:val="007E7A02"/>
    <w:rsid w:val="007E7B03"/>
    <w:rsid w:val="007F0098"/>
    <w:rsid w:val="007F0F2A"/>
    <w:rsid w:val="007F1017"/>
    <w:rsid w:val="007F117B"/>
    <w:rsid w:val="007F128E"/>
    <w:rsid w:val="007F1660"/>
    <w:rsid w:val="007F1A33"/>
    <w:rsid w:val="007F1E97"/>
    <w:rsid w:val="007F1EBE"/>
    <w:rsid w:val="007F29E0"/>
    <w:rsid w:val="007F2A5B"/>
    <w:rsid w:val="007F2A86"/>
    <w:rsid w:val="007F2AC1"/>
    <w:rsid w:val="007F2CEC"/>
    <w:rsid w:val="007F2E11"/>
    <w:rsid w:val="007F2E98"/>
    <w:rsid w:val="007F2F99"/>
    <w:rsid w:val="007F2FC9"/>
    <w:rsid w:val="007F3317"/>
    <w:rsid w:val="007F3334"/>
    <w:rsid w:val="007F3539"/>
    <w:rsid w:val="007F397E"/>
    <w:rsid w:val="007F3A7F"/>
    <w:rsid w:val="007F3BE5"/>
    <w:rsid w:val="007F3E68"/>
    <w:rsid w:val="007F467A"/>
    <w:rsid w:val="007F49B1"/>
    <w:rsid w:val="007F4A3F"/>
    <w:rsid w:val="007F4A61"/>
    <w:rsid w:val="007F4B46"/>
    <w:rsid w:val="007F4C09"/>
    <w:rsid w:val="007F4C9A"/>
    <w:rsid w:val="007F4EB7"/>
    <w:rsid w:val="007F4F7A"/>
    <w:rsid w:val="007F5255"/>
    <w:rsid w:val="007F52C6"/>
    <w:rsid w:val="007F56CC"/>
    <w:rsid w:val="007F5B13"/>
    <w:rsid w:val="007F5E88"/>
    <w:rsid w:val="007F5F78"/>
    <w:rsid w:val="007F5FC1"/>
    <w:rsid w:val="007F61C2"/>
    <w:rsid w:val="007F653D"/>
    <w:rsid w:val="007F6721"/>
    <w:rsid w:val="007F6940"/>
    <w:rsid w:val="007F6DB0"/>
    <w:rsid w:val="007F6E21"/>
    <w:rsid w:val="007F6E98"/>
    <w:rsid w:val="007F6F4E"/>
    <w:rsid w:val="007F6FA3"/>
    <w:rsid w:val="007F72FA"/>
    <w:rsid w:val="007F73C9"/>
    <w:rsid w:val="007F753A"/>
    <w:rsid w:val="007F755B"/>
    <w:rsid w:val="007F76E2"/>
    <w:rsid w:val="007F7784"/>
    <w:rsid w:val="007F78E8"/>
    <w:rsid w:val="007F7B24"/>
    <w:rsid w:val="007F7EE8"/>
    <w:rsid w:val="0080009F"/>
    <w:rsid w:val="00800355"/>
    <w:rsid w:val="00800702"/>
    <w:rsid w:val="0080077D"/>
    <w:rsid w:val="00800939"/>
    <w:rsid w:val="00800BEE"/>
    <w:rsid w:val="00800CE5"/>
    <w:rsid w:val="00800DD3"/>
    <w:rsid w:val="008011E4"/>
    <w:rsid w:val="0080127D"/>
    <w:rsid w:val="0080143D"/>
    <w:rsid w:val="0080173F"/>
    <w:rsid w:val="00801C46"/>
    <w:rsid w:val="00802F45"/>
    <w:rsid w:val="00803095"/>
    <w:rsid w:val="0080331E"/>
    <w:rsid w:val="0080344A"/>
    <w:rsid w:val="008034D9"/>
    <w:rsid w:val="008035F6"/>
    <w:rsid w:val="00803E21"/>
    <w:rsid w:val="008046D0"/>
    <w:rsid w:val="00804881"/>
    <w:rsid w:val="00804B0A"/>
    <w:rsid w:val="0080510B"/>
    <w:rsid w:val="00805142"/>
    <w:rsid w:val="00805422"/>
    <w:rsid w:val="0080566B"/>
    <w:rsid w:val="00805824"/>
    <w:rsid w:val="00805D0F"/>
    <w:rsid w:val="00805FCE"/>
    <w:rsid w:val="0080646F"/>
    <w:rsid w:val="008064BF"/>
    <w:rsid w:val="00806531"/>
    <w:rsid w:val="008069A4"/>
    <w:rsid w:val="00807345"/>
    <w:rsid w:val="00807A8B"/>
    <w:rsid w:val="00807F14"/>
    <w:rsid w:val="008101DA"/>
    <w:rsid w:val="00810D1D"/>
    <w:rsid w:val="00810EB0"/>
    <w:rsid w:val="00811038"/>
    <w:rsid w:val="00811383"/>
    <w:rsid w:val="008116B0"/>
    <w:rsid w:val="00811CAC"/>
    <w:rsid w:val="00811DD2"/>
    <w:rsid w:val="00811E2B"/>
    <w:rsid w:val="00812149"/>
    <w:rsid w:val="00812CAC"/>
    <w:rsid w:val="00812E73"/>
    <w:rsid w:val="008130B0"/>
    <w:rsid w:val="00813102"/>
    <w:rsid w:val="00813155"/>
    <w:rsid w:val="008131EB"/>
    <w:rsid w:val="0081324E"/>
    <w:rsid w:val="008137A6"/>
    <w:rsid w:val="00813DF3"/>
    <w:rsid w:val="00813DF8"/>
    <w:rsid w:val="00813F89"/>
    <w:rsid w:val="0081422F"/>
    <w:rsid w:val="0081466B"/>
    <w:rsid w:val="00814819"/>
    <w:rsid w:val="00814A29"/>
    <w:rsid w:val="00814A66"/>
    <w:rsid w:val="00814F4C"/>
    <w:rsid w:val="00815891"/>
    <w:rsid w:val="008159DE"/>
    <w:rsid w:val="00815E23"/>
    <w:rsid w:val="0081612F"/>
    <w:rsid w:val="008162A1"/>
    <w:rsid w:val="00816361"/>
    <w:rsid w:val="008166A0"/>
    <w:rsid w:val="008166EF"/>
    <w:rsid w:val="0081680E"/>
    <w:rsid w:val="00816F55"/>
    <w:rsid w:val="00816FEF"/>
    <w:rsid w:val="0081714F"/>
    <w:rsid w:val="00817384"/>
    <w:rsid w:val="0081746F"/>
    <w:rsid w:val="00817540"/>
    <w:rsid w:val="00817F76"/>
    <w:rsid w:val="008203A9"/>
    <w:rsid w:val="00820A8C"/>
    <w:rsid w:val="00820C93"/>
    <w:rsid w:val="00820F6A"/>
    <w:rsid w:val="00820FAE"/>
    <w:rsid w:val="00821125"/>
    <w:rsid w:val="008213C3"/>
    <w:rsid w:val="008215FB"/>
    <w:rsid w:val="008216A2"/>
    <w:rsid w:val="0082181C"/>
    <w:rsid w:val="00821902"/>
    <w:rsid w:val="008220CC"/>
    <w:rsid w:val="00823174"/>
    <w:rsid w:val="008231E8"/>
    <w:rsid w:val="008233AB"/>
    <w:rsid w:val="00823AF0"/>
    <w:rsid w:val="00823CBF"/>
    <w:rsid w:val="00823D48"/>
    <w:rsid w:val="0082467C"/>
    <w:rsid w:val="00824C48"/>
    <w:rsid w:val="00824DE1"/>
    <w:rsid w:val="00824EFD"/>
    <w:rsid w:val="008250CC"/>
    <w:rsid w:val="008252BB"/>
    <w:rsid w:val="00825751"/>
    <w:rsid w:val="00825823"/>
    <w:rsid w:val="00825DBE"/>
    <w:rsid w:val="00825F6E"/>
    <w:rsid w:val="00825FB7"/>
    <w:rsid w:val="008261AA"/>
    <w:rsid w:val="008264EB"/>
    <w:rsid w:val="008266AA"/>
    <w:rsid w:val="0082681C"/>
    <w:rsid w:val="008268CE"/>
    <w:rsid w:val="00826967"/>
    <w:rsid w:val="00826B5C"/>
    <w:rsid w:val="00826DB8"/>
    <w:rsid w:val="0082733A"/>
    <w:rsid w:val="00827440"/>
    <w:rsid w:val="008274C3"/>
    <w:rsid w:val="0082758E"/>
    <w:rsid w:val="00827790"/>
    <w:rsid w:val="008278CA"/>
    <w:rsid w:val="008279C9"/>
    <w:rsid w:val="00827A62"/>
    <w:rsid w:val="00827C23"/>
    <w:rsid w:val="00827F70"/>
    <w:rsid w:val="0083003B"/>
    <w:rsid w:val="008303A2"/>
    <w:rsid w:val="008305D4"/>
    <w:rsid w:val="00830754"/>
    <w:rsid w:val="00830CC6"/>
    <w:rsid w:val="00830DA0"/>
    <w:rsid w:val="00830FF3"/>
    <w:rsid w:val="00831599"/>
    <w:rsid w:val="00831900"/>
    <w:rsid w:val="00831943"/>
    <w:rsid w:val="008319B8"/>
    <w:rsid w:val="00831B9B"/>
    <w:rsid w:val="00831CC5"/>
    <w:rsid w:val="00831CFE"/>
    <w:rsid w:val="008328EF"/>
    <w:rsid w:val="00832FE1"/>
    <w:rsid w:val="008330DD"/>
    <w:rsid w:val="00833365"/>
    <w:rsid w:val="008336E5"/>
    <w:rsid w:val="00833AC6"/>
    <w:rsid w:val="00833B05"/>
    <w:rsid w:val="00833E51"/>
    <w:rsid w:val="008347A4"/>
    <w:rsid w:val="008347C0"/>
    <w:rsid w:val="00834CAC"/>
    <w:rsid w:val="00834D81"/>
    <w:rsid w:val="00835021"/>
    <w:rsid w:val="008351B1"/>
    <w:rsid w:val="0083521E"/>
    <w:rsid w:val="0083535F"/>
    <w:rsid w:val="00835405"/>
    <w:rsid w:val="00835478"/>
    <w:rsid w:val="008356BC"/>
    <w:rsid w:val="0083588A"/>
    <w:rsid w:val="00835E04"/>
    <w:rsid w:val="00835F3D"/>
    <w:rsid w:val="00836150"/>
    <w:rsid w:val="0083618A"/>
    <w:rsid w:val="00836191"/>
    <w:rsid w:val="008362B4"/>
    <w:rsid w:val="0083637E"/>
    <w:rsid w:val="00836573"/>
    <w:rsid w:val="00836606"/>
    <w:rsid w:val="008369BC"/>
    <w:rsid w:val="00837286"/>
    <w:rsid w:val="0083729C"/>
    <w:rsid w:val="008379C8"/>
    <w:rsid w:val="008379F5"/>
    <w:rsid w:val="00837EC9"/>
    <w:rsid w:val="00837F77"/>
    <w:rsid w:val="00840105"/>
    <w:rsid w:val="008401DD"/>
    <w:rsid w:val="00840611"/>
    <w:rsid w:val="00840CA2"/>
    <w:rsid w:val="00840E06"/>
    <w:rsid w:val="00840FF6"/>
    <w:rsid w:val="00841285"/>
    <w:rsid w:val="00841AD6"/>
    <w:rsid w:val="00841D7F"/>
    <w:rsid w:val="008423B9"/>
    <w:rsid w:val="00842F5C"/>
    <w:rsid w:val="0084326B"/>
    <w:rsid w:val="0084374F"/>
    <w:rsid w:val="008438FB"/>
    <w:rsid w:val="00843A22"/>
    <w:rsid w:val="00843C01"/>
    <w:rsid w:val="00843C12"/>
    <w:rsid w:val="00844609"/>
    <w:rsid w:val="00844A22"/>
    <w:rsid w:val="00844A98"/>
    <w:rsid w:val="00844FD0"/>
    <w:rsid w:val="00845540"/>
    <w:rsid w:val="0084555B"/>
    <w:rsid w:val="008457A8"/>
    <w:rsid w:val="00845B66"/>
    <w:rsid w:val="00845EE3"/>
    <w:rsid w:val="00846502"/>
    <w:rsid w:val="00846CD7"/>
    <w:rsid w:val="0084707C"/>
    <w:rsid w:val="00847226"/>
    <w:rsid w:val="0084746C"/>
    <w:rsid w:val="00847703"/>
    <w:rsid w:val="008477D8"/>
    <w:rsid w:val="00847C7B"/>
    <w:rsid w:val="00847CC1"/>
    <w:rsid w:val="00847DF5"/>
    <w:rsid w:val="00850243"/>
    <w:rsid w:val="00850248"/>
    <w:rsid w:val="00850470"/>
    <w:rsid w:val="00850539"/>
    <w:rsid w:val="0085054A"/>
    <w:rsid w:val="008506E6"/>
    <w:rsid w:val="00850CD1"/>
    <w:rsid w:val="00851197"/>
    <w:rsid w:val="0085128A"/>
    <w:rsid w:val="0085192D"/>
    <w:rsid w:val="00852A90"/>
    <w:rsid w:val="00852C5E"/>
    <w:rsid w:val="00852D24"/>
    <w:rsid w:val="00852FCE"/>
    <w:rsid w:val="0085309D"/>
    <w:rsid w:val="00853402"/>
    <w:rsid w:val="008539CD"/>
    <w:rsid w:val="00853F66"/>
    <w:rsid w:val="00854546"/>
    <w:rsid w:val="0085496B"/>
    <w:rsid w:val="00854D8A"/>
    <w:rsid w:val="00854DC9"/>
    <w:rsid w:val="008553CB"/>
    <w:rsid w:val="0085546E"/>
    <w:rsid w:val="00855552"/>
    <w:rsid w:val="00855585"/>
    <w:rsid w:val="00855662"/>
    <w:rsid w:val="00855685"/>
    <w:rsid w:val="008558B3"/>
    <w:rsid w:val="00855DF2"/>
    <w:rsid w:val="00855E8D"/>
    <w:rsid w:val="008563A6"/>
    <w:rsid w:val="0085683E"/>
    <w:rsid w:val="00856897"/>
    <w:rsid w:val="00856956"/>
    <w:rsid w:val="008569AA"/>
    <w:rsid w:val="00856B71"/>
    <w:rsid w:val="00856E9A"/>
    <w:rsid w:val="0085759E"/>
    <w:rsid w:val="00857703"/>
    <w:rsid w:val="00857973"/>
    <w:rsid w:val="00857BF3"/>
    <w:rsid w:val="0086069C"/>
    <w:rsid w:val="0086073A"/>
    <w:rsid w:val="0086075D"/>
    <w:rsid w:val="00860AF1"/>
    <w:rsid w:val="00860C54"/>
    <w:rsid w:val="00861425"/>
    <w:rsid w:val="0086150A"/>
    <w:rsid w:val="00861A3C"/>
    <w:rsid w:val="00861B39"/>
    <w:rsid w:val="00861E1E"/>
    <w:rsid w:val="0086222F"/>
    <w:rsid w:val="008622D0"/>
    <w:rsid w:val="00862502"/>
    <w:rsid w:val="00862521"/>
    <w:rsid w:val="00862BA2"/>
    <w:rsid w:val="00862CC1"/>
    <w:rsid w:val="00862DAC"/>
    <w:rsid w:val="0086325F"/>
    <w:rsid w:val="008632A1"/>
    <w:rsid w:val="008634F3"/>
    <w:rsid w:val="00863CAF"/>
    <w:rsid w:val="00863D96"/>
    <w:rsid w:val="00863E0F"/>
    <w:rsid w:val="00863FFC"/>
    <w:rsid w:val="008642A7"/>
    <w:rsid w:val="008645FE"/>
    <w:rsid w:val="00864EC2"/>
    <w:rsid w:val="00864F0C"/>
    <w:rsid w:val="008655E0"/>
    <w:rsid w:val="008657C0"/>
    <w:rsid w:val="00865EB4"/>
    <w:rsid w:val="008660D4"/>
    <w:rsid w:val="008662C5"/>
    <w:rsid w:val="0086646D"/>
    <w:rsid w:val="0086652D"/>
    <w:rsid w:val="008668AC"/>
    <w:rsid w:val="00866A0A"/>
    <w:rsid w:val="00866BCF"/>
    <w:rsid w:val="00866FF6"/>
    <w:rsid w:val="00867325"/>
    <w:rsid w:val="00867929"/>
    <w:rsid w:val="00867E2B"/>
    <w:rsid w:val="00870586"/>
    <w:rsid w:val="008705DC"/>
    <w:rsid w:val="00870675"/>
    <w:rsid w:val="008709C0"/>
    <w:rsid w:val="00870A24"/>
    <w:rsid w:val="00870FB5"/>
    <w:rsid w:val="008711FC"/>
    <w:rsid w:val="008713F7"/>
    <w:rsid w:val="00871764"/>
    <w:rsid w:val="00871A9D"/>
    <w:rsid w:val="00871D49"/>
    <w:rsid w:val="00871DCB"/>
    <w:rsid w:val="00871FA9"/>
    <w:rsid w:val="00872285"/>
    <w:rsid w:val="00872301"/>
    <w:rsid w:val="008723E2"/>
    <w:rsid w:val="008725BF"/>
    <w:rsid w:val="008728E9"/>
    <w:rsid w:val="00872B5E"/>
    <w:rsid w:val="00872BFE"/>
    <w:rsid w:val="00872CF4"/>
    <w:rsid w:val="00872DCA"/>
    <w:rsid w:val="00872E33"/>
    <w:rsid w:val="008734DC"/>
    <w:rsid w:val="00873AC8"/>
    <w:rsid w:val="00874235"/>
    <w:rsid w:val="008743B4"/>
    <w:rsid w:val="00874A1A"/>
    <w:rsid w:val="00874D4B"/>
    <w:rsid w:val="00874EC4"/>
    <w:rsid w:val="00875135"/>
    <w:rsid w:val="008751FE"/>
    <w:rsid w:val="00875547"/>
    <w:rsid w:val="00875883"/>
    <w:rsid w:val="00875ABA"/>
    <w:rsid w:val="00875C80"/>
    <w:rsid w:val="008762DE"/>
    <w:rsid w:val="00876464"/>
    <w:rsid w:val="00876542"/>
    <w:rsid w:val="008766F7"/>
    <w:rsid w:val="00876B1E"/>
    <w:rsid w:val="0087751B"/>
    <w:rsid w:val="008776C6"/>
    <w:rsid w:val="00877882"/>
    <w:rsid w:val="0088008B"/>
    <w:rsid w:val="0088067E"/>
    <w:rsid w:val="00880B7A"/>
    <w:rsid w:val="00880C4E"/>
    <w:rsid w:val="00880EBC"/>
    <w:rsid w:val="00880FFC"/>
    <w:rsid w:val="00881348"/>
    <w:rsid w:val="008815AA"/>
    <w:rsid w:val="00881918"/>
    <w:rsid w:val="00882325"/>
    <w:rsid w:val="008826A3"/>
    <w:rsid w:val="00882874"/>
    <w:rsid w:val="00882E3C"/>
    <w:rsid w:val="0088308A"/>
    <w:rsid w:val="00883787"/>
    <w:rsid w:val="008839A5"/>
    <w:rsid w:val="00883A32"/>
    <w:rsid w:val="00883AF1"/>
    <w:rsid w:val="008841AD"/>
    <w:rsid w:val="008841D0"/>
    <w:rsid w:val="008841D2"/>
    <w:rsid w:val="008842D7"/>
    <w:rsid w:val="008849B1"/>
    <w:rsid w:val="00884B07"/>
    <w:rsid w:val="00885004"/>
    <w:rsid w:val="008855E4"/>
    <w:rsid w:val="00885AD3"/>
    <w:rsid w:val="0088624E"/>
    <w:rsid w:val="00886497"/>
    <w:rsid w:val="00886737"/>
    <w:rsid w:val="00886747"/>
    <w:rsid w:val="00886CD2"/>
    <w:rsid w:val="00886F22"/>
    <w:rsid w:val="008873A1"/>
    <w:rsid w:val="008877B2"/>
    <w:rsid w:val="00887C49"/>
    <w:rsid w:val="00887DFD"/>
    <w:rsid w:val="00887FE6"/>
    <w:rsid w:val="008900CC"/>
    <w:rsid w:val="00890529"/>
    <w:rsid w:val="00890BB8"/>
    <w:rsid w:val="00890C6A"/>
    <w:rsid w:val="00890C88"/>
    <w:rsid w:val="00890F48"/>
    <w:rsid w:val="00891090"/>
    <w:rsid w:val="008915DF"/>
    <w:rsid w:val="0089198B"/>
    <w:rsid w:val="0089198C"/>
    <w:rsid w:val="00891B3D"/>
    <w:rsid w:val="00891C8D"/>
    <w:rsid w:val="00891E6F"/>
    <w:rsid w:val="0089201A"/>
    <w:rsid w:val="00892349"/>
    <w:rsid w:val="00892608"/>
    <w:rsid w:val="0089275D"/>
    <w:rsid w:val="00892911"/>
    <w:rsid w:val="00892A36"/>
    <w:rsid w:val="00892BAF"/>
    <w:rsid w:val="00893239"/>
    <w:rsid w:val="008933A3"/>
    <w:rsid w:val="00893DB8"/>
    <w:rsid w:val="00893E9E"/>
    <w:rsid w:val="00893EC6"/>
    <w:rsid w:val="0089420E"/>
    <w:rsid w:val="00894489"/>
    <w:rsid w:val="008945D9"/>
    <w:rsid w:val="00894AF8"/>
    <w:rsid w:val="00894CD6"/>
    <w:rsid w:val="008954AB"/>
    <w:rsid w:val="008954E6"/>
    <w:rsid w:val="008955DC"/>
    <w:rsid w:val="00895C45"/>
    <w:rsid w:val="00895F17"/>
    <w:rsid w:val="00896118"/>
    <w:rsid w:val="00896326"/>
    <w:rsid w:val="008963A5"/>
    <w:rsid w:val="00896AD8"/>
    <w:rsid w:val="00896C41"/>
    <w:rsid w:val="00896D5D"/>
    <w:rsid w:val="00896D78"/>
    <w:rsid w:val="00896FA0"/>
    <w:rsid w:val="0089747A"/>
    <w:rsid w:val="008975AE"/>
    <w:rsid w:val="00897BBD"/>
    <w:rsid w:val="00897F36"/>
    <w:rsid w:val="0089D737"/>
    <w:rsid w:val="008A0438"/>
    <w:rsid w:val="008A0447"/>
    <w:rsid w:val="008A0666"/>
    <w:rsid w:val="008A0708"/>
    <w:rsid w:val="008A08EB"/>
    <w:rsid w:val="008A143B"/>
    <w:rsid w:val="008A1720"/>
    <w:rsid w:val="008A1E63"/>
    <w:rsid w:val="008A2060"/>
    <w:rsid w:val="008A21C2"/>
    <w:rsid w:val="008A25A5"/>
    <w:rsid w:val="008A2855"/>
    <w:rsid w:val="008A29B7"/>
    <w:rsid w:val="008A3061"/>
    <w:rsid w:val="008A3158"/>
    <w:rsid w:val="008A32C2"/>
    <w:rsid w:val="008A3363"/>
    <w:rsid w:val="008A3371"/>
    <w:rsid w:val="008A3419"/>
    <w:rsid w:val="008A3450"/>
    <w:rsid w:val="008A3529"/>
    <w:rsid w:val="008A3A40"/>
    <w:rsid w:val="008A3C3E"/>
    <w:rsid w:val="008A3F73"/>
    <w:rsid w:val="008A3F7D"/>
    <w:rsid w:val="008A4BE8"/>
    <w:rsid w:val="008A510A"/>
    <w:rsid w:val="008A52AD"/>
    <w:rsid w:val="008A55BA"/>
    <w:rsid w:val="008A5668"/>
    <w:rsid w:val="008A5A73"/>
    <w:rsid w:val="008A5DC8"/>
    <w:rsid w:val="008A63D4"/>
    <w:rsid w:val="008A673E"/>
    <w:rsid w:val="008A6DE7"/>
    <w:rsid w:val="008A6E1E"/>
    <w:rsid w:val="008A708B"/>
    <w:rsid w:val="008A70B0"/>
    <w:rsid w:val="008A72DD"/>
    <w:rsid w:val="008A79DE"/>
    <w:rsid w:val="008A7FD1"/>
    <w:rsid w:val="008B0119"/>
    <w:rsid w:val="008B041D"/>
    <w:rsid w:val="008B05A2"/>
    <w:rsid w:val="008B068B"/>
    <w:rsid w:val="008B08FE"/>
    <w:rsid w:val="008B0EA8"/>
    <w:rsid w:val="008B1077"/>
    <w:rsid w:val="008B14DF"/>
    <w:rsid w:val="008B1757"/>
    <w:rsid w:val="008B1C33"/>
    <w:rsid w:val="008B1CD2"/>
    <w:rsid w:val="008B1F2F"/>
    <w:rsid w:val="008B22C4"/>
    <w:rsid w:val="008B2370"/>
    <w:rsid w:val="008B24E6"/>
    <w:rsid w:val="008B255E"/>
    <w:rsid w:val="008B2A5E"/>
    <w:rsid w:val="008B2C2F"/>
    <w:rsid w:val="008B2C79"/>
    <w:rsid w:val="008B2E70"/>
    <w:rsid w:val="008B3327"/>
    <w:rsid w:val="008B374C"/>
    <w:rsid w:val="008B4195"/>
    <w:rsid w:val="008B44F0"/>
    <w:rsid w:val="008B4550"/>
    <w:rsid w:val="008B478C"/>
    <w:rsid w:val="008B4838"/>
    <w:rsid w:val="008B4896"/>
    <w:rsid w:val="008B4B32"/>
    <w:rsid w:val="008B4B6F"/>
    <w:rsid w:val="008B502B"/>
    <w:rsid w:val="008B5135"/>
    <w:rsid w:val="008B52B0"/>
    <w:rsid w:val="008B535E"/>
    <w:rsid w:val="008B5715"/>
    <w:rsid w:val="008B5823"/>
    <w:rsid w:val="008B5AA4"/>
    <w:rsid w:val="008B5C5C"/>
    <w:rsid w:val="008B61A8"/>
    <w:rsid w:val="008B685B"/>
    <w:rsid w:val="008B6922"/>
    <w:rsid w:val="008B6CA5"/>
    <w:rsid w:val="008B6DDA"/>
    <w:rsid w:val="008B7065"/>
    <w:rsid w:val="008B727B"/>
    <w:rsid w:val="008B789A"/>
    <w:rsid w:val="008B78C9"/>
    <w:rsid w:val="008B7992"/>
    <w:rsid w:val="008B7A68"/>
    <w:rsid w:val="008B7B94"/>
    <w:rsid w:val="008B7D7E"/>
    <w:rsid w:val="008B7FB8"/>
    <w:rsid w:val="008C045F"/>
    <w:rsid w:val="008C0F0B"/>
    <w:rsid w:val="008C1124"/>
    <w:rsid w:val="008C14CC"/>
    <w:rsid w:val="008C1A36"/>
    <w:rsid w:val="008C1CEC"/>
    <w:rsid w:val="008C1DD5"/>
    <w:rsid w:val="008C1F28"/>
    <w:rsid w:val="008C231D"/>
    <w:rsid w:val="008C26C7"/>
    <w:rsid w:val="008C29D9"/>
    <w:rsid w:val="008C2FAF"/>
    <w:rsid w:val="008C3215"/>
    <w:rsid w:val="008C35AF"/>
    <w:rsid w:val="008C3A70"/>
    <w:rsid w:val="008C3AB1"/>
    <w:rsid w:val="008C41B1"/>
    <w:rsid w:val="008C4959"/>
    <w:rsid w:val="008C4ED8"/>
    <w:rsid w:val="008C5610"/>
    <w:rsid w:val="008C5630"/>
    <w:rsid w:val="008C56EF"/>
    <w:rsid w:val="008C5739"/>
    <w:rsid w:val="008C58A5"/>
    <w:rsid w:val="008C59FB"/>
    <w:rsid w:val="008C5C6F"/>
    <w:rsid w:val="008C5D89"/>
    <w:rsid w:val="008C5E8D"/>
    <w:rsid w:val="008C6375"/>
    <w:rsid w:val="008C6445"/>
    <w:rsid w:val="008C68F8"/>
    <w:rsid w:val="008C6B87"/>
    <w:rsid w:val="008C6E63"/>
    <w:rsid w:val="008C6FD7"/>
    <w:rsid w:val="008C71FA"/>
    <w:rsid w:val="008C7282"/>
    <w:rsid w:val="008C75CD"/>
    <w:rsid w:val="008C7AA8"/>
    <w:rsid w:val="008C7B98"/>
    <w:rsid w:val="008C7B9A"/>
    <w:rsid w:val="008C7BF0"/>
    <w:rsid w:val="008C7D0D"/>
    <w:rsid w:val="008C7ECB"/>
    <w:rsid w:val="008D0048"/>
    <w:rsid w:val="008D0254"/>
    <w:rsid w:val="008D0351"/>
    <w:rsid w:val="008D0D9B"/>
    <w:rsid w:val="008D1177"/>
    <w:rsid w:val="008D1348"/>
    <w:rsid w:val="008D139B"/>
    <w:rsid w:val="008D1C52"/>
    <w:rsid w:val="008D254D"/>
    <w:rsid w:val="008D2838"/>
    <w:rsid w:val="008D2858"/>
    <w:rsid w:val="008D2FF8"/>
    <w:rsid w:val="008D3258"/>
    <w:rsid w:val="008D392D"/>
    <w:rsid w:val="008D3B0A"/>
    <w:rsid w:val="008D3B86"/>
    <w:rsid w:val="008D3FA2"/>
    <w:rsid w:val="008D43FD"/>
    <w:rsid w:val="008D453A"/>
    <w:rsid w:val="008D4755"/>
    <w:rsid w:val="008D4988"/>
    <w:rsid w:val="008D4C3D"/>
    <w:rsid w:val="008D4E8A"/>
    <w:rsid w:val="008D522B"/>
    <w:rsid w:val="008D5668"/>
    <w:rsid w:val="008D5888"/>
    <w:rsid w:val="008D5E10"/>
    <w:rsid w:val="008D5EAD"/>
    <w:rsid w:val="008D634E"/>
    <w:rsid w:val="008D63ED"/>
    <w:rsid w:val="008D6F8E"/>
    <w:rsid w:val="008D7050"/>
    <w:rsid w:val="008D72DA"/>
    <w:rsid w:val="008D7324"/>
    <w:rsid w:val="008D743C"/>
    <w:rsid w:val="008D7461"/>
    <w:rsid w:val="008D749D"/>
    <w:rsid w:val="008D77D8"/>
    <w:rsid w:val="008D7ADC"/>
    <w:rsid w:val="008D7B88"/>
    <w:rsid w:val="008D7CFC"/>
    <w:rsid w:val="008E01CC"/>
    <w:rsid w:val="008E031C"/>
    <w:rsid w:val="008E04E8"/>
    <w:rsid w:val="008E04EC"/>
    <w:rsid w:val="008E05B2"/>
    <w:rsid w:val="008E05ED"/>
    <w:rsid w:val="008E0994"/>
    <w:rsid w:val="008E0AEA"/>
    <w:rsid w:val="008E0D3C"/>
    <w:rsid w:val="008E11C6"/>
    <w:rsid w:val="008E1B9E"/>
    <w:rsid w:val="008E20EF"/>
    <w:rsid w:val="008E2122"/>
    <w:rsid w:val="008E2130"/>
    <w:rsid w:val="008E21AF"/>
    <w:rsid w:val="008E2502"/>
    <w:rsid w:val="008E2A14"/>
    <w:rsid w:val="008E32D5"/>
    <w:rsid w:val="008E343D"/>
    <w:rsid w:val="008E41C9"/>
    <w:rsid w:val="008E4273"/>
    <w:rsid w:val="008E4308"/>
    <w:rsid w:val="008E4A84"/>
    <w:rsid w:val="008E5297"/>
    <w:rsid w:val="008E55AB"/>
    <w:rsid w:val="008E5845"/>
    <w:rsid w:val="008E5C98"/>
    <w:rsid w:val="008E5CAF"/>
    <w:rsid w:val="008E5CF6"/>
    <w:rsid w:val="008E5DD0"/>
    <w:rsid w:val="008E5F25"/>
    <w:rsid w:val="008E628F"/>
    <w:rsid w:val="008E64B9"/>
    <w:rsid w:val="008E69BC"/>
    <w:rsid w:val="008E6A4C"/>
    <w:rsid w:val="008E74BE"/>
    <w:rsid w:val="008E7A34"/>
    <w:rsid w:val="008E7B25"/>
    <w:rsid w:val="008E7CD4"/>
    <w:rsid w:val="008F0142"/>
    <w:rsid w:val="008F029E"/>
    <w:rsid w:val="008F086B"/>
    <w:rsid w:val="008F0FB0"/>
    <w:rsid w:val="008F10E9"/>
    <w:rsid w:val="008F11CF"/>
    <w:rsid w:val="008F120A"/>
    <w:rsid w:val="008F137F"/>
    <w:rsid w:val="008F15FC"/>
    <w:rsid w:val="008F17A7"/>
    <w:rsid w:val="008F19C5"/>
    <w:rsid w:val="008F1FB0"/>
    <w:rsid w:val="008F2491"/>
    <w:rsid w:val="008F2521"/>
    <w:rsid w:val="008F26AC"/>
    <w:rsid w:val="008F27E0"/>
    <w:rsid w:val="008F2A08"/>
    <w:rsid w:val="008F3D0F"/>
    <w:rsid w:val="008F41E2"/>
    <w:rsid w:val="008F445B"/>
    <w:rsid w:val="008F4578"/>
    <w:rsid w:val="008F48EB"/>
    <w:rsid w:val="008F4D3F"/>
    <w:rsid w:val="008F4E79"/>
    <w:rsid w:val="008F4F0B"/>
    <w:rsid w:val="008F4F8E"/>
    <w:rsid w:val="008F50C5"/>
    <w:rsid w:val="008F5352"/>
    <w:rsid w:val="008F5EC1"/>
    <w:rsid w:val="008F5F24"/>
    <w:rsid w:val="008F75CE"/>
    <w:rsid w:val="008F7762"/>
    <w:rsid w:val="008F7C52"/>
    <w:rsid w:val="008F7EC5"/>
    <w:rsid w:val="0090031A"/>
    <w:rsid w:val="009005CE"/>
    <w:rsid w:val="00900F04"/>
    <w:rsid w:val="00900F0A"/>
    <w:rsid w:val="00900F49"/>
    <w:rsid w:val="0090164A"/>
    <w:rsid w:val="00901812"/>
    <w:rsid w:val="00901933"/>
    <w:rsid w:val="00901BD9"/>
    <w:rsid w:val="00901C86"/>
    <w:rsid w:val="00901F49"/>
    <w:rsid w:val="009026C4"/>
    <w:rsid w:val="00902843"/>
    <w:rsid w:val="009029C9"/>
    <w:rsid w:val="00902E05"/>
    <w:rsid w:val="0090354A"/>
    <w:rsid w:val="00903CC4"/>
    <w:rsid w:val="00904177"/>
    <w:rsid w:val="009043EB"/>
    <w:rsid w:val="009046C4"/>
    <w:rsid w:val="00904A75"/>
    <w:rsid w:val="00904F58"/>
    <w:rsid w:val="00905467"/>
    <w:rsid w:val="0090557E"/>
    <w:rsid w:val="009062A5"/>
    <w:rsid w:val="009066D4"/>
    <w:rsid w:val="00906F15"/>
    <w:rsid w:val="00907026"/>
    <w:rsid w:val="0090708E"/>
    <w:rsid w:val="00907545"/>
    <w:rsid w:val="00907699"/>
    <w:rsid w:val="00907C81"/>
    <w:rsid w:val="00907D01"/>
    <w:rsid w:val="00907DA4"/>
    <w:rsid w:val="00907DC2"/>
    <w:rsid w:val="00910B19"/>
    <w:rsid w:val="00910D31"/>
    <w:rsid w:val="00910E73"/>
    <w:rsid w:val="00910EE8"/>
    <w:rsid w:val="00910FA7"/>
    <w:rsid w:val="00911272"/>
    <w:rsid w:val="00911339"/>
    <w:rsid w:val="00911500"/>
    <w:rsid w:val="00911872"/>
    <w:rsid w:val="009119FE"/>
    <w:rsid w:val="00911A0C"/>
    <w:rsid w:val="009120C7"/>
    <w:rsid w:val="009121CD"/>
    <w:rsid w:val="0091249D"/>
    <w:rsid w:val="009128E3"/>
    <w:rsid w:val="00912AAB"/>
    <w:rsid w:val="00912DBD"/>
    <w:rsid w:val="00913114"/>
    <w:rsid w:val="009135D6"/>
    <w:rsid w:val="00913695"/>
    <w:rsid w:val="009139DF"/>
    <w:rsid w:val="00913A02"/>
    <w:rsid w:val="00913A6D"/>
    <w:rsid w:val="00913AF2"/>
    <w:rsid w:val="00913E44"/>
    <w:rsid w:val="00913E5D"/>
    <w:rsid w:val="00914596"/>
    <w:rsid w:val="009148DF"/>
    <w:rsid w:val="00914958"/>
    <w:rsid w:val="00914BE5"/>
    <w:rsid w:val="00914C77"/>
    <w:rsid w:val="009150B0"/>
    <w:rsid w:val="009158AF"/>
    <w:rsid w:val="00915AF1"/>
    <w:rsid w:val="00915C97"/>
    <w:rsid w:val="00915D67"/>
    <w:rsid w:val="00915F1B"/>
    <w:rsid w:val="009164BA"/>
    <w:rsid w:val="009165AC"/>
    <w:rsid w:val="00916B51"/>
    <w:rsid w:val="00916EEE"/>
    <w:rsid w:val="0091707F"/>
    <w:rsid w:val="009171B8"/>
    <w:rsid w:val="009172EB"/>
    <w:rsid w:val="009175C6"/>
    <w:rsid w:val="00917672"/>
    <w:rsid w:val="009177BB"/>
    <w:rsid w:val="00917A3B"/>
    <w:rsid w:val="00917E3B"/>
    <w:rsid w:val="00917F60"/>
    <w:rsid w:val="0092031B"/>
    <w:rsid w:val="009207C2"/>
    <w:rsid w:val="00920CA2"/>
    <w:rsid w:val="009211D8"/>
    <w:rsid w:val="00921ACB"/>
    <w:rsid w:val="00921BC5"/>
    <w:rsid w:val="00922389"/>
    <w:rsid w:val="009223D0"/>
    <w:rsid w:val="009224B4"/>
    <w:rsid w:val="00922501"/>
    <w:rsid w:val="00922A5C"/>
    <w:rsid w:val="00922AC6"/>
    <w:rsid w:val="00922D69"/>
    <w:rsid w:val="00922D86"/>
    <w:rsid w:val="00923337"/>
    <w:rsid w:val="0092369B"/>
    <w:rsid w:val="00924D0C"/>
    <w:rsid w:val="00924D61"/>
    <w:rsid w:val="0092553B"/>
    <w:rsid w:val="00925633"/>
    <w:rsid w:val="00925B0D"/>
    <w:rsid w:val="00925DC2"/>
    <w:rsid w:val="00925E45"/>
    <w:rsid w:val="009261F2"/>
    <w:rsid w:val="00926503"/>
    <w:rsid w:val="00926807"/>
    <w:rsid w:val="009269E5"/>
    <w:rsid w:val="00926A18"/>
    <w:rsid w:val="00926DDA"/>
    <w:rsid w:val="00927161"/>
    <w:rsid w:val="00927235"/>
    <w:rsid w:val="0092736E"/>
    <w:rsid w:val="00927748"/>
    <w:rsid w:val="009279FD"/>
    <w:rsid w:val="00927B10"/>
    <w:rsid w:val="00927F37"/>
    <w:rsid w:val="00930992"/>
    <w:rsid w:val="00930AE5"/>
    <w:rsid w:val="00930FBB"/>
    <w:rsid w:val="00931917"/>
    <w:rsid w:val="00931964"/>
    <w:rsid w:val="00931AE1"/>
    <w:rsid w:val="009322AC"/>
    <w:rsid w:val="009326CC"/>
    <w:rsid w:val="009326DF"/>
    <w:rsid w:val="00932919"/>
    <w:rsid w:val="00932A7A"/>
    <w:rsid w:val="00932A89"/>
    <w:rsid w:val="00933102"/>
    <w:rsid w:val="009334E2"/>
    <w:rsid w:val="0093366C"/>
    <w:rsid w:val="00933930"/>
    <w:rsid w:val="00933D32"/>
    <w:rsid w:val="00933D72"/>
    <w:rsid w:val="00934046"/>
    <w:rsid w:val="00934306"/>
    <w:rsid w:val="0093452D"/>
    <w:rsid w:val="009346AA"/>
    <w:rsid w:val="00934988"/>
    <w:rsid w:val="00934EBE"/>
    <w:rsid w:val="00934F56"/>
    <w:rsid w:val="00935676"/>
    <w:rsid w:val="00935758"/>
    <w:rsid w:val="009358FA"/>
    <w:rsid w:val="00935B2E"/>
    <w:rsid w:val="00935CAC"/>
    <w:rsid w:val="00935CE8"/>
    <w:rsid w:val="009361E3"/>
    <w:rsid w:val="00936884"/>
    <w:rsid w:val="00936EB1"/>
    <w:rsid w:val="00937089"/>
    <w:rsid w:val="00941364"/>
    <w:rsid w:val="009417FC"/>
    <w:rsid w:val="00941DA5"/>
    <w:rsid w:val="00941F97"/>
    <w:rsid w:val="009420F5"/>
    <w:rsid w:val="00942355"/>
    <w:rsid w:val="009423BA"/>
    <w:rsid w:val="00942B50"/>
    <w:rsid w:val="00942D71"/>
    <w:rsid w:val="00942E31"/>
    <w:rsid w:val="00943016"/>
    <w:rsid w:val="0094315E"/>
    <w:rsid w:val="00943173"/>
    <w:rsid w:val="00943177"/>
    <w:rsid w:val="009434DD"/>
    <w:rsid w:val="00943792"/>
    <w:rsid w:val="00944253"/>
    <w:rsid w:val="00944799"/>
    <w:rsid w:val="00944BDB"/>
    <w:rsid w:val="00944D3C"/>
    <w:rsid w:val="00944F8A"/>
    <w:rsid w:val="00945051"/>
    <w:rsid w:val="00945268"/>
    <w:rsid w:val="009458F6"/>
    <w:rsid w:val="00945C5D"/>
    <w:rsid w:val="00945E6A"/>
    <w:rsid w:val="0094605F"/>
    <w:rsid w:val="00946202"/>
    <w:rsid w:val="00946834"/>
    <w:rsid w:val="009468AE"/>
    <w:rsid w:val="00946A4C"/>
    <w:rsid w:val="00946B02"/>
    <w:rsid w:val="00946C6C"/>
    <w:rsid w:val="009473B3"/>
    <w:rsid w:val="00947AE1"/>
    <w:rsid w:val="00950181"/>
    <w:rsid w:val="0095048B"/>
    <w:rsid w:val="0095066C"/>
    <w:rsid w:val="009506E3"/>
    <w:rsid w:val="00950714"/>
    <w:rsid w:val="00950728"/>
    <w:rsid w:val="0095091B"/>
    <w:rsid w:val="0095097C"/>
    <w:rsid w:val="00950DB3"/>
    <w:rsid w:val="00950FCA"/>
    <w:rsid w:val="009510A2"/>
    <w:rsid w:val="00951977"/>
    <w:rsid w:val="00951A69"/>
    <w:rsid w:val="0095241D"/>
    <w:rsid w:val="009531CC"/>
    <w:rsid w:val="00953257"/>
    <w:rsid w:val="00953277"/>
    <w:rsid w:val="009533D2"/>
    <w:rsid w:val="00953532"/>
    <w:rsid w:val="00953901"/>
    <w:rsid w:val="009539A9"/>
    <w:rsid w:val="009539CD"/>
    <w:rsid w:val="00953AFE"/>
    <w:rsid w:val="0095400E"/>
    <w:rsid w:val="0095474C"/>
    <w:rsid w:val="00954947"/>
    <w:rsid w:val="00954B34"/>
    <w:rsid w:val="00954C1A"/>
    <w:rsid w:val="00954F3E"/>
    <w:rsid w:val="009553B5"/>
    <w:rsid w:val="0095576D"/>
    <w:rsid w:val="009557BE"/>
    <w:rsid w:val="00955936"/>
    <w:rsid w:val="009559CF"/>
    <w:rsid w:val="00955D90"/>
    <w:rsid w:val="00955E20"/>
    <w:rsid w:val="00955E68"/>
    <w:rsid w:val="00955EE4"/>
    <w:rsid w:val="009564FE"/>
    <w:rsid w:val="00956CDE"/>
    <w:rsid w:val="009570A7"/>
    <w:rsid w:val="00957157"/>
    <w:rsid w:val="009571BC"/>
    <w:rsid w:val="00957222"/>
    <w:rsid w:val="00957C3F"/>
    <w:rsid w:val="00957D92"/>
    <w:rsid w:val="00960476"/>
    <w:rsid w:val="009604BD"/>
    <w:rsid w:val="00960622"/>
    <w:rsid w:val="0096071B"/>
    <w:rsid w:val="00960878"/>
    <w:rsid w:val="00960892"/>
    <w:rsid w:val="00960E4A"/>
    <w:rsid w:val="00961224"/>
    <w:rsid w:val="009614B3"/>
    <w:rsid w:val="00961756"/>
    <w:rsid w:val="00961B01"/>
    <w:rsid w:val="00961E5C"/>
    <w:rsid w:val="00962366"/>
    <w:rsid w:val="009623A7"/>
    <w:rsid w:val="00962941"/>
    <w:rsid w:val="00962971"/>
    <w:rsid w:val="00962CB9"/>
    <w:rsid w:val="00962D16"/>
    <w:rsid w:val="00962F00"/>
    <w:rsid w:val="009631EF"/>
    <w:rsid w:val="00963283"/>
    <w:rsid w:val="00963311"/>
    <w:rsid w:val="009638B7"/>
    <w:rsid w:val="009638EF"/>
    <w:rsid w:val="00964312"/>
    <w:rsid w:val="00964615"/>
    <w:rsid w:val="0096586D"/>
    <w:rsid w:val="00965AA5"/>
    <w:rsid w:val="00965AE7"/>
    <w:rsid w:val="00965B8A"/>
    <w:rsid w:val="00966043"/>
    <w:rsid w:val="009663A8"/>
    <w:rsid w:val="009665BC"/>
    <w:rsid w:val="009665E6"/>
    <w:rsid w:val="00966905"/>
    <w:rsid w:val="00966C37"/>
    <w:rsid w:val="00966D76"/>
    <w:rsid w:val="00967060"/>
    <w:rsid w:val="00967155"/>
    <w:rsid w:val="009672A4"/>
    <w:rsid w:val="00967607"/>
    <w:rsid w:val="00967A26"/>
    <w:rsid w:val="00967CFB"/>
    <w:rsid w:val="00967F0D"/>
    <w:rsid w:val="00967F10"/>
    <w:rsid w:val="009700EA"/>
    <w:rsid w:val="0097019C"/>
    <w:rsid w:val="0097026A"/>
    <w:rsid w:val="00970408"/>
    <w:rsid w:val="0097071F"/>
    <w:rsid w:val="009711D5"/>
    <w:rsid w:val="00971234"/>
    <w:rsid w:val="009713DB"/>
    <w:rsid w:val="0097141B"/>
    <w:rsid w:val="00971741"/>
    <w:rsid w:val="009717AC"/>
    <w:rsid w:val="00971874"/>
    <w:rsid w:val="00971CA8"/>
    <w:rsid w:val="00972659"/>
    <w:rsid w:val="00972704"/>
    <w:rsid w:val="00972807"/>
    <w:rsid w:val="009728E1"/>
    <w:rsid w:val="00972914"/>
    <w:rsid w:val="00972A6A"/>
    <w:rsid w:val="00972AE1"/>
    <w:rsid w:val="00972CAF"/>
    <w:rsid w:val="00972CDB"/>
    <w:rsid w:val="00972D0C"/>
    <w:rsid w:val="00972E31"/>
    <w:rsid w:val="009732BD"/>
    <w:rsid w:val="00973722"/>
    <w:rsid w:val="00973B87"/>
    <w:rsid w:val="00974357"/>
    <w:rsid w:val="009743D9"/>
    <w:rsid w:val="00975161"/>
    <w:rsid w:val="009751C1"/>
    <w:rsid w:val="00975316"/>
    <w:rsid w:val="0097573D"/>
    <w:rsid w:val="00975B0E"/>
    <w:rsid w:val="009767FE"/>
    <w:rsid w:val="0097697D"/>
    <w:rsid w:val="00976A17"/>
    <w:rsid w:val="00976DB8"/>
    <w:rsid w:val="00976E88"/>
    <w:rsid w:val="00976EB1"/>
    <w:rsid w:val="00976EDC"/>
    <w:rsid w:val="00977A58"/>
    <w:rsid w:val="00977DE6"/>
    <w:rsid w:val="0098024C"/>
    <w:rsid w:val="009804B4"/>
    <w:rsid w:val="009807EF"/>
    <w:rsid w:val="00980AA1"/>
    <w:rsid w:val="009811F1"/>
    <w:rsid w:val="009815D4"/>
    <w:rsid w:val="00981717"/>
    <w:rsid w:val="00981E03"/>
    <w:rsid w:val="0098262F"/>
    <w:rsid w:val="0098271E"/>
    <w:rsid w:val="0098291E"/>
    <w:rsid w:val="0098297A"/>
    <w:rsid w:val="00982DB0"/>
    <w:rsid w:val="009830BE"/>
    <w:rsid w:val="00983538"/>
    <w:rsid w:val="00983549"/>
    <w:rsid w:val="00983612"/>
    <w:rsid w:val="0098381D"/>
    <w:rsid w:val="00983E57"/>
    <w:rsid w:val="00984086"/>
    <w:rsid w:val="009844C0"/>
    <w:rsid w:val="00984560"/>
    <w:rsid w:val="00984810"/>
    <w:rsid w:val="009849CE"/>
    <w:rsid w:val="00984BBC"/>
    <w:rsid w:val="00984D57"/>
    <w:rsid w:val="009850EA"/>
    <w:rsid w:val="00985A82"/>
    <w:rsid w:val="00985AB4"/>
    <w:rsid w:val="00985ABA"/>
    <w:rsid w:val="00985AFA"/>
    <w:rsid w:val="00985C9B"/>
    <w:rsid w:val="00985DD1"/>
    <w:rsid w:val="00985DDB"/>
    <w:rsid w:val="00985DE2"/>
    <w:rsid w:val="009861FD"/>
    <w:rsid w:val="009862D2"/>
    <w:rsid w:val="0098675D"/>
    <w:rsid w:val="00986A78"/>
    <w:rsid w:val="00986DF7"/>
    <w:rsid w:val="00986E2F"/>
    <w:rsid w:val="0098734E"/>
    <w:rsid w:val="00987525"/>
    <w:rsid w:val="0098790D"/>
    <w:rsid w:val="00987BA4"/>
    <w:rsid w:val="00987DCC"/>
    <w:rsid w:val="009902F7"/>
    <w:rsid w:val="00990397"/>
    <w:rsid w:val="0099060D"/>
    <w:rsid w:val="00990CA3"/>
    <w:rsid w:val="00990E06"/>
    <w:rsid w:val="00991EF6"/>
    <w:rsid w:val="00992211"/>
    <w:rsid w:val="009924C6"/>
    <w:rsid w:val="009926E0"/>
    <w:rsid w:val="00992707"/>
    <w:rsid w:val="00992ADE"/>
    <w:rsid w:val="00992B90"/>
    <w:rsid w:val="00992EA3"/>
    <w:rsid w:val="009932E8"/>
    <w:rsid w:val="00993415"/>
    <w:rsid w:val="009934F9"/>
    <w:rsid w:val="0099370D"/>
    <w:rsid w:val="00993983"/>
    <w:rsid w:val="009939A1"/>
    <w:rsid w:val="00993A31"/>
    <w:rsid w:val="0099451E"/>
    <w:rsid w:val="00994B0C"/>
    <w:rsid w:val="00994DF7"/>
    <w:rsid w:val="00995121"/>
    <w:rsid w:val="009956E8"/>
    <w:rsid w:val="009960CA"/>
    <w:rsid w:val="00996279"/>
    <w:rsid w:val="009963BF"/>
    <w:rsid w:val="00996612"/>
    <w:rsid w:val="00996655"/>
    <w:rsid w:val="0099676F"/>
    <w:rsid w:val="00996B05"/>
    <w:rsid w:val="00996B1A"/>
    <w:rsid w:val="0099727E"/>
    <w:rsid w:val="00997F59"/>
    <w:rsid w:val="009A024F"/>
    <w:rsid w:val="009A02CA"/>
    <w:rsid w:val="009A02EE"/>
    <w:rsid w:val="009A0628"/>
    <w:rsid w:val="009A0B35"/>
    <w:rsid w:val="009A0B3B"/>
    <w:rsid w:val="009A0EF0"/>
    <w:rsid w:val="009A1046"/>
    <w:rsid w:val="009A1579"/>
    <w:rsid w:val="009A159C"/>
    <w:rsid w:val="009A15C6"/>
    <w:rsid w:val="009A18C8"/>
    <w:rsid w:val="009A18F6"/>
    <w:rsid w:val="009A1BCD"/>
    <w:rsid w:val="009A1EB0"/>
    <w:rsid w:val="009A251A"/>
    <w:rsid w:val="009A25AB"/>
    <w:rsid w:val="009A26D1"/>
    <w:rsid w:val="009A27D8"/>
    <w:rsid w:val="009A2D44"/>
    <w:rsid w:val="009A2DCC"/>
    <w:rsid w:val="009A2E72"/>
    <w:rsid w:val="009A3063"/>
    <w:rsid w:val="009A3303"/>
    <w:rsid w:val="009A33CE"/>
    <w:rsid w:val="009A3402"/>
    <w:rsid w:val="009A38A8"/>
    <w:rsid w:val="009A3B3D"/>
    <w:rsid w:val="009A4000"/>
    <w:rsid w:val="009A4916"/>
    <w:rsid w:val="009A53CC"/>
    <w:rsid w:val="009A5406"/>
    <w:rsid w:val="009A5ABC"/>
    <w:rsid w:val="009A5C08"/>
    <w:rsid w:val="009A608E"/>
    <w:rsid w:val="009A66F9"/>
    <w:rsid w:val="009A6856"/>
    <w:rsid w:val="009A685A"/>
    <w:rsid w:val="009A6AF7"/>
    <w:rsid w:val="009A6D98"/>
    <w:rsid w:val="009A6DD3"/>
    <w:rsid w:val="009A6E3C"/>
    <w:rsid w:val="009A6F2D"/>
    <w:rsid w:val="009A783A"/>
    <w:rsid w:val="009A7A7D"/>
    <w:rsid w:val="009A7AB9"/>
    <w:rsid w:val="009A7DE7"/>
    <w:rsid w:val="009A7E47"/>
    <w:rsid w:val="009A7F10"/>
    <w:rsid w:val="009B0001"/>
    <w:rsid w:val="009B029C"/>
    <w:rsid w:val="009B03C0"/>
    <w:rsid w:val="009B05C6"/>
    <w:rsid w:val="009B0D49"/>
    <w:rsid w:val="009B0D5A"/>
    <w:rsid w:val="009B1483"/>
    <w:rsid w:val="009B18E9"/>
    <w:rsid w:val="009B1A47"/>
    <w:rsid w:val="009B20FE"/>
    <w:rsid w:val="009B25ED"/>
    <w:rsid w:val="009B26F1"/>
    <w:rsid w:val="009B294F"/>
    <w:rsid w:val="009B2A0E"/>
    <w:rsid w:val="009B2DFB"/>
    <w:rsid w:val="009B32FD"/>
    <w:rsid w:val="009B3460"/>
    <w:rsid w:val="009B354F"/>
    <w:rsid w:val="009B35BE"/>
    <w:rsid w:val="009B3E26"/>
    <w:rsid w:val="009B44C6"/>
    <w:rsid w:val="009B4D85"/>
    <w:rsid w:val="009B4E0B"/>
    <w:rsid w:val="009B513B"/>
    <w:rsid w:val="009B5291"/>
    <w:rsid w:val="009B52F3"/>
    <w:rsid w:val="009B532D"/>
    <w:rsid w:val="009B59D0"/>
    <w:rsid w:val="009B5D50"/>
    <w:rsid w:val="009B603D"/>
    <w:rsid w:val="009B60D6"/>
    <w:rsid w:val="009B6764"/>
    <w:rsid w:val="009B726C"/>
    <w:rsid w:val="009B73DF"/>
    <w:rsid w:val="009B761D"/>
    <w:rsid w:val="009B7D9F"/>
    <w:rsid w:val="009B7E75"/>
    <w:rsid w:val="009C008C"/>
    <w:rsid w:val="009C07F5"/>
    <w:rsid w:val="009C0A67"/>
    <w:rsid w:val="009C0CB5"/>
    <w:rsid w:val="009C1156"/>
    <w:rsid w:val="009C1218"/>
    <w:rsid w:val="009C1271"/>
    <w:rsid w:val="009C1372"/>
    <w:rsid w:val="009C154B"/>
    <w:rsid w:val="009C16BB"/>
    <w:rsid w:val="009C17B2"/>
    <w:rsid w:val="009C182C"/>
    <w:rsid w:val="009C1AE4"/>
    <w:rsid w:val="009C1CC6"/>
    <w:rsid w:val="009C2162"/>
    <w:rsid w:val="009C2600"/>
    <w:rsid w:val="009C2719"/>
    <w:rsid w:val="009C2F16"/>
    <w:rsid w:val="009C2F6E"/>
    <w:rsid w:val="009C3706"/>
    <w:rsid w:val="009C3884"/>
    <w:rsid w:val="009C3A3A"/>
    <w:rsid w:val="009C3C65"/>
    <w:rsid w:val="009C4216"/>
    <w:rsid w:val="009C426B"/>
    <w:rsid w:val="009C4328"/>
    <w:rsid w:val="009C453E"/>
    <w:rsid w:val="009C485A"/>
    <w:rsid w:val="009C4DA2"/>
    <w:rsid w:val="009C52AD"/>
    <w:rsid w:val="009C53F4"/>
    <w:rsid w:val="009C596F"/>
    <w:rsid w:val="009C5AF1"/>
    <w:rsid w:val="009C5CE9"/>
    <w:rsid w:val="009C5CF8"/>
    <w:rsid w:val="009C5CFB"/>
    <w:rsid w:val="009C6873"/>
    <w:rsid w:val="009C6B8B"/>
    <w:rsid w:val="009C6CEA"/>
    <w:rsid w:val="009C6E53"/>
    <w:rsid w:val="009C78BC"/>
    <w:rsid w:val="009C7B85"/>
    <w:rsid w:val="009C7C03"/>
    <w:rsid w:val="009D0254"/>
    <w:rsid w:val="009D02DC"/>
    <w:rsid w:val="009D04A8"/>
    <w:rsid w:val="009D06F6"/>
    <w:rsid w:val="009D0BAF"/>
    <w:rsid w:val="009D0C0A"/>
    <w:rsid w:val="009D0D6B"/>
    <w:rsid w:val="009D0FBD"/>
    <w:rsid w:val="009D14F0"/>
    <w:rsid w:val="009D17DE"/>
    <w:rsid w:val="009D1892"/>
    <w:rsid w:val="009D1A64"/>
    <w:rsid w:val="009D1CCE"/>
    <w:rsid w:val="009D1D85"/>
    <w:rsid w:val="009D1DCD"/>
    <w:rsid w:val="009D2E3E"/>
    <w:rsid w:val="009D2FA0"/>
    <w:rsid w:val="009D3028"/>
    <w:rsid w:val="009D328D"/>
    <w:rsid w:val="009D3449"/>
    <w:rsid w:val="009D37F7"/>
    <w:rsid w:val="009D3C2D"/>
    <w:rsid w:val="009D3D59"/>
    <w:rsid w:val="009D3DB4"/>
    <w:rsid w:val="009D3EA0"/>
    <w:rsid w:val="009D4101"/>
    <w:rsid w:val="009D4141"/>
    <w:rsid w:val="009D522D"/>
    <w:rsid w:val="009D56AE"/>
    <w:rsid w:val="009D56CB"/>
    <w:rsid w:val="009D579F"/>
    <w:rsid w:val="009D57C2"/>
    <w:rsid w:val="009D5B91"/>
    <w:rsid w:val="009D5F4B"/>
    <w:rsid w:val="009D6277"/>
    <w:rsid w:val="009D646D"/>
    <w:rsid w:val="009D6652"/>
    <w:rsid w:val="009D6657"/>
    <w:rsid w:val="009D66E6"/>
    <w:rsid w:val="009D6A4E"/>
    <w:rsid w:val="009D6FE5"/>
    <w:rsid w:val="009D723F"/>
    <w:rsid w:val="009D72FF"/>
    <w:rsid w:val="009D75D0"/>
    <w:rsid w:val="009D76F9"/>
    <w:rsid w:val="009D7804"/>
    <w:rsid w:val="009D792E"/>
    <w:rsid w:val="009D7B10"/>
    <w:rsid w:val="009D7D98"/>
    <w:rsid w:val="009D7F45"/>
    <w:rsid w:val="009E02AC"/>
    <w:rsid w:val="009E0547"/>
    <w:rsid w:val="009E08A7"/>
    <w:rsid w:val="009E097F"/>
    <w:rsid w:val="009E0DB1"/>
    <w:rsid w:val="009E0DFE"/>
    <w:rsid w:val="009E1275"/>
    <w:rsid w:val="009E14AD"/>
    <w:rsid w:val="009E19E7"/>
    <w:rsid w:val="009E19F5"/>
    <w:rsid w:val="009E1A4E"/>
    <w:rsid w:val="009E1C4F"/>
    <w:rsid w:val="009E20E9"/>
    <w:rsid w:val="009E2A76"/>
    <w:rsid w:val="009E2C93"/>
    <w:rsid w:val="009E2F47"/>
    <w:rsid w:val="009E31F6"/>
    <w:rsid w:val="009E32D5"/>
    <w:rsid w:val="009E34EA"/>
    <w:rsid w:val="009E3D0A"/>
    <w:rsid w:val="009E3F77"/>
    <w:rsid w:val="009E40C3"/>
    <w:rsid w:val="009E4758"/>
    <w:rsid w:val="009E47F5"/>
    <w:rsid w:val="009E48D8"/>
    <w:rsid w:val="009E49F2"/>
    <w:rsid w:val="009E49FC"/>
    <w:rsid w:val="009E4C07"/>
    <w:rsid w:val="009E4D09"/>
    <w:rsid w:val="009E4D4C"/>
    <w:rsid w:val="009E4EED"/>
    <w:rsid w:val="009E5006"/>
    <w:rsid w:val="009E516F"/>
    <w:rsid w:val="009E51FA"/>
    <w:rsid w:val="009E5542"/>
    <w:rsid w:val="009E5B2C"/>
    <w:rsid w:val="009E5F3C"/>
    <w:rsid w:val="009E607A"/>
    <w:rsid w:val="009E60C1"/>
    <w:rsid w:val="009E6170"/>
    <w:rsid w:val="009E61B1"/>
    <w:rsid w:val="009E62B5"/>
    <w:rsid w:val="009E671E"/>
    <w:rsid w:val="009E67D0"/>
    <w:rsid w:val="009E777F"/>
    <w:rsid w:val="009E7A74"/>
    <w:rsid w:val="009E7F39"/>
    <w:rsid w:val="009E7F4A"/>
    <w:rsid w:val="009F04D5"/>
    <w:rsid w:val="009F0AE6"/>
    <w:rsid w:val="009F0B37"/>
    <w:rsid w:val="009F10E0"/>
    <w:rsid w:val="009F11E5"/>
    <w:rsid w:val="009F16C4"/>
    <w:rsid w:val="009F16F2"/>
    <w:rsid w:val="009F1A87"/>
    <w:rsid w:val="009F1BCB"/>
    <w:rsid w:val="009F1DCD"/>
    <w:rsid w:val="009F1EF3"/>
    <w:rsid w:val="009F2031"/>
    <w:rsid w:val="009F27E5"/>
    <w:rsid w:val="009F2821"/>
    <w:rsid w:val="009F29FA"/>
    <w:rsid w:val="009F306C"/>
    <w:rsid w:val="009F38D7"/>
    <w:rsid w:val="009F3A93"/>
    <w:rsid w:val="009F3AE2"/>
    <w:rsid w:val="009F4016"/>
    <w:rsid w:val="009F46D0"/>
    <w:rsid w:val="009F4CAA"/>
    <w:rsid w:val="009F4CB0"/>
    <w:rsid w:val="009F521C"/>
    <w:rsid w:val="009F555D"/>
    <w:rsid w:val="009F5C7B"/>
    <w:rsid w:val="009F5F83"/>
    <w:rsid w:val="009F6120"/>
    <w:rsid w:val="009F6372"/>
    <w:rsid w:val="009F6623"/>
    <w:rsid w:val="009F66BB"/>
    <w:rsid w:val="009F709B"/>
    <w:rsid w:val="009F75B2"/>
    <w:rsid w:val="009F75BE"/>
    <w:rsid w:val="009F76FF"/>
    <w:rsid w:val="009F7A08"/>
    <w:rsid w:val="009F7CF4"/>
    <w:rsid w:val="009F7F35"/>
    <w:rsid w:val="009F7FD6"/>
    <w:rsid w:val="009F7FF6"/>
    <w:rsid w:val="00A000B6"/>
    <w:rsid w:val="00A000EF"/>
    <w:rsid w:val="00A00346"/>
    <w:rsid w:val="00A003E0"/>
    <w:rsid w:val="00A00576"/>
    <w:rsid w:val="00A00634"/>
    <w:rsid w:val="00A008AA"/>
    <w:rsid w:val="00A00D76"/>
    <w:rsid w:val="00A00EE8"/>
    <w:rsid w:val="00A00FE6"/>
    <w:rsid w:val="00A01184"/>
    <w:rsid w:val="00A011D9"/>
    <w:rsid w:val="00A0127E"/>
    <w:rsid w:val="00A01448"/>
    <w:rsid w:val="00A01449"/>
    <w:rsid w:val="00A01585"/>
    <w:rsid w:val="00A01B78"/>
    <w:rsid w:val="00A01C40"/>
    <w:rsid w:val="00A01D9F"/>
    <w:rsid w:val="00A024D2"/>
    <w:rsid w:val="00A0293E"/>
    <w:rsid w:val="00A029AF"/>
    <w:rsid w:val="00A029BA"/>
    <w:rsid w:val="00A02EE0"/>
    <w:rsid w:val="00A032E4"/>
    <w:rsid w:val="00A0360F"/>
    <w:rsid w:val="00A037BA"/>
    <w:rsid w:val="00A037C2"/>
    <w:rsid w:val="00A03D43"/>
    <w:rsid w:val="00A040B7"/>
    <w:rsid w:val="00A0434C"/>
    <w:rsid w:val="00A04380"/>
    <w:rsid w:val="00A04459"/>
    <w:rsid w:val="00A04786"/>
    <w:rsid w:val="00A052C1"/>
    <w:rsid w:val="00A0532E"/>
    <w:rsid w:val="00A05472"/>
    <w:rsid w:val="00A05C32"/>
    <w:rsid w:val="00A05FF5"/>
    <w:rsid w:val="00A0653F"/>
    <w:rsid w:val="00A0682E"/>
    <w:rsid w:val="00A06B29"/>
    <w:rsid w:val="00A06C29"/>
    <w:rsid w:val="00A06CCC"/>
    <w:rsid w:val="00A06E4A"/>
    <w:rsid w:val="00A07224"/>
    <w:rsid w:val="00A07645"/>
    <w:rsid w:val="00A07732"/>
    <w:rsid w:val="00A078D5"/>
    <w:rsid w:val="00A07A97"/>
    <w:rsid w:val="00A07B59"/>
    <w:rsid w:val="00A07C83"/>
    <w:rsid w:val="00A1035C"/>
    <w:rsid w:val="00A10393"/>
    <w:rsid w:val="00A10E82"/>
    <w:rsid w:val="00A10F50"/>
    <w:rsid w:val="00A1175F"/>
    <w:rsid w:val="00A118F8"/>
    <w:rsid w:val="00A11AC7"/>
    <w:rsid w:val="00A11CD0"/>
    <w:rsid w:val="00A11D01"/>
    <w:rsid w:val="00A1200B"/>
    <w:rsid w:val="00A122A2"/>
    <w:rsid w:val="00A12461"/>
    <w:rsid w:val="00A124DB"/>
    <w:rsid w:val="00A124F5"/>
    <w:rsid w:val="00A1281E"/>
    <w:rsid w:val="00A128CA"/>
    <w:rsid w:val="00A12B79"/>
    <w:rsid w:val="00A133BB"/>
    <w:rsid w:val="00A137BB"/>
    <w:rsid w:val="00A13830"/>
    <w:rsid w:val="00A13948"/>
    <w:rsid w:val="00A139C8"/>
    <w:rsid w:val="00A13C6B"/>
    <w:rsid w:val="00A1401B"/>
    <w:rsid w:val="00A14222"/>
    <w:rsid w:val="00A14285"/>
    <w:rsid w:val="00A1465F"/>
    <w:rsid w:val="00A148BD"/>
    <w:rsid w:val="00A14B1D"/>
    <w:rsid w:val="00A14B24"/>
    <w:rsid w:val="00A14D26"/>
    <w:rsid w:val="00A152B5"/>
    <w:rsid w:val="00A1555B"/>
    <w:rsid w:val="00A155C5"/>
    <w:rsid w:val="00A15667"/>
    <w:rsid w:val="00A156A9"/>
    <w:rsid w:val="00A156FA"/>
    <w:rsid w:val="00A15748"/>
    <w:rsid w:val="00A159CF"/>
    <w:rsid w:val="00A15D81"/>
    <w:rsid w:val="00A15D86"/>
    <w:rsid w:val="00A15DA7"/>
    <w:rsid w:val="00A16670"/>
    <w:rsid w:val="00A1680B"/>
    <w:rsid w:val="00A16AD8"/>
    <w:rsid w:val="00A16C91"/>
    <w:rsid w:val="00A16D12"/>
    <w:rsid w:val="00A16DA5"/>
    <w:rsid w:val="00A16F18"/>
    <w:rsid w:val="00A170EF"/>
    <w:rsid w:val="00A2021E"/>
    <w:rsid w:val="00A20431"/>
    <w:rsid w:val="00A205EC"/>
    <w:rsid w:val="00A214C1"/>
    <w:rsid w:val="00A21C95"/>
    <w:rsid w:val="00A21CF3"/>
    <w:rsid w:val="00A21FEB"/>
    <w:rsid w:val="00A2282D"/>
    <w:rsid w:val="00A22BBF"/>
    <w:rsid w:val="00A22D97"/>
    <w:rsid w:val="00A233CC"/>
    <w:rsid w:val="00A236E4"/>
    <w:rsid w:val="00A237D4"/>
    <w:rsid w:val="00A238F9"/>
    <w:rsid w:val="00A23D5A"/>
    <w:rsid w:val="00A24346"/>
    <w:rsid w:val="00A24813"/>
    <w:rsid w:val="00A24818"/>
    <w:rsid w:val="00A24B5A"/>
    <w:rsid w:val="00A25498"/>
    <w:rsid w:val="00A254A9"/>
    <w:rsid w:val="00A25A5C"/>
    <w:rsid w:val="00A25AF4"/>
    <w:rsid w:val="00A25B3F"/>
    <w:rsid w:val="00A263CA"/>
    <w:rsid w:val="00A26E31"/>
    <w:rsid w:val="00A270F4"/>
    <w:rsid w:val="00A273C9"/>
    <w:rsid w:val="00A27A49"/>
    <w:rsid w:val="00A27AEC"/>
    <w:rsid w:val="00A27B79"/>
    <w:rsid w:val="00A27C92"/>
    <w:rsid w:val="00A302C3"/>
    <w:rsid w:val="00A30308"/>
    <w:rsid w:val="00A3047F"/>
    <w:rsid w:val="00A30CA2"/>
    <w:rsid w:val="00A30D09"/>
    <w:rsid w:val="00A310EB"/>
    <w:rsid w:val="00A3117E"/>
    <w:rsid w:val="00A31311"/>
    <w:rsid w:val="00A31A9B"/>
    <w:rsid w:val="00A31D7B"/>
    <w:rsid w:val="00A320DB"/>
    <w:rsid w:val="00A320E7"/>
    <w:rsid w:val="00A3242E"/>
    <w:rsid w:val="00A32441"/>
    <w:rsid w:val="00A32452"/>
    <w:rsid w:val="00A3269E"/>
    <w:rsid w:val="00A32866"/>
    <w:rsid w:val="00A32999"/>
    <w:rsid w:val="00A3374D"/>
    <w:rsid w:val="00A337D0"/>
    <w:rsid w:val="00A339B2"/>
    <w:rsid w:val="00A340EA"/>
    <w:rsid w:val="00A34465"/>
    <w:rsid w:val="00A34783"/>
    <w:rsid w:val="00A34BE8"/>
    <w:rsid w:val="00A35B38"/>
    <w:rsid w:val="00A35D16"/>
    <w:rsid w:val="00A35F70"/>
    <w:rsid w:val="00A36412"/>
    <w:rsid w:val="00A36798"/>
    <w:rsid w:val="00A36928"/>
    <w:rsid w:val="00A36969"/>
    <w:rsid w:val="00A36D99"/>
    <w:rsid w:val="00A3714E"/>
    <w:rsid w:val="00A37450"/>
    <w:rsid w:val="00A37AD6"/>
    <w:rsid w:val="00A37BCD"/>
    <w:rsid w:val="00A37C23"/>
    <w:rsid w:val="00A37F28"/>
    <w:rsid w:val="00A40065"/>
    <w:rsid w:val="00A40880"/>
    <w:rsid w:val="00A40B11"/>
    <w:rsid w:val="00A40BF5"/>
    <w:rsid w:val="00A40D4D"/>
    <w:rsid w:val="00A40E34"/>
    <w:rsid w:val="00A40E43"/>
    <w:rsid w:val="00A410F9"/>
    <w:rsid w:val="00A413AF"/>
    <w:rsid w:val="00A414E2"/>
    <w:rsid w:val="00A41689"/>
    <w:rsid w:val="00A418B4"/>
    <w:rsid w:val="00A41DAB"/>
    <w:rsid w:val="00A42250"/>
    <w:rsid w:val="00A42592"/>
    <w:rsid w:val="00A42741"/>
    <w:rsid w:val="00A42AB3"/>
    <w:rsid w:val="00A42EF6"/>
    <w:rsid w:val="00A431F4"/>
    <w:rsid w:val="00A43C59"/>
    <w:rsid w:val="00A43CEC"/>
    <w:rsid w:val="00A43F77"/>
    <w:rsid w:val="00A4445B"/>
    <w:rsid w:val="00A44616"/>
    <w:rsid w:val="00A44618"/>
    <w:rsid w:val="00A448B3"/>
    <w:rsid w:val="00A44C3B"/>
    <w:rsid w:val="00A44D64"/>
    <w:rsid w:val="00A452A4"/>
    <w:rsid w:val="00A454F8"/>
    <w:rsid w:val="00A45752"/>
    <w:rsid w:val="00A457C8"/>
    <w:rsid w:val="00A45F40"/>
    <w:rsid w:val="00A46280"/>
    <w:rsid w:val="00A46A4D"/>
    <w:rsid w:val="00A46B25"/>
    <w:rsid w:val="00A46F59"/>
    <w:rsid w:val="00A47025"/>
    <w:rsid w:val="00A473A0"/>
    <w:rsid w:val="00A47459"/>
    <w:rsid w:val="00A47620"/>
    <w:rsid w:val="00A47636"/>
    <w:rsid w:val="00A478CA"/>
    <w:rsid w:val="00A5054E"/>
    <w:rsid w:val="00A50558"/>
    <w:rsid w:val="00A50879"/>
    <w:rsid w:val="00A50E15"/>
    <w:rsid w:val="00A50ECD"/>
    <w:rsid w:val="00A518F3"/>
    <w:rsid w:val="00A51B80"/>
    <w:rsid w:val="00A52729"/>
    <w:rsid w:val="00A52935"/>
    <w:rsid w:val="00A52B03"/>
    <w:rsid w:val="00A52B75"/>
    <w:rsid w:val="00A52B99"/>
    <w:rsid w:val="00A530CC"/>
    <w:rsid w:val="00A530D3"/>
    <w:rsid w:val="00A53150"/>
    <w:rsid w:val="00A5333D"/>
    <w:rsid w:val="00A53675"/>
    <w:rsid w:val="00A5377E"/>
    <w:rsid w:val="00A53A57"/>
    <w:rsid w:val="00A53BC9"/>
    <w:rsid w:val="00A5449E"/>
    <w:rsid w:val="00A545C7"/>
    <w:rsid w:val="00A547DB"/>
    <w:rsid w:val="00A54B72"/>
    <w:rsid w:val="00A54B77"/>
    <w:rsid w:val="00A54E27"/>
    <w:rsid w:val="00A5510E"/>
    <w:rsid w:val="00A5533D"/>
    <w:rsid w:val="00A55923"/>
    <w:rsid w:val="00A559A5"/>
    <w:rsid w:val="00A559EB"/>
    <w:rsid w:val="00A55C84"/>
    <w:rsid w:val="00A55DC7"/>
    <w:rsid w:val="00A5604F"/>
    <w:rsid w:val="00A560F9"/>
    <w:rsid w:val="00A560FF"/>
    <w:rsid w:val="00A564D7"/>
    <w:rsid w:val="00A5677D"/>
    <w:rsid w:val="00A56925"/>
    <w:rsid w:val="00A56B6A"/>
    <w:rsid w:val="00A56C42"/>
    <w:rsid w:val="00A56FF7"/>
    <w:rsid w:val="00A578DC"/>
    <w:rsid w:val="00A57D8E"/>
    <w:rsid w:val="00A57E51"/>
    <w:rsid w:val="00A60B26"/>
    <w:rsid w:val="00A60FDB"/>
    <w:rsid w:val="00A6139F"/>
    <w:rsid w:val="00A6142E"/>
    <w:rsid w:val="00A61490"/>
    <w:rsid w:val="00A614B2"/>
    <w:rsid w:val="00A614E7"/>
    <w:rsid w:val="00A61723"/>
    <w:rsid w:val="00A62248"/>
    <w:rsid w:val="00A62496"/>
    <w:rsid w:val="00A62BE2"/>
    <w:rsid w:val="00A62BED"/>
    <w:rsid w:val="00A62DB2"/>
    <w:rsid w:val="00A6376B"/>
    <w:rsid w:val="00A638AC"/>
    <w:rsid w:val="00A63F69"/>
    <w:rsid w:val="00A64059"/>
    <w:rsid w:val="00A640E2"/>
    <w:rsid w:val="00A6483D"/>
    <w:rsid w:val="00A64A30"/>
    <w:rsid w:val="00A64B10"/>
    <w:rsid w:val="00A64D65"/>
    <w:rsid w:val="00A65507"/>
    <w:rsid w:val="00A66268"/>
    <w:rsid w:val="00A6641B"/>
    <w:rsid w:val="00A66643"/>
    <w:rsid w:val="00A66957"/>
    <w:rsid w:val="00A669ED"/>
    <w:rsid w:val="00A66D19"/>
    <w:rsid w:val="00A66DF0"/>
    <w:rsid w:val="00A6725B"/>
    <w:rsid w:val="00A673B8"/>
    <w:rsid w:val="00A67597"/>
    <w:rsid w:val="00A678C5"/>
    <w:rsid w:val="00A67931"/>
    <w:rsid w:val="00A67A9D"/>
    <w:rsid w:val="00A67C9A"/>
    <w:rsid w:val="00A67F3A"/>
    <w:rsid w:val="00A702F8"/>
    <w:rsid w:val="00A70605"/>
    <w:rsid w:val="00A706E3"/>
    <w:rsid w:val="00A70879"/>
    <w:rsid w:val="00A70C66"/>
    <w:rsid w:val="00A7142A"/>
    <w:rsid w:val="00A71678"/>
    <w:rsid w:val="00A71C1F"/>
    <w:rsid w:val="00A724B2"/>
    <w:rsid w:val="00A724C6"/>
    <w:rsid w:val="00A72619"/>
    <w:rsid w:val="00A7289A"/>
    <w:rsid w:val="00A72CA4"/>
    <w:rsid w:val="00A72DB5"/>
    <w:rsid w:val="00A72EBB"/>
    <w:rsid w:val="00A73134"/>
    <w:rsid w:val="00A735E0"/>
    <w:rsid w:val="00A7363F"/>
    <w:rsid w:val="00A7365A"/>
    <w:rsid w:val="00A73B54"/>
    <w:rsid w:val="00A73D00"/>
    <w:rsid w:val="00A73D31"/>
    <w:rsid w:val="00A7425B"/>
    <w:rsid w:val="00A74CB9"/>
    <w:rsid w:val="00A7519E"/>
    <w:rsid w:val="00A756F1"/>
    <w:rsid w:val="00A75820"/>
    <w:rsid w:val="00A75B58"/>
    <w:rsid w:val="00A76001"/>
    <w:rsid w:val="00A76174"/>
    <w:rsid w:val="00A76385"/>
    <w:rsid w:val="00A76916"/>
    <w:rsid w:val="00A76E3D"/>
    <w:rsid w:val="00A76EC3"/>
    <w:rsid w:val="00A77379"/>
    <w:rsid w:val="00A777B2"/>
    <w:rsid w:val="00A77815"/>
    <w:rsid w:val="00A778EA"/>
    <w:rsid w:val="00A77C01"/>
    <w:rsid w:val="00A77C4F"/>
    <w:rsid w:val="00A77D1E"/>
    <w:rsid w:val="00A801E3"/>
    <w:rsid w:val="00A802DF"/>
    <w:rsid w:val="00A804F5"/>
    <w:rsid w:val="00A80556"/>
    <w:rsid w:val="00A80879"/>
    <w:rsid w:val="00A80A85"/>
    <w:rsid w:val="00A80A9D"/>
    <w:rsid w:val="00A80CB1"/>
    <w:rsid w:val="00A80E0D"/>
    <w:rsid w:val="00A80FCE"/>
    <w:rsid w:val="00A8130A"/>
    <w:rsid w:val="00A817FE"/>
    <w:rsid w:val="00A81A9A"/>
    <w:rsid w:val="00A82021"/>
    <w:rsid w:val="00A820D5"/>
    <w:rsid w:val="00A822A5"/>
    <w:rsid w:val="00A82324"/>
    <w:rsid w:val="00A824CC"/>
    <w:rsid w:val="00A825AC"/>
    <w:rsid w:val="00A825D4"/>
    <w:rsid w:val="00A826B4"/>
    <w:rsid w:val="00A828F6"/>
    <w:rsid w:val="00A8296F"/>
    <w:rsid w:val="00A82B73"/>
    <w:rsid w:val="00A830C3"/>
    <w:rsid w:val="00A831D7"/>
    <w:rsid w:val="00A833D0"/>
    <w:rsid w:val="00A8389B"/>
    <w:rsid w:val="00A840E0"/>
    <w:rsid w:val="00A84107"/>
    <w:rsid w:val="00A8497E"/>
    <w:rsid w:val="00A84DBE"/>
    <w:rsid w:val="00A853C4"/>
    <w:rsid w:val="00A85961"/>
    <w:rsid w:val="00A85ADC"/>
    <w:rsid w:val="00A85D34"/>
    <w:rsid w:val="00A85F3E"/>
    <w:rsid w:val="00A8603D"/>
    <w:rsid w:val="00A867F9"/>
    <w:rsid w:val="00A86A47"/>
    <w:rsid w:val="00A86AE3"/>
    <w:rsid w:val="00A86B42"/>
    <w:rsid w:val="00A86E8B"/>
    <w:rsid w:val="00A870EC"/>
    <w:rsid w:val="00A87164"/>
    <w:rsid w:val="00A871A9"/>
    <w:rsid w:val="00A87835"/>
    <w:rsid w:val="00A87EB2"/>
    <w:rsid w:val="00A87ED2"/>
    <w:rsid w:val="00A87FD4"/>
    <w:rsid w:val="00A901BD"/>
    <w:rsid w:val="00A90B70"/>
    <w:rsid w:val="00A90FAC"/>
    <w:rsid w:val="00A91740"/>
    <w:rsid w:val="00A91846"/>
    <w:rsid w:val="00A91C91"/>
    <w:rsid w:val="00A91F55"/>
    <w:rsid w:val="00A920C8"/>
    <w:rsid w:val="00A9221E"/>
    <w:rsid w:val="00A925CF"/>
    <w:rsid w:val="00A925F7"/>
    <w:rsid w:val="00A92652"/>
    <w:rsid w:val="00A92705"/>
    <w:rsid w:val="00A93072"/>
    <w:rsid w:val="00A932B7"/>
    <w:rsid w:val="00A93565"/>
    <w:rsid w:val="00A9357D"/>
    <w:rsid w:val="00A937E8"/>
    <w:rsid w:val="00A93830"/>
    <w:rsid w:val="00A938BD"/>
    <w:rsid w:val="00A938D2"/>
    <w:rsid w:val="00A93953"/>
    <w:rsid w:val="00A93AD6"/>
    <w:rsid w:val="00A93EB8"/>
    <w:rsid w:val="00A93FD1"/>
    <w:rsid w:val="00A93FFB"/>
    <w:rsid w:val="00A943D0"/>
    <w:rsid w:val="00A947AD"/>
    <w:rsid w:val="00A947C2"/>
    <w:rsid w:val="00A948C1"/>
    <w:rsid w:val="00A94B4B"/>
    <w:rsid w:val="00A94C39"/>
    <w:rsid w:val="00A94C51"/>
    <w:rsid w:val="00A94EAA"/>
    <w:rsid w:val="00A9553D"/>
    <w:rsid w:val="00A9581C"/>
    <w:rsid w:val="00A9584B"/>
    <w:rsid w:val="00A959D8"/>
    <w:rsid w:val="00A95B6A"/>
    <w:rsid w:val="00A95CCA"/>
    <w:rsid w:val="00A95DB0"/>
    <w:rsid w:val="00A96721"/>
    <w:rsid w:val="00A967A4"/>
    <w:rsid w:val="00A96BFC"/>
    <w:rsid w:val="00A96DAE"/>
    <w:rsid w:val="00A975C3"/>
    <w:rsid w:val="00A9775A"/>
    <w:rsid w:val="00A97862"/>
    <w:rsid w:val="00A97886"/>
    <w:rsid w:val="00A97CD6"/>
    <w:rsid w:val="00A97FCD"/>
    <w:rsid w:val="00AA0879"/>
    <w:rsid w:val="00AA0921"/>
    <w:rsid w:val="00AA0A02"/>
    <w:rsid w:val="00AA0D62"/>
    <w:rsid w:val="00AA113D"/>
    <w:rsid w:val="00AA189F"/>
    <w:rsid w:val="00AA1960"/>
    <w:rsid w:val="00AA1B26"/>
    <w:rsid w:val="00AA2041"/>
    <w:rsid w:val="00AA23E2"/>
    <w:rsid w:val="00AA2653"/>
    <w:rsid w:val="00AA26AA"/>
    <w:rsid w:val="00AA2777"/>
    <w:rsid w:val="00AA296A"/>
    <w:rsid w:val="00AA2C69"/>
    <w:rsid w:val="00AA2CC9"/>
    <w:rsid w:val="00AA2F0D"/>
    <w:rsid w:val="00AA35D2"/>
    <w:rsid w:val="00AA36A3"/>
    <w:rsid w:val="00AA3C9C"/>
    <w:rsid w:val="00AA3CAE"/>
    <w:rsid w:val="00AA40D6"/>
    <w:rsid w:val="00AA4141"/>
    <w:rsid w:val="00AA43AC"/>
    <w:rsid w:val="00AA44C8"/>
    <w:rsid w:val="00AA4A54"/>
    <w:rsid w:val="00AA4FF8"/>
    <w:rsid w:val="00AA504C"/>
    <w:rsid w:val="00AA50AA"/>
    <w:rsid w:val="00AA52A7"/>
    <w:rsid w:val="00AA53B1"/>
    <w:rsid w:val="00AA57CA"/>
    <w:rsid w:val="00AA5A65"/>
    <w:rsid w:val="00AA5AF6"/>
    <w:rsid w:val="00AA5B78"/>
    <w:rsid w:val="00AA5C50"/>
    <w:rsid w:val="00AA5D26"/>
    <w:rsid w:val="00AA632D"/>
    <w:rsid w:val="00AA6990"/>
    <w:rsid w:val="00AA6BD5"/>
    <w:rsid w:val="00AA6BD8"/>
    <w:rsid w:val="00AA6C7D"/>
    <w:rsid w:val="00AA73EB"/>
    <w:rsid w:val="00AA767A"/>
    <w:rsid w:val="00AA7BAA"/>
    <w:rsid w:val="00AA7FD6"/>
    <w:rsid w:val="00AB0043"/>
    <w:rsid w:val="00AB042A"/>
    <w:rsid w:val="00AB06A4"/>
    <w:rsid w:val="00AB0799"/>
    <w:rsid w:val="00AB0C35"/>
    <w:rsid w:val="00AB0F98"/>
    <w:rsid w:val="00AB0FE9"/>
    <w:rsid w:val="00AB11AD"/>
    <w:rsid w:val="00AB1548"/>
    <w:rsid w:val="00AB189C"/>
    <w:rsid w:val="00AB18A0"/>
    <w:rsid w:val="00AB18B5"/>
    <w:rsid w:val="00AB1921"/>
    <w:rsid w:val="00AB19EF"/>
    <w:rsid w:val="00AB1EA1"/>
    <w:rsid w:val="00AB1F84"/>
    <w:rsid w:val="00AB2007"/>
    <w:rsid w:val="00AB2054"/>
    <w:rsid w:val="00AB2495"/>
    <w:rsid w:val="00AB26BB"/>
    <w:rsid w:val="00AB281C"/>
    <w:rsid w:val="00AB29A8"/>
    <w:rsid w:val="00AB2A9D"/>
    <w:rsid w:val="00AB2CD4"/>
    <w:rsid w:val="00AB2D34"/>
    <w:rsid w:val="00AB2E4D"/>
    <w:rsid w:val="00AB2E64"/>
    <w:rsid w:val="00AB3430"/>
    <w:rsid w:val="00AB36FB"/>
    <w:rsid w:val="00AB37B9"/>
    <w:rsid w:val="00AB3BB6"/>
    <w:rsid w:val="00AB3C62"/>
    <w:rsid w:val="00AB3DEB"/>
    <w:rsid w:val="00AB4074"/>
    <w:rsid w:val="00AB40BC"/>
    <w:rsid w:val="00AB4101"/>
    <w:rsid w:val="00AB43CC"/>
    <w:rsid w:val="00AB46F3"/>
    <w:rsid w:val="00AB4A36"/>
    <w:rsid w:val="00AB4AD1"/>
    <w:rsid w:val="00AB4D8E"/>
    <w:rsid w:val="00AB5E07"/>
    <w:rsid w:val="00AB5ED5"/>
    <w:rsid w:val="00AB5F11"/>
    <w:rsid w:val="00AB6155"/>
    <w:rsid w:val="00AB61EC"/>
    <w:rsid w:val="00AB6EFE"/>
    <w:rsid w:val="00AB7088"/>
    <w:rsid w:val="00AB7316"/>
    <w:rsid w:val="00AB77CE"/>
    <w:rsid w:val="00AB7CA3"/>
    <w:rsid w:val="00AB7CFA"/>
    <w:rsid w:val="00AC0568"/>
    <w:rsid w:val="00AC0A17"/>
    <w:rsid w:val="00AC0ABE"/>
    <w:rsid w:val="00AC0AD4"/>
    <w:rsid w:val="00AC0B50"/>
    <w:rsid w:val="00AC1EB2"/>
    <w:rsid w:val="00AC252D"/>
    <w:rsid w:val="00AC2633"/>
    <w:rsid w:val="00AC2925"/>
    <w:rsid w:val="00AC2CAA"/>
    <w:rsid w:val="00AC2CBE"/>
    <w:rsid w:val="00AC2F8E"/>
    <w:rsid w:val="00AC365A"/>
    <w:rsid w:val="00AC37F1"/>
    <w:rsid w:val="00AC3A24"/>
    <w:rsid w:val="00AC3AD7"/>
    <w:rsid w:val="00AC3E2C"/>
    <w:rsid w:val="00AC4597"/>
    <w:rsid w:val="00AC4A08"/>
    <w:rsid w:val="00AC4EF6"/>
    <w:rsid w:val="00AC51F9"/>
    <w:rsid w:val="00AC5392"/>
    <w:rsid w:val="00AC550D"/>
    <w:rsid w:val="00AC5714"/>
    <w:rsid w:val="00AC5B42"/>
    <w:rsid w:val="00AC5B48"/>
    <w:rsid w:val="00AC649C"/>
    <w:rsid w:val="00AC677F"/>
    <w:rsid w:val="00AC6B4E"/>
    <w:rsid w:val="00AC71DD"/>
    <w:rsid w:val="00AC7484"/>
    <w:rsid w:val="00AC764F"/>
    <w:rsid w:val="00AC7BCE"/>
    <w:rsid w:val="00AC7FBD"/>
    <w:rsid w:val="00AD0120"/>
    <w:rsid w:val="00AD0776"/>
    <w:rsid w:val="00AD0BA8"/>
    <w:rsid w:val="00AD0E1B"/>
    <w:rsid w:val="00AD116C"/>
    <w:rsid w:val="00AD1291"/>
    <w:rsid w:val="00AD1450"/>
    <w:rsid w:val="00AD15E8"/>
    <w:rsid w:val="00AD1CD3"/>
    <w:rsid w:val="00AD201C"/>
    <w:rsid w:val="00AD2943"/>
    <w:rsid w:val="00AD2E6F"/>
    <w:rsid w:val="00AD2F27"/>
    <w:rsid w:val="00AD31DD"/>
    <w:rsid w:val="00AD356D"/>
    <w:rsid w:val="00AD37A3"/>
    <w:rsid w:val="00AD3A02"/>
    <w:rsid w:val="00AD42E7"/>
    <w:rsid w:val="00AD430C"/>
    <w:rsid w:val="00AD4D9F"/>
    <w:rsid w:val="00AD4DA2"/>
    <w:rsid w:val="00AD512A"/>
    <w:rsid w:val="00AD536F"/>
    <w:rsid w:val="00AD53F1"/>
    <w:rsid w:val="00AD5C51"/>
    <w:rsid w:val="00AD5E34"/>
    <w:rsid w:val="00AD5F18"/>
    <w:rsid w:val="00AD6502"/>
    <w:rsid w:val="00AD67FA"/>
    <w:rsid w:val="00AD6C64"/>
    <w:rsid w:val="00AD6CC5"/>
    <w:rsid w:val="00AD6E06"/>
    <w:rsid w:val="00AD6FA7"/>
    <w:rsid w:val="00AD7161"/>
    <w:rsid w:val="00AD765A"/>
    <w:rsid w:val="00AE0263"/>
    <w:rsid w:val="00AE02FE"/>
    <w:rsid w:val="00AE0581"/>
    <w:rsid w:val="00AE05C9"/>
    <w:rsid w:val="00AE0695"/>
    <w:rsid w:val="00AE0E1C"/>
    <w:rsid w:val="00AE101A"/>
    <w:rsid w:val="00AE1453"/>
    <w:rsid w:val="00AE15D0"/>
    <w:rsid w:val="00AE1948"/>
    <w:rsid w:val="00AE2888"/>
    <w:rsid w:val="00AE2CF4"/>
    <w:rsid w:val="00AE2E21"/>
    <w:rsid w:val="00AE3E7E"/>
    <w:rsid w:val="00AE477C"/>
    <w:rsid w:val="00AE48DC"/>
    <w:rsid w:val="00AE49CC"/>
    <w:rsid w:val="00AE6232"/>
    <w:rsid w:val="00AE62A6"/>
    <w:rsid w:val="00AE6747"/>
    <w:rsid w:val="00AE6E48"/>
    <w:rsid w:val="00AE71A8"/>
    <w:rsid w:val="00AE7CCB"/>
    <w:rsid w:val="00AE7E53"/>
    <w:rsid w:val="00AF01F1"/>
    <w:rsid w:val="00AF0D4C"/>
    <w:rsid w:val="00AF0EDE"/>
    <w:rsid w:val="00AF1315"/>
    <w:rsid w:val="00AF147C"/>
    <w:rsid w:val="00AF1647"/>
    <w:rsid w:val="00AF19BF"/>
    <w:rsid w:val="00AF1C5E"/>
    <w:rsid w:val="00AF1D11"/>
    <w:rsid w:val="00AF20C4"/>
    <w:rsid w:val="00AF2464"/>
    <w:rsid w:val="00AF25BF"/>
    <w:rsid w:val="00AF27C5"/>
    <w:rsid w:val="00AF2CBD"/>
    <w:rsid w:val="00AF2DC3"/>
    <w:rsid w:val="00AF2E36"/>
    <w:rsid w:val="00AF3126"/>
    <w:rsid w:val="00AF322C"/>
    <w:rsid w:val="00AF3576"/>
    <w:rsid w:val="00AF38DB"/>
    <w:rsid w:val="00AF394D"/>
    <w:rsid w:val="00AF3CDE"/>
    <w:rsid w:val="00AF3DD8"/>
    <w:rsid w:val="00AF3F76"/>
    <w:rsid w:val="00AF3F9C"/>
    <w:rsid w:val="00AF403F"/>
    <w:rsid w:val="00AF4953"/>
    <w:rsid w:val="00AF4CEB"/>
    <w:rsid w:val="00AF4F21"/>
    <w:rsid w:val="00AF4F77"/>
    <w:rsid w:val="00AF506D"/>
    <w:rsid w:val="00AF5151"/>
    <w:rsid w:val="00AF5A95"/>
    <w:rsid w:val="00AF6571"/>
    <w:rsid w:val="00AF6577"/>
    <w:rsid w:val="00AF6585"/>
    <w:rsid w:val="00AF65D3"/>
    <w:rsid w:val="00AF6CD7"/>
    <w:rsid w:val="00AF6D94"/>
    <w:rsid w:val="00AF7029"/>
    <w:rsid w:val="00AF7052"/>
    <w:rsid w:val="00AF7322"/>
    <w:rsid w:val="00AF73ED"/>
    <w:rsid w:val="00AF7517"/>
    <w:rsid w:val="00AF752E"/>
    <w:rsid w:val="00B00062"/>
    <w:rsid w:val="00B00804"/>
    <w:rsid w:val="00B00C79"/>
    <w:rsid w:val="00B00CB2"/>
    <w:rsid w:val="00B01037"/>
    <w:rsid w:val="00B01119"/>
    <w:rsid w:val="00B01754"/>
    <w:rsid w:val="00B018E4"/>
    <w:rsid w:val="00B01AB5"/>
    <w:rsid w:val="00B01C76"/>
    <w:rsid w:val="00B02510"/>
    <w:rsid w:val="00B02536"/>
    <w:rsid w:val="00B0255B"/>
    <w:rsid w:val="00B0272E"/>
    <w:rsid w:val="00B02763"/>
    <w:rsid w:val="00B02B53"/>
    <w:rsid w:val="00B02C91"/>
    <w:rsid w:val="00B032D1"/>
    <w:rsid w:val="00B033E5"/>
    <w:rsid w:val="00B03712"/>
    <w:rsid w:val="00B0380A"/>
    <w:rsid w:val="00B03A63"/>
    <w:rsid w:val="00B03C2B"/>
    <w:rsid w:val="00B03F42"/>
    <w:rsid w:val="00B04E03"/>
    <w:rsid w:val="00B0562E"/>
    <w:rsid w:val="00B05CDB"/>
    <w:rsid w:val="00B05D50"/>
    <w:rsid w:val="00B05E61"/>
    <w:rsid w:val="00B061DC"/>
    <w:rsid w:val="00B0671D"/>
    <w:rsid w:val="00B068EB"/>
    <w:rsid w:val="00B069FC"/>
    <w:rsid w:val="00B06AD2"/>
    <w:rsid w:val="00B06BB6"/>
    <w:rsid w:val="00B06F14"/>
    <w:rsid w:val="00B070E7"/>
    <w:rsid w:val="00B076A5"/>
    <w:rsid w:val="00B078A3"/>
    <w:rsid w:val="00B07A4E"/>
    <w:rsid w:val="00B07DCC"/>
    <w:rsid w:val="00B1085A"/>
    <w:rsid w:val="00B10AFA"/>
    <w:rsid w:val="00B11107"/>
    <w:rsid w:val="00B11943"/>
    <w:rsid w:val="00B11A41"/>
    <w:rsid w:val="00B11D66"/>
    <w:rsid w:val="00B11F24"/>
    <w:rsid w:val="00B11F8D"/>
    <w:rsid w:val="00B1225A"/>
    <w:rsid w:val="00B12506"/>
    <w:rsid w:val="00B128B4"/>
    <w:rsid w:val="00B12991"/>
    <w:rsid w:val="00B129A4"/>
    <w:rsid w:val="00B12CA3"/>
    <w:rsid w:val="00B12D7A"/>
    <w:rsid w:val="00B12F46"/>
    <w:rsid w:val="00B13000"/>
    <w:rsid w:val="00B13C89"/>
    <w:rsid w:val="00B1432C"/>
    <w:rsid w:val="00B14508"/>
    <w:rsid w:val="00B1458D"/>
    <w:rsid w:val="00B14775"/>
    <w:rsid w:val="00B14807"/>
    <w:rsid w:val="00B14839"/>
    <w:rsid w:val="00B149A9"/>
    <w:rsid w:val="00B14BA2"/>
    <w:rsid w:val="00B14CD2"/>
    <w:rsid w:val="00B150AB"/>
    <w:rsid w:val="00B156DC"/>
    <w:rsid w:val="00B15A0F"/>
    <w:rsid w:val="00B16A5D"/>
    <w:rsid w:val="00B16A8F"/>
    <w:rsid w:val="00B16DBD"/>
    <w:rsid w:val="00B1700E"/>
    <w:rsid w:val="00B1716F"/>
    <w:rsid w:val="00B174AC"/>
    <w:rsid w:val="00B1752E"/>
    <w:rsid w:val="00B17D32"/>
    <w:rsid w:val="00B201A4"/>
    <w:rsid w:val="00B201D1"/>
    <w:rsid w:val="00B20C53"/>
    <w:rsid w:val="00B20CCB"/>
    <w:rsid w:val="00B210AA"/>
    <w:rsid w:val="00B213A6"/>
    <w:rsid w:val="00B21631"/>
    <w:rsid w:val="00B21672"/>
    <w:rsid w:val="00B21F9E"/>
    <w:rsid w:val="00B22487"/>
    <w:rsid w:val="00B2252A"/>
    <w:rsid w:val="00B22D9E"/>
    <w:rsid w:val="00B22EED"/>
    <w:rsid w:val="00B2302D"/>
    <w:rsid w:val="00B233A4"/>
    <w:rsid w:val="00B234E0"/>
    <w:rsid w:val="00B235B0"/>
    <w:rsid w:val="00B23A0C"/>
    <w:rsid w:val="00B23D3F"/>
    <w:rsid w:val="00B23DC5"/>
    <w:rsid w:val="00B23E05"/>
    <w:rsid w:val="00B24312"/>
    <w:rsid w:val="00B24317"/>
    <w:rsid w:val="00B24627"/>
    <w:rsid w:val="00B24742"/>
    <w:rsid w:val="00B24A94"/>
    <w:rsid w:val="00B24DF6"/>
    <w:rsid w:val="00B2526A"/>
    <w:rsid w:val="00B25708"/>
    <w:rsid w:val="00B259E4"/>
    <w:rsid w:val="00B25C6D"/>
    <w:rsid w:val="00B25E71"/>
    <w:rsid w:val="00B26278"/>
    <w:rsid w:val="00B26960"/>
    <w:rsid w:val="00B26B1C"/>
    <w:rsid w:val="00B26F80"/>
    <w:rsid w:val="00B270BF"/>
    <w:rsid w:val="00B2711A"/>
    <w:rsid w:val="00B272B7"/>
    <w:rsid w:val="00B27720"/>
    <w:rsid w:val="00B27945"/>
    <w:rsid w:val="00B27A61"/>
    <w:rsid w:val="00B27B4F"/>
    <w:rsid w:val="00B27ED9"/>
    <w:rsid w:val="00B30305"/>
    <w:rsid w:val="00B3068A"/>
    <w:rsid w:val="00B30735"/>
    <w:rsid w:val="00B30900"/>
    <w:rsid w:val="00B30A6A"/>
    <w:rsid w:val="00B30AE1"/>
    <w:rsid w:val="00B310D6"/>
    <w:rsid w:val="00B31146"/>
    <w:rsid w:val="00B311A7"/>
    <w:rsid w:val="00B31958"/>
    <w:rsid w:val="00B31ADF"/>
    <w:rsid w:val="00B31F2C"/>
    <w:rsid w:val="00B32125"/>
    <w:rsid w:val="00B322CB"/>
    <w:rsid w:val="00B33362"/>
    <w:rsid w:val="00B3343B"/>
    <w:rsid w:val="00B33B31"/>
    <w:rsid w:val="00B33D9A"/>
    <w:rsid w:val="00B34AD9"/>
    <w:rsid w:val="00B34CF2"/>
    <w:rsid w:val="00B34E38"/>
    <w:rsid w:val="00B34FE2"/>
    <w:rsid w:val="00B3506D"/>
    <w:rsid w:val="00B35166"/>
    <w:rsid w:val="00B35207"/>
    <w:rsid w:val="00B3554A"/>
    <w:rsid w:val="00B356B7"/>
    <w:rsid w:val="00B356F8"/>
    <w:rsid w:val="00B357D8"/>
    <w:rsid w:val="00B360F4"/>
    <w:rsid w:val="00B3620F"/>
    <w:rsid w:val="00B365DF"/>
    <w:rsid w:val="00B365E3"/>
    <w:rsid w:val="00B36A00"/>
    <w:rsid w:val="00B36A89"/>
    <w:rsid w:val="00B36A99"/>
    <w:rsid w:val="00B36E0C"/>
    <w:rsid w:val="00B3768B"/>
    <w:rsid w:val="00B3792B"/>
    <w:rsid w:val="00B37B45"/>
    <w:rsid w:val="00B37BFC"/>
    <w:rsid w:val="00B37D04"/>
    <w:rsid w:val="00B37F36"/>
    <w:rsid w:val="00B40314"/>
    <w:rsid w:val="00B40358"/>
    <w:rsid w:val="00B4044E"/>
    <w:rsid w:val="00B40CF0"/>
    <w:rsid w:val="00B40D63"/>
    <w:rsid w:val="00B40E74"/>
    <w:rsid w:val="00B415C7"/>
    <w:rsid w:val="00B41614"/>
    <w:rsid w:val="00B417A9"/>
    <w:rsid w:val="00B41AC1"/>
    <w:rsid w:val="00B41C77"/>
    <w:rsid w:val="00B41E6A"/>
    <w:rsid w:val="00B422B2"/>
    <w:rsid w:val="00B423E4"/>
    <w:rsid w:val="00B42655"/>
    <w:rsid w:val="00B42796"/>
    <w:rsid w:val="00B42851"/>
    <w:rsid w:val="00B42A83"/>
    <w:rsid w:val="00B42E72"/>
    <w:rsid w:val="00B42F49"/>
    <w:rsid w:val="00B42F80"/>
    <w:rsid w:val="00B43049"/>
    <w:rsid w:val="00B433FD"/>
    <w:rsid w:val="00B435CB"/>
    <w:rsid w:val="00B43ECC"/>
    <w:rsid w:val="00B4401A"/>
    <w:rsid w:val="00B440BD"/>
    <w:rsid w:val="00B44978"/>
    <w:rsid w:val="00B44F73"/>
    <w:rsid w:val="00B45A2E"/>
    <w:rsid w:val="00B45A6D"/>
    <w:rsid w:val="00B45FC4"/>
    <w:rsid w:val="00B461AD"/>
    <w:rsid w:val="00B46200"/>
    <w:rsid w:val="00B465EC"/>
    <w:rsid w:val="00B474C4"/>
    <w:rsid w:val="00B4769C"/>
    <w:rsid w:val="00B47954"/>
    <w:rsid w:val="00B479B1"/>
    <w:rsid w:val="00B47F8F"/>
    <w:rsid w:val="00B5017F"/>
    <w:rsid w:val="00B505C8"/>
    <w:rsid w:val="00B50DB8"/>
    <w:rsid w:val="00B50E2A"/>
    <w:rsid w:val="00B50F0C"/>
    <w:rsid w:val="00B51437"/>
    <w:rsid w:val="00B517D2"/>
    <w:rsid w:val="00B517F0"/>
    <w:rsid w:val="00B518D1"/>
    <w:rsid w:val="00B51AF7"/>
    <w:rsid w:val="00B5248B"/>
    <w:rsid w:val="00B52602"/>
    <w:rsid w:val="00B52652"/>
    <w:rsid w:val="00B5281C"/>
    <w:rsid w:val="00B528C4"/>
    <w:rsid w:val="00B5295D"/>
    <w:rsid w:val="00B529EB"/>
    <w:rsid w:val="00B52A75"/>
    <w:rsid w:val="00B52B42"/>
    <w:rsid w:val="00B532FD"/>
    <w:rsid w:val="00B53493"/>
    <w:rsid w:val="00B534E3"/>
    <w:rsid w:val="00B53654"/>
    <w:rsid w:val="00B53774"/>
    <w:rsid w:val="00B53905"/>
    <w:rsid w:val="00B53B4F"/>
    <w:rsid w:val="00B541B6"/>
    <w:rsid w:val="00B54349"/>
    <w:rsid w:val="00B545F5"/>
    <w:rsid w:val="00B546DB"/>
    <w:rsid w:val="00B54B4A"/>
    <w:rsid w:val="00B54B5B"/>
    <w:rsid w:val="00B54F3A"/>
    <w:rsid w:val="00B54FE1"/>
    <w:rsid w:val="00B552F7"/>
    <w:rsid w:val="00B55455"/>
    <w:rsid w:val="00B5554E"/>
    <w:rsid w:val="00B5562E"/>
    <w:rsid w:val="00B55862"/>
    <w:rsid w:val="00B55D65"/>
    <w:rsid w:val="00B56023"/>
    <w:rsid w:val="00B5624E"/>
    <w:rsid w:val="00B56305"/>
    <w:rsid w:val="00B56365"/>
    <w:rsid w:val="00B56A5F"/>
    <w:rsid w:val="00B56B5A"/>
    <w:rsid w:val="00B56CC2"/>
    <w:rsid w:val="00B56EF5"/>
    <w:rsid w:val="00B57000"/>
    <w:rsid w:val="00B57042"/>
    <w:rsid w:val="00B57434"/>
    <w:rsid w:val="00B57A68"/>
    <w:rsid w:val="00B57AE3"/>
    <w:rsid w:val="00B60354"/>
    <w:rsid w:val="00B60939"/>
    <w:rsid w:val="00B60980"/>
    <w:rsid w:val="00B60983"/>
    <w:rsid w:val="00B60A33"/>
    <w:rsid w:val="00B60AFD"/>
    <w:rsid w:val="00B61317"/>
    <w:rsid w:val="00B6150B"/>
    <w:rsid w:val="00B6198B"/>
    <w:rsid w:val="00B619CA"/>
    <w:rsid w:val="00B61DFC"/>
    <w:rsid w:val="00B61E5B"/>
    <w:rsid w:val="00B620E3"/>
    <w:rsid w:val="00B6221F"/>
    <w:rsid w:val="00B625F2"/>
    <w:rsid w:val="00B62715"/>
    <w:rsid w:val="00B62A0A"/>
    <w:rsid w:val="00B62AD3"/>
    <w:rsid w:val="00B62DBE"/>
    <w:rsid w:val="00B62DF7"/>
    <w:rsid w:val="00B62E66"/>
    <w:rsid w:val="00B6345F"/>
    <w:rsid w:val="00B6376B"/>
    <w:rsid w:val="00B638D7"/>
    <w:rsid w:val="00B6398D"/>
    <w:rsid w:val="00B63AF5"/>
    <w:rsid w:val="00B63B12"/>
    <w:rsid w:val="00B63BFC"/>
    <w:rsid w:val="00B63D68"/>
    <w:rsid w:val="00B64A4D"/>
    <w:rsid w:val="00B64DE4"/>
    <w:rsid w:val="00B65131"/>
    <w:rsid w:val="00B65259"/>
    <w:rsid w:val="00B65611"/>
    <w:rsid w:val="00B65612"/>
    <w:rsid w:val="00B65C63"/>
    <w:rsid w:val="00B660A8"/>
    <w:rsid w:val="00B661E6"/>
    <w:rsid w:val="00B6698B"/>
    <w:rsid w:val="00B67449"/>
    <w:rsid w:val="00B6759C"/>
    <w:rsid w:val="00B6777C"/>
    <w:rsid w:val="00B67898"/>
    <w:rsid w:val="00B67C6D"/>
    <w:rsid w:val="00B67FA4"/>
    <w:rsid w:val="00B70E8E"/>
    <w:rsid w:val="00B71608"/>
    <w:rsid w:val="00B71914"/>
    <w:rsid w:val="00B71ACA"/>
    <w:rsid w:val="00B71B22"/>
    <w:rsid w:val="00B71FBE"/>
    <w:rsid w:val="00B72317"/>
    <w:rsid w:val="00B72CB3"/>
    <w:rsid w:val="00B72D16"/>
    <w:rsid w:val="00B72E36"/>
    <w:rsid w:val="00B730DD"/>
    <w:rsid w:val="00B73636"/>
    <w:rsid w:val="00B7363C"/>
    <w:rsid w:val="00B73FAE"/>
    <w:rsid w:val="00B74043"/>
    <w:rsid w:val="00B7431B"/>
    <w:rsid w:val="00B743D1"/>
    <w:rsid w:val="00B745ED"/>
    <w:rsid w:val="00B746AB"/>
    <w:rsid w:val="00B74794"/>
    <w:rsid w:val="00B74B66"/>
    <w:rsid w:val="00B75193"/>
    <w:rsid w:val="00B751F5"/>
    <w:rsid w:val="00B75417"/>
    <w:rsid w:val="00B75613"/>
    <w:rsid w:val="00B757FC"/>
    <w:rsid w:val="00B75944"/>
    <w:rsid w:val="00B75C10"/>
    <w:rsid w:val="00B7620D"/>
    <w:rsid w:val="00B76756"/>
    <w:rsid w:val="00B7675F"/>
    <w:rsid w:val="00B76C92"/>
    <w:rsid w:val="00B7744E"/>
    <w:rsid w:val="00B776B4"/>
    <w:rsid w:val="00B777DA"/>
    <w:rsid w:val="00B777ED"/>
    <w:rsid w:val="00B77967"/>
    <w:rsid w:val="00B77AA9"/>
    <w:rsid w:val="00B77E55"/>
    <w:rsid w:val="00B77EB2"/>
    <w:rsid w:val="00B80088"/>
    <w:rsid w:val="00B800CE"/>
    <w:rsid w:val="00B80154"/>
    <w:rsid w:val="00B80243"/>
    <w:rsid w:val="00B80358"/>
    <w:rsid w:val="00B809FB"/>
    <w:rsid w:val="00B80EFD"/>
    <w:rsid w:val="00B81129"/>
    <w:rsid w:val="00B81133"/>
    <w:rsid w:val="00B813D9"/>
    <w:rsid w:val="00B81452"/>
    <w:rsid w:val="00B814E5"/>
    <w:rsid w:val="00B816E2"/>
    <w:rsid w:val="00B818A4"/>
    <w:rsid w:val="00B82160"/>
    <w:rsid w:val="00B8307C"/>
    <w:rsid w:val="00B83269"/>
    <w:rsid w:val="00B833A9"/>
    <w:rsid w:val="00B834BC"/>
    <w:rsid w:val="00B835B2"/>
    <w:rsid w:val="00B83739"/>
    <w:rsid w:val="00B83952"/>
    <w:rsid w:val="00B839DC"/>
    <w:rsid w:val="00B83EE1"/>
    <w:rsid w:val="00B84117"/>
    <w:rsid w:val="00B842B1"/>
    <w:rsid w:val="00B84663"/>
    <w:rsid w:val="00B849C3"/>
    <w:rsid w:val="00B84A2F"/>
    <w:rsid w:val="00B84A94"/>
    <w:rsid w:val="00B84AE0"/>
    <w:rsid w:val="00B84E0B"/>
    <w:rsid w:val="00B84E62"/>
    <w:rsid w:val="00B84F5A"/>
    <w:rsid w:val="00B85004"/>
    <w:rsid w:val="00B85659"/>
    <w:rsid w:val="00B858F0"/>
    <w:rsid w:val="00B85AA2"/>
    <w:rsid w:val="00B8613F"/>
    <w:rsid w:val="00B8649C"/>
    <w:rsid w:val="00B86549"/>
    <w:rsid w:val="00B868CF"/>
    <w:rsid w:val="00B8695D"/>
    <w:rsid w:val="00B86C15"/>
    <w:rsid w:val="00B86E2E"/>
    <w:rsid w:val="00B86EF0"/>
    <w:rsid w:val="00B87466"/>
    <w:rsid w:val="00B87690"/>
    <w:rsid w:val="00B87954"/>
    <w:rsid w:val="00B87B6D"/>
    <w:rsid w:val="00B87F0A"/>
    <w:rsid w:val="00B90016"/>
    <w:rsid w:val="00B90557"/>
    <w:rsid w:val="00B90720"/>
    <w:rsid w:val="00B90C5B"/>
    <w:rsid w:val="00B90C94"/>
    <w:rsid w:val="00B90C98"/>
    <w:rsid w:val="00B90CAF"/>
    <w:rsid w:val="00B90E28"/>
    <w:rsid w:val="00B90F3B"/>
    <w:rsid w:val="00B911B0"/>
    <w:rsid w:val="00B9124C"/>
    <w:rsid w:val="00B91703"/>
    <w:rsid w:val="00B91F41"/>
    <w:rsid w:val="00B91FD1"/>
    <w:rsid w:val="00B920ED"/>
    <w:rsid w:val="00B92639"/>
    <w:rsid w:val="00B929D4"/>
    <w:rsid w:val="00B92C68"/>
    <w:rsid w:val="00B92D0B"/>
    <w:rsid w:val="00B93A56"/>
    <w:rsid w:val="00B93EB9"/>
    <w:rsid w:val="00B94945"/>
    <w:rsid w:val="00B94AD8"/>
    <w:rsid w:val="00B94C38"/>
    <w:rsid w:val="00B94DC1"/>
    <w:rsid w:val="00B94DD6"/>
    <w:rsid w:val="00B950A9"/>
    <w:rsid w:val="00B953AD"/>
    <w:rsid w:val="00B955F5"/>
    <w:rsid w:val="00B9576D"/>
    <w:rsid w:val="00B96011"/>
    <w:rsid w:val="00B9619F"/>
    <w:rsid w:val="00B964E9"/>
    <w:rsid w:val="00B96644"/>
    <w:rsid w:val="00B96664"/>
    <w:rsid w:val="00B96AB5"/>
    <w:rsid w:val="00B96B40"/>
    <w:rsid w:val="00B96EF1"/>
    <w:rsid w:val="00B96F19"/>
    <w:rsid w:val="00B97353"/>
    <w:rsid w:val="00B973FC"/>
    <w:rsid w:val="00B9778D"/>
    <w:rsid w:val="00B97A76"/>
    <w:rsid w:val="00B97C78"/>
    <w:rsid w:val="00B97D62"/>
    <w:rsid w:val="00B97F9D"/>
    <w:rsid w:val="00BA0429"/>
    <w:rsid w:val="00BA0883"/>
    <w:rsid w:val="00BA0ADE"/>
    <w:rsid w:val="00BA0BE8"/>
    <w:rsid w:val="00BA11DE"/>
    <w:rsid w:val="00BA12ED"/>
    <w:rsid w:val="00BA1382"/>
    <w:rsid w:val="00BA143D"/>
    <w:rsid w:val="00BA169D"/>
    <w:rsid w:val="00BA18B9"/>
    <w:rsid w:val="00BA20CB"/>
    <w:rsid w:val="00BA20F3"/>
    <w:rsid w:val="00BA24F7"/>
    <w:rsid w:val="00BA27D6"/>
    <w:rsid w:val="00BA2C46"/>
    <w:rsid w:val="00BA2ECA"/>
    <w:rsid w:val="00BA311D"/>
    <w:rsid w:val="00BA322D"/>
    <w:rsid w:val="00BA3A81"/>
    <w:rsid w:val="00BA3AAD"/>
    <w:rsid w:val="00BA418B"/>
    <w:rsid w:val="00BA4545"/>
    <w:rsid w:val="00BA4820"/>
    <w:rsid w:val="00BA4AA1"/>
    <w:rsid w:val="00BA5532"/>
    <w:rsid w:val="00BA55D5"/>
    <w:rsid w:val="00BA58A2"/>
    <w:rsid w:val="00BA594E"/>
    <w:rsid w:val="00BA5CB1"/>
    <w:rsid w:val="00BA5D32"/>
    <w:rsid w:val="00BA63FA"/>
    <w:rsid w:val="00BA6585"/>
    <w:rsid w:val="00BA65DB"/>
    <w:rsid w:val="00BA688F"/>
    <w:rsid w:val="00BA6918"/>
    <w:rsid w:val="00BA6990"/>
    <w:rsid w:val="00BA6CE0"/>
    <w:rsid w:val="00BA6D6E"/>
    <w:rsid w:val="00BA6DAF"/>
    <w:rsid w:val="00BA7132"/>
    <w:rsid w:val="00BA7324"/>
    <w:rsid w:val="00BA7940"/>
    <w:rsid w:val="00BA7F9C"/>
    <w:rsid w:val="00BB00B3"/>
    <w:rsid w:val="00BB060E"/>
    <w:rsid w:val="00BB0A65"/>
    <w:rsid w:val="00BB0B64"/>
    <w:rsid w:val="00BB0BDD"/>
    <w:rsid w:val="00BB0E40"/>
    <w:rsid w:val="00BB1050"/>
    <w:rsid w:val="00BB1305"/>
    <w:rsid w:val="00BB1386"/>
    <w:rsid w:val="00BB165D"/>
    <w:rsid w:val="00BB169F"/>
    <w:rsid w:val="00BB176C"/>
    <w:rsid w:val="00BB19F5"/>
    <w:rsid w:val="00BB1B4E"/>
    <w:rsid w:val="00BB20A8"/>
    <w:rsid w:val="00BB24C4"/>
    <w:rsid w:val="00BB257F"/>
    <w:rsid w:val="00BB2771"/>
    <w:rsid w:val="00BB27D4"/>
    <w:rsid w:val="00BB2A73"/>
    <w:rsid w:val="00BB2B79"/>
    <w:rsid w:val="00BB2BF9"/>
    <w:rsid w:val="00BB32C6"/>
    <w:rsid w:val="00BB334B"/>
    <w:rsid w:val="00BB37E7"/>
    <w:rsid w:val="00BB3A45"/>
    <w:rsid w:val="00BB440C"/>
    <w:rsid w:val="00BB4A27"/>
    <w:rsid w:val="00BB4ACC"/>
    <w:rsid w:val="00BB4F1B"/>
    <w:rsid w:val="00BB51E2"/>
    <w:rsid w:val="00BB54BC"/>
    <w:rsid w:val="00BB5799"/>
    <w:rsid w:val="00BB5949"/>
    <w:rsid w:val="00BB5A01"/>
    <w:rsid w:val="00BB60B6"/>
    <w:rsid w:val="00BB629D"/>
    <w:rsid w:val="00BB6479"/>
    <w:rsid w:val="00BB65BA"/>
    <w:rsid w:val="00BB66B2"/>
    <w:rsid w:val="00BB6889"/>
    <w:rsid w:val="00BB69C2"/>
    <w:rsid w:val="00BB703E"/>
    <w:rsid w:val="00BB732D"/>
    <w:rsid w:val="00BB7405"/>
    <w:rsid w:val="00BB794E"/>
    <w:rsid w:val="00BB7F65"/>
    <w:rsid w:val="00BB7F6E"/>
    <w:rsid w:val="00BC0193"/>
    <w:rsid w:val="00BC02BA"/>
    <w:rsid w:val="00BC058D"/>
    <w:rsid w:val="00BC0CBF"/>
    <w:rsid w:val="00BC0D10"/>
    <w:rsid w:val="00BC1089"/>
    <w:rsid w:val="00BC1417"/>
    <w:rsid w:val="00BC1958"/>
    <w:rsid w:val="00BC2031"/>
    <w:rsid w:val="00BC22CE"/>
    <w:rsid w:val="00BC2350"/>
    <w:rsid w:val="00BC2964"/>
    <w:rsid w:val="00BC2A04"/>
    <w:rsid w:val="00BC2C1C"/>
    <w:rsid w:val="00BC2CDE"/>
    <w:rsid w:val="00BC2CF2"/>
    <w:rsid w:val="00BC30FE"/>
    <w:rsid w:val="00BC3121"/>
    <w:rsid w:val="00BC329E"/>
    <w:rsid w:val="00BC357E"/>
    <w:rsid w:val="00BC35BF"/>
    <w:rsid w:val="00BC3631"/>
    <w:rsid w:val="00BC37C8"/>
    <w:rsid w:val="00BC384F"/>
    <w:rsid w:val="00BC39EE"/>
    <w:rsid w:val="00BC3C7D"/>
    <w:rsid w:val="00BC3E38"/>
    <w:rsid w:val="00BC41F7"/>
    <w:rsid w:val="00BC4598"/>
    <w:rsid w:val="00BC45BD"/>
    <w:rsid w:val="00BC47D4"/>
    <w:rsid w:val="00BC4C9C"/>
    <w:rsid w:val="00BC5039"/>
    <w:rsid w:val="00BC542E"/>
    <w:rsid w:val="00BC57A9"/>
    <w:rsid w:val="00BC57EB"/>
    <w:rsid w:val="00BC584F"/>
    <w:rsid w:val="00BC591F"/>
    <w:rsid w:val="00BC5C52"/>
    <w:rsid w:val="00BC5E7F"/>
    <w:rsid w:val="00BC6238"/>
    <w:rsid w:val="00BC6354"/>
    <w:rsid w:val="00BC668C"/>
    <w:rsid w:val="00BC67CE"/>
    <w:rsid w:val="00BC69EC"/>
    <w:rsid w:val="00BC6C44"/>
    <w:rsid w:val="00BC73B9"/>
    <w:rsid w:val="00BC7AB6"/>
    <w:rsid w:val="00BC7D6D"/>
    <w:rsid w:val="00BD0194"/>
    <w:rsid w:val="00BD06CB"/>
    <w:rsid w:val="00BD07E8"/>
    <w:rsid w:val="00BD0EF3"/>
    <w:rsid w:val="00BD1A2F"/>
    <w:rsid w:val="00BD1C12"/>
    <w:rsid w:val="00BD1C5D"/>
    <w:rsid w:val="00BD1E28"/>
    <w:rsid w:val="00BD2108"/>
    <w:rsid w:val="00BD21E0"/>
    <w:rsid w:val="00BD25C4"/>
    <w:rsid w:val="00BD27D8"/>
    <w:rsid w:val="00BD30FF"/>
    <w:rsid w:val="00BD3794"/>
    <w:rsid w:val="00BD3B54"/>
    <w:rsid w:val="00BD3C3C"/>
    <w:rsid w:val="00BD3F86"/>
    <w:rsid w:val="00BD4B2C"/>
    <w:rsid w:val="00BD5017"/>
    <w:rsid w:val="00BD5227"/>
    <w:rsid w:val="00BD562C"/>
    <w:rsid w:val="00BD590A"/>
    <w:rsid w:val="00BD5F6B"/>
    <w:rsid w:val="00BD5FFA"/>
    <w:rsid w:val="00BD613E"/>
    <w:rsid w:val="00BD66A6"/>
    <w:rsid w:val="00BD6721"/>
    <w:rsid w:val="00BD68A3"/>
    <w:rsid w:val="00BD6938"/>
    <w:rsid w:val="00BD6962"/>
    <w:rsid w:val="00BD6CF3"/>
    <w:rsid w:val="00BD6E63"/>
    <w:rsid w:val="00BD7570"/>
    <w:rsid w:val="00BD759C"/>
    <w:rsid w:val="00BD76EF"/>
    <w:rsid w:val="00BD7C72"/>
    <w:rsid w:val="00BD7C82"/>
    <w:rsid w:val="00BD7DF7"/>
    <w:rsid w:val="00BD7E16"/>
    <w:rsid w:val="00BD7F72"/>
    <w:rsid w:val="00BE03F5"/>
    <w:rsid w:val="00BE0B68"/>
    <w:rsid w:val="00BE0CF9"/>
    <w:rsid w:val="00BE0ECA"/>
    <w:rsid w:val="00BE12C0"/>
    <w:rsid w:val="00BE15D0"/>
    <w:rsid w:val="00BE185A"/>
    <w:rsid w:val="00BE2180"/>
    <w:rsid w:val="00BE21F2"/>
    <w:rsid w:val="00BE2681"/>
    <w:rsid w:val="00BE2B68"/>
    <w:rsid w:val="00BE2D0F"/>
    <w:rsid w:val="00BE2DE6"/>
    <w:rsid w:val="00BE34D0"/>
    <w:rsid w:val="00BE3ADA"/>
    <w:rsid w:val="00BE4275"/>
    <w:rsid w:val="00BE43A2"/>
    <w:rsid w:val="00BE4557"/>
    <w:rsid w:val="00BE47FA"/>
    <w:rsid w:val="00BE4A64"/>
    <w:rsid w:val="00BE57A7"/>
    <w:rsid w:val="00BE5C18"/>
    <w:rsid w:val="00BE5D18"/>
    <w:rsid w:val="00BE6365"/>
    <w:rsid w:val="00BE6D84"/>
    <w:rsid w:val="00BE6E01"/>
    <w:rsid w:val="00BE6E90"/>
    <w:rsid w:val="00BE6EBB"/>
    <w:rsid w:val="00BE6EC4"/>
    <w:rsid w:val="00BE6ED1"/>
    <w:rsid w:val="00BE6F43"/>
    <w:rsid w:val="00BE72E5"/>
    <w:rsid w:val="00BE776B"/>
    <w:rsid w:val="00BE79EB"/>
    <w:rsid w:val="00BE7EB0"/>
    <w:rsid w:val="00BF06AE"/>
    <w:rsid w:val="00BF06DB"/>
    <w:rsid w:val="00BF0F95"/>
    <w:rsid w:val="00BF10A9"/>
    <w:rsid w:val="00BF1558"/>
    <w:rsid w:val="00BF1D0D"/>
    <w:rsid w:val="00BF2433"/>
    <w:rsid w:val="00BF25A6"/>
    <w:rsid w:val="00BF28F4"/>
    <w:rsid w:val="00BF2A93"/>
    <w:rsid w:val="00BF2E6E"/>
    <w:rsid w:val="00BF2EB2"/>
    <w:rsid w:val="00BF2F94"/>
    <w:rsid w:val="00BF3104"/>
    <w:rsid w:val="00BF38AF"/>
    <w:rsid w:val="00BF3B5B"/>
    <w:rsid w:val="00BF3F5E"/>
    <w:rsid w:val="00BF4118"/>
    <w:rsid w:val="00BF43E3"/>
    <w:rsid w:val="00BF45C5"/>
    <w:rsid w:val="00BF460B"/>
    <w:rsid w:val="00BF47E9"/>
    <w:rsid w:val="00BF4FDE"/>
    <w:rsid w:val="00BF5149"/>
    <w:rsid w:val="00BF5164"/>
    <w:rsid w:val="00BF54BC"/>
    <w:rsid w:val="00BF5548"/>
    <w:rsid w:val="00BF5895"/>
    <w:rsid w:val="00BF5D03"/>
    <w:rsid w:val="00BF601F"/>
    <w:rsid w:val="00BF61C9"/>
    <w:rsid w:val="00BF649C"/>
    <w:rsid w:val="00BF6572"/>
    <w:rsid w:val="00BF69C3"/>
    <w:rsid w:val="00BF6ACD"/>
    <w:rsid w:val="00BF6AE8"/>
    <w:rsid w:val="00BF6B75"/>
    <w:rsid w:val="00BF6C2D"/>
    <w:rsid w:val="00BF6C94"/>
    <w:rsid w:val="00BF7112"/>
    <w:rsid w:val="00BF71D0"/>
    <w:rsid w:val="00BF73E2"/>
    <w:rsid w:val="00BF7805"/>
    <w:rsid w:val="00BF7B27"/>
    <w:rsid w:val="00BF7C3E"/>
    <w:rsid w:val="00C00424"/>
    <w:rsid w:val="00C00493"/>
    <w:rsid w:val="00C006F7"/>
    <w:rsid w:val="00C0088C"/>
    <w:rsid w:val="00C00BB0"/>
    <w:rsid w:val="00C00DD1"/>
    <w:rsid w:val="00C01843"/>
    <w:rsid w:val="00C018A3"/>
    <w:rsid w:val="00C018F1"/>
    <w:rsid w:val="00C01EE3"/>
    <w:rsid w:val="00C01F31"/>
    <w:rsid w:val="00C02134"/>
    <w:rsid w:val="00C02153"/>
    <w:rsid w:val="00C0225C"/>
    <w:rsid w:val="00C023F4"/>
    <w:rsid w:val="00C0246B"/>
    <w:rsid w:val="00C0251E"/>
    <w:rsid w:val="00C02924"/>
    <w:rsid w:val="00C02CF3"/>
    <w:rsid w:val="00C0314E"/>
    <w:rsid w:val="00C03573"/>
    <w:rsid w:val="00C03854"/>
    <w:rsid w:val="00C03AF0"/>
    <w:rsid w:val="00C03E08"/>
    <w:rsid w:val="00C0408E"/>
    <w:rsid w:val="00C040BE"/>
    <w:rsid w:val="00C042EA"/>
    <w:rsid w:val="00C04450"/>
    <w:rsid w:val="00C04474"/>
    <w:rsid w:val="00C04475"/>
    <w:rsid w:val="00C04591"/>
    <w:rsid w:val="00C045C2"/>
    <w:rsid w:val="00C048FA"/>
    <w:rsid w:val="00C04903"/>
    <w:rsid w:val="00C0547E"/>
    <w:rsid w:val="00C05C0A"/>
    <w:rsid w:val="00C05D13"/>
    <w:rsid w:val="00C05D5F"/>
    <w:rsid w:val="00C05DDC"/>
    <w:rsid w:val="00C05F9C"/>
    <w:rsid w:val="00C0611E"/>
    <w:rsid w:val="00C0625E"/>
    <w:rsid w:val="00C06590"/>
    <w:rsid w:val="00C065FD"/>
    <w:rsid w:val="00C0692A"/>
    <w:rsid w:val="00C06B96"/>
    <w:rsid w:val="00C06BD6"/>
    <w:rsid w:val="00C06BDA"/>
    <w:rsid w:val="00C06C59"/>
    <w:rsid w:val="00C06F82"/>
    <w:rsid w:val="00C07197"/>
    <w:rsid w:val="00C07429"/>
    <w:rsid w:val="00C0751E"/>
    <w:rsid w:val="00C07A16"/>
    <w:rsid w:val="00C07BE4"/>
    <w:rsid w:val="00C07E75"/>
    <w:rsid w:val="00C07FB5"/>
    <w:rsid w:val="00C1053B"/>
    <w:rsid w:val="00C107BA"/>
    <w:rsid w:val="00C108F0"/>
    <w:rsid w:val="00C113CE"/>
    <w:rsid w:val="00C11488"/>
    <w:rsid w:val="00C116E1"/>
    <w:rsid w:val="00C1179F"/>
    <w:rsid w:val="00C11998"/>
    <w:rsid w:val="00C11A11"/>
    <w:rsid w:val="00C1205F"/>
    <w:rsid w:val="00C121A9"/>
    <w:rsid w:val="00C12538"/>
    <w:rsid w:val="00C1260C"/>
    <w:rsid w:val="00C127B9"/>
    <w:rsid w:val="00C128FA"/>
    <w:rsid w:val="00C12AA6"/>
    <w:rsid w:val="00C12C14"/>
    <w:rsid w:val="00C12C33"/>
    <w:rsid w:val="00C12D04"/>
    <w:rsid w:val="00C12E78"/>
    <w:rsid w:val="00C12F24"/>
    <w:rsid w:val="00C12FFB"/>
    <w:rsid w:val="00C13144"/>
    <w:rsid w:val="00C131CB"/>
    <w:rsid w:val="00C13234"/>
    <w:rsid w:val="00C140D8"/>
    <w:rsid w:val="00C141FC"/>
    <w:rsid w:val="00C14877"/>
    <w:rsid w:val="00C148CC"/>
    <w:rsid w:val="00C14C7C"/>
    <w:rsid w:val="00C14CD5"/>
    <w:rsid w:val="00C14CFF"/>
    <w:rsid w:val="00C150B9"/>
    <w:rsid w:val="00C15557"/>
    <w:rsid w:val="00C15686"/>
    <w:rsid w:val="00C15AB7"/>
    <w:rsid w:val="00C15B7D"/>
    <w:rsid w:val="00C15CCB"/>
    <w:rsid w:val="00C15F04"/>
    <w:rsid w:val="00C161DF"/>
    <w:rsid w:val="00C16256"/>
    <w:rsid w:val="00C1701E"/>
    <w:rsid w:val="00C1758D"/>
    <w:rsid w:val="00C179B3"/>
    <w:rsid w:val="00C17C6E"/>
    <w:rsid w:val="00C17E3F"/>
    <w:rsid w:val="00C200AA"/>
    <w:rsid w:val="00C2021A"/>
    <w:rsid w:val="00C20F01"/>
    <w:rsid w:val="00C2167B"/>
    <w:rsid w:val="00C2171C"/>
    <w:rsid w:val="00C21D30"/>
    <w:rsid w:val="00C22110"/>
    <w:rsid w:val="00C221C6"/>
    <w:rsid w:val="00C221EF"/>
    <w:rsid w:val="00C2246B"/>
    <w:rsid w:val="00C224D3"/>
    <w:rsid w:val="00C2259D"/>
    <w:rsid w:val="00C22857"/>
    <w:rsid w:val="00C22D52"/>
    <w:rsid w:val="00C22D9C"/>
    <w:rsid w:val="00C23302"/>
    <w:rsid w:val="00C237ED"/>
    <w:rsid w:val="00C23A42"/>
    <w:rsid w:val="00C23CCD"/>
    <w:rsid w:val="00C23E0D"/>
    <w:rsid w:val="00C24330"/>
    <w:rsid w:val="00C24632"/>
    <w:rsid w:val="00C24655"/>
    <w:rsid w:val="00C249BB"/>
    <w:rsid w:val="00C24A20"/>
    <w:rsid w:val="00C24A50"/>
    <w:rsid w:val="00C24FE1"/>
    <w:rsid w:val="00C25418"/>
    <w:rsid w:val="00C259BE"/>
    <w:rsid w:val="00C25D39"/>
    <w:rsid w:val="00C25D9C"/>
    <w:rsid w:val="00C261C4"/>
    <w:rsid w:val="00C26314"/>
    <w:rsid w:val="00C2635D"/>
    <w:rsid w:val="00C269B2"/>
    <w:rsid w:val="00C26A0B"/>
    <w:rsid w:val="00C26A21"/>
    <w:rsid w:val="00C26C8E"/>
    <w:rsid w:val="00C27623"/>
    <w:rsid w:val="00C27650"/>
    <w:rsid w:val="00C2778B"/>
    <w:rsid w:val="00C27C3E"/>
    <w:rsid w:val="00C27D8D"/>
    <w:rsid w:val="00C3005C"/>
    <w:rsid w:val="00C3019A"/>
    <w:rsid w:val="00C302FE"/>
    <w:rsid w:val="00C306C1"/>
    <w:rsid w:val="00C30F5C"/>
    <w:rsid w:val="00C311D4"/>
    <w:rsid w:val="00C31372"/>
    <w:rsid w:val="00C31415"/>
    <w:rsid w:val="00C31649"/>
    <w:rsid w:val="00C31721"/>
    <w:rsid w:val="00C31902"/>
    <w:rsid w:val="00C31C6D"/>
    <w:rsid w:val="00C31F49"/>
    <w:rsid w:val="00C320BE"/>
    <w:rsid w:val="00C3251C"/>
    <w:rsid w:val="00C327AE"/>
    <w:rsid w:val="00C333C9"/>
    <w:rsid w:val="00C338B4"/>
    <w:rsid w:val="00C33D16"/>
    <w:rsid w:val="00C33DA6"/>
    <w:rsid w:val="00C33DCA"/>
    <w:rsid w:val="00C342E7"/>
    <w:rsid w:val="00C3434C"/>
    <w:rsid w:val="00C34436"/>
    <w:rsid w:val="00C344E7"/>
    <w:rsid w:val="00C3450A"/>
    <w:rsid w:val="00C347FE"/>
    <w:rsid w:val="00C34938"/>
    <w:rsid w:val="00C3518E"/>
    <w:rsid w:val="00C355B9"/>
    <w:rsid w:val="00C35D1E"/>
    <w:rsid w:val="00C3611E"/>
    <w:rsid w:val="00C3687E"/>
    <w:rsid w:val="00C36FF8"/>
    <w:rsid w:val="00C37BE9"/>
    <w:rsid w:val="00C37E40"/>
    <w:rsid w:val="00C40355"/>
    <w:rsid w:val="00C40385"/>
    <w:rsid w:val="00C408E0"/>
    <w:rsid w:val="00C40991"/>
    <w:rsid w:val="00C40B73"/>
    <w:rsid w:val="00C40F8D"/>
    <w:rsid w:val="00C41243"/>
    <w:rsid w:val="00C4174B"/>
    <w:rsid w:val="00C41768"/>
    <w:rsid w:val="00C42358"/>
    <w:rsid w:val="00C426E3"/>
    <w:rsid w:val="00C42C76"/>
    <w:rsid w:val="00C42E3B"/>
    <w:rsid w:val="00C42FA8"/>
    <w:rsid w:val="00C4314B"/>
    <w:rsid w:val="00C43202"/>
    <w:rsid w:val="00C43460"/>
    <w:rsid w:val="00C43C0E"/>
    <w:rsid w:val="00C44268"/>
    <w:rsid w:val="00C444CF"/>
    <w:rsid w:val="00C446C8"/>
    <w:rsid w:val="00C4474D"/>
    <w:rsid w:val="00C448EB"/>
    <w:rsid w:val="00C44BFF"/>
    <w:rsid w:val="00C450EA"/>
    <w:rsid w:val="00C45280"/>
    <w:rsid w:val="00C45290"/>
    <w:rsid w:val="00C457B4"/>
    <w:rsid w:val="00C45927"/>
    <w:rsid w:val="00C45928"/>
    <w:rsid w:val="00C45A26"/>
    <w:rsid w:val="00C45B58"/>
    <w:rsid w:val="00C45C7E"/>
    <w:rsid w:val="00C465D3"/>
    <w:rsid w:val="00C46A3D"/>
    <w:rsid w:val="00C46C4E"/>
    <w:rsid w:val="00C46F31"/>
    <w:rsid w:val="00C470D8"/>
    <w:rsid w:val="00C47127"/>
    <w:rsid w:val="00C4715F"/>
    <w:rsid w:val="00C475AA"/>
    <w:rsid w:val="00C477B8"/>
    <w:rsid w:val="00C478AA"/>
    <w:rsid w:val="00C47C50"/>
    <w:rsid w:val="00C50114"/>
    <w:rsid w:val="00C5026A"/>
    <w:rsid w:val="00C504D8"/>
    <w:rsid w:val="00C50748"/>
    <w:rsid w:val="00C50E46"/>
    <w:rsid w:val="00C50E86"/>
    <w:rsid w:val="00C5106F"/>
    <w:rsid w:val="00C5107E"/>
    <w:rsid w:val="00C51563"/>
    <w:rsid w:val="00C515CF"/>
    <w:rsid w:val="00C51B67"/>
    <w:rsid w:val="00C51EE9"/>
    <w:rsid w:val="00C527C7"/>
    <w:rsid w:val="00C52B0B"/>
    <w:rsid w:val="00C52C32"/>
    <w:rsid w:val="00C52F6E"/>
    <w:rsid w:val="00C5351B"/>
    <w:rsid w:val="00C53926"/>
    <w:rsid w:val="00C53C98"/>
    <w:rsid w:val="00C53D07"/>
    <w:rsid w:val="00C5423E"/>
    <w:rsid w:val="00C543C1"/>
    <w:rsid w:val="00C544C1"/>
    <w:rsid w:val="00C54719"/>
    <w:rsid w:val="00C547F4"/>
    <w:rsid w:val="00C5497D"/>
    <w:rsid w:val="00C54B51"/>
    <w:rsid w:val="00C54F44"/>
    <w:rsid w:val="00C55968"/>
    <w:rsid w:val="00C55990"/>
    <w:rsid w:val="00C562B6"/>
    <w:rsid w:val="00C56D3A"/>
    <w:rsid w:val="00C56F61"/>
    <w:rsid w:val="00C56FCF"/>
    <w:rsid w:val="00C572F6"/>
    <w:rsid w:val="00C57B6C"/>
    <w:rsid w:val="00C57BDA"/>
    <w:rsid w:val="00C57F46"/>
    <w:rsid w:val="00C6016E"/>
    <w:rsid w:val="00C603B6"/>
    <w:rsid w:val="00C606DB"/>
    <w:rsid w:val="00C60756"/>
    <w:rsid w:val="00C60915"/>
    <w:rsid w:val="00C60D00"/>
    <w:rsid w:val="00C61124"/>
    <w:rsid w:val="00C61226"/>
    <w:rsid w:val="00C61282"/>
    <w:rsid w:val="00C613A0"/>
    <w:rsid w:val="00C613E0"/>
    <w:rsid w:val="00C61639"/>
    <w:rsid w:val="00C61691"/>
    <w:rsid w:val="00C61A59"/>
    <w:rsid w:val="00C61FD8"/>
    <w:rsid w:val="00C621BE"/>
    <w:rsid w:val="00C622A2"/>
    <w:rsid w:val="00C628A6"/>
    <w:rsid w:val="00C628CE"/>
    <w:rsid w:val="00C63088"/>
    <w:rsid w:val="00C631A3"/>
    <w:rsid w:val="00C6352F"/>
    <w:rsid w:val="00C638BC"/>
    <w:rsid w:val="00C639EE"/>
    <w:rsid w:val="00C63A76"/>
    <w:rsid w:val="00C64329"/>
    <w:rsid w:val="00C64344"/>
    <w:rsid w:val="00C64AC2"/>
    <w:rsid w:val="00C65108"/>
    <w:rsid w:val="00C654B7"/>
    <w:rsid w:val="00C65576"/>
    <w:rsid w:val="00C6564D"/>
    <w:rsid w:val="00C65923"/>
    <w:rsid w:val="00C65A5B"/>
    <w:rsid w:val="00C65A60"/>
    <w:rsid w:val="00C66165"/>
    <w:rsid w:val="00C6640C"/>
    <w:rsid w:val="00C66F79"/>
    <w:rsid w:val="00C6720D"/>
    <w:rsid w:val="00C677DF"/>
    <w:rsid w:val="00C679B3"/>
    <w:rsid w:val="00C67E29"/>
    <w:rsid w:val="00C7060A"/>
    <w:rsid w:val="00C70D0B"/>
    <w:rsid w:val="00C71011"/>
    <w:rsid w:val="00C71239"/>
    <w:rsid w:val="00C71305"/>
    <w:rsid w:val="00C71361"/>
    <w:rsid w:val="00C713BA"/>
    <w:rsid w:val="00C71444"/>
    <w:rsid w:val="00C7151A"/>
    <w:rsid w:val="00C71571"/>
    <w:rsid w:val="00C71784"/>
    <w:rsid w:val="00C717E3"/>
    <w:rsid w:val="00C71DB4"/>
    <w:rsid w:val="00C71F60"/>
    <w:rsid w:val="00C72241"/>
    <w:rsid w:val="00C72325"/>
    <w:rsid w:val="00C72436"/>
    <w:rsid w:val="00C725DE"/>
    <w:rsid w:val="00C7261C"/>
    <w:rsid w:val="00C7264A"/>
    <w:rsid w:val="00C72866"/>
    <w:rsid w:val="00C728BE"/>
    <w:rsid w:val="00C729B8"/>
    <w:rsid w:val="00C72CBF"/>
    <w:rsid w:val="00C72DF5"/>
    <w:rsid w:val="00C72E8B"/>
    <w:rsid w:val="00C72E9E"/>
    <w:rsid w:val="00C73185"/>
    <w:rsid w:val="00C735A1"/>
    <w:rsid w:val="00C73D37"/>
    <w:rsid w:val="00C742EE"/>
    <w:rsid w:val="00C7445D"/>
    <w:rsid w:val="00C7471C"/>
    <w:rsid w:val="00C74B46"/>
    <w:rsid w:val="00C74B76"/>
    <w:rsid w:val="00C74DAF"/>
    <w:rsid w:val="00C750C8"/>
    <w:rsid w:val="00C7531C"/>
    <w:rsid w:val="00C753F8"/>
    <w:rsid w:val="00C7560F"/>
    <w:rsid w:val="00C7584D"/>
    <w:rsid w:val="00C75D8E"/>
    <w:rsid w:val="00C75F23"/>
    <w:rsid w:val="00C760EC"/>
    <w:rsid w:val="00C76142"/>
    <w:rsid w:val="00C76234"/>
    <w:rsid w:val="00C765A3"/>
    <w:rsid w:val="00C76BE5"/>
    <w:rsid w:val="00C76C2E"/>
    <w:rsid w:val="00C76C40"/>
    <w:rsid w:val="00C76CA2"/>
    <w:rsid w:val="00C770E8"/>
    <w:rsid w:val="00C77CE3"/>
    <w:rsid w:val="00C800F5"/>
    <w:rsid w:val="00C8038C"/>
    <w:rsid w:val="00C8040A"/>
    <w:rsid w:val="00C806BD"/>
    <w:rsid w:val="00C80A0E"/>
    <w:rsid w:val="00C80DF8"/>
    <w:rsid w:val="00C80E6B"/>
    <w:rsid w:val="00C80ECF"/>
    <w:rsid w:val="00C8135A"/>
    <w:rsid w:val="00C813DF"/>
    <w:rsid w:val="00C814F5"/>
    <w:rsid w:val="00C81611"/>
    <w:rsid w:val="00C81936"/>
    <w:rsid w:val="00C81D03"/>
    <w:rsid w:val="00C81E5C"/>
    <w:rsid w:val="00C82095"/>
    <w:rsid w:val="00C82100"/>
    <w:rsid w:val="00C8213F"/>
    <w:rsid w:val="00C826AF"/>
    <w:rsid w:val="00C8291C"/>
    <w:rsid w:val="00C82AD7"/>
    <w:rsid w:val="00C82BA9"/>
    <w:rsid w:val="00C82BDC"/>
    <w:rsid w:val="00C82F5E"/>
    <w:rsid w:val="00C83021"/>
    <w:rsid w:val="00C8303F"/>
    <w:rsid w:val="00C836E3"/>
    <w:rsid w:val="00C83A91"/>
    <w:rsid w:val="00C83B71"/>
    <w:rsid w:val="00C83CA8"/>
    <w:rsid w:val="00C83FD2"/>
    <w:rsid w:val="00C84034"/>
    <w:rsid w:val="00C84089"/>
    <w:rsid w:val="00C84094"/>
    <w:rsid w:val="00C84306"/>
    <w:rsid w:val="00C84420"/>
    <w:rsid w:val="00C84788"/>
    <w:rsid w:val="00C848D5"/>
    <w:rsid w:val="00C84916"/>
    <w:rsid w:val="00C84A1B"/>
    <w:rsid w:val="00C84AA4"/>
    <w:rsid w:val="00C84B99"/>
    <w:rsid w:val="00C84BD7"/>
    <w:rsid w:val="00C85154"/>
    <w:rsid w:val="00C85175"/>
    <w:rsid w:val="00C8538B"/>
    <w:rsid w:val="00C853D6"/>
    <w:rsid w:val="00C854FA"/>
    <w:rsid w:val="00C85540"/>
    <w:rsid w:val="00C8586F"/>
    <w:rsid w:val="00C858DC"/>
    <w:rsid w:val="00C85962"/>
    <w:rsid w:val="00C85A70"/>
    <w:rsid w:val="00C85FBF"/>
    <w:rsid w:val="00C863D5"/>
    <w:rsid w:val="00C8662E"/>
    <w:rsid w:val="00C86927"/>
    <w:rsid w:val="00C8695F"/>
    <w:rsid w:val="00C86BCA"/>
    <w:rsid w:val="00C86D30"/>
    <w:rsid w:val="00C86F03"/>
    <w:rsid w:val="00C87350"/>
    <w:rsid w:val="00C877B8"/>
    <w:rsid w:val="00C87940"/>
    <w:rsid w:val="00C87979"/>
    <w:rsid w:val="00C8797A"/>
    <w:rsid w:val="00C879C2"/>
    <w:rsid w:val="00C87C23"/>
    <w:rsid w:val="00C900B8"/>
    <w:rsid w:val="00C90197"/>
    <w:rsid w:val="00C9054B"/>
    <w:rsid w:val="00C90A11"/>
    <w:rsid w:val="00C90BA2"/>
    <w:rsid w:val="00C90C71"/>
    <w:rsid w:val="00C9137B"/>
    <w:rsid w:val="00C91DE2"/>
    <w:rsid w:val="00C91FD1"/>
    <w:rsid w:val="00C924D0"/>
    <w:rsid w:val="00C924E5"/>
    <w:rsid w:val="00C9250C"/>
    <w:rsid w:val="00C92613"/>
    <w:rsid w:val="00C92E37"/>
    <w:rsid w:val="00C92E85"/>
    <w:rsid w:val="00C92FF7"/>
    <w:rsid w:val="00C931CF"/>
    <w:rsid w:val="00C9323E"/>
    <w:rsid w:val="00C938CF"/>
    <w:rsid w:val="00C93B89"/>
    <w:rsid w:val="00C93DE9"/>
    <w:rsid w:val="00C93F1B"/>
    <w:rsid w:val="00C94053"/>
    <w:rsid w:val="00C942AD"/>
    <w:rsid w:val="00C94A5B"/>
    <w:rsid w:val="00C94FA3"/>
    <w:rsid w:val="00C95088"/>
    <w:rsid w:val="00C950AB"/>
    <w:rsid w:val="00C95197"/>
    <w:rsid w:val="00C952B7"/>
    <w:rsid w:val="00C952EE"/>
    <w:rsid w:val="00C95859"/>
    <w:rsid w:val="00C95B79"/>
    <w:rsid w:val="00C95BA8"/>
    <w:rsid w:val="00C95D7A"/>
    <w:rsid w:val="00C9624D"/>
    <w:rsid w:val="00C9693D"/>
    <w:rsid w:val="00C969DA"/>
    <w:rsid w:val="00C9733E"/>
    <w:rsid w:val="00C9776F"/>
    <w:rsid w:val="00C97778"/>
    <w:rsid w:val="00C978CC"/>
    <w:rsid w:val="00CA0112"/>
    <w:rsid w:val="00CA03C2"/>
    <w:rsid w:val="00CA0525"/>
    <w:rsid w:val="00CA0559"/>
    <w:rsid w:val="00CA07CA"/>
    <w:rsid w:val="00CA0801"/>
    <w:rsid w:val="00CA12CA"/>
    <w:rsid w:val="00CA131B"/>
    <w:rsid w:val="00CA1B9A"/>
    <w:rsid w:val="00CA2264"/>
    <w:rsid w:val="00CA23CF"/>
    <w:rsid w:val="00CA26AB"/>
    <w:rsid w:val="00CA2719"/>
    <w:rsid w:val="00CA298E"/>
    <w:rsid w:val="00CA2C77"/>
    <w:rsid w:val="00CA2CC8"/>
    <w:rsid w:val="00CA2F92"/>
    <w:rsid w:val="00CA366C"/>
    <w:rsid w:val="00CA370E"/>
    <w:rsid w:val="00CA37D5"/>
    <w:rsid w:val="00CA3DF0"/>
    <w:rsid w:val="00CA3E74"/>
    <w:rsid w:val="00CA401A"/>
    <w:rsid w:val="00CA444F"/>
    <w:rsid w:val="00CA4491"/>
    <w:rsid w:val="00CA498A"/>
    <w:rsid w:val="00CA4DD1"/>
    <w:rsid w:val="00CA5245"/>
    <w:rsid w:val="00CA5353"/>
    <w:rsid w:val="00CA5665"/>
    <w:rsid w:val="00CA5A3A"/>
    <w:rsid w:val="00CA5C3C"/>
    <w:rsid w:val="00CA5CBF"/>
    <w:rsid w:val="00CA5EB3"/>
    <w:rsid w:val="00CA5FB3"/>
    <w:rsid w:val="00CA6019"/>
    <w:rsid w:val="00CA6033"/>
    <w:rsid w:val="00CA637F"/>
    <w:rsid w:val="00CA63EA"/>
    <w:rsid w:val="00CA683C"/>
    <w:rsid w:val="00CA6A6D"/>
    <w:rsid w:val="00CA6A9F"/>
    <w:rsid w:val="00CA6CA4"/>
    <w:rsid w:val="00CA6CFC"/>
    <w:rsid w:val="00CA6D80"/>
    <w:rsid w:val="00CA6E31"/>
    <w:rsid w:val="00CA6F29"/>
    <w:rsid w:val="00CA71F4"/>
    <w:rsid w:val="00CA74F8"/>
    <w:rsid w:val="00CA7614"/>
    <w:rsid w:val="00CA78CA"/>
    <w:rsid w:val="00CA7B09"/>
    <w:rsid w:val="00CA7D47"/>
    <w:rsid w:val="00CA7D86"/>
    <w:rsid w:val="00CB00C7"/>
    <w:rsid w:val="00CB02B3"/>
    <w:rsid w:val="00CB03BC"/>
    <w:rsid w:val="00CB0971"/>
    <w:rsid w:val="00CB0AC7"/>
    <w:rsid w:val="00CB0D5F"/>
    <w:rsid w:val="00CB0FAB"/>
    <w:rsid w:val="00CB12A4"/>
    <w:rsid w:val="00CB12A5"/>
    <w:rsid w:val="00CB17B8"/>
    <w:rsid w:val="00CB1858"/>
    <w:rsid w:val="00CB1CAC"/>
    <w:rsid w:val="00CB1F73"/>
    <w:rsid w:val="00CB288E"/>
    <w:rsid w:val="00CB29A3"/>
    <w:rsid w:val="00CB2C8F"/>
    <w:rsid w:val="00CB2F2A"/>
    <w:rsid w:val="00CB316E"/>
    <w:rsid w:val="00CB3251"/>
    <w:rsid w:val="00CB3F87"/>
    <w:rsid w:val="00CB412A"/>
    <w:rsid w:val="00CB43FD"/>
    <w:rsid w:val="00CB440D"/>
    <w:rsid w:val="00CB44B5"/>
    <w:rsid w:val="00CB4984"/>
    <w:rsid w:val="00CB49DD"/>
    <w:rsid w:val="00CB58F4"/>
    <w:rsid w:val="00CB5A5B"/>
    <w:rsid w:val="00CB5B1A"/>
    <w:rsid w:val="00CB5E4B"/>
    <w:rsid w:val="00CB64D3"/>
    <w:rsid w:val="00CB6983"/>
    <w:rsid w:val="00CB6B22"/>
    <w:rsid w:val="00CB6B67"/>
    <w:rsid w:val="00CB6C55"/>
    <w:rsid w:val="00CB6D56"/>
    <w:rsid w:val="00CB6F70"/>
    <w:rsid w:val="00CB7290"/>
    <w:rsid w:val="00CB752E"/>
    <w:rsid w:val="00CB771B"/>
    <w:rsid w:val="00CB7D35"/>
    <w:rsid w:val="00CB7E4A"/>
    <w:rsid w:val="00CB7F5F"/>
    <w:rsid w:val="00CB7F7C"/>
    <w:rsid w:val="00CC0387"/>
    <w:rsid w:val="00CC03A2"/>
    <w:rsid w:val="00CC0E6E"/>
    <w:rsid w:val="00CC0F8D"/>
    <w:rsid w:val="00CC102B"/>
    <w:rsid w:val="00CC15FF"/>
    <w:rsid w:val="00CC1B39"/>
    <w:rsid w:val="00CC1BFA"/>
    <w:rsid w:val="00CC209B"/>
    <w:rsid w:val="00CC2328"/>
    <w:rsid w:val="00CC23AB"/>
    <w:rsid w:val="00CC262F"/>
    <w:rsid w:val="00CC266C"/>
    <w:rsid w:val="00CC2D04"/>
    <w:rsid w:val="00CC2E28"/>
    <w:rsid w:val="00CC2E9F"/>
    <w:rsid w:val="00CC314C"/>
    <w:rsid w:val="00CC3218"/>
    <w:rsid w:val="00CC3236"/>
    <w:rsid w:val="00CC338E"/>
    <w:rsid w:val="00CC35EA"/>
    <w:rsid w:val="00CC3848"/>
    <w:rsid w:val="00CC3901"/>
    <w:rsid w:val="00CC3B65"/>
    <w:rsid w:val="00CC3C4C"/>
    <w:rsid w:val="00CC408A"/>
    <w:rsid w:val="00CC41CE"/>
    <w:rsid w:val="00CC4963"/>
    <w:rsid w:val="00CC4D16"/>
    <w:rsid w:val="00CC4D65"/>
    <w:rsid w:val="00CC4D8B"/>
    <w:rsid w:val="00CC4E75"/>
    <w:rsid w:val="00CC5A99"/>
    <w:rsid w:val="00CC5BA4"/>
    <w:rsid w:val="00CC5E97"/>
    <w:rsid w:val="00CC5EBA"/>
    <w:rsid w:val="00CC5EBB"/>
    <w:rsid w:val="00CC6166"/>
    <w:rsid w:val="00CC6316"/>
    <w:rsid w:val="00CC68AC"/>
    <w:rsid w:val="00CC6C26"/>
    <w:rsid w:val="00CC6D5E"/>
    <w:rsid w:val="00CC712A"/>
    <w:rsid w:val="00CC7891"/>
    <w:rsid w:val="00CC7ED8"/>
    <w:rsid w:val="00CC7FBA"/>
    <w:rsid w:val="00CD0200"/>
    <w:rsid w:val="00CD095A"/>
    <w:rsid w:val="00CD09AD"/>
    <w:rsid w:val="00CD0A28"/>
    <w:rsid w:val="00CD0D62"/>
    <w:rsid w:val="00CD11CF"/>
    <w:rsid w:val="00CD11E7"/>
    <w:rsid w:val="00CD1B42"/>
    <w:rsid w:val="00CD1BC1"/>
    <w:rsid w:val="00CD1CB6"/>
    <w:rsid w:val="00CD1D60"/>
    <w:rsid w:val="00CD1F4C"/>
    <w:rsid w:val="00CD2087"/>
    <w:rsid w:val="00CD234B"/>
    <w:rsid w:val="00CD2B05"/>
    <w:rsid w:val="00CD36A2"/>
    <w:rsid w:val="00CD3F77"/>
    <w:rsid w:val="00CD4254"/>
    <w:rsid w:val="00CD42BE"/>
    <w:rsid w:val="00CD4339"/>
    <w:rsid w:val="00CD44A1"/>
    <w:rsid w:val="00CD459B"/>
    <w:rsid w:val="00CD490A"/>
    <w:rsid w:val="00CD4C6A"/>
    <w:rsid w:val="00CD5629"/>
    <w:rsid w:val="00CD5A97"/>
    <w:rsid w:val="00CD6275"/>
    <w:rsid w:val="00CD6280"/>
    <w:rsid w:val="00CD6727"/>
    <w:rsid w:val="00CD69DF"/>
    <w:rsid w:val="00CD6ADC"/>
    <w:rsid w:val="00CD6DC0"/>
    <w:rsid w:val="00CD6E7A"/>
    <w:rsid w:val="00CD7193"/>
    <w:rsid w:val="00CD72D2"/>
    <w:rsid w:val="00CD78AF"/>
    <w:rsid w:val="00CD7A6C"/>
    <w:rsid w:val="00CE0DC9"/>
    <w:rsid w:val="00CE11BD"/>
    <w:rsid w:val="00CE1209"/>
    <w:rsid w:val="00CE34AC"/>
    <w:rsid w:val="00CE3704"/>
    <w:rsid w:val="00CE3732"/>
    <w:rsid w:val="00CE374F"/>
    <w:rsid w:val="00CE38C8"/>
    <w:rsid w:val="00CE3B00"/>
    <w:rsid w:val="00CE3B0E"/>
    <w:rsid w:val="00CE3D7C"/>
    <w:rsid w:val="00CE3DD2"/>
    <w:rsid w:val="00CE4265"/>
    <w:rsid w:val="00CE4BE1"/>
    <w:rsid w:val="00CE524F"/>
    <w:rsid w:val="00CE58CC"/>
    <w:rsid w:val="00CE5AEE"/>
    <w:rsid w:val="00CE5B54"/>
    <w:rsid w:val="00CE5BFE"/>
    <w:rsid w:val="00CE5C73"/>
    <w:rsid w:val="00CE5CD4"/>
    <w:rsid w:val="00CE5D19"/>
    <w:rsid w:val="00CE5E5F"/>
    <w:rsid w:val="00CE6274"/>
    <w:rsid w:val="00CE6361"/>
    <w:rsid w:val="00CE63CA"/>
    <w:rsid w:val="00CE77B6"/>
    <w:rsid w:val="00CE7D8A"/>
    <w:rsid w:val="00CF0162"/>
    <w:rsid w:val="00CF04CA"/>
    <w:rsid w:val="00CF0694"/>
    <w:rsid w:val="00CF08FA"/>
    <w:rsid w:val="00CF0E6E"/>
    <w:rsid w:val="00CF116C"/>
    <w:rsid w:val="00CF1EAC"/>
    <w:rsid w:val="00CF217D"/>
    <w:rsid w:val="00CF2391"/>
    <w:rsid w:val="00CF29AF"/>
    <w:rsid w:val="00CF2A29"/>
    <w:rsid w:val="00CF2B8D"/>
    <w:rsid w:val="00CF2D95"/>
    <w:rsid w:val="00CF35C3"/>
    <w:rsid w:val="00CF3A1B"/>
    <w:rsid w:val="00CF3A33"/>
    <w:rsid w:val="00CF3F75"/>
    <w:rsid w:val="00CF424E"/>
    <w:rsid w:val="00CF456B"/>
    <w:rsid w:val="00CF46B5"/>
    <w:rsid w:val="00CF47E2"/>
    <w:rsid w:val="00CF47F4"/>
    <w:rsid w:val="00CF49DC"/>
    <w:rsid w:val="00CF4CAB"/>
    <w:rsid w:val="00CF4DDF"/>
    <w:rsid w:val="00CF4FA7"/>
    <w:rsid w:val="00CF51A4"/>
    <w:rsid w:val="00CF54C5"/>
    <w:rsid w:val="00CF5A22"/>
    <w:rsid w:val="00CF5AB2"/>
    <w:rsid w:val="00CF5ACC"/>
    <w:rsid w:val="00CF5BAA"/>
    <w:rsid w:val="00CF600D"/>
    <w:rsid w:val="00CF6079"/>
    <w:rsid w:val="00CF60A7"/>
    <w:rsid w:val="00CF60F0"/>
    <w:rsid w:val="00CF6129"/>
    <w:rsid w:val="00CF6673"/>
    <w:rsid w:val="00CF69A1"/>
    <w:rsid w:val="00CF6CF4"/>
    <w:rsid w:val="00CF71F5"/>
    <w:rsid w:val="00CF7452"/>
    <w:rsid w:val="00CF754A"/>
    <w:rsid w:val="00CF7822"/>
    <w:rsid w:val="00CF7CBC"/>
    <w:rsid w:val="00CF7D65"/>
    <w:rsid w:val="00D0055F"/>
    <w:rsid w:val="00D00937"/>
    <w:rsid w:val="00D009EF"/>
    <w:rsid w:val="00D00A2C"/>
    <w:rsid w:val="00D01B55"/>
    <w:rsid w:val="00D023B0"/>
    <w:rsid w:val="00D0262E"/>
    <w:rsid w:val="00D02982"/>
    <w:rsid w:val="00D02E29"/>
    <w:rsid w:val="00D03426"/>
    <w:rsid w:val="00D03679"/>
    <w:rsid w:val="00D036C5"/>
    <w:rsid w:val="00D03704"/>
    <w:rsid w:val="00D0371B"/>
    <w:rsid w:val="00D03771"/>
    <w:rsid w:val="00D0382B"/>
    <w:rsid w:val="00D03DEF"/>
    <w:rsid w:val="00D040E7"/>
    <w:rsid w:val="00D042B3"/>
    <w:rsid w:val="00D04A87"/>
    <w:rsid w:val="00D04C39"/>
    <w:rsid w:val="00D04EB1"/>
    <w:rsid w:val="00D04F56"/>
    <w:rsid w:val="00D051C7"/>
    <w:rsid w:val="00D051F2"/>
    <w:rsid w:val="00D058AE"/>
    <w:rsid w:val="00D0599B"/>
    <w:rsid w:val="00D05E3D"/>
    <w:rsid w:val="00D05F1C"/>
    <w:rsid w:val="00D06139"/>
    <w:rsid w:val="00D063D7"/>
    <w:rsid w:val="00D06BB7"/>
    <w:rsid w:val="00D06D3E"/>
    <w:rsid w:val="00D0707C"/>
    <w:rsid w:val="00D071C3"/>
    <w:rsid w:val="00D076CA"/>
    <w:rsid w:val="00D0788F"/>
    <w:rsid w:val="00D07B16"/>
    <w:rsid w:val="00D07BD7"/>
    <w:rsid w:val="00D07EA1"/>
    <w:rsid w:val="00D07EB0"/>
    <w:rsid w:val="00D07F02"/>
    <w:rsid w:val="00D07F45"/>
    <w:rsid w:val="00D10020"/>
    <w:rsid w:val="00D10779"/>
    <w:rsid w:val="00D1077F"/>
    <w:rsid w:val="00D11042"/>
    <w:rsid w:val="00D11052"/>
    <w:rsid w:val="00D110BD"/>
    <w:rsid w:val="00D11229"/>
    <w:rsid w:val="00D11237"/>
    <w:rsid w:val="00D112FF"/>
    <w:rsid w:val="00D11E1E"/>
    <w:rsid w:val="00D11FE3"/>
    <w:rsid w:val="00D1231E"/>
    <w:rsid w:val="00D12A5B"/>
    <w:rsid w:val="00D1309E"/>
    <w:rsid w:val="00D1316C"/>
    <w:rsid w:val="00D131D3"/>
    <w:rsid w:val="00D13675"/>
    <w:rsid w:val="00D138D3"/>
    <w:rsid w:val="00D13A23"/>
    <w:rsid w:val="00D141E1"/>
    <w:rsid w:val="00D14252"/>
    <w:rsid w:val="00D14552"/>
    <w:rsid w:val="00D14563"/>
    <w:rsid w:val="00D14577"/>
    <w:rsid w:val="00D14760"/>
    <w:rsid w:val="00D14A3B"/>
    <w:rsid w:val="00D14BF4"/>
    <w:rsid w:val="00D1523C"/>
    <w:rsid w:val="00D15314"/>
    <w:rsid w:val="00D15ADC"/>
    <w:rsid w:val="00D15B48"/>
    <w:rsid w:val="00D15E09"/>
    <w:rsid w:val="00D15F66"/>
    <w:rsid w:val="00D16178"/>
    <w:rsid w:val="00D165FE"/>
    <w:rsid w:val="00D16AF7"/>
    <w:rsid w:val="00D16C4D"/>
    <w:rsid w:val="00D16E26"/>
    <w:rsid w:val="00D16F27"/>
    <w:rsid w:val="00D16F85"/>
    <w:rsid w:val="00D173C4"/>
    <w:rsid w:val="00D17D6C"/>
    <w:rsid w:val="00D17E85"/>
    <w:rsid w:val="00D203D3"/>
    <w:rsid w:val="00D20887"/>
    <w:rsid w:val="00D2089C"/>
    <w:rsid w:val="00D20FCF"/>
    <w:rsid w:val="00D2153C"/>
    <w:rsid w:val="00D2155B"/>
    <w:rsid w:val="00D21717"/>
    <w:rsid w:val="00D21B0C"/>
    <w:rsid w:val="00D21E29"/>
    <w:rsid w:val="00D2246C"/>
    <w:rsid w:val="00D226A0"/>
    <w:rsid w:val="00D22D3E"/>
    <w:rsid w:val="00D232CA"/>
    <w:rsid w:val="00D23711"/>
    <w:rsid w:val="00D238FB"/>
    <w:rsid w:val="00D23D11"/>
    <w:rsid w:val="00D2414E"/>
    <w:rsid w:val="00D244B6"/>
    <w:rsid w:val="00D2460E"/>
    <w:rsid w:val="00D24B53"/>
    <w:rsid w:val="00D24E84"/>
    <w:rsid w:val="00D25080"/>
    <w:rsid w:val="00D25525"/>
    <w:rsid w:val="00D25581"/>
    <w:rsid w:val="00D25A77"/>
    <w:rsid w:val="00D25C8A"/>
    <w:rsid w:val="00D25D07"/>
    <w:rsid w:val="00D25E23"/>
    <w:rsid w:val="00D26459"/>
    <w:rsid w:val="00D26909"/>
    <w:rsid w:val="00D2695F"/>
    <w:rsid w:val="00D26AF6"/>
    <w:rsid w:val="00D26CB4"/>
    <w:rsid w:val="00D27289"/>
    <w:rsid w:val="00D27389"/>
    <w:rsid w:val="00D2754D"/>
    <w:rsid w:val="00D276A9"/>
    <w:rsid w:val="00D276AB"/>
    <w:rsid w:val="00D2771D"/>
    <w:rsid w:val="00D2782F"/>
    <w:rsid w:val="00D27942"/>
    <w:rsid w:val="00D27B27"/>
    <w:rsid w:val="00D27FE7"/>
    <w:rsid w:val="00D305C3"/>
    <w:rsid w:val="00D30D5B"/>
    <w:rsid w:val="00D30E20"/>
    <w:rsid w:val="00D30E8E"/>
    <w:rsid w:val="00D3132F"/>
    <w:rsid w:val="00D31B12"/>
    <w:rsid w:val="00D31CAD"/>
    <w:rsid w:val="00D31E02"/>
    <w:rsid w:val="00D31F60"/>
    <w:rsid w:val="00D3217E"/>
    <w:rsid w:val="00D321A3"/>
    <w:rsid w:val="00D32537"/>
    <w:rsid w:val="00D32663"/>
    <w:rsid w:val="00D326C8"/>
    <w:rsid w:val="00D3280B"/>
    <w:rsid w:val="00D32B9F"/>
    <w:rsid w:val="00D333EF"/>
    <w:rsid w:val="00D33BE9"/>
    <w:rsid w:val="00D33E2A"/>
    <w:rsid w:val="00D33F93"/>
    <w:rsid w:val="00D3408A"/>
    <w:rsid w:val="00D349FF"/>
    <w:rsid w:val="00D34BB6"/>
    <w:rsid w:val="00D34DA4"/>
    <w:rsid w:val="00D351E3"/>
    <w:rsid w:val="00D35340"/>
    <w:rsid w:val="00D35473"/>
    <w:rsid w:val="00D3572C"/>
    <w:rsid w:val="00D357FF"/>
    <w:rsid w:val="00D35848"/>
    <w:rsid w:val="00D35E65"/>
    <w:rsid w:val="00D35EA4"/>
    <w:rsid w:val="00D3621A"/>
    <w:rsid w:val="00D366B6"/>
    <w:rsid w:val="00D367EC"/>
    <w:rsid w:val="00D36E17"/>
    <w:rsid w:val="00D371BD"/>
    <w:rsid w:val="00D3749B"/>
    <w:rsid w:val="00D3764C"/>
    <w:rsid w:val="00D379FF"/>
    <w:rsid w:val="00D37B56"/>
    <w:rsid w:val="00D400B1"/>
    <w:rsid w:val="00D40334"/>
    <w:rsid w:val="00D403C5"/>
    <w:rsid w:val="00D40490"/>
    <w:rsid w:val="00D40615"/>
    <w:rsid w:val="00D40A2E"/>
    <w:rsid w:val="00D41115"/>
    <w:rsid w:val="00D41DA5"/>
    <w:rsid w:val="00D41F2D"/>
    <w:rsid w:val="00D421A1"/>
    <w:rsid w:val="00D42292"/>
    <w:rsid w:val="00D4231F"/>
    <w:rsid w:val="00D423F5"/>
    <w:rsid w:val="00D42420"/>
    <w:rsid w:val="00D424C7"/>
    <w:rsid w:val="00D42C67"/>
    <w:rsid w:val="00D42C6A"/>
    <w:rsid w:val="00D42C7C"/>
    <w:rsid w:val="00D432F4"/>
    <w:rsid w:val="00D435E5"/>
    <w:rsid w:val="00D4361A"/>
    <w:rsid w:val="00D439C6"/>
    <w:rsid w:val="00D439FE"/>
    <w:rsid w:val="00D43B2A"/>
    <w:rsid w:val="00D43C98"/>
    <w:rsid w:val="00D43CF1"/>
    <w:rsid w:val="00D43D83"/>
    <w:rsid w:val="00D43DF8"/>
    <w:rsid w:val="00D441D0"/>
    <w:rsid w:val="00D446AA"/>
    <w:rsid w:val="00D447B7"/>
    <w:rsid w:val="00D44EC8"/>
    <w:rsid w:val="00D450D9"/>
    <w:rsid w:val="00D451E3"/>
    <w:rsid w:val="00D45630"/>
    <w:rsid w:val="00D457B3"/>
    <w:rsid w:val="00D45C78"/>
    <w:rsid w:val="00D4649D"/>
    <w:rsid w:val="00D4664B"/>
    <w:rsid w:val="00D46A4D"/>
    <w:rsid w:val="00D47575"/>
    <w:rsid w:val="00D4778D"/>
    <w:rsid w:val="00D477AD"/>
    <w:rsid w:val="00D47872"/>
    <w:rsid w:val="00D47C1D"/>
    <w:rsid w:val="00D47EDC"/>
    <w:rsid w:val="00D47F0B"/>
    <w:rsid w:val="00D500A5"/>
    <w:rsid w:val="00D50128"/>
    <w:rsid w:val="00D505F7"/>
    <w:rsid w:val="00D50811"/>
    <w:rsid w:val="00D5092D"/>
    <w:rsid w:val="00D50A7E"/>
    <w:rsid w:val="00D51222"/>
    <w:rsid w:val="00D523E6"/>
    <w:rsid w:val="00D5243B"/>
    <w:rsid w:val="00D52510"/>
    <w:rsid w:val="00D52A23"/>
    <w:rsid w:val="00D52ABF"/>
    <w:rsid w:val="00D52E65"/>
    <w:rsid w:val="00D52FF5"/>
    <w:rsid w:val="00D53305"/>
    <w:rsid w:val="00D53360"/>
    <w:rsid w:val="00D53392"/>
    <w:rsid w:val="00D533EC"/>
    <w:rsid w:val="00D5377C"/>
    <w:rsid w:val="00D537D2"/>
    <w:rsid w:val="00D5397F"/>
    <w:rsid w:val="00D53EDB"/>
    <w:rsid w:val="00D54375"/>
    <w:rsid w:val="00D5453C"/>
    <w:rsid w:val="00D54832"/>
    <w:rsid w:val="00D548A6"/>
    <w:rsid w:val="00D549F8"/>
    <w:rsid w:val="00D54A34"/>
    <w:rsid w:val="00D54B8C"/>
    <w:rsid w:val="00D54C8B"/>
    <w:rsid w:val="00D55169"/>
    <w:rsid w:val="00D55231"/>
    <w:rsid w:val="00D552DE"/>
    <w:rsid w:val="00D55520"/>
    <w:rsid w:val="00D55D5A"/>
    <w:rsid w:val="00D55F93"/>
    <w:rsid w:val="00D5674C"/>
    <w:rsid w:val="00D5675B"/>
    <w:rsid w:val="00D569BE"/>
    <w:rsid w:val="00D56A95"/>
    <w:rsid w:val="00D56C79"/>
    <w:rsid w:val="00D56CDB"/>
    <w:rsid w:val="00D57BAE"/>
    <w:rsid w:val="00D57F75"/>
    <w:rsid w:val="00D600FD"/>
    <w:rsid w:val="00D60436"/>
    <w:rsid w:val="00D6076E"/>
    <w:rsid w:val="00D60B5A"/>
    <w:rsid w:val="00D61103"/>
    <w:rsid w:val="00D614D2"/>
    <w:rsid w:val="00D619A0"/>
    <w:rsid w:val="00D61C9B"/>
    <w:rsid w:val="00D61D9B"/>
    <w:rsid w:val="00D61E33"/>
    <w:rsid w:val="00D62060"/>
    <w:rsid w:val="00D6225D"/>
    <w:rsid w:val="00D62515"/>
    <w:rsid w:val="00D62552"/>
    <w:rsid w:val="00D62556"/>
    <w:rsid w:val="00D62840"/>
    <w:rsid w:val="00D62AB1"/>
    <w:rsid w:val="00D62E0C"/>
    <w:rsid w:val="00D63923"/>
    <w:rsid w:val="00D63B7E"/>
    <w:rsid w:val="00D64342"/>
    <w:rsid w:val="00D648D7"/>
    <w:rsid w:val="00D65914"/>
    <w:rsid w:val="00D6596B"/>
    <w:rsid w:val="00D65DA6"/>
    <w:rsid w:val="00D65E59"/>
    <w:rsid w:val="00D6619E"/>
    <w:rsid w:val="00D66808"/>
    <w:rsid w:val="00D66E33"/>
    <w:rsid w:val="00D66ED9"/>
    <w:rsid w:val="00D67059"/>
    <w:rsid w:val="00D670E9"/>
    <w:rsid w:val="00D67C06"/>
    <w:rsid w:val="00D67F7C"/>
    <w:rsid w:val="00D67FAD"/>
    <w:rsid w:val="00D70328"/>
    <w:rsid w:val="00D707B6"/>
    <w:rsid w:val="00D709A8"/>
    <w:rsid w:val="00D70B12"/>
    <w:rsid w:val="00D70C06"/>
    <w:rsid w:val="00D70E67"/>
    <w:rsid w:val="00D70F16"/>
    <w:rsid w:val="00D70F18"/>
    <w:rsid w:val="00D70FFF"/>
    <w:rsid w:val="00D71977"/>
    <w:rsid w:val="00D71D22"/>
    <w:rsid w:val="00D71E03"/>
    <w:rsid w:val="00D71E04"/>
    <w:rsid w:val="00D71F56"/>
    <w:rsid w:val="00D720CA"/>
    <w:rsid w:val="00D723E6"/>
    <w:rsid w:val="00D72535"/>
    <w:rsid w:val="00D72617"/>
    <w:rsid w:val="00D7292F"/>
    <w:rsid w:val="00D72F57"/>
    <w:rsid w:val="00D730E4"/>
    <w:rsid w:val="00D73295"/>
    <w:rsid w:val="00D736CB"/>
    <w:rsid w:val="00D73997"/>
    <w:rsid w:val="00D7399B"/>
    <w:rsid w:val="00D73ACF"/>
    <w:rsid w:val="00D73D84"/>
    <w:rsid w:val="00D73F3C"/>
    <w:rsid w:val="00D74939"/>
    <w:rsid w:val="00D74ACF"/>
    <w:rsid w:val="00D74C89"/>
    <w:rsid w:val="00D74E39"/>
    <w:rsid w:val="00D753AE"/>
    <w:rsid w:val="00D75426"/>
    <w:rsid w:val="00D75891"/>
    <w:rsid w:val="00D75899"/>
    <w:rsid w:val="00D7594B"/>
    <w:rsid w:val="00D75D8B"/>
    <w:rsid w:val="00D75E73"/>
    <w:rsid w:val="00D76119"/>
    <w:rsid w:val="00D76211"/>
    <w:rsid w:val="00D764CC"/>
    <w:rsid w:val="00D7663D"/>
    <w:rsid w:val="00D7668B"/>
    <w:rsid w:val="00D76913"/>
    <w:rsid w:val="00D76A44"/>
    <w:rsid w:val="00D76B9A"/>
    <w:rsid w:val="00D76BBA"/>
    <w:rsid w:val="00D76FDA"/>
    <w:rsid w:val="00D7729E"/>
    <w:rsid w:val="00D77543"/>
    <w:rsid w:val="00D7795B"/>
    <w:rsid w:val="00D779A5"/>
    <w:rsid w:val="00D779C3"/>
    <w:rsid w:val="00D77E1C"/>
    <w:rsid w:val="00D8001B"/>
    <w:rsid w:val="00D80353"/>
    <w:rsid w:val="00D8067D"/>
    <w:rsid w:val="00D810AF"/>
    <w:rsid w:val="00D810E5"/>
    <w:rsid w:val="00D815EF"/>
    <w:rsid w:val="00D8165B"/>
    <w:rsid w:val="00D81765"/>
    <w:rsid w:val="00D81844"/>
    <w:rsid w:val="00D81949"/>
    <w:rsid w:val="00D81C86"/>
    <w:rsid w:val="00D81F26"/>
    <w:rsid w:val="00D82056"/>
    <w:rsid w:val="00D82249"/>
    <w:rsid w:val="00D822E2"/>
    <w:rsid w:val="00D82314"/>
    <w:rsid w:val="00D82389"/>
    <w:rsid w:val="00D82433"/>
    <w:rsid w:val="00D82502"/>
    <w:rsid w:val="00D8311E"/>
    <w:rsid w:val="00D83299"/>
    <w:rsid w:val="00D83C23"/>
    <w:rsid w:val="00D83CB2"/>
    <w:rsid w:val="00D83E3B"/>
    <w:rsid w:val="00D84083"/>
    <w:rsid w:val="00D84239"/>
    <w:rsid w:val="00D843F2"/>
    <w:rsid w:val="00D8483B"/>
    <w:rsid w:val="00D84AD1"/>
    <w:rsid w:val="00D84B0F"/>
    <w:rsid w:val="00D8621F"/>
    <w:rsid w:val="00D86231"/>
    <w:rsid w:val="00D862F8"/>
    <w:rsid w:val="00D8661F"/>
    <w:rsid w:val="00D8683A"/>
    <w:rsid w:val="00D86856"/>
    <w:rsid w:val="00D8690E"/>
    <w:rsid w:val="00D86C45"/>
    <w:rsid w:val="00D86F82"/>
    <w:rsid w:val="00D873F3"/>
    <w:rsid w:val="00D87AB6"/>
    <w:rsid w:val="00D87F5C"/>
    <w:rsid w:val="00D90198"/>
    <w:rsid w:val="00D90504"/>
    <w:rsid w:val="00D90646"/>
    <w:rsid w:val="00D90BCE"/>
    <w:rsid w:val="00D90F29"/>
    <w:rsid w:val="00D912AB"/>
    <w:rsid w:val="00D916D9"/>
    <w:rsid w:val="00D9188A"/>
    <w:rsid w:val="00D91923"/>
    <w:rsid w:val="00D91A21"/>
    <w:rsid w:val="00D91A68"/>
    <w:rsid w:val="00D91AFD"/>
    <w:rsid w:val="00D91E87"/>
    <w:rsid w:val="00D91FB3"/>
    <w:rsid w:val="00D9209B"/>
    <w:rsid w:val="00D9222A"/>
    <w:rsid w:val="00D9273A"/>
    <w:rsid w:val="00D92763"/>
    <w:rsid w:val="00D92BBE"/>
    <w:rsid w:val="00D92BE8"/>
    <w:rsid w:val="00D92C54"/>
    <w:rsid w:val="00D92D11"/>
    <w:rsid w:val="00D92D9D"/>
    <w:rsid w:val="00D93753"/>
    <w:rsid w:val="00D93D37"/>
    <w:rsid w:val="00D94278"/>
    <w:rsid w:val="00D94920"/>
    <w:rsid w:val="00D94BF0"/>
    <w:rsid w:val="00D951E7"/>
    <w:rsid w:val="00D954B7"/>
    <w:rsid w:val="00D956B9"/>
    <w:rsid w:val="00D958A5"/>
    <w:rsid w:val="00D95D00"/>
    <w:rsid w:val="00D961E4"/>
    <w:rsid w:val="00D96508"/>
    <w:rsid w:val="00D96509"/>
    <w:rsid w:val="00D96920"/>
    <w:rsid w:val="00D96943"/>
    <w:rsid w:val="00D96ADE"/>
    <w:rsid w:val="00D96F3E"/>
    <w:rsid w:val="00D97238"/>
    <w:rsid w:val="00D97338"/>
    <w:rsid w:val="00D9739A"/>
    <w:rsid w:val="00D97C70"/>
    <w:rsid w:val="00D97F1D"/>
    <w:rsid w:val="00D97F42"/>
    <w:rsid w:val="00DA0613"/>
    <w:rsid w:val="00DA0B21"/>
    <w:rsid w:val="00DA0EE6"/>
    <w:rsid w:val="00DA1047"/>
    <w:rsid w:val="00DA1235"/>
    <w:rsid w:val="00DA1296"/>
    <w:rsid w:val="00DA14E6"/>
    <w:rsid w:val="00DA1930"/>
    <w:rsid w:val="00DA2246"/>
    <w:rsid w:val="00DA225B"/>
    <w:rsid w:val="00DA2A51"/>
    <w:rsid w:val="00DA2C3B"/>
    <w:rsid w:val="00DA2D3D"/>
    <w:rsid w:val="00DA3167"/>
    <w:rsid w:val="00DA334B"/>
    <w:rsid w:val="00DA35AF"/>
    <w:rsid w:val="00DA37A5"/>
    <w:rsid w:val="00DA3874"/>
    <w:rsid w:val="00DA3A0F"/>
    <w:rsid w:val="00DA3CE5"/>
    <w:rsid w:val="00DA4070"/>
    <w:rsid w:val="00DA48A5"/>
    <w:rsid w:val="00DA4921"/>
    <w:rsid w:val="00DA4DC3"/>
    <w:rsid w:val="00DA4F75"/>
    <w:rsid w:val="00DA55BA"/>
    <w:rsid w:val="00DA57EB"/>
    <w:rsid w:val="00DA58BA"/>
    <w:rsid w:val="00DA61CE"/>
    <w:rsid w:val="00DA6825"/>
    <w:rsid w:val="00DA7523"/>
    <w:rsid w:val="00DA77A5"/>
    <w:rsid w:val="00DA7B9C"/>
    <w:rsid w:val="00DB03CE"/>
    <w:rsid w:val="00DB0413"/>
    <w:rsid w:val="00DB091D"/>
    <w:rsid w:val="00DB093D"/>
    <w:rsid w:val="00DB095C"/>
    <w:rsid w:val="00DB0E36"/>
    <w:rsid w:val="00DB0F4A"/>
    <w:rsid w:val="00DB1015"/>
    <w:rsid w:val="00DB11FD"/>
    <w:rsid w:val="00DB1201"/>
    <w:rsid w:val="00DB138F"/>
    <w:rsid w:val="00DB151E"/>
    <w:rsid w:val="00DB16AE"/>
    <w:rsid w:val="00DB1846"/>
    <w:rsid w:val="00DB1851"/>
    <w:rsid w:val="00DB1938"/>
    <w:rsid w:val="00DB1C64"/>
    <w:rsid w:val="00DB1F7F"/>
    <w:rsid w:val="00DB208D"/>
    <w:rsid w:val="00DB2299"/>
    <w:rsid w:val="00DB2341"/>
    <w:rsid w:val="00DB2723"/>
    <w:rsid w:val="00DB27B8"/>
    <w:rsid w:val="00DB294C"/>
    <w:rsid w:val="00DB2D27"/>
    <w:rsid w:val="00DB388A"/>
    <w:rsid w:val="00DB3BAE"/>
    <w:rsid w:val="00DB3D39"/>
    <w:rsid w:val="00DB3DBF"/>
    <w:rsid w:val="00DB3F77"/>
    <w:rsid w:val="00DB4561"/>
    <w:rsid w:val="00DB457F"/>
    <w:rsid w:val="00DB477A"/>
    <w:rsid w:val="00DB4789"/>
    <w:rsid w:val="00DB484F"/>
    <w:rsid w:val="00DB4980"/>
    <w:rsid w:val="00DB4A82"/>
    <w:rsid w:val="00DB55AA"/>
    <w:rsid w:val="00DB6273"/>
    <w:rsid w:val="00DB6F4C"/>
    <w:rsid w:val="00DB71E8"/>
    <w:rsid w:val="00DB76FB"/>
    <w:rsid w:val="00DB7FF2"/>
    <w:rsid w:val="00DC003C"/>
    <w:rsid w:val="00DC01A9"/>
    <w:rsid w:val="00DC039C"/>
    <w:rsid w:val="00DC04F6"/>
    <w:rsid w:val="00DC065F"/>
    <w:rsid w:val="00DC0690"/>
    <w:rsid w:val="00DC08E4"/>
    <w:rsid w:val="00DC1078"/>
    <w:rsid w:val="00DC11ED"/>
    <w:rsid w:val="00DC15AE"/>
    <w:rsid w:val="00DC16BF"/>
    <w:rsid w:val="00DC179E"/>
    <w:rsid w:val="00DC19B7"/>
    <w:rsid w:val="00DC1BC4"/>
    <w:rsid w:val="00DC1D2C"/>
    <w:rsid w:val="00DC1D65"/>
    <w:rsid w:val="00DC2438"/>
    <w:rsid w:val="00DC2494"/>
    <w:rsid w:val="00DC27CB"/>
    <w:rsid w:val="00DC2984"/>
    <w:rsid w:val="00DC3702"/>
    <w:rsid w:val="00DC38E4"/>
    <w:rsid w:val="00DC3B09"/>
    <w:rsid w:val="00DC3C57"/>
    <w:rsid w:val="00DC3E23"/>
    <w:rsid w:val="00DC4037"/>
    <w:rsid w:val="00DC414F"/>
    <w:rsid w:val="00DC4489"/>
    <w:rsid w:val="00DC4DE3"/>
    <w:rsid w:val="00DC4FEE"/>
    <w:rsid w:val="00DC50B1"/>
    <w:rsid w:val="00DC5501"/>
    <w:rsid w:val="00DC5B6D"/>
    <w:rsid w:val="00DC5DE4"/>
    <w:rsid w:val="00DC5FB9"/>
    <w:rsid w:val="00DC63CB"/>
    <w:rsid w:val="00DC64D7"/>
    <w:rsid w:val="00DC6961"/>
    <w:rsid w:val="00DC6AAC"/>
    <w:rsid w:val="00DC6AE4"/>
    <w:rsid w:val="00DC6BE8"/>
    <w:rsid w:val="00DC6C21"/>
    <w:rsid w:val="00DC70A6"/>
    <w:rsid w:val="00DC7154"/>
    <w:rsid w:val="00DC7838"/>
    <w:rsid w:val="00DC785B"/>
    <w:rsid w:val="00DC7E8A"/>
    <w:rsid w:val="00DD00CD"/>
    <w:rsid w:val="00DD00E2"/>
    <w:rsid w:val="00DD0163"/>
    <w:rsid w:val="00DD037D"/>
    <w:rsid w:val="00DD0891"/>
    <w:rsid w:val="00DD09E8"/>
    <w:rsid w:val="00DD0A20"/>
    <w:rsid w:val="00DD0F78"/>
    <w:rsid w:val="00DD118F"/>
    <w:rsid w:val="00DD17EA"/>
    <w:rsid w:val="00DD1C69"/>
    <w:rsid w:val="00DD1C7B"/>
    <w:rsid w:val="00DD1D04"/>
    <w:rsid w:val="00DD1D9C"/>
    <w:rsid w:val="00DD2460"/>
    <w:rsid w:val="00DD273C"/>
    <w:rsid w:val="00DD2C27"/>
    <w:rsid w:val="00DD2D80"/>
    <w:rsid w:val="00DD2F5B"/>
    <w:rsid w:val="00DD321A"/>
    <w:rsid w:val="00DD33DF"/>
    <w:rsid w:val="00DD3A41"/>
    <w:rsid w:val="00DD3CCD"/>
    <w:rsid w:val="00DD3DDB"/>
    <w:rsid w:val="00DD3F28"/>
    <w:rsid w:val="00DD4180"/>
    <w:rsid w:val="00DD4316"/>
    <w:rsid w:val="00DD4446"/>
    <w:rsid w:val="00DD4537"/>
    <w:rsid w:val="00DD4E15"/>
    <w:rsid w:val="00DD4F8D"/>
    <w:rsid w:val="00DD572B"/>
    <w:rsid w:val="00DD59DA"/>
    <w:rsid w:val="00DD5A1C"/>
    <w:rsid w:val="00DD5D6C"/>
    <w:rsid w:val="00DD5FF2"/>
    <w:rsid w:val="00DD60CB"/>
    <w:rsid w:val="00DD60F2"/>
    <w:rsid w:val="00DD625F"/>
    <w:rsid w:val="00DD63D4"/>
    <w:rsid w:val="00DD64E4"/>
    <w:rsid w:val="00DD6AE0"/>
    <w:rsid w:val="00DD74E0"/>
    <w:rsid w:val="00DE02D8"/>
    <w:rsid w:val="00DE04A8"/>
    <w:rsid w:val="00DE077C"/>
    <w:rsid w:val="00DE11D1"/>
    <w:rsid w:val="00DE1262"/>
    <w:rsid w:val="00DE14D9"/>
    <w:rsid w:val="00DE1B36"/>
    <w:rsid w:val="00DE1F2C"/>
    <w:rsid w:val="00DE21BC"/>
    <w:rsid w:val="00DE21F5"/>
    <w:rsid w:val="00DE2304"/>
    <w:rsid w:val="00DE252A"/>
    <w:rsid w:val="00DE2745"/>
    <w:rsid w:val="00DE274D"/>
    <w:rsid w:val="00DE2B10"/>
    <w:rsid w:val="00DE2C0C"/>
    <w:rsid w:val="00DE2CEB"/>
    <w:rsid w:val="00DE2D38"/>
    <w:rsid w:val="00DE2D41"/>
    <w:rsid w:val="00DE2E3D"/>
    <w:rsid w:val="00DE2EAD"/>
    <w:rsid w:val="00DE3049"/>
    <w:rsid w:val="00DE3138"/>
    <w:rsid w:val="00DE373E"/>
    <w:rsid w:val="00DE3773"/>
    <w:rsid w:val="00DE37F8"/>
    <w:rsid w:val="00DE39B0"/>
    <w:rsid w:val="00DE3A9C"/>
    <w:rsid w:val="00DE3E99"/>
    <w:rsid w:val="00DE4273"/>
    <w:rsid w:val="00DE42F4"/>
    <w:rsid w:val="00DE4857"/>
    <w:rsid w:val="00DE4E14"/>
    <w:rsid w:val="00DE4FCB"/>
    <w:rsid w:val="00DE50CD"/>
    <w:rsid w:val="00DE51CA"/>
    <w:rsid w:val="00DE54C2"/>
    <w:rsid w:val="00DE56D6"/>
    <w:rsid w:val="00DE5BAC"/>
    <w:rsid w:val="00DE5D07"/>
    <w:rsid w:val="00DE5DEA"/>
    <w:rsid w:val="00DE64D7"/>
    <w:rsid w:val="00DE66B4"/>
    <w:rsid w:val="00DE6724"/>
    <w:rsid w:val="00DE6727"/>
    <w:rsid w:val="00DE69F7"/>
    <w:rsid w:val="00DE6AE6"/>
    <w:rsid w:val="00DE6DFA"/>
    <w:rsid w:val="00DE6FD4"/>
    <w:rsid w:val="00DE727D"/>
    <w:rsid w:val="00DE72A7"/>
    <w:rsid w:val="00DE72E4"/>
    <w:rsid w:val="00DE776C"/>
    <w:rsid w:val="00DE7832"/>
    <w:rsid w:val="00DE7B3B"/>
    <w:rsid w:val="00DF0040"/>
    <w:rsid w:val="00DF00C4"/>
    <w:rsid w:val="00DF06A9"/>
    <w:rsid w:val="00DF075A"/>
    <w:rsid w:val="00DF091F"/>
    <w:rsid w:val="00DF0A95"/>
    <w:rsid w:val="00DF0E4F"/>
    <w:rsid w:val="00DF18FC"/>
    <w:rsid w:val="00DF1B50"/>
    <w:rsid w:val="00DF1B5E"/>
    <w:rsid w:val="00DF1B7A"/>
    <w:rsid w:val="00DF1E5F"/>
    <w:rsid w:val="00DF1F26"/>
    <w:rsid w:val="00DF21E5"/>
    <w:rsid w:val="00DF2464"/>
    <w:rsid w:val="00DF3163"/>
    <w:rsid w:val="00DF374B"/>
    <w:rsid w:val="00DF3829"/>
    <w:rsid w:val="00DF3EA1"/>
    <w:rsid w:val="00DF4251"/>
    <w:rsid w:val="00DF42E8"/>
    <w:rsid w:val="00DF44F0"/>
    <w:rsid w:val="00DF4603"/>
    <w:rsid w:val="00DF493A"/>
    <w:rsid w:val="00DF4A40"/>
    <w:rsid w:val="00DF4B2D"/>
    <w:rsid w:val="00DF5104"/>
    <w:rsid w:val="00DF5753"/>
    <w:rsid w:val="00DF581F"/>
    <w:rsid w:val="00DF5900"/>
    <w:rsid w:val="00DF5B5D"/>
    <w:rsid w:val="00DF5BAD"/>
    <w:rsid w:val="00DF5C0E"/>
    <w:rsid w:val="00DF5CB2"/>
    <w:rsid w:val="00DF5D2B"/>
    <w:rsid w:val="00DF630D"/>
    <w:rsid w:val="00DF6341"/>
    <w:rsid w:val="00DF6482"/>
    <w:rsid w:val="00DF670C"/>
    <w:rsid w:val="00DF677C"/>
    <w:rsid w:val="00DF69FB"/>
    <w:rsid w:val="00DF6C62"/>
    <w:rsid w:val="00DF6CE9"/>
    <w:rsid w:val="00DF6FAF"/>
    <w:rsid w:val="00DF6FB8"/>
    <w:rsid w:val="00DF7045"/>
    <w:rsid w:val="00DF712E"/>
    <w:rsid w:val="00DF73FA"/>
    <w:rsid w:val="00DF7B4F"/>
    <w:rsid w:val="00DF7C67"/>
    <w:rsid w:val="00E000FD"/>
    <w:rsid w:val="00E00129"/>
    <w:rsid w:val="00E00184"/>
    <w:rsid w:val="00E003AA"/>
    <w:rsid w:val="00E00440"/>
    <w:rsid w:val="00E00ADB"/>
    <w:rsid w:val="00E00C31"/>
    <w:rsid w:val="00E00E8E"/>
    <w:rsid w:val="00E0191A"/>
    <w:rsid w:val="00E01C86"/>
    <w:rsid w:val="00E025C8"/>
    <w:rsid w:val="00E02699"/>
    <w:rsid w:val="00E026AF"/>
    <w:rsid w:val="00E02E2A"/>
    <w:rsid w:val="00E03145"/>
    <w:rsid w:val="00E03612"/>
    <w:rsid w:val="00E0367F"/>
    <w:rsid w:val="00E0369B"/>
    <w:rsid w:val="00E0382B"/>
    <w:rsid w:val="00E03D36"/>
    <w:rsid w:val="00E04552"/>
    <w:rsid w:val="00E046BD"/>
    <w:rsid w:val="00E04905"/>
    <w:rsid w:val="00E04E7E"/>
    <w:rsid w:val="00E04F50"/>
    <w:rsid w:val="00E05630"/>
    <w:rsid w:val="00E056B8"/>
    <w:rsid w:val="00E057A1"/>
    <w:rsid w:val="00E05ECC"/>
    <w:rsid w:val="00E064E8"/>
    <w:rsid w:val="00E068A8"/>
    <w:rsid w:val="00E06BB5"/>
    <w:rsid w:val="00E06C9D"/>
    <w:rsid w:val="00E06DBB"/>
    <w:rsid w:val="00E07365"/>
    <w:rsid w:val="00E07803"/>
    <w:rsid w:val="00E07D5F"/>
    <w:rsid w:val="00E07EBD"/>
    <w:rsid w:val="00E07EE3"/>
    <w:rsid w:val="00E10149"/>
    <w:rsid w:val="00E10682"/>
    <w:rsid w:val="00E10BA5"/>
    <w:rsid w:val="00E10DAE"/>
    <w:rsid w:val="00E10FCF"/>
    <w:rsid w:val="00E11093"/>
    <w:rsid w:val="00E111F7"/>
    <w:rsid w:val="00E11340"/>
    <w:rsid w:val="00E113F2"/>
    <w:rsid w:val="00E118E4"/>
    <w:rsid w:val="00E11915"/>
    <w:rsid w:val="00E12015"/>
    <w:rsid w:val="00E121A3"/>
    <w:rsid w:val="00E122A1"/>
    <w:rsid w:val="00E1237F"/>
    <w:rsid w:val="00E127C6"/>
    <w:rsid w:val="00E12C9E"/>
    <w:rsid w:val="00E130A6"/>
    <w:rsid w:val="00E130BF"/>
    <w:rsid w:val="00E13211"/>
    <w:rsid w:val="00E134C3"/>
    <w:rsid w:val="00E137DF"/>
    <w:rsid w:val="00E13BE6"/>
    <w:rsid w:val="00E13CD8"/>
    <w:rsid w:val="00E13CFD"/>
    <w:rsid w:val="00E1407D"/>
    <w:rsid w:val="00E148FF"/>
    <w:rsid w:val="00E14AAA"/>
    <w:rsid w:val="00E14ABA"/>
    <w:rsid w:val="00E14C4C"/>
    <w:rsid w:val="00E154F8"/>
    <w:rsid w:val="00E1558F"/>
    <w:rsid w:val="00E156BD"/>
    <w:rsid w:val="00E16372"/>
    <w:rsid w:val="00E16702"/>
    <w:rsid w:val="00E1680B"/>
    <w:rsid w:val="00E16AD8"/>
    <w:rsid w:val="00E16FFA"/>
    <w:rsid w:val="00E17350"/>
    <w:rsid w:val="00E17855"/>
    <w:rsid w:val="00E17B7E"/>
    <w:rsid w:val="00E17D3E"/>
    <w:rsid w:val="00E17FFA"/>
    <w:rsid w:val="00E200B3"/>
    <w:rsid w:val="00E20A56"/>
    <w:rsid w:val="00E20BED"/>
    <w:rsid w:val="00E20E4D"/>
    <w:rsid w:val="00E20ED6"/>
    <w:rsid w:val="00E2114D"/>
    <w:rsid w:val="00E21358"/>
    <w:rsid w:val="00E2156A"/>
    <w:rsid w:val="00E21A48"/>
    <w:rsid w:val="00E21C73"/>
    <w:rsid w:val="00E21D31"/>
    <w:rsid w:val="00E21F0A"/>
    <w:rsid w:val="00E2232F"/>
    <w:rsid w:val="00E2244E"/>
    <w:rsid w:val="00E2249B"/>
    <w:rsid w:val="00E22A0D"/>
    <w:rsid w:val="00E22C14"/>
    <w:rsid w:val="00E231CD"/>
    <w:rsid w:val="00E236A3"/>
    <w:rsid w:val="00E23816"/>
    <w:rsid w:val="00E23EB5"/>
    <w:rsid w:val="00E243FF"/>
    <w:rsid w:val="00E244DA"/>
    <w:rsid w:val="00E244F6"/>
    <w:rsid w:val="00E24775"/>
    <w:rsid w:val="00E248E5"/>
    <w:rsid w:val="00E24953"/>
    <w:rsid w:val="00E24E20"/>
    <w:rsid w:val="00E250A7"/>
    <w:rsid w:val="00E2512A"/>
    <w:rsid w:val="00E252D3"/>
    <w:rsid w:val="00E25504"/>
    <w:rsid w:val="00E255E3"/>
    <w:rsid w:val="00E25631"/>
    <w:rsid w:val="00E258DB"/>
    <w:rsid w:val="00E25985"/>
    <w:rsid w:val="00E25EE0"/>
    <w:rsid w:val="00E25FCD"/>
    <w:rsid w:val="00E26003"/>
    <w:rsid w:val="00E26320"/>
    <w:rsid w:val="00E2675D"/>
    <w:rsid w:val="00E267A3"/>
    <w:rsid w:val="00E26C9A"/>
    <w:rsid w:val="00E26DB1"/>
    <w:rsid w:val="00E26F4B"/>
    <w:rsid w:val="00E26F9E"/>
    <w:rsid w:val="00E27534"/>
    <w:rsid w:val="00E2771E"/>
    <w:rsid w:val="00E278BA"/>
    <w:rsid w:val="00E27923"/>
    <w:rsid w:val="00E27A1C"/>
    <w:rsid w:val="00E27AF8"/>
    <w:rsid w:val="00E3005D"/>
    <w:rsid w:val="00E30530"/>
    <w:rsid w:val="00E305BC"/>
    <w:rsid w:val="00E307D3"/>
    <w:rsid w:val="00E30877"/>
    <w:rsid w:val="00E30CAC"/>
    <w:rsid w:val="00E30CB8"/>
    <w:rsid w:val="00E30D21"/>
    <w:rsid w:val="00E30EA7"/>
    <w:rsid w:val="00E30F3A"/>
    <w:rsid w:val="00E311EF"/>
    <w:rsid w:val="00E31215"/>
    <w:rsid w:val="00E312B9"/>
    <w:rsid w:val="00E31564"/>
    <w:rsid w:val="00E31712"/>
    <w:rsid w:val="00E31B03"/>
    <w:rsid w:val="00E3207E"/>
    <w:rsid w:val="00E32180"/>
    <w:rsid w:val="00E3252B"/>
    <w:rsid w:val="00E32E51"/>
    <w:rsid w:val="00E32FA3"/>
    <w:rsid w:val="00E332BE"/>
    <w:rsid w:val="00E332C2"/>
    <w:rsid w:val="00E3356F"/>
    <w:rsid w:val="00E337F7"/>
    <w:rsid w:val="00E3389F"/>
    <w:rsid w:val="00E338AB"/>
    <w:rsid w:val="00E33D3A"/>
    <w:rsid w:val="00E33E3A"/>
    <w:rsid w:val="00E33F75"/>
    <w:rsid w:val="00E3443E"/>
    <w:rsid w:val="00E344D8"/>
    <w:rsid w:val="00E347C2"/>
    <w:rsid w:val="00E34886"/>
    <w:rsid w:val="00E348A8"/>
    <w:rsid w:val="00E34948"/>
    <w:rsid w:val="00E34CAE"/>
    <w:rsid w:val="00E34CE2"/>
    <w:rsid w:val="00E35380"/>
    <w:rsid w:val="00E353AE"/>
    <w:rsid w:val="00E35EEA"/>
    <w:rsid w:val="00E36443"/>
    <w:rsid w:val="00E36683"/>
    <w:rsid w:val="00E36875"/>
    <w:rsid w:val="00E37015"/>
    <w:rsid w:val="00E37569"/>
    <w:rsid w:val="00E37D31"/>
    <w:rsid w:val="00E37F02"/>
    <w:rsid w:val="00E401B2"/>
    <w:rsid w:val="00E4066A"/>
    <w:rsid w:val="00E40C22"/>
    <w:rsid w:val="00E4120A"/>
    <w:rsid w:val="00E41D93"/>
    <w:rsid w:val="00E41E30"/>
    <w:rsid w:val="00E42AC8"/>
    <w:rsid w:val="00E42F27"/>
    <w:rsid w:val="00E42F73"/>
    <w:rsid w:val="00E43557"/>
    <w:rsid w:val="00E4356D"/>
    <w:rsid w:val="00E437F8"/>
    <w:rsid w:val="00E438C9"/>
    <w:rsid w:val="00E43D5C"/>
    <w:rsid w:val="00E43D70"/>
    <w:rsid w:val="00E43EFC"/>
    <w:rsid w:val="00E43F71"/>
    <w:rsid w:val="00E444C4"/>
    <w:rsid w:val="00E446E9"/>
    <w:rsid w:val="00E4475C"/>
    <w:rsid w:val="00E44B6A"/>
    <w:rsid w:val="00E45034"/>
    <w:rsid w:val="00E45581"/>
    <w:rsid w:val="00E4584A"/>
    <w:rsid w:val="00E45D25"/>
    <w:rsid w:val="00E45E18"/>
    <w:rsid w:val="00E4606D"/>
    <w:rsid w:val="00E46126"/>
    <w:rsid w:val="00E4617A"/>
    <w:rsid w:val="00E4644A"/>
    <w:rsid w:val="00E46499"/>
    <w:rsid w:val="00E46616"/>
    <w:rsid w:val="00E466F3"/>
    <w:rsid w:val="00E46DB5"/>
    <w:rsid w:val="00E46ED6"/>
    <w:rsid w:val="00E47361"/>
    <w:rsid w:val="00E476C8"/>
    <w:rsid w:val="00E477B6"/>
    <w:rsid w:val="00E4796D"/>
    <w:rsid w:val="00E47B2C"/>
    <w:rsid w:val="00E47D06"/>
    <w:rsid w:val="00E510F2"/>
    <w:rsid w:val="00E51126"/>
    <w:rsid w:val="00E51515"/>
    <w:rsid w:val="00E51560"/>
    <w:rsid w:val="00E51578"/>
    <w:rsid w:val="00E516E0"/>
    <w:rsid w:val="00E516FC"/>
    <w:rsid w:val="00E51821"/>
    <w:rsid w:val="00E51895"/>
    <w:rsid w:val="00E51A05"/>
    <w:rsid w:val="00E51DFC"/>
    <w:rsid w:val="00E5267D"/>
    <w:rsid w:val="00E52BBC"/>
    <w:rsid w:val="00E52CB3"/>
    <w:rsid w:val="00E53194"/>
    <w:rsid w:val="00E531AA"/>
    <w:rsid w:val="00E5323C"/>
    <w:rsid w:val="00E535F4"/>
    <w:rsid w:val="00E536E5"/>
    <w:rsid w:val="00E53F24"/>
    <w:rsid w:val="00E53FC8"/>
    <w:rsid w:val="00E53FE0"/>
    <w:rsid w:val="00E54229"/>
    <w:rsid w:val="00E54331"/>
    <w:rsid w:val="00E54347"/>
    <w:rsid w:val="00E544CA"/>
    <w:rsid w:val="00E54543"/>
    <w:rsid w:val="00E5476A"/>
    <w:rsid w:val="00E54B2E"/>
    <w:rsid w:val="00E55115"/>
    <w:rsid w:val="00E55424"/>
    <w:rsid w:val="00E55915"/>
    <w:rsid w:val="00E55A52"/>
    <w:rsid w:val="00E55BB5"/>
    <w:rsid w:val="00E55D90"/>
    <w:rsid w:val="00E55DCB"/>
    <w:rsid w:val="00E560C9"/>
    <w:rsid w:val="00E569AC"/>
    <w:rsid w:val="00E57282"/>
    <w:rsid w:val="00E575D4"/>
    <w:rsid w:val="00E5769D"/>
    <w:rsid w:val="00E5782B"/>
    <w:rsid w:val="00E600B8"/>
    <w:rsid w:val="00E603C2"/>
    <w:rsid w:val="00E609F7"/>
    <w:rsid w:val="00E611DF"/>
    <w:rsid w:val="00E61337"/>
    <w:rsid w:val="00E614E8"/>
    <w:rsid w:val="00E6176C"/>
    <w:rsid w:val="00E61CEF"/>
    <w:rsid w:val="00E62184"/>
    <w:rsid w:val="00E62376"/>
    <w:rsid w:val="00E6280C"/>
    <w:rsid w:val="00E62B6A"/>
    <w:rsid w:val="00E62C54"/>
    <w:rsid w:val="00E62F02"/>
    <w:rsid w:val="00E63217"/>
    <w:rsid w:val="00E63351"/>
    <w:rsid w:val="00E6374C"/>
    <w:rsid w:val="00E63A44"/>
    <w:rsid w:val="00E63C20"/>
    <w:rsid w:val="00E63CAC"/>
    <w:rsid w:val="00E63D71"/>
    <w:rsid w:val="00E63DBD"/>
    <w:rsid w:val="00E63FAA"/>
    <w:rsid w:val="00E64348"/>
    <w:rsid w:val="00E64BF7"/>
    <w:rsid w:val="00E64E28"/>
    <w:rsid w:val="00E65066"/>
    <w:rsid w:val="00E650AD"/>
    <w:rsid w:val="00E65577"/>
    <w:rsid w:val="00E6568F"/>
    <w:rsid w:val="00E6572E"/>
    <w:rsid w:val="00E65988"/>
    <w:rsid w:val="00E65A74"/>
    <w:rsid w:val="00E65B38"/>
    <w:rsid w:val="00E65CCB"/>
    <w:rsid w:val="00E65E3C"/>
    <w:rsid w:val="00E65E79"/>
    <w:rsid w:val="00E66087"/>
    <w:rsid w:val="00E66137"/>
    <w:rsid w:val="00E6615E"/>
    <w:rsid w:val="00E668EE"/>
    <w:rsid w:val="00E66AA1"/>
    <w:rsid w:val="00E66BA2"/>
    <w:rsid w:val="00E66D63"/>
    <w:rsid w:val="00E6709F"/>
    <w:rsid w:val="00E67198"/>
    <w:rsid w:val="00E67416"/>
    <w:rsid w:val="00E67524"/>
    <w:rsid w:val="00E677AE"/>
    <w:rsid w:val="00E67824"/>
    <w:rsid w:val="00E67851"/>
    <w:rsid w:val="00E679CC"/>
    <w:rsid w:val="00E67F03"/>
    <w:rsid w:val="00E707AA"/>
    <w:rsid w:val="00E70A9A"/>
    <w:rsid w:val="00E70C01"/>
    <w:rsid w:val="00E70E0D"/>
    <w:rsid w:val="00E70EF8"/>
    <w:rsid w:val="00E70FB6"/>
    <w:rsid w:val="00E7112B"/>
    <w:rsid w:val="00E71629"/>
    <w:rsid w:val="00E71650"/>
    <w:rsid w:val="00E718B6"/>
    <w:rsid w:val="00E71A15"/>
    <w:rsid w:val="00E71AC7"/>
    <w:rsid w:val="00E71BEE"/>
    <w:rsid w:val="00E71C30"/>
    <w:rsid w:val="00E72094"/>
    <w:rsid w:val="00E723BA"/>
    <w:rsid w:val="00E724B8"/>
    <w:rsid w:val="00E72549"/>
    <w:rsid w:val="00E72C1F"/>
    <w:rsid w:val="00E72DE0"/>
    <w:rsid w:val="00E7307B"/>
    <w:rsid w:val="00E734E8"/>
    <w:rsid w:val="00E73581"/>
    <w:rsid w:val="00E7370E"/>
    <w:rsid w:val="00E7371A"/>
    <w:rsid w:val="00E73959"/>
    <w:rsid w:val="00E73F24"/>
    <w:rsid w:val="00E7467D"/>
    <w:rsid w:val="00E7477B"/>
    <w:rsid w:val="00E74A6C"/>
    <w:rsid w:val="00E74C30"/>
    <w:rsid w:val="00E74DE6"/>
    <w:rsid w:val="00E7531E"/>
    <w:rsid w:val="00E75C19"/>
    <w:rsid w:val="00E75C60"/>
    <w:rsid w:val="00E75E10"/>
    <w:rsid w:val="00E76B6E"/>
    <w:rsid w:val="00E76C99"/>
    <w:rsid w:val="00E76DD4"/>
    <w:rsid w:val="00E76EA4"/>
    <w:rsid w:val="00E7739A"/>
    <w:rsid w:val="00E77445"/>
    <w:rsid w:val="00E778CE"/>
    <w:rsid w:val="00E80A06"/>
    <w:rsid w:val="00E80BED"/>
    <w:rsid w:val="00E80D01"/>
    <w:rsid w:val="00E8147B"/>
    <w:rsid w:val="00E819D8"/>
    <w:rsid w:val="00E81DBB"/>
    <w:rsid w:val="00E81DF5"/>
    <w:rsid w:val="00E82567"/>
    <w:rsid w:val="00E82772"/>
    <w:rsid w:val="00E82C3A"/>
    <w:rsid w:val="00E82C63"/>
    <w:rsid w:val="00E82DD4"/>
    <w:rsid w:val="00E8322C"/>
    <w:rsid w:val="00E833F7"/>
    <w:rsid w:val="00E83678"/>
    <w:rsid w:val="00E8380D"/>
    <w:rsid w:val="00E83BDF"/>
    <w:rsid w:val="00E83E10"/>
    <w:rsid w:val="00E83E50"/>
    <w:rsid w:val="00E84037"/>
    <w:rsid w:val="00E84307"/>
    <w:rsid w:val="00E8431E"/>
    <w:rsid w:val="00E845B4"/>
    <w:rsid w:val="00E849F9"/>
    <w:rsid w:val="00E84A8F"/>
    <w:rsid w:val="00E84AFD"/>
    <w:rsid w:val="00E84BF8"/>
    <w:rsid w:val="00E84C22"/>
    <w:rsid w:val="00E84CFF"/>
    <w:rsid w:val="00E84D89"/>
    <w:rsid w:val="00E851A2"/>
    <w:rsid w:val="00E85354"/>
    <w:rsid w:val="00E85464"/>
    <w:rsid w:val="00E855F8"/>
    <w:rsid w:val="00E8583E"/>
    <w:rsid w:val="00E85DF8"/>
    <w:rsid w:val="00E8634D"/>
    <w:rsid w:val="00E86639"/>
    <w:rsid w:val="00E86D6B"/>
    <w:rsid w:val="00E86E87"/>
    <w:rsid w:val="00E86FCC"/>
    <w:rsid w:val="00E8722A"/>
    <w:rsid w:val="00E87834"/>
    <w:rsid w:val="00E878DE"/>
    <w:rsid w:val="00E87960"/>
    <w:rsid w:val="00E87A1D"/>
    <w:rsid w:val="00E87B7D"/>
    <w:rsid w:val="00E87B7E"/>
    <w:rsid w:val="00E90311"/>
    <w:rsid w:val="00E90359"/>
    <w:rsid w:val="00E903DD"/>
    <w:rsid w:val="00E904C2"/>
    <w:rsid w:val="00E90914"/>
    <w:rsid w:val="00E9094A"/>
    <w:rsid w:val="00E909BA"/>
    <w:rsid w:val="00E909FF"/>
    <w:rsid w:val="00E91105"/>
    <w:rsid w:val="00E9136E"/>
    <w:rsid w:val="00E91498"/>
    <w:rsid w:val="00E91904"/>
    <w:rsid w:val="00E91CD3"/>
    <w:rsid w:val="00E91D35"/>
    <w:rsid w:val="00E91E8C"/>
    <w:rsid w:val="00E92620"/>
    <w:rsid w:val="00E926A5"/>
    <w:rsid w:val="00E928CC"/>
    <w:rsid w:val="00E92B9C"/>
    <w:rsid w:val="00E92BC9"/>
    <w:rsid w:val="00E92E0C"/>
    <w:rsid w:val="00E92E7C"/>
    <w:rsid w:val="00E93182"/>
    <w:rsid w:val="00E93453"/>
    <w:rsid w:val="00E936B2"/>
    <w:rsid w:val="00E938BC"/>
    <w:rsid w:val="00E93BF1"/>
    <w:rsid w:val="00E93D52"/>
    <w:rsid w:val="00E93EFE"/>
    <w:rsid w:val="00E94287"/>
    <w:rsid w:val="00E94353"/>
    <w:rsid w:val="00E943E8"/>
    <w:rsid w:val="00E94677"/>
    <w:rsid w:val="00E946D3"/>
    <w:rsid w:val="00E94EE8"/>
    <w:rsid w:val="00E951AC"/>
    <w:rsid w:val="00E9523D"/>
    <w:rsid w:val="00E95276"/>
    <w:rsid w:val="00E952A4"/>
    <w:rsid w:val="00E9558B"/>
    <w:rsid w:val="00E95616"/>
    <w:rsid w:val="00E956FC"/>
    <w:rsid w:val="00E9572B"/>
    <w:rsid w:val="00E9574E"/>
    <w:rsid w:val="00E95C1B"/>
    <w:rsid w:val="00E9624C"/>
    <w:rsid w:val="00E962CC"/>
    <w:rsid w:val="00E96520"/>
    <w:rsid w:val="00E965B4"/>
    <w:rsid w:val="00E969C4"/>
    <w:rsid w:val="00E969E2"/>
    <w:rsid w:val="00E96D48"/>
    <w:rsid w:val="00E96FDC"/>
    <w:rsid w:val="00E96FF1"/>
    <w:rsid w:val="00E978A3"/>
    <w:rsid w:val="00E979E6"/>
    <w:rsid w:val="00E97E35"/>
    <w:rsid w:val="00EA0381"/>
    <w:rsid w:val="00EA0455"/>
    <w:rsid w:val="00EA07A1"/>
    <w:rsid w:val="00EA0F3A"/>
    <w:rsid w:val="00EA0FE0"/>
    <w:rsid w:val="00EA108C"/>
    <w:rsid w:val="00EA168F"/>
    <w:rsid w:val="00EA1730"/>
    <w:rsid w:val="00EA17C3"/>
    <w:rsid w:val="00EA1AB6"/>
    <w:rsid w:val="00EA1B8E"/>
    <w:rsid w:val="00EA1EDC"/>
    <w:rsid w:val="00EA243B"/>
    <w:rsid w:val="00EA298C"/>
    <w:rsid w:val="00EA2BAB"/>
    <w:rsid w:val="00EA2C8B"/>
    <w:rsid w:val="00EA2CAA"/>
    <w:rsid w:val="00EA3374"/>
    <w:rsid w:val="00EA35C3"/>
    <w:rsid w:val="00EA36BC"/>
    <w:rsid w:val="00EA3864"/>
    <w:rsid w:val="00EA3944"/>
    <w:rsid w:val="00EA3E0A"/>
    <w:rsid w:val="00EA40E8"/>
    <w:rsid w:val="00EA44D3"/>
    <w:rsid w:val="00EA4829"/>
    <w:rsid w:val="00EA4DFC"/>
    <w:rsid w:val="00EA4E13"/>
    <w:rsid w:val="00EA5102"/>
    <w:rsid w:val="00EA5311"/>
    <w:rsid w:val="00EA5950"/>
    <w:rsid w:val="00EA5CF0"/>
    <w:rsid w:val="00EA5EF6"/>
    <w:rsid w:val="00EA5F8E"/>
    <w:rsid w:val="00EA62DB"/>
    <w:rsid w:val="00EA6957"/>
    <w:rsid w:val="00EA6BD6"/>
    <w:rsid w:val="00EA7166"/>
    <w:rsid w:val="00EA73BA"/>
    <w:rsid w:val="00EA7832"/>
    <w:rsid w:val="00EA7F1C"/>
    <w:rsid w:val="00EB03C9"/>
    <w:rsid w:val="00EB0753"/>
    <w:rsid w:val="00EB09DA"/>
    <w:rsid w:val="00EB0ED0"/>
    <w:rsid w:val="00EB15B6"/>
    <w:rsid w:val="00EB15BC"/>
    <w:rsid w:val="00EB1695"/>
    <w:rsid w:val="00EB18DD"/>
    <w:rsid w:val="00EB2176"/>
    <w:rsid w:val="00EB2277"/>
    <w:rsid w:val="00EB2B45"/>
    <w:rsid w:val="00EB2D0E"/>
    <w:rsid w:val="00EB2DAD"/>
    <w:rsid w:val="00EB2EC7"/>
    <w:rsid w:val="00EB30D9"/>
    <w:rsid w:val="00EB32B6"/>
    <w:rsid w:val="00EB3651"/>
    <w:rsid w:val="00EB3D06"/>
    <w:rsid w:val="00EB4186"/>
    <w:rsid w:val="00EB48F7"/>
    <w:rsid w:val="00EB4916"/>
    <w:rsid w:val="00EB4934"/>
    <w:rsid w:val="00EB4B74"/>
    <w:rsid w:val="00EB500B"/>
    <w:rsid w:val="00EB5825"/>
    <w:rsid w:val="00EB5926"/>
    <w:rsid w:val="00EB5C9D"/>
    <w:rsid w:val="00EB5D77"/>
    <w:rsid w:val="00EB5FAE"/>
    <w:rsid w:val="00EB6214"/>
    <w:rsid w:val="00EB64B0"/>
    <w:rsid w:val="00EB6A5D"/>
    <w:rsid w:val="00EB6B28"/>
    <w:rsid w:val="00EB6D24"/>
    <w:rsid w:val="00EB776E"/>
    <w:rsid w:val="00EB7771"/>
    <w:rsid w:val="00EC00C9"/>
    <w:rsid w:val="00EC0347"/>
    <w:rsid w:val="00EC085F"/>
    <w:rsid w:val="00EC0DD9"/>
    <w:rsid w:val="00EC184F"/>
    <w:rsid w:val="00EC19E3"/>
    <w:rsid w:val="00EC1A2F"/>
    <w:rsid w:val="00EC1A81"/>
    <w:rsid w:val="00EC2649"/>
    <w:rsid w:val="00EC2667"/>
    <w:rsid w:val="00EC29F4"/>
    <w:rsid w:val="00EC2E6F"/>
    <w:rsid w:val="00EC3118"/>
    <w:rsid w:val="00EC31ED"/>
    <w:rsid w:val="00EC33CB"/>
    <w:rsid w:val="00EC3547"/>
    <w:rsid w:val="00EC37EE"/>
    <w:rsid w:val="00EC3AB0"/>
    <w:rsid w:val="00EC3C69"/>
    <w:rsid w:val="00EC3C7B"/>
    <w:rsid w:val="00EC44CD"/>
    <w:rsid w:val="00EC4511"/>
    <w:rsid w:val="00EC46EA"/>
    <w:rsid w:val="00EC49E4"/>
    <w:rsid w:val="00EC4C86"/>
    <w:rsid w:val="00EC4CC8"/>
    <w:rsid w:val="00EC4F02"/>
    <w:rsid w:val="00EC54F1"/>
    <w:rsid w:val="00EC57FD"/>
    <w:rsid w:val="00EC5836"/>
    <w:rsid w:val="00EC5998"/>
    <w:rsid w:val="00EC5F6A"/>
    <w:rsid w:val="00EC61BE"/>
    <w:rsid w:val="00EC6283"/>
    <w:rsid w:val="00EC6559"/>
    <w:rsid w:val="00EC6715"/>
    <w:rsid w:val="00EC6772"/>
    <w:rsid w:val="00EC688C"/>
    <w:rsid w:val="00EC69F0"/>
    <w:rsid w:val="00EC6C42"/>
    <w:rsid w:val="00EC6DE0"/>
    <w:rsid w:val="00EC7422"/>
    <w:rsid w:val="00EC7431"/>
    <w:rsid w:val="00EC772D"/>
    <w:rsid w:val="00EC78E5"/>
    <w:rsid w:val="00EC7980"/>
    <w:rsid w:val="00EC7B57"/>
    <w:rsid w:val="00EC7CD1"/>
    <w:rsid w:val="00ED0285"/>
    <w:rsid w:val="00ED0387"/>
    <w:rsid w:val="00ED071B"/>
    <w:rsid w:val="00ED07F8"/>
    <w:rsid w:val="00ED098D"/>
    <w:rsid w:val="00ED0CBB"/>
    <w:rsid w:val="00ED0DDB"/>
    <w:rsid w:val="00ED12E3"/>
    <w:rsid w:val="00ED1445"/>
    <w:rsid w:val="00ED1648"/>
    <w:rsid w:val="00ED1C79"/>
    <w:rsid w:val="00ED1EE4"/>
    <w:rsid w:val="00ED21AA"/>
    <w:rsid w:val="00ED244E"/>
    <w:rsid w:val="00ED2880"/>
    <w:rsid w:val="00ED2EBB"/>
    <w:rsid w:val="00ED2EC0"/>
    <w:rsid w:val="00ED3030"/>
    <w:rsid w:val="00ED3787"/>
    <w:rsid w:val="00ED3D17"/>
    <w:rsid w:val="00ED3D2A"/>
    <w:rsid w:val="00ED3D81"/>
    <w:rsid w:val="00ED3E29"/>
    <w:rsid w:val="00ED42AB"/>
    <w:rsid w:val="00ED4500"/>
    <w:rsid w:val="00ED48B9"/>
    <w:rsid w:val="00ED4AD9"/>
    <w:rsid w:val="00ED4B04"/>
    <w:rsid w:val="00ED4C3B"/>
    <w:rsid w:val="00ED4E1A"/>
    <w:rsid w:val="00ED5675"/>
    <w:rsid w:val="00ED57EA"/>
    <w:rsid w:val="00ED5BD4"/>
    <w:rsid w:val="00ED5DD4"/>
    <w:rsid w:val="00ED5F5A"/>
    <w:rsid w:val="00ED6035"/>
    <w:rsid w:val="00ED6332"/>
    <w:rsid w:val="00ED654A"/>
    <w:rsid w:val="00ED65F2"/>
    <w:rsid w:val="00ED729F"/>
    <w:rsid w:val="00ED73F7"/>
    <w:rsid w:val="00ED779A"/>
    <w:rsid w:val="00ED7A19"/>
    <w:rsid w:val="00ED7C5F"/>
    <w:rsid w:val="00ED7FD2"/>
    <w:rsid w:val="00EE00CF"/>
    <w:rsid w:val="00EE02FE"/>
    <w:rsid w:val="00EE07D3"/>
    <w:rsid w:val="00EE07EC"/>
    <w:rsid w:val="00EE094D"/>
    <w:rsid w:val="00EE0D88"/>
    <w:rsid w:val="00EE102C"/>
    <w:rsid w:val="00EE1117"/>
    <w:rsid w:val="00EE13D7"/>
    <w:rsid w:val="00EE1409"/>
    <w:rsid w:val="00EE1516"/>
    <w:rsid w:val="00EE16CA"/>
    <w:rsid w:val="00EE1996"/>
    <w:rsid w:val="00EE1A49"/>
    <w:rsid w:val="00EE1C01"/>
    <w:rsid w:val="00EE1E95"/>
    <w:rsid w:val="00EE22AF"/>
    <w:rsid w:val="00EE267F"/>
    <w:rsid w:val="00EE26CC"/>
    <w:rsid w:val="00EE3B2B"/>
    <w:rsid w:val="00EE3C7A"/>
    <w:rsid w:val="00EE3C86"/>
    <w:rsid w:val="00EE3EFF"/>
    <w:rsid w:val="00EE4C88"/>
    <w:rsid w:val="00EE5138"/>
    <w:rsid w:val="00EE52FC"/>
    <w:rsid w:val="00EE53DB"/>
    <w:rsid w:val="00EE5477"/>
    <w:rsid w:val="00EE5630"/>
    <w:rsid w:val="00EE568C"/>
    <w:rsid w:val="00EE5DC5"/>
    <w:rsid w:val="00EE5E6C"/>
    <w:rsid w:val="00EE6115"/>
    <w:rsid w:val="00EE635C"/>
    <w:rsid w:val="00EE6A89"/>
    <w:rsid w:val="00EE6F2B"/>
    <w:rsid w:val="00EE6F77"/>
    <w:rsid w:val="00EE79F6"/>
    <w:rsid w:val="00EF0171"/>
    <w:rsid w:val="00EF05D0"/>
    <w:rsid w:val="00EF07BF"/>
    <w:rsid w:val="00EF07E1"/>
    <w:rsid w:val="00EF086D"/>
    <w:rsid w:val="00EF0994"/>
    <w:rsid w:val="00EF0CAC"/>
    <w:rsid w:val="00EF0F52"/>
    <w:rsid w:val="00EF1847"/>
    <w:rsid w:val="00EF1B25"/>
    <w:rsid w:val="00EF1BB2"/>
    <w:rsid w:val="00EF1DA0"/>
    <w:rsid w:val="00EF1DB1"/>
    <w:rsid w:val="00EF20C9"/>
    <w:rsid w:val="00EF210F"/>
    <w:rsid w:val="00EF25E6"/>
    <w:rsid w:val="00EF2753"/>
    <w:rsid w:val="00EF2952"/>
    <w:rsid w:val="00EF331A"/>
    <w:rsid w:val="00EF384D"/>
    <w:rsid w:val="00EF38A3"/>
    <w:rsid w:val="00EF3974"/>
    <w:rsid w:val="00EF3E2E"/>
    <w:rsid w:val="00EF4456"/>
    <w:rsid w:val="00EF4747"/>
    <w:rsid w:val="00EF4855"/>
    <w:rsid w:val="00EF48BB"/>
    <w:rsid w:val="00EF4ACE"/>
    <w:rsid w:val="00EF4AE9"/>
    <w:rsid w:val="00EF4BCE"/>
    <w:rsid w:val="00EF4BF8"/>
    <w:rsid w:val="00EF6120"/>
    <w:rsid w:val="00EF63D2"/>
    <w:rsid w:val="00EF6B5D"/>
    <w:rsid w:val="00EF6C24"/>
    <w:rsid w:val="00EF6CCF"/>
    <w:rsid w:val="00EF7245"/>
    <w:rsid w:val="00EF7396"/>
    <w:rsid w:val="00EF7599"/>
    <w:rsid w:val="00EF76A1"/>
    <w:rsid w:val="00EF7C4C"/>
    <w:rsid w:val="00EF7CA0"/>
    <w:rsid w:val="00F002E7"/>
    <w:rsid w:val="00F007D7"/>
    <w:rsid w:val="00F0099E"/>
    <w:rsid w:val="00F00A57"/>
    <w:rsid w:val="00F00BF7"/>
    <w:rsid w:val="00F00C3F"/>
    <w:rsid w:val="00F00C94"/>
    <w:rsid w:val="00F016C1"/>
    <w:rsid w:val="00F01E9B"/>
    <w:rsid w:val="00F02011"/>
    <w:rsid w:val="00F021FD"/>
    <w:rsid w:val="00F02253"/>
    <w:rsid w:val="00F028C6"/>
    <w:rsid w:val="00F02979"/>
    <w:rsid w:val="00F030CD"/>
    <w:rsid w:val="00F03254"/>
    <w:rsid w:val="00F0351E"/>
    <w:rsid w:val="00F03A21"/>
    <w:rsid w:val="00F03B2A"/>
    <w:rsid w:val="00F03C2E"/>
    <w:rsid w:val="00F03DE6"/>
    <w:rsid w:val="00F03DFF"/>
    <w:rsid w:val="00F04118"/>
    <w:rsid w:val="00F045C3"/>
    <w:rsid w:val="00F046E3"/>
    <w:rsid w:val="00F04732"/>
    <w:rsid w:val="00F04935"/>
    <w:rsid w:val="00F04A66"/>
    <w:rsid w:val="00F04B4B"/>
    <w:rsid w:val="00F04CA3"/>
    <w:rsid w:val="00F04EAD"/>
    <w:rsid w:val="00F04F0B"/>
    <w:rsid w:val="00F0516C"/>
    <w:rsid w:val="00F05629"/>
    <w:rsid w:val="00F057D4"/>
    <w:rsid w:val="00F05A20"/>
    <w:rsid w:val="00F05BA2"/>
    <w:rsid w:val="00F05BF8"/>
    <w:rsid w:val="00F05FC2"/>
    <w:rsid w:val="00F0611C"/>
    <w:rsid w:val="00F06417"/>
    <w:rsid w:val="00F066B9"/>
    <w:rsid w:val="00F067A2"/>
    <w:rsid w:val="00F06BDE"/>
    <w:rsid w:val="00F073F0"/>
    <w:rsid w:val="00F075A3"/>
    <w:rsid w:val="00F07740"/>
    <w:rsid w:val="00F07B6E"/>
    <w:rsid w:val="00F07B9E"/>
    <w:rsid w:val="00F07CC5"/>
    <w:rsid w:val="00F07D88"/>
    <w:rsid w:val="00F07F6B"/>
    <w:rsid w:val="00F07F88"/>
    <w:rsid w:val="00F10328"/>
    <w:rsid w:val="00F10543"/>
    <w:rsid w:val="00F10869"/>
    <w:rsid w:val="00F10EDC"/>
    <w:rsid w:val="00F1116F"/>
    <w:rsid w:val="00F11463"/>
    <w:rsid w:val="00F1184F"/>
    <w:rsid w:val="00F1195D"/>
    <w:rsid w:val="00F11CB5"/>
    <w:rsid w:val="00F1205E"/>
    <w:rsid w:val="00F121ED"/>
    <w:rsid w:val="00F12231"/>
    <w:rsid w:val="00F1227E"/>
    <w:rsid w:val="00F1250E"/>
    <w:rsid w:val="00F125C7"/>
    <w:rsid w:val="00F1263A"/>
    <w:rsid w:val="00F126DC"/>
    <w:rsid w:val="00F12DC9"/>
    <w:rsid w:val="00F12F0F"/>
    <w:rsid w:val="00F12FCB"/>
    <w:rsid w:val="00F13131"/>
    <w:rsid w:val="00F132D5"/>
    <w:rsid w:val="00F133F4"/>
    <w:rsid w:val="00F13697"/>
    <w:rsid w:val="00F13887"/>
    <w:rsid w:val="00F139C5"/>
    <w:rsid w:val="00F13AFD"/>
    <w:rsid w:val="00F13CB3"/>
    <w:rsid w:val="00F13DED"/>
    <w:rsid w:val="00F142F5"/>
    <w:rsid w:val="00F14535"/>
    <w:rsid w:val="00F1459A"/>
    <w:rsid w:val="00F145CF"/>
    <w:rsid w:val="00F14605"/>
    <w:rsid w:val="00F147A9"/>
    <w:rsid w:val="00F1500F"/>
    <w:rsid w:val="00F15B77"/>
    <w:rsid w:val="00F15BA0"/>
    <w:rsid w:val="00F15F70"/>
    <w:rsid w:val="00F16412"/>
    <w:rsid w:val="00F16B00"/>
    <w:rsid w:val="00F16D48"/>
    <w:rsid w:val="00F175A4"/>
    <w:rsid w:val="00F17653"/>
    <w:rsid w:val="00F17698"/>
    <w:rsid w:val="00F17D32"/>
    <w:rsid w:val="00F17E2D"/>
    <w:rsid w:val="00F17EAC"/>
    <w:rsid w:val="00F17F10"/>
    <w:rsid w:val="00F20663"/>
    <w:rsid w:val="00F20E92"/>
    <w:rsid w:val="00F21236"/>
    <w:rsid w:val="00F214A6"/>
    <w:rsid w:val="00F21588"/>
    <w:rsid w:val="00F215EB"/>
    <w:rsid w:val="00F2174D"/>
    <w:rsid w:val="00F217B7"/>
    <w:rsid w:val="00F21951"/>
    <w:rsid w:val="00F21C38"/>
    <w:rsid w:val="00F21C76"/>
    <w:rsid w:val="00F220F4"/>
    <w:rsid w:val="00F22DC1"/>
    <w:rsid w:val="00F22DDC"/>
    <w:rsid w:val="00F22F45"/>
    <w:rsid w:val="00F231E0"/>
    <w:rsid w:val="00F23345"/>
    <w:rsid w:val="00F239DF"/>
    <w:rsid w:val="00F23E8A"/>
    <w:rsid w:val="00F24193"/>
    <w:rsid w:val="00F24405"/>
    <w:rsid w:val="00F24837"/>
    <w:rsid w:val="00F24992"/>
    <w:rsid w:val="00F249C4"/>
    <w:rsid w:val="00F24A95"/>
    <w:rsid w:val="00F24B2F"/>
    <w:rsid w:val="00F24E80"/>
    <w:rsid w:val="00F24EE2"/>
    <w:rsid w:val="00F25223"/>
    <w:rsid w:val="00F2538D"/>
    <w:rsid w:val="00F2550C"/>
    <w:rsid w:val="00F25615"/>
    <w:rsid w:val="00F2575F"/>
    <w:rsid w:val="00F25AFD"/>
    <w:rsid w:val="00F25B40"/>
    <w:rsid w:val="00F25C49"/>
    <w:rsid w:val="00F25F18"/>
    <w:rsid w:val="00F26030"/>
    <w:rsid w:val="00F26040"/>
    <w:rsid w:val="00F26304"/>
    <w:rsid w:val="00F26477"/>
    <w:rsid w:val="00F264B5"/>
    <w:rsid w:val="00F26816"/>
    <w:rsid w:val="00F26A71"/>
    <w:rsid w:val="00F27565"/>
    <w:rsid w:val="00F27A13"/>
    <w:rsid w:val="00F27A5C"/>
    <w:rsid w:val="00F27AF2"/>
    <w:rsid w:val="00F27F8B"/>
    <w:rsid w:val="00F3017E"/>
    <w:rsid w:val="00F30879"/>
    <w:rsid w:val="00F308B0"/>
    <w:rsid w:val="00F310D4"/>
    <w:rsid w:val="00F310DB"/>
    <w:rsid w:val="00F319BC"/>
    <w:rsid w:val="00F31D5A"/>
    <w:rsid w:val="00F322DF"/>
    <w:rsid w:val="00F32CDE"/>
    <w:rsid w:val="00F32E05"/>
    <w:rsid w:val="00F32E0D"/>
    <w:rsid w:val="00F32EC4"/>
    <w:rsid w:val="00F32F82"/>
    <w:rsid w:val="00F332B0"/>
    <w:rsid w:val="00F33975"/>
    <w:rsid w:val="00F33C4E"/>
    <w:rsid w:val="00F33DE9"/>
    <w:rsid w:val="00F3416F"/>
    <w:rsid w:val="00F341DF"/>
    <w:rsid w:val="00F343FA"/>
    <w:rsid w:val="00F3440C"/>
    <w:rsid w:val="00F344B0"/>
    <w:rsid w:val="00F3479A"/>
    <w:rsid w:val="00F35202"/>
    <w:rsid w:val="00F35DB1"/>
    <w:rsid w:val="00F35E6D"/>
    <w:rsid w:val="00F3619A"/>
    <w:rsid w:val="00F36243"/>
    <w:rsid w:val="00F36369"/>
    <w:rsid w:val="00F3656A"/>
    <w:rsid w:val="00F36970"/>
    <w:rsid w:val="00F36A0F"/>
    <w:rsid w:val="00F36B50"/>
    <w:rsid w:val="00F36BB8"/>
    <w:rsid w:val="00F36FD3"/>
    <w:rsid w:val="00F3718B"/>
    <w:rsid w:val="00F3739A"/>
    <w:rsid w:val="00F3740E"/>
    <w:rsid w:val="00F376D9"/>
    <w:rsid w:val="00F37CE6"/>
    <w:rsid w:val="00F40951"/>
    <w:rsid w:val="00F40AAA"/>
    <w:rsid w:val="00F40BA7"/>
    <w:rsid w:val="00F40D81"/>
    <w:rsid w:val="00F40F9D"/>
    <w:rsid w:val="00F41283"/>
    <w:rsid w:val="00F4153C"/>
    <w:rsid w:val="00F416D3"/>
    <w:rsid w:val="00F41777"/>
    <w:rsid w:val="00F418C8"/>
    <w:rsid w:val="00F41A3A"/>
    <w:rsid w:val="00F41ACD"/>
    <w:rsid w:val="00F41C6F"/>
    <w:rsid w:val="00F42058"/>
    <w:rsid w:val="00F4213A"/>
    <w:rsid w:val="00F42187"/>
    <w:rsid w:val="00F424EA"/>
    <w:rsid w:val="00F4253B"/>
    <w:rsid w:val="00F427DA"/>
    <w:rsid w:val="00F427E0"/>
    <w:rsid w:val="00F42DA7"/>
    <w:rsid w:val="00F430C6"/>
    <w:rsid w:val="00F4328D"/>
    <w:rsid w:val="00F432C6"/>
    <w:rsid w:val="00F43337"/>
    <w:rsid w:val="00F43CF8"/>
    <w:rsid w:val="00F43D1E"/>
    <w:rsid w:val="00F43E50"/>
    <w:rsid w:val="00F4490A"/>
    <w:rsid w:val="00F44D5A"/>
    <w:rsid w:val="00F454AA"/>
    <w:rsid w:val="00F4609E"/>
    <w:rsid w:val="00F4613C"/>
    <w:rsid w:val="00F4661E"/>
    <w:rsid w:val="00F46CB6"/>
    <w:rsid w:val="00F472A0"/>
    <w:rsid w:val="00F47370"/>
    <w:rsid w:val="00F4756D"/>
    <w:rsid w:val="00F476A9"/>
    <w:rsid w:val="00F47BBB"/>
    <w:rsid w:val="00F47DE8"/>
    <w:rsid w:val="00F47F19"/>
    <w:rsid w:val="00F47F86"/>
    <w:rsid w:val="00F47FEB"/>
    <w:rsid w:val="00F47FF4"/>
    <w:rsid w:val="00F5023A"/>
    <w:rsid w:val="00F50D25"/>
    <w:rsid w:val="00F50E91"/>
    <w:rsid w:val="00F512CE"/>
    <w:rsid w:val="00F514D6"/>
    <w:rsid w:val="00F51B83"/>
    <w:rsid w:val="00F51C19"/>
    <w:rsid w:val="00F51C68"/>
    <w:rsid w:val="00F52DD9"/>
    <w:rsid w:val="00F52FCF"/>
    <w:rsid w:val="00F530D2"/>
    <w:rsid w:val="00F53395"/>
    <w:rsid w:val="00F539E1"/>
    <w:rsid w:val="00F53FF5"/>
    <w:rsid w:val="00F542C1"/>
    <w:rsid w:val="00F5461D"/>
    <w:rsid w:val="00F54955"/>
    <w:rsid w:val="00F54B64"/>
    <w:rsid w:val="00F54DFA"/>
    <w:rsid w:val="00F54E3F"/>
    <w:rsid w:val="00F54ECC"/>
    <w:rsid w:val="00F550E3"/>
    <w:rsid w:val="00F55170"/>
    <w:rsid w:val="00F5521D"/>
    <w:rsid w:val="00F554DC"/>
    <w:rsid w:val="00F55E73"/>
    <w:rsid w:val="00F55EDA"/>
    <w:rsid w:val="00F568DE"/>
    <w:rsid w:val="00F56BFB"/>
    <w:rsid w:val="00F56C80"/>
    <w:rsid w:val="00F5705F"/>
    <w:rsid w:val="00F57132"/>
    <w:rsid w:val="00F5723B"/>
    <w:rsid w:val="00F5728F"/>
    <w:rsid w:val="00F572C4"/>
    <w:rsid w:val="00F57931"/>
    <w:rsid w:val="00F57A2D"/>
    <w:rsid w:val="00F57B0D"/>
    <w:rsid w:val="00F57BA5"/>
    <w:rsid w:val="00F57DFB"/>
    <w:rsid w:val="00F57F9C"/>
    <w:rsid w:val="00F60092"/>
    <w:rsid w:val="00F60141"/>
    <w:rsid w:val="00F6052B"/>
    <w:rsid w:val="00F60A59"/>
    <w:rsid w:val="00F60B0B"/>
    <w:rsid w:val="00F60B13"/>
    <w:rsid w:val="00F60C2F"/>
    <w:rsid w:val="00F60EA7"/>
    <w:rsid w:val="00F61094"/>
    <w:rsid w:val="00F61134"/>
    <w:rsid w:val="00F611EF"/>
    <w:rsid w:val="00F61223"/>
    <w:rsid w:val="00F61911"/>
    <w:rsid w:val="00F61953"/>
    <w:rsid w:val="00F61C18"/>
    <w:rsid w:val="00F61EA7"/>
    <w:rsid w:val="00F61F67"/>
    <w:rsid w:val="00F62724"/>
    <w:rsid w:val="00F62BDE"/>
    <w:rsid w:val="00F62FC9"/>
    <w:rsid w:val="00F63082"/>
    <w:rsid w:val="00F63706"/>
    <w:rsid w:val="00F638C2"/>
    <w:rsid w:val="00F63AF8"/>
    <w:rsid w:val="00F6419E"/>
    <w:rsid w:val="00F644C8"/>
    <w:rsid w:val="00F644FC"/>
    <w:rsid w:val="00F64942"/>
    <w:rsid w:val="00F64E90"/>
    <w:rsid w:val="00F6564A"/>
    <w:rsid w:val="00F65F4B"/>
    <w:rsid w:val="00F65FC7"/>
    <w:rsid w:val="00F66354"/>
    <w:rsid w:val="00F6660C"/>
    <w:rsid w:val="00F668E0"/>
    <w:rsid w:val="00F66911"/>
    <w:rsid w:val="00F6697B"/>
    <w:rsid w:val="00F6700B"/>
    <w:rsid w:val="00F67114"/>
    <w:rsid w:val="00F67363"/>
    <w:rsid w:val="00F67420"/>
    <w:rsid w:val="00F67768"/>
    <w:rsid w:val="00F67A69"/>
    <w:rsid w:val="00F67E6B"/>
    <w:rsid w:val="00F67F9C"/>
    <w:rsid w:val="00F70BFF"/>
    <w:rsid w:val="00F70C9D"/>
    <w:rsid w:val="00F71BCA"/>
    <w:rsid w:val="00F71E0F"/>
    <w:rsid w:val="00F71EEA"/>
    <w:rsid w:val="00F72509"/>
    <w:rsid w:val="00F72674"/>
    <w:rsid w:val="00F726B5"/>
    <w:rsid w:val="00F72EBE"/>
    <w:rsid w:val="00F730C3"/>
    <w:rsid w:val="00F7355D"/>
    <w:rsid w:val="00F73E08"/>
    <w:rsid w:val="00F73E94"/>
    <w:rsid w:val="00F747DA"/>
    <w:rsid w:val="00F74B5B"/>
    <w:rsid w:val="00F74C46"/>
    <w:rsid w:val="00F74CD9"/>
    <w:rsid w:val="00F7506E"/>
    <w:rsid w:val="00F75B4D"/>
    <w:rsid w:val="00F75C72"/>
    <w:rsid w:val="00F75D0C"/>
    <w:rsid w:val="00F75E54"/>
    <w:rsid w:val="00F75F0A"/>
    <w:rsid w:val="00F7606B"/>
    <w:rsid w:val="00F76375"/>
    <w:rsid w:val="00F76787"/>
    <w:rsid w:val="00F767F2"/>
    <w:rsid w:val="00F769D3"/>
    <w:rsid w:val="00F77677"/>
    <w:rsid w:val="00F8014D"/>
    <w:rsid w:val="00F802B1"/>
    <w:rsid w:val="00F8053D"/>
    <w:rsid w:val="00F805BB"/>
    <w:rsid w:val="00F8060E"/>
    <w:rsid w:val="00F8094C"/>
    <w:rsid w:val="00F80A7B"/>
    <w:rsid w:val="00F80B7B"/>
    <w:rsid w:val="00F80D5E"/>
    <w:rsid w:val="00F80E5D"/>
    <w:rsid w:val="00F81DA9"/>
    <w:rsid w:val="00F81E78"/>
    <w:rsid w:val="00F822F5"/>
    <w:rsid w:val="00F8238D"/>
    <w:rsid w:val="00F83916"/>
    <w:rsid w:val="00F83BC2"/>
    <w:rsid w:val="00F83C86"/>
    <w:rsid w:val="00F847E3"/>
    <w:rsid w:val="00F84A32"/>
    <w:rsid w:val="00F84B03"/>
    <w:rsid w:val="00F84D8A"/>
    <w:rsid w:val="00F851A7"/>
    <w:rsid w:val="00F851CE"/>
    <w:rsid w:val="00F854BE"/>
    <w:rsid w:val="00F85A6D"/>
    <w:rsid w:val="00F8633D"/>
    <w:rsid w:val="00F865C6"/>
    <w:rsid w:val="00F866D5"/>
    <w:rsid w:val="00F86BAC"/>
    <w:rsid w:val="00F86E06"/>
    <w:rsid w:val="00F86E55"/>
    <w:rsid w:val="00F86F40"/>
    <w:rsid w:val="00F8700A"/>
    <w:rsid w:val="00F875DC"/>
    <w:rsid w:val="00F87837"/>
    <w:rsid w:val="00F87B2C"/>
    <w:rsid w:val="00F87C6F"/>
    <w:rsid w:val="00F87DFD"/>
    <w:rsid w:val="00F87EF0"/>
    <w:rsid w:val="00F90154"/>
    <w:rsid w:val="00F907D0"/>
    <w:rsid w:val="00F90DC3"/>
    <w:rsid w:val="00F91165"/>
    <w:rsid w:val="00F91219"/>
    <w:rsid w:val="00F91359"/>
    <w:rsid w:val="00F915EB"/>
    <w:rsid w:val="00F91EF4"/>
    <w:rsid w:val="00F92110"/>
    <w:rsid w:val="00F92444"/>
    <w:rsid w:val="00F92471"/>
    <w:rsid w:val="00F92D14"/>
    <w:rsid w:val="00F92D67"/>
    <w:rsid w:val="00F92DC1"/>
    <w:rsid w:val="00F92E8D"/>
    <w:rsid w:val="00F9380A"/>
    <w:rsid w:val="00F9382D"/>
    <w:rsid w:val="00F93900"/>
    <w:rsid w:val="00F9393E"/>
    <w:rsid w:val="00F93C2A"/>
    <w:rsid w:val="00F93DCD"/>
    <w:rsid w:val="00F947B6"/>
    <w:rsid w:val="00F94AFE"/>
    <w:rsid w:val="00F94B6A"/>
    <w:rsid w:val="00F94BBA"/>
    <w:rsid w:val="00F94DD8"/>
    <w:rsid w:val="00F94E7A"/>
    <w:rsid w:val="00F94F1D"/>
    <w:rsid w:val="00F94F4A"/>
    <w:rsid w:val="00F94FB0"/>
    <w:rsid w:val="00F9522E"/>
    <w:rsid w:val="00F95705"/>
    <w:rsid w:val="00F957FB"/>
    <w:rsid w:val="00F95E3B"/>
    <w:rsid w:val="00F96C56"/>
    <w:rsid w:val="00F96D46"/>
    <w:rsid w:val="00F96ED4"/>
    <w:rsid w:val="00F96F17"/>
    <w:rsid w:val="00F96FD0"/>
    <w:rsid w:val="00F9702E"/>
    <w:rsid w:val="00F973A0"/>
    <w:rsid w:val="00F977B3"/>
    <w:rsid w:val="00F97A78"/>
    <w:rsid w:val="00F97B57"/>
    <w:rsid w:val="00FA0183"/>
    <w:rsid w:val="00FA0539"/>
    <w:rsid w:val="00FA071B"/>
    <w:rsid w:val="00FA0765"/>
    <w:rsid w:val="00FA08F7"/>
    <w:rsid w:val="00FA0B20"/>
    <w:rsid w:val="00FA0D39"/>
    <w:rsid w:val="00FA0E78"/>
    <w:rsid w:val="00FA0EAA"/>
    <w:rsid w:val="00FA0F3C"/>
    <w:rsid w:val="00FA129C"/>
    <w:rsid w:val="00FA1A84"/>
    <w:rsid w:val="00FA1B8A"/>
    <w:rsid w:val="00FA1E86"/>
    <w:rsid w:val="00FA21C2"/>
    <w:rsid w:val="00FA2251"/>
    <w:rsid w:val="00FA22F5"/>
    <w:rsid w:val="00FA24E7"/>
    <w:rsid w:val="00FA2910"/>
    <w:rsid w:val="00FA2B24"/>
    <w:rsid w:val="00FA2BD1"/>
    <w:rsid w:val="00FA3242"/>
    <w:rsid w:val="00FA33B5"/>
    <w:rsid w:val="00FA3624"/>
    <w:rsid w:val="00FA380A"/>
    <w:rsid w:val="00FA396D"/>
    <w:rsid w:val="00FA3AB5"/>
    <w:rsid w:val="00FA3B06"/>
    <w:rsid w:val="00FA3FAA"/>
    <w:rsid w:val="00FA4870"/>
    <w:rsid w:val="00FA4ACD"/>
    <w:rsid w:val="00FA4B75"/>
    <w:rsid w:val="00FA4E45"/>
    <w:rsid w:val="00FA4E48"/>
    <w:rsid w:val="00FA4F07"/>
    <w:rsid w:val="00FA56A8"/>
    <w:rsid w:val="00FA57AB"/>
    <w:rsid w:val="00FA5ADB"/>
    <w:rsid w:val="00FA5C40"/>
    <w:rsid w:val="00FA5E8A"/>
    <w:rsid w:val="00FA5EE6"/>
    <w:rsid w:val="00FA6052"/>
    <w:rsid w:val="00FA64A4"/>
    <w:rsid w:val="00FA6581"/>
    <w:rsid w:val="00FA6814"/>
    <w:rsid w:val="00FA68EE"/>
    <w:rsid w:val="00FA713C"/>
    <w:rsid w:val="00FA71EC"/>
    <w:rsid w:val="00FA764E"/>
    <w:rsid w:val="00FA7956"/>
    <w:rsid w:val="00FA7B8B"/>
    <w:rsid w:val="00FA7C11"/>
    <w:rsid w:val="00FA7E71"/>
    <w:rsid w:val="00FB0144"/>
    <w:rsid w:val="00FB080D"/>
    <w:rsid w:val="00FB0824"/>
    <w:rsid w:val="00FB08B2"/>
    <w:rsid w:val="00FB0A46"/>
    <w:rsid w:val="00FB0A83"/>
    <w:rsid w:val="00FB0AE8"/>
    <w:rsid w:val="00FB0D49"/>
    <w:rsid w:val="00FB0D50"/>
    <w:rsid w:val="00FB0D8D"/>
    <w:rsid w:val="00FB139B"/>
    <w:rsid w:val="00FB139F"/>
    <w:rsid w:val="00FB1434"/>
    <w:rsid w:val="00FB1E09"/>
    <w:rsid w:val="00FB1E49"/>
    <w:rsid w:val="00FB1F77"/>
    <w:rsid w:val="00FB2003"/>
    <w:rsid w:val="00FB25F0"/>
    <w:rsid w:val="00FB2816"/>
    <w:rsid w:val="00FB2895"/>
    <w:rsid w:val="00FB2C6F"/>
    <w:rsid w:val="00FB2FCB"/>
    <w:rsid w:val="00FB35BC"/>
    <w:rsid w:val="00FB3F12"/>
    <w:rsid w:val="00FB4014"/>
    <w:rsid w:val="00FB46F9"/>
    <w:rsid w:val="00FB4C9C"/>
    <w:rsid w:val="00FB56AD"/>
    <w:rsid w:val="00FB56D2"/>
    <w:rsid w:val="00FB5949"/>
    <w:rsid w:val="00FB66CE"/>
    <w:rsid w:val="00FB6C13"/>
    <w:rsid w:val="00FB6D29"/>
    <w:rsid w:val="00FB758A"/>
    <w:rsid w:val="00FB782A"/>
    <w:rsid w:val="00FB796A"/>
    <w:rsid w:val="00FB7987"/>
    <w:rsid w:val="00FB7BEA"/>
    <w:rsid w:val="00FB7C55"/>
    <w:rsid w:val="00FB7CE9"/>
    <w:rsid w:val="00FB7D27"/>
    <w:rsid w:val="00FB7D97"/>
    <w:rsid w:val="00FB7F34"/>
    <w:rsid w:val="00FC037B"/>
    <w:rsid w:val="00FC081F"/>
    <w:rsid w:val="00FC0AEF"/>
    <w:rsid w:val="00FC1074"/>
    <w:rsid w:val="00FC137E"/>
    <w:rsid w:val="00FC1884"/>
    <w:rsid w:val="00FC194E"/>
    <w:rsid w:val="00FC1AEE"/>
    <w:rsid w:val="00FC22B8"/>
    <w:rsid w:val="00FC24EE"/>
    <w:rsid w:val="00FC25A2"/>
    <w:rsid w:val="00FC2B76"/>
    <w:rsid w:val="00FC2CF8"/>
    <w:rsid w:val="00FC371D"/>
    <w:rsid w:val="00FC37CC"/>
    <w:rsid w:val="00FC3AB5"/>
    <w:rsid w:val="00FC3B1F"/>
    <w:rsid w:val="00FC3BD2"/>
    <w:rsid w:val="00FC3C2B"/>
    <w:rsid w:val="00FC3D99"/>
    <w:rsid w:val="00FC3ED5"/>
    <w:rsid w:val="00FC43CA"/>
    <w:rsid w:val="00FC4498"/>
    <w:rsid w:val="00FC49B0"/>
    <w:rsid w:val="00FC4BE5"/>
    <w:rsid w:val="00FC546A"/>
    <w:rsid w:val="00FC549D"/>
    <w:rsid w:val="00FC5630"/>
    <w:rsid w:val="00FC588E"/>
    <w:rsid w:val="00FC59AB"/>
    <w:rsid w:val="00FC5D65"/>
    <w:rsid w:val="00FC5F0B"/>
    <w:rsid w:val="00FC6067"/>
    <w:rsid w:val="00FC64E3"/>
    <w:rsid w:val="00FC66FD"/>
    <w:rsid w:val="00FC69C9"/>
    <w:rsid w:val="00FC6D0E"/>
    <w:rsid w:val="00FC6FB6"/>
    <w:rsid w:val="00FC70C9"/>
    <w:rsid w:val="00FC73C8"/>
    <w:rsid w:val="00FC74A3"/>
    <w:rsid w:val="00FC7627"/>
    <w:rsid w:val="00FC77C7"/>
    <w:rsid w:val="00FC78A4"/>
    <w:rsid w:val="00FC7C9D"/>
    <w:rsid w:val="00FC7CAD"/>
    <w:rsid w:val="00FC7CB7"/>
    <w:rsid w:val="00FC7D5B"/>
    <w:rsid w:val="00FC7FB0"/>
    <w:rsid w:val="00FD0105"/>
    <w:rsid w:val="00FD098F"/>
    <w:rsid w:val="00FD0C08"/>
    <w:rsid w:val="00FD11D7"/>
    <w:rsid w:val="00FD1274"/>
    <w:rsid w:val="00FD183F"/>
    <w:rsid w:val="00FD18B7"/>
    <w:rsid w:val="00FD1A44"/>
    <w:rsid w:val="00FD1B48"/>
    <w:rsid w:val="00FD1E1F"/>
    <w:rsid w:val="00FD1F59"/>
    <w:rsid w:val="00FD1FCF"/>
    <w:rsid w:val="00FD1FFF"/>
    <w:rsid w:val="00FD209C"/>
    <w:rsid w:val="00FD2100"/>
    <w:rsid w:val="00FD26D7"/>
    <w:rsid w:val="00FD2752"/>
    <w:rsid w:val="00FD3093"/>
    <w:rsid w:val="00FD30F8"/>
    <w:rsid w:val="00FD3677"/>
    <w:rsid w:val="00FD37B2"/>
    <w:rsid w:val="00FD389A"/>
    <w:rsid w:val="00FD39EF"/>
    <w:rsid w:val="00FD3AA9"/>
    <w:rsid w:val="00FD3BE8"/>
    <w:rsid w:val="00FD3CDC"/>
    <w:rsid w:val="00FD436C"/>
    <w:rsid w:val="00FD43DF"/>
    <w:rsid w:val="00FD446D"/>
    <w:rsid w:val="00FD46B3"/>
    <w:rsid w:val="00FD46DE"/>
    <w:rsid w:val="00FD485F"/>
    <w:rsid w:val="00FD4AAE"/>
    <w:rsid w:val="00FD4B58"/>
    <w:rsid w:val="00FD4D4A"/>
    <w:rsid w:val="00FD4F2C"/>
    <w:rsid w:val="00FD54E4"/>
    <w:rsid w:val="00FD54FE"/>
    <w:rsid w:val="00FD5CEC"/>
    <w:rsid w:val="00FD6148"/>
    <w:rsid w:val="00FD6394"/>
    <w:rsid w:val="00FD66A7"/>
    <w:rsid w:val="00FD698B"/>
    <w:rsid w:val="00FD6C61"/>
    <w:rsid w:val="00FD6DEA"/>
    <w:rsid w:val="00FD6E69"/>
    <w:rsid w:val="00FD6EAC"/>
    <w:rsid w:val="00FD6F72"/>
    <w:rsid w:val="00FD70FC"/>
    <w:rsid w:val="00FD71F9"/>
    <w:rsid w:val="00FD7542"/>
    <w:rsid w:val="00FD75A8"/>
    <w:rsid w:val="00FD7E96"/>
    <w:rsid w:val="00FE0195"/>
    <w:rsid w:val="00FE02D7"/>
    <w:rsid w:val="00FE08D4"/>
    <w:rsid w:val="00FE0985"/>
    <w:rsid w:val="00FE0A64"/>
    <w:rsid w:val="00FE0AFA"/>
    <w:rsid w:val="00FE0E6C"/>
    <w:rsid w:val="00FE1CDC"/>
    <w:rsid w:val="00FE1F76"/>
    <w:rsid w:val="00FE20EA"/>
    <w:rsid w:val="00FE2274"/>
    <w:rsid w:val="00FE2356"/>
    <w:rsid w:val="00FE28C8"/>
    <w:rsid w:val="00FE2AC4"/>
    <w:rsid w:val="00FE2CCC"/>
    <w:rsid w:val="00FE2EF2"/>
    <w:rsid w:val="00FE2F71"/>
    <w:rsid w:val="00FE321A"/>
    <w:rsid w:val="00FE33BD"/>
    <w:rsid w:val="00FE34A9"/>
    <w:rsid w:val="00FE37C9"/>
    <w:rsid w:val="00FE3817"/>
    <w:rsid w:val="00FE3F51"/>
    <w:rsid w:val="00FE3FB1"/>
    <w:rsid w:val="00FE4318"/>
    <w:rsid w:val="00FE4C1E"/>
    <w:rsid w:val="00FE4D63"/>
    <w:rsid w:val="00FE4E7C"/>
    <w:rsid w:val="00FE5820"/>
    <w:rsid w:val="00FE5BBB"/>
    <w:rsid w:val="00FE5E8B"/>
    <w:rsid w:val="00FE6421"/>
    <w:rsid w:val="00FE64ED"/>
    <w:rsid w:val="00FE68B5"/>
    <w:rsid w:val="00FE6B3B"/>
    <w:rsid w:val="00FE6C8F"/>
    <w:rsid w:val="00FE6D53"/>
    <w:rsid w:val="00FE6D94"/>
    <w:rsid w:val="00FE6F4E"/>
    <w:rsid w:val="00FE6FCE"/>
    <w:rsid w:val="00FE704E"/>
    <w:rsid w:val="00FE70C3"/>
    <w:rsid w:val="00FE71C2"/>
    <w:rsid w:val="00FE78D5"/>
    <w:rsid w:val="00FE7A22"/>
    <w:rsid w:val="00FE7C87"/>
    <w:rsid w:val="00FF0C63"/>
    <w:rsid w:val="00FF0CDB"/>
    <w:rsid w:val="00FF0F3D"/>
    <w:rsid w:val="00FF119F"/>
    <w:rsid w:val="00FF1384"/>
    <w:rsid w:val="00FF1782"/>
    <w:rsid w:val="00FF18F3"/>
    <w:rsid w:val="00FF1A8B"/>
    <w:rsid w:val="00FF1F4E"/>
    <w:rsid w:val="00FF21F6"/>
    <w:rsid w:val="00FF2918"/>
    <w:rsid w:val="00FF29C2"/>
    <w:rsid w:val="00FF2AD9"/>
    <w:rsid w:val="00FF302F"/>
    <w:rsid w:val="00FF3198"/>
    <w:rsid w:val="00FF359F"/>
    <w:rsid w:val="00FF377C"/>
    <w:rsid w:val="00FF37FA"/>
    <w:rsid w:val="00FF3DCF"/>
    <w:rsid w:val="00FF3DE1"/>
    <w:rsid w:val="00FF4131"/>
    <w:rsid w:val="00FF466F"/>
    <w:rsid w:val="00FF48A5"/>
    <w:rsid w:val="00FF492C"/>
    <w:rsid w:val="00FF4A21"/>
    <w:rsid w:val="00FF4D5E"/>
    <w:rsid w:val="00FF4E04"/>
    <w:rsid w:val="00FF5411"/>
    <w:rsid w:val="00FF5466"/>
    <w:rsid w:val="00FF58F8"/>
    <w:rsid w:val="00FF5AA3"/>
    <w:rsid w:val="00FF5AD8"/>
    <w:rsid w:val="00FF5BD8"/>
    <w:rsid w:val="00FF5FC1"/>
    <w:rsid w:val="00FF60BC"/>
    <w:rsid w:val="00FF622F"/>
    <w:rsid w:val="00FF629D"/>
    <w:rsid w:val="00FF6486"/>
    <w:rsid w:val="00FF6496"/>
    <w:rsid w:val="00FF6559"/>
    <w:rsid w:val="00FF681F"/>
    <w:rsid w:val="00FF68E7"/>
    <w:rsid w:val="00FF6B23"/>
    <w:rsid w:val="00FF6CE2"/>
    <w:rsid w:val="00FF6D8F"/>
    <w:rsid w:val="00FF6EF6"/>
    <w:rsid w:val="00FF70A8"/>
    <w:rsid w:val="00FF71C0"/>
    <w:rsid w:val="00FF7272"/>
    <w:rsid w:val="00FF7319"/>
    <w:rsid w:val="00FF75FD"/>
    <w:rsid w:val="01084C81"/>
    <w:rsid w:val="011ACF65"/>
    <w:rsid w:val="0277F80B"/>
    <w:rsid w:val="03484A62"/>
    <w:rsid w:val="03766C8C"/>
    <w:rsid w:val="03925299"/>
    <w:rsid w:val="048BE4C3"/>
    <w:rsid w:val="04FE1EC7"/>
    <w:rsid w:val="05C00224"/>
    <w:rsid w:val="0661824E"/>
    <w:rsid w:val="06745CEC"/>
    <w:rsid w:val="06AB4B6B"/>
    <w:rsid w:val="06BF42CD"/>
    <w:rsid w:val="075E6D84"/>
    <w:rsid w:val="082954F6"/>
    <w:rsid w:val="08976BFA"/>
    <w:rsid w:val="08DAC9C8"/>
    <w:rsid w:val="08DD6894"/>
    <w:rsid w:val="0927A51C"/>
    <w:rsid w:val="0955F805"/>
    <w:rsid w:val="0A6405D7"/>
    <w:rsid w:val="0B862ACC"/>
    <w:rsid w:val="0B88324E"/>
    <w:rsid w:val="0B8BECCF"/>
    <w:rsid w:val="0C2A97F4"/>
    <w:rsid w:val="0C550831"/>
    <w:rsid w:val="0C60D983"/>
    <w:rsid w:val="0CCB1615"/>
    <w:rsid w:val="0CD200EB"/>
    <w:rsid w:val="0D5D95A2"/>
    <w:rsid w:val="0D885D6C"/>
    <w:rsid w:val="0F487291"/>
    <w:rsid w:val="0F69655E"/>
    <w:rsid w:val="101E0B41"/>
    <w:rsid w:val="12249B8F"/>
    <w:rsid w:val="127D7106"/>
    <w:rsid w:val="129412F7"/>
    <w:rsid w:val="12B3FFB3"/>
    <w:rsid w:val="139E35CC"/>
    <w:rsid w:val="13C399AC"/>
    <w:rsid w:val="14A75C2F"/>
    <w:rsid w:val="1550B2B7"/>
    <w:rsid w:val="15C057C5"/>
    <w:rsid w:val="15FF67C2"/>
    <w:rsid w:val="161E177C"/>
    <w:rsid w:val="165D7BBA"/>
    <w:rsid w:val="167EA6F4"/>
    <w:rsid w:val="16913FE2"/>
    <w:rsid w:val="1692D86B"/>
    <w:rsid w:val="16BEDF8F"/>
    <w:rsid w:val="16D0EF79"/>
    <w:rsid w:val="1709F508"/>
    <w:rsid w:val="176AA763"/>
    <w:rsid w:val="177BE1EB"/>
    <w:rsid w:val="177EEA87"/>
    <w:rsid w:val="189ED7AB"/>
    <w:rsid w:val="19DBD7E1"/>
    <w:rsid w:val="1A6F818B"/>
    <w:rsid w:val="1B2720B8"/>
    <w:rsid w:val="1BB4F393"/>
    <w:rsid w:val="1BFFD302"/>
    <w:rsid w:val="1C299D7D"/>
    <w:rsid w:val="1CD1E39D"/>
    <w:rsid w:val="1CE6F05C"/>
    <w:rsid w:val="1D034543"/>
    <w:rsid w:val="1DDF3719"/>
    <w:rsid w:val="1E9C885F"/>
    <w:rsid w:val="1F04BB68"/>
    <w:rsid w:val="1F20286A"/>
    <w:rsid w:val="1F49ED05"/>
    <w:rsid w:val="1F5B8957"/>
    <w:rsid w:val="1FBE27EA"/>
    <w:rsid w:val="1FFB1C9A"/>
    <w:rsid w:val="1FFD5891"/>
    <w:rsid w:val="202E3908"/>
    <w:rsid w:val="208B3BBE"/>
    <w:rsid w:val="20F5B4E8"/>
    <w:rsid w:val="20F6436C"/>
    <w:rsid w:val="223F1180"/>
    <w:rsid w:val="226910B6"/>
    <w:rsid w:val="228F18F3"/>
    <w:rsid w:val="237C1E64"/>
    <w:rsid w:val="23AEA439"/>
    <w:rsid w:val="23F4C6DD"/>
    <w:rsid w:val="243716C3"/>
    <w:rsid w:val="243822CC"/>
    <w:rsid w:val="24A1B36E"/>
    <w:rsid w:val="24F4C7C8"/>
    <w:rsid w:val="254BA28F"/>
    <w:rsid w:val="257D98B1"/>
    <w:rsid w:val="257EF89B"/>
    <w:rsid w:val="26723F9E"/>
    <w:rsid w:val="26AAE207"/>
    <w:rsid w:val="26B0F064"/>
    <w:rsid w:val="27CF446D"/>
    <w:rsid w:val="27DCFFE8"/>
    <w:rsid w:val="28227B68"/>
    <w:rsid w:val="28929661"/>
    <w:rsid w:val="28C353EF"/>
    <w:rsid w:val="290E3E3A"/>
    <w:rsid w:val="29514067"/>
    <w:rsid w:val="297EC7C0"/>
    <w:rsid w:val="29EA67BD"/>
    <w:rsid w:val="29ECFD16"/>
    <w:rsid w:val="2A3111CD"/>
    <w:rsid w:val="2AABF634"/>
    <w:rsid w:val="2B17D463"/>
    <w:rsid w:val="2B4D862D"/>
    <w:rsid w:val="2BEE2BDC"/>
    <w:rsid w:val="2C8F9365"/>
    <w:rsid w:val="2C9F66EF"/>
    <w:rsid w:val="2CC3CDF5"/>
    <w:rsid w:val="2CF6AF16"/>
    <w:rsid w:val="2D6026F5"/>
    <w:rsid w:val="2D618D38"/>
    <w:rsid w:val="2D90531E"/>
    <w:rsid w:val="2E08C1DA"/>
    <w:rsid w:val="2EAD3753"/>
    <w:rsid w:val="2F2F2F9E"/>
    <w:rsid w:val="2F39E10B"/>
    <w:rsid w:val="3164908C"/>
    <w:rsid w:val="3178F121"/>
    <w:rsid w:val="3195052F"/>
    <w:rsid w:val="31F17AD6"/>
    <w:rsid w:val="325B238D"/>
    <w:rsid w:val="32C40B34"/>
    <w:rsid w:val="33D2275F"/>
    <w:rsid w:val="3506827E"/>
    <w:rsid w:val="35E77C20"/>
    <w:rsid w:val="36F7B743"/>
    <w:rsid w:val="37D5014F"/>
    <w:rsid w:val="3819B0A4"/>
    <w:rsid w:val="394996B0"/>
    <w:rsid w:val="3990BE22"/>
    <w:rsid w:val="39C2FF79"/>
    <w:rsid w:val="3A73ADF9"/>
    <w:rsid w:val="3BBA2E26"/>
    <w:rsid w:val="3C25D977"/>
    <w:rsid w:val="3C7221C8"/>
    <w:rsid w:val="3CFFEABF"/>
    <w:rsid w:val="3D162686"/>
    <w:rsid w:val="3E7BB950"/>
    <w:rsid w:val="3EBD2502"/>
    <w:rsid w:val="3F09F500"/>
    <w:rsid w:val="3F3AE7D4"/>
    <w:rsid w:val="3F3FEC63"/>
    <w:rsid w:val="3F551D22"/>
    <w:rsid w:val="3FD98CF7"/>
    <w:rsid w:val="4078283F"/>
    <w:rsid w:val="408EF48E"/>
    <w:rsid w:val="40B4D06D"/>
    <w:rsid w:val="40B5FD33"/>
    <w:rsid w:val="416995D9"/>
    <w:rsid w:val="41E079F1"/>
    <w:rsid w:val="4220638B"/>
    <w:rsid w:val="42C267C4"/>
    <w:rsid w:val="44D3B72F"/>
    <w:rsid w:val="455F76A4"/>
    <w:rsid w:val="4562FF89"/>
    <w:rsid w:val="45EF2E38"/>
    <w:rsid w:val="46154618"/>
    <w:rsid w:val="46898745"/>
    <w:rsid w:val="46F85F8F"/>
    <w:rsid w:val="471497A0"/>
    <w:rsid w:val="474E84D8"/>
    <w:rsid w:val="48CC1225"/>
    <w:rsid w:val="492BFA04"/>
    <w:rsid w:val="49F62C8D"/>
    <w:rsid w:val="4A25235A"/>
    <w:rsid w:val="4A71D45F"/>
    <w:rsid w:val="4ABEDFB1"/>
    <w:rsid w:val="4B2A0F50"/>
    <w:rsid w:val="4B2B02EE"/>
    <w:rsid w:val="4B710F30"/>
    <w:rsid w:val="4BBEAACF"/>
    <w:rsid w:val="4BE14653"/>
    <w:rsid w:val="4C14EE81"/>
    <w:rsid w:val="4CD51C25"/>
    <w:rsid w:val="4E02264A"/>
    <w:rsid w:val="4F33ECE7"/>
    <w:rsid w:val="4FF46AA5"/>
    <w:rsid w:val="4FF67C5E"/>
    <w:rsid w:val="500B003C"/>
    <w:rsid w:val="50E5787D"/>
    <w:rsid w:val="51344C01"/>
    <w:rsid w:val="5197B29A"/>
    <w:rsid w:val="52229C14"/>
    <w:rsid w:val="52519D6D"/>
    <w:rsid w:val="528EEF10"/>
    <w:rsid w:val="52917F17"/>
    <w:rsid w:val="52D30019"/>
    <w:rsid w:val="536C92A7"/>
    <w:rsid w:val="543B0C83"/>
    <w:rsid w:val="54EBA22C"/>
    <w:rsid w:val="54ED2564"/>
    <w:rsid w:val="553A0B0A"/>
    <w:rsid w:val="5563F49D"/>
    <w:rsid w:val="55E2A839"/>
    <w:rsid w:val="5695CB93"/>
    <w:rsid w:val="56A4C64E"/>
    <w:rsid w:val="57CFD1F9"/>
    <w:rsid w:val="57EC834E"/>
    <w:rsid w:val="5876280E"/>
    <w:rsid w:val="58F9A78D"/>
    <w:rsid w:val="5921411D"/>
    <w:rsid w:val="59343F99"/>
    <w:rsid w:val="5980A3D5"/>
    <w:rsid w:val="59BE07C1"/>
    <w:rsid w:val="5A9C4A33"/>
    <w:rsid w:val="5AE0C6D9"/>
    <w:rsid w:val="5B94C84B"/>
    <w:rsid w:val="5BD9B4D3"/>
    <w:rsid w:val="5C0FECD9"/>
    <w:rsid w:val="5C7477BF"/>
    <w:rsid w:val="5CC8A19D"/>
    <w:rsid w:val="5CF2CB43"/>
    <w:rsid w:val="5CF675AE"/>
    <w:rsid w:val="5D0837F6"/>
    <w:rsid w:val="5D7DCAC8"/>
    <w:rsid w:val="5E2759F1"/>
    <w:rsid w:val="5E48EB9A"/>
    <w:rsid w:val="5FFF2D46"/>
    <w:rsid w:val="60DD806A"/>
    <w:rsid w:val="6122576D"/>
    <w:rsid w:val="617AC48D"/>
    <w:rsid w:val="62548994"/>
    <w:rsid w:val="625E58D2"/>
    <w:rsid w:val="62C63A0E"/>
    <w:rsid w:val="62FAC0BD"/>
    <w:rsid w:val="635DF93E"/>
    <w:rsid w:val="63E543BB"/>
    <w:rsid w:val="642A43C6"/>
    <w:rsid w:val="6432EF35"/>
    <w:rsid w:val="64383720"/>
    <w:rsid w:val="64582E86"/>
    <w:rsid w:val="645B9CDB"/>
    <w:rsid w:val="64B794E3"/>
    <w:rsid w:val="64E7901D"/>
    <w:rsid w:val="65235530"/>
    <w:rsid w:val="658A53A2"/>
    <w:rsid w:val="6653C91D"/>
    <w:rsid w:val="66BC58C2"/>
    <w:rsid w:val="671C8EA7"/>
    <w:rsid w:val="6746E079"/>
    <w:rsid w:val="67537377"/>
    <w:rsid w:val="676A93B3"/>
    <w:rsid w:val="678201A4"/>
    <w:rsid w:val="682D7069"/>
    <w:rsid w:val="69A38789"/>
    <w:rsid w:val="69EEE6D6"/>
    <w:rsid w:val="69FFFE1A"/>
    <w:rsid w:val="6A2029B7"/>
    <w:rsid w:val="6A5057A9"/>
    <w:rsid w:val="6A98AE7B"/>
    <w:rsid w:val="6ADF5E78"/>
    <w:rsid w:val="6AE51B2E"/>
    <w:rsid w:val="6B152429"/>
    <w:rsid w:val="6BBD07B3"/>
    <w:rsid w:val="6CD07019"/>
    <w:rsid w:val="6CEB2D2C"/>
    <w:rsid w:val="6D80D51F"/>
    <w:rsid w:val="6DADC9C8"/>
    <w:rsid w:val="6DDD348C"/>
    <w:rsid w:val="6DE5BF1E"/>
    <w:rsid w:val="6E14C6F1"/>
    <w:rsid w:val="6E245244"/>
    <w:rsid w:val="6E290549"/>
    <w:rsid w:val="700FD522"/>
    <w:rsid w:val="70125E4F"/>
    <w:rsid w:val="706FFC02"/>
    <w:rsid w:val="710852A6"/>
    <w:rsid w:val="7128159C"/>
    <w:rsid w:val="71A3067C"/>
    <w:rsid w:val="71BC295D"/>
    <w:rsid w:val="72D06F17"/>
    <w:rsid w:val="733E41DF"/>
    <w:rsid w:val="734B6A25"/>
    <w:rsid w:val="73E038BF"/>
    <w:rsid w:val="743901CC"/>
    <w:rsid w:val="744D032F"/>
    <w:rsid w:val="744D07B8"/>
    <w:rsid w:val="747FFC9C"/>
    <w:rsid w:val="74EA50B5"/>
    <w:rsid w:val="750E35D4"/>
    <w:rsid w:val="758F67E4"/>
    <w:rsid w:val="75D0D29B"/>
    <w:rsid w:val="764C46F7"/>
    <w:rsid w:val="7688C3B2"/>
    <w:rsid w:val="76F4C4E6"/>
    <w:rsid w:val="773D7C10"/>
    <w:rsid w:val="774FAC75"/>
    <w:rsid w:val="7796A1B7"/>
    <w:rsid w:val="78C0321D"/>
    <w:rsid w:val="7942F680"/>
    <w:rsid w:val="79791FBF"/>
    <w:rsid w:val="79C583B6"/>
    <w:rsid w:val="7A5BFB13"/>
    <w:rsid w:val="7A6DE21A"/>
    <w:rsid w:val="7A899D40"/>
    <w:rsid w:val="7B6045AC"/>
    <w:rsid w:val="7C309876"/>
    <w:rsid w:val="7C34961F"/>
    <w:rsid w:val="7C36314F"/>
    <w:rsid w:val="7D12EABA"/>
    <w:rsid w:val="7FDF99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B36"/>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Bullet,- H17"/>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Bullet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RTI AMCP Table,new style,Dossier table,Section 3- footnotes,PBAC table,Lash Style Table,HTAtableplain,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736226"/>
    <w:pPr>
      <w:keepNext/>
      <w:keepLines/>
      <w:framePr w:hSpace="180" w:wrap="around" w:vAnchor="text" w:hAnchor="text" w:y="1"/>
      <w:suppressOverlap/>
    </w:pPr>
    <w:rPr>
      <w:rFonts w:ascii="Arial Narrow" w:hAnsi="Arial Narrow"/>
      <w:i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BA0429"/>
    <w:pPr>
      <w:numPr>
        <w:ilvl w:val="1"/>
        <w:numId w:val="1"/>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736226"/>
    <w:rPr>
      <w:rFonts w:ascii="Arial Narrow" w:hAnsi="Arial Narrow"/>
      <w:i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ind w:left="720" w:hanging="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6878D7"/>
    <w:pPr>
      <w:keepNext/>
      <w:keepLines/>
      <w:widowControl w:val="0"/>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6878D7"/>
    <w:rPr>
      <w:rFonts w:ascii="Arial Narrow" w:hAnsi="Arial Narrow" w:cs="Arial"/>
      <w:snapToGrid w:val="0"/>
      <w:sz w:val="18"/>
      <w:szCs w:val="22"/>
    </w:rPr>
  </w:style>
  <w:style w:type="paragraph" w:customStyle="1" w:styleId="Tabletitles">
    <w:name w:val="Table titles"/>
    <w:basedOn w:val="NoSpacing"/>
    <w:link w:val="TabletitlesChar"/>
    <w:qFormat/>
    <w:rsid w:val="00491043"/>
    <w:pPr>
      <w:widowControl/>
      <w:spacing w:after="60"/>
    </w:pPr>
    <w:rPr>
      <w:rFonts w:ascii="Arial Narrow" w:hAnsi="Arial Narrow" w:cs="Times New Roman"/>
      <w:b/>
      <w:snapToGrid/>
      <w:sz w:val="20"/>
      <w:szCs w:val="22"/>
      <w:lang w:eastAsia="en-AU"/>
    </w:rPr>
  </w:style>
  <w:style w:type="character" w:customStyle="1" w:styleId="TabletitlesChar">
    <w:name w:val="Table titles Char"/>
    <w:basedOn w:val="DefaultParagraphFont"/>
    <w:link w:val="Tabletitles"/>
    <w:rsid w:val="00491043"/>
    <w:rPr>
      <w:rFonts w:ascii="Arial Narrow" w:hAnsi="Arial Narrow"/>
      <w:b/>
      <w:szCs w:val="22"/>
    </w:rPr>
  </w:style>
  <w:style w:type="paragraph" w:customStyle="1" w:styleId="Table">
    <w:name w:val="Table"/>
    <w:basedOn w:val="Normal"/>
    <w:link w:val="TableChar"/>
    <w:qFormat/>
    <w:rsid w:val="00491043"/>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491043"/>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491043"/>
    <w:rPr>
      <w:rFonts w:ascii="Candara" w:hAnsi="Candara"/>
      <w:sz w:val="20"/>
    </w:rPr>
  </w:style>
  <w:style w:type="paragraph" w:customStyle="1" w:styleId="TableBullets">
    <w:name w:val="Table Bullets"/>
    <w:basedOn w:val="Table"/>
    <w:uiPriority w:val="5"/>
    <w:qFormat/>
    <w:rsid w:val="00766419"/>
    <w:pPr>
      <w:numPr>
        <w:numId w:val="7"/>
      </w:numPr>
      <w:ind w:left="357" w:hanging="357"/>
    </w:pPr>
  </w:style>
  <w:style w:type="table" w:styleId="PlainTable2">
    <w:name w:val="Plain Table 2"/>
    <w:basedOn w:val="TableNormal"/>
    <w:uiPriority w:val="42"/>
    <w:rsid w:val="00C426E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nhideWhenUsed/>
    <w:rsid w:val="00D10020"/>
    <w:rPr>
      <w:sz w:val="20"/>
      <w:szCs w:val="20"/>
    </w:rPr>
  </w:style>
  <w:style w:type="character" w:customStyle="1" w:styleId="FootnoteTextChar">
    <w:name w:val="Footnote Text Char"/>
    <w:basedOn w:val="DefaultParagraphFont"/>
    <w:link w:val="FootnoteText"/>
    <w:rsid w:val="00D10020"/>
    <w:rPr>
      <w:rFonts w:ascii="Calibri" w:hAnsi="Calibri" w:cs="Arial"/>
    </w:rPr>
  </w:style>
  <w:style w:type="character" w:styleId="FootnoteReference">
    <w:name w:val="footnote reference"/>
    <w:basedOn w:val="DefaultParagraphFont"/>
    <w:semiHidden/>
    <w:unhideWhenUsed/>
    <w:rsid w:val="00D10020"/>
    <w:rPr>
      <w:vertAlign w:val="superscript"/>
    </w:rPr>
  </w:style>
  <w:style w:type="character" w:customStyle="1" w:styleId="CaptionFootnoteChar">
    <w:name w:val="Caption Footnote Char"/>
    <w:basedOn w:val="CaptionChar"/>
    <w:link w:val="CaptionFootnote"/>
    <w:rsid w:val="00B56A5F"/>
    <w:rPr>
      <w:rFonts w:ascii="Candara" w:hAnsi="Candara" w:cs="Arial"/>
      <w:b w:val="0"/>
      <w:bCs/>
      <w:sz w:val="16"/>
      <w:szCs w:val="18"/>
    </w:rPr>
  </w:style>
  <w:style w:type="paragraph" w:customStyle="1" w:styleId="CaptionFootnote">
    <w:name w:val="Caption Footnote"/>
    <w:basedOn w:val="Caption"/>
    <w:link w:val="CaptionFootnoteChar"/>
    <w:qFormat/>
    <w:rsid w:val="00B56A5F"/>
    <w:pPr>
      <w:keepNext w:val="0"/>
      <w:keepLines w:val="0"/>
      <w:widowControl w:val="0"/>
      <w:jc w:val="left"/>
    </w:pPr>
    <w:rPr>
      <w:rFonts w:ascii="Candara" w:hAnsi="Candara" w:cs="Times New Roman"/>
      <w:b w:val="0"/>
      <w:sz w:val="16"/>
    </w:rPr>
  </w:style>
  <w:style w:type="table" w:customStyle="1" w:styleId="Submissionstandard">
    <w:name w:val="Submission standard"/>
    <w:uiPriority w:val="99"/>
    <w:qFormat/>
    <w:rsid w:val="00C639EE"/>
    <w:rPr>
      <w:rFonts w:ascii="Arial Narrow" w:hAnsi="Arial Narrow"/>
      <w:lang w:val="en-US" w:eastAsia="en-GB"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Britannic Bold" w:hAnsi="Britannic Bold" w:cs="Times New Roman"/>
        <w:b/>
        <w:sz w:val="20"/>
      </w:rPr>
      <w:tblPr/>
      <w:tcPr>
        <w:shd w:val="clear" w:color="auto" w:fill="BFBFBF"/>
      </w:tcPr>
    </w:tblStylePr>
  </w:style>
  <w:style w:type="paragraph" w:customStyle="1" w:styleId="TableCentre">
    <w:name w:val="Table Centre"/>
    <w:basedOn w:val="Table"/>
    <w:qFormat/>
    <w:rsid w:val="00CB5E4B"/>
    <w:pPr>
      <w:jc w:val="center"/>
    </w:pPr>
  </w:style>
  <w:style w:type="character" w:customStyle="1" w:styleId="Font">
    <w:name w:val="Font"/>
    <w:basedOn w:val="DefaultParagraphFont"/>
    <w:uiPriority w:val="1"/>
    <w:qFormat/>
    <w:rsid w:val="00093054"/>
    <w:rPr>
      <w:rFonts w:ascii="Candara" w:hAnsi="Candara"/>
      <w:sz w:val="24"/>
    </w:rPr>
  </w:style>
  <w:style w:type="character" w:styleId="Strong">
    <w:name w:val="Strong"/>
    <w:basedOn w:val="DefaultParagraphFont"/>
    <w:uiPriority w:val="22"/>
    <w:qFormat/>
    <w:rsid w:val="008E5297"/>
    <w:rPr>
      <w:b/>
      <w:bCs/>
    </w:rPr>
  </w:style>
  <w:style w:type="table" w:styleId="TableGridLight">
    <w:name w:val="Grid Table Light"/>
    <w:basedOn w:val="TableNormal"/>
    <w:uiPriority w:val="40"/>
    <w:rsid w:val="008E5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1">
    <w:name w:val="pf1"/>
    <w:basedOn w:val="Normal"/>
    <w:rsid w:val="00F002E7"/>
    <w:pPr>
      <w:spacing w:before="100" w:beforeAutospacing="1" w:after="100" w:afterAutospacing="1"/>
      <w:ind w:left="720"/>
      <w:jc w:val="left"/>
    </w:pPr>
    <w:rPr>
      <w:rFonts w:ascii="Times New Roman" w:hAnsi="Times New Roman" w:cs="Times New Roman"/>
    </w:rPr>
  </w:style>
  <w:style w:type="paragraph" w:customStyle="1" w:styleId="pf2">
    <w:name w:val="pf2"/>
    <w:basedOn w:val="Normal"/>
    <w:rsid w:val="00F002E7"/>
    <w:pPr>
      <w:spacing w:before="100" w:beforeAutospacing="1" w:after="100" w:afterAutospacing="1"/>
      <w:ind w:left="720"/>
      <w:jc w:val="left"/>
    </w:pPr>
    <w:rPr>
      <w:rFonts w:ascii="Times New Roman" w:hAnsi="Times New Roman" w:cs="Times New Roman"/>
    </w:rPr>
  </w:style>
  <w:style w:type="paragraph" w:customStyle="1" w:styleId="pf3">
    <w:name w:val="pf3"/>
    <w:basedOn w:val="Normal"/>
    <w:rsid w:val="00F002E7"/>
    <w:pPr>
      <w:spacing w:before="100" w:beforeAutospacing="1" w:after="100" w:afterAutospacing="1"/>
      <w:ind w:left="1080"/>
      <w:jc w:val="left"/>
    </w:pPr>
    <w:rPr>
      <w:rFonts w:ascii="Times New Roman" w:hAnsi="Times New Roman" w:cs="Times New Roman"/>
    </w:rPr>
  </w:style>
  <w:style w:type="paragraph" w:customStyle="1" w:styleId="pf4">
    <w:name w:val="pf4"/>
    <w:basedOn w:val="Normal"/>
    <w:rsid w:val="00F002E7"/>
    <w:pPr>
      <w:spacing w:before="100" w:beforeAutospacing="1" w:after="100" w:afterAutospacing="1"/>
      <w:ind w:left="720"/>
      <w:jc w:val="left"/>
    </w:pPr>
    <w:rPr>
      <w:rFonts w:ascii="Times New Roman" w:hAnsi="Times New Roman" w:cs="Times New Roman"/>
    </w:rPr>
  </w:style>
  <w:style w:type="paragraph" w:customStyle="1" w:styleId="pf5">
    <w:name w:val="pf5"/>
    <w:basedOn w:val="Normal"/>
    <w:rsid w:val="00F002E7"/>
    <w:pPr>
      <w:spacing w:before="100" w:beforeAutospacing="1" w:after="100" w:afterAutospacing="1"/>
      <w:jc w:val="left"/>
    </w:pPr>
    <w:rPr>
      <w:rFonts w:ascii="Times New Roman" w:hAnsi="Times New Roman" w:cs="Times New Roman"/>
    </w:rPr>
  </w:style>
  <w:style w:type="paragraph" w:customStyle="1" w:styleId="pf6">
    <w:name w:val="pf6"/>
    <w:basedOn w:val="Normal"/>
    <w:rsid w:val="00F002E7"/>
    <w:pPr>
      <w:spacing w:before="100" w:beforeAutospacing="1" w:after="100" w:afterAutospacing="1"/>
      <w:ind w:left="360"/>
      <w:jc w:val="left"/>
    </w:pPr>
    <w:rPr>
      <w:rFonts w:ascii="Times New Roman" w:hAnsi="Times New Roman" w:cs="Times New Roman"/>
    </w:rPr>
  </w:style>
  <w:style w:type="paragraph" w:customStyle="1" w:styleId="pf0">
    <w:name w:val="pf0"/>
    <w:basedOn w:val="Normal"/>
    <w:rsid w:val="00F002E7"/>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F002E7"/>
    <w:rPr>
      <w:rFonts w:ascii="Segoe UI" w:hAnsi="Segoe UI" w:cs="Segoe UI" w:hint="default"/>
      <w:sz w:val="18"/>
      <w:szCs w:val="18"/>
    </w:rPr>
  </w:style>
  <w:style w:type="character" w:customStyle="1" w:styleId="cf11">
    <w:name w:val="cf11"/>
    <w:basedOn w:val="DefaultParagraphFont"/>
    <w:rsid w:val="00F002E7"/>
    <w:rPr>
      <w:rFonts w:ascii="Segoe UI" w:hAnsi="Segoe UI" w:cs="Segoe UI" w:hint="default"/>
      <w:b/>
      <w:bCs/>
      <w:sz w:val="18"/>
      <w:szCs w:val="18"/>
    </w:rPr>
  </w:style>
  <w:style w:type="character" w:customStyle="1" w:styleId="cf31">
    <w:name w:val="cf31"/>
    <w:basedOn w:val="DefaultParagraphFont"/>
    <w:rsid w:val="00F002E7"/>
    <w:rPr>
      <w:rFonts w:ascii="Segoe UI" w:hAnsi="Segoe UI" w:cs="Segoe UI" w:hint="default"/>
      <w:sz w:val="18"/>
      <w:szCs w:val="18"/>
      <w:shd w:val="clear" w:color="auto" w:fill="FFFF00"/>
    </w:rPr>
  </w:style>
  <w:style w:type="paragraph" w:customStyle="1" w:styleId="NormalLetterList">
    <w:name w:val="Normal Letter List"/>
    <w:basedOn w:val="Normal"/>
    <w:uiPriority w:val="99"/>
    <w:qFormat/>
    <w:rsid w:val="00A0532E"/>
    <w:pPr>
      <w:numPr>
        <w:numId w:val="8"/>
      </w:numPr>
      <w:spacing w:after="240" w:line="276" w:lineRule="auto"/>
      <w:ind w:left="357" w:hanging="357"/>
      <w:contextualSpacing/>
      <w:jc w:val="left"/>
    </w:pPr>
    <w:rPr>
      <w:rFonts w:ascii="Candara" w:eastAsiaTheme="majorEastAsia" w:hAnsi="Candara" w:cstheme="majorBidi"/>
      <w:szCs w:val="22"/>
      <w:lang w:eastAsia="en-US" w:bidi="en-US"/>
    </w:rPr>
  </w:style>
  <w:style w:type="table" w:customStyle="1" w:styleId="Summarybox1">
    <w:name w:val="Summary box1"/>
    <w:basedOn w:val="TableNormal"/>
    <w:next w:val="TableGrid"/>
    <w:uiPriority w:val="39"/>
    <w:rsid w:val="00A0532E"/>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
    <w:name w:val="Normal Bullet List"/>
    <w:basedOn w:val="Normal"/>
    <w:uiPriority w:val="3"/>
    <w:qFormat/>
    <w:rsid w:val="00EF4AE9"/>
    <w:pPr>
      <w:numPr>
        <w:numId w:val="9"/>
      </w:numPr>
      <w:spacing w:after="240" w:line="276" w:lineRule="auto"/>
      <w:ind w:left="357" w:hanging="357"/>
      <w:contextualSpacing/>
      <w:jc w:val="left"/>
    </w:pPr>
    <w:rPr>
      <w:rFonts w:ascii="Candara" w:eastAsiaTheme="majorEastAsia" w:hAnsi="Candara" w:cstheme="majorBidi"/>
      <w:szCs w:val="22"/>
      <w:lang w:eastAsia="en-US" w:bidi="en-US"/>
    </w:rPr>
  </w:style>
  <w:style w:type="paragraph" w:customStyle="1" w:styleId="NormalBulletList2">
    <w:name w:val="Normal Bullet List 2"/>
    <w:basedOn w:val="NormalBulletList"/>
    <w:qFormat/>
    <w:rsid w:val="00EF4AE9"/>
    <w:pPr>
      <w:numPr>
        <w:ilvl w:val="1"/>
      </w:numPr>
      <w:spacing w:after="0"/>
      <w:ind w:left="709" w:hanging="357"/>
    </w:pPr>
  </w:style>
  <w:style w:type="character" w:customStyle="1" w:styleId="SmallUnderline">
    <w:name w:val="Small Underline"/>
    <w:basedOn w:val="Small"/>
    <w:uiPriority w:val="4"/>
    <w:qFormat/>
    <w:rsid w:val="00F52DD9"/>
    <w:rPr>
      <w:rFonts w:ascii="Candara" w:hAnsi="Candara"/>
      <w:sz w:val="20"/>
      <w:u w:val="single"/>
    </w:rPr>
  </w:style>
  <w:style w:type="paragraph" w:customStyle="1" w:styleId="Tableheading0">
    <w:name w:val="Table heading"/>
    <w:basedOn w:val="Normal"/>
    <w:qFormat/>
    <w:rsid w:val="0073224C"/>
    <w:pPr>
      <w:jc w:val="center"/>
    </w:pPr>
    <w:rPr>
      <w:rFonts w:asciiTheme="minorHAnsi" w:eastAsiaTheme="minorHAnsi" w:hAnsiTheme="minorHAnsi" w:cstheme="minorBidi"/>
      <w:b/>
      <w:sz w:val="20"/>
      <w:szCs w:val="20"/>
      <w:lang w:eastAsia="en-US"/>
    </w:rPr>
  </w:style>
  <w:style w:type="character" w:styleId="UnresolvedMention">
    <w:name w:val="Unresolved Mention"/>
    <w:basedOn w:val="DefaultParagraphFont"/>
    <w:uiPriority w:val="99"/>
    <w:semiHidden/>
    <w:unhideWhenUsed/>
    <w:rsid w:val="009C2F16"/>
    <w:rPr>
      <w:color w:val="605E5C"/>
      <w:shd w:val="clear" w:color="auto" w:fill="E1DFDD"/>
    </w:rPr>
  </w:style>
  <w:style w:type="character" w:customStyle="1" w:styleId="apple-converted-space">
    <w:name w:val="apple-converted-space"/>
    <w:basedOn w:val="DefaultParagraphFont"/>
    <w:rsid w:val="00E74DE6"/>
  </w:style>
  <w:style w:type="paragraph" w:customStyle="1" w:styleId="default0">
    <w:name w:val="default"/>
    <w:basedOn w:val="Normal"/>
    <w:rsid w:val="00E74DE6"/>
    <w:pPr>
      <w:spacing w:before="100" w:beforeAutospacing="1" w:after="100" w:afterAutospacing="1"/>
      <w:jc w:val="left"/>
    </w:pPr>
    <w:rPr>
      <w:rFonts w:ascii="Times New Roman" w:hAnsi="Times New Roman" w:cs="Times New Roman"/>
      <w:lang w:eastAsia="en-GB"/>
    </w:rPr>
  </w:style>
  <w:style w:type="character" w:customStyle="1" w:styleId="SmallBold">
    <w:name w:val="Small Bold"/>
    <w:basedOn w:val="DefaultParagraphFont"/>
    <w:uiPriority w:val="4"/>
    <w:qFormat/>
    <w:rsid w:val="002D1B3C"/>
    <w:rPr>
      <w:rFonts w:ascii="Calibri" w:hAnsi="Calibri"/>
      <w:b/>
      <w:sz w:val="20"/>
      <w:lang w:val="en-AU"/>
    </w:rPr>
  </w:style>
  <w:style w:type="table" w:customStyle="1" w:styleId="TableGrid1">
    <w:name w:val="Table Grid1"/>
    <w:basedOn w:val="TableNormal"/>
    <w:next w:val="TableGrid"/>
    <w:uiPriority w:val="59"/>
    <w:rsid w:val="002D1B3C"/>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Left">
    <w:name w:val="Table Left"/>
    <w:basedOn w:val="Normal"/>
    <w:link w:val="TableLeftChar"/>
    <w:uiPriority w:val="99"/>
    <w:qFormat/>
    <w:rsid w:val="002D1B3C"/>
    <w:pPr>
      <w:jc w:val="left"/>
    </w:pPr>
    <w:rPr>
      <w:rFonts w:ascii="Times New Roman" w:hAnsi="Times New Roman" w:cs="Times New Roman"/>
      <w:sz w:val="20"/>
      <w:szCs w:val="22"/>
      <w:lang w:eastAsia="en-US"/>
    </w:rPr>
  </w:style>
  <w:style w:type="character" w:customStyle="1" w:styleId="TableLeftChar">
    <w:name w:val="Table Left Char"/>
    <w:basedOn w:val="DefaultParagraphFont"/>
    <w:link w:val="TableLeft"/>
    <w:uiPriority w:val="99"/>
    <w:locked/>
    <w:rsid w:val="002D1B3C"/>
    <w:rPr>
      <w:szCs w:val="22"/>
      <w:lang w:eastAsia="en-US"/>
    </w:rPr>
  </w:style>
  <w:style w:type="paragraph" w:customStyle="1" w:styleId="Tablefootnote">
    <w:name w:val="Table footnote"/>
    <w:basedOn w:val="Normal"/>
    <w:link w:val="TablefootnoteChar"/>
    <w:qFormat/>
    <w:rsid w:val="002D1B3C"/>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2D1B3C"/>
    <w:rPr>
      <w:rFonts w:ascii="Arial Narrow" w:hAnsi="Arial Narrow"/>
      <w:sz w:val="18"/>
      <w:szCs w:val="22"/>
      <w:lang w:eastAsia="en-US"/>
    </w:rPr>
  </w:style>
  <w:style w:type="character" w:customStyle="1" w:styleId="FontBold">
    <w:name w:val="Font Bold"/>
    <w:basedOn w:val="DefaultParagraphFont"/>
    <w:uiPriority w:val="1"/>
    <w:qFormat/>
    <w:rsid w:val="002D1B3C"/>
    <w:rPr>
      <w:rFonts w:ascii="Calibri" w:hAnsi="Calibri"/>
      <w:b/>
      <w:i w:val="0"/>
      <w:sz w:val="24"/>
    </w:rPr>
  </w:style>
  <w:style w:type="character" w:styleId="Emphasis">
    <w:name w:val="Emphasis"/>
    <w:basedOn w:val="DefaultParagraphFont"/>
    <w:uiPriority w:val="20"/>
    <w:qFormat/>
    <w:rsid w:val="002D1B3C"/>
    <w:rPr>
      <w:i/>
      <w:iCs/>
    </w:rPr>
  </w:style>
  <w:style w:type="character" w:customStyle="1" w:styleId="Heading1Char">
    <w:name w:val="Heading 1 Char"/>
    <w:basedOn w:val="DefaultParagraphFont"/>
    <w:link w:val="Heading1"/>
    <w:uiPriority w:val="9"/>
    <w:rsid w:val="002D1B3C"/>
    <w:rPr>
      <w:rFonts w:ascii="Calibri" w:hAnsi="Calibri" w:cs="Arial"/>
      <w:b/>
      <w:caps/>
      <w:sz w:val="32"/>
      <w:szCs w:val="24"/>
    </w:rPr>
  </w:style>
  <w:style w:type="paragraph" w:customStyle="1" w:styleId="usa-breadcrumblist-item">
    <w:name w:val="usa-breadcrumb__list-item"/>
    <w:basedOn w:val="Normal"/>
    <w:rsid w:val="0036599F"/>
    <w:pPr>
      <w:spacing w:before="100" w:beforeAutospacing="1" w:after="100" w:afterAutospacing="1"/>
      <w:jc w:val="left"/>
    </w:pPr>
    <w:rPr>
      <w:rFonts w:ascii="Times New Roman" w:hAnsi="Times New Roman" w:cs="Times New Roman"/>
      <w:lang w:eastAsia="en-GB"/>
    </w:rPr>
  </w:style>
  <w:style w:type="paragraph" w:customStyle="1" w:styleId="p1">
    <w:name w:val="p1"/>
    <w:basedOn w:val="Normal"/>
    <w:rsid w:val="003F2FB9"/>
    <w:pPr>
      <w:jc w:val="left"/>
    </w:pPr>
    <w:rPr>
      <w:rFonts w:ascii="Helvetica" w:hAnsi="Helvetica" w:cs="Times New Roman"/>
      <w:color w:val="000000"/>
      <w:sz w:val="18"/>
      <w:szCs w:val="18"/>
      <w:lang w:eastAsia="en-GB"/>
    </w:rPr>
  </w:style>
  <w:style w:type="paragraph" w:customStyle="1" w:styleId="3Bodytext">
    <w:name w:val="3. Body text"/>
    <w:basedOn w:val="ListParagraph"/>
    <w:link w:val="3BodytextChar"/>
    <w:qFormat/>
    <w:rsid w:val="005E016E"/>
    <w:pPr>
      <w:numPr>
        <w:numId w:val="0"/>
      </w:numPr>
      <w:ind w:left="720" w:hanging="720"/>
    </w:pPr>
    <w:rPr>
      <w:rFonts w:eastAsiaTheme="minorHAnsi" w:cstheme="minorBidi"/>
      <w:snapToGrid/>
      <w:szCs w:val="22"/>
    </w:rPr>
  </w:style>
  <w:style w:type="character" w:customStyle="1" w:styleId="3BodytextChar">
    <w:name w:val="3. Body text Char"/>
    <w:basedOn w:val="DefaultParagraphFont"/>
    <w:link w:val="3Bodytext"/>
    <w:rsid w:val="005E016E"/>
    <w:rPr>
      <w:rFonts w:asciiTheme="minorHAnsi" w:eastAsiaTheme="minorHAnsi" w:hAnsiTheme="minorHAnsi" w:cstheme="minorBidi"/>
      <w:sz w:val="24"/>
      <w:szCs w:val="22"/>
    </w:rPr>
  </w:style>
  <w:style w:type="paragraph" w:customStyle="1" w:styleId="3-SubsectionHeading">
    <w:name w:val="3-Subsection Heading"/>
    <w:basedOn w:val="Heading2"/>
    <w:next w:val="Normal"/>
    <w:link w:val="3-SubsectionHeadingChar"/>
    <w:qFormat/>
    <w:rsid w:val="00A337D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337D0"/>
    <w:rPr>
      <w:rFonts w:asciiTheme="minorHAnsi" w:eastAsiaTheme="majorEastAsia" w:hAnsiTheme="minorHAnsi" w:cstheme="majorBidi"/>
      <w:b/>
      <w:i/>
      <w:snapToGrid/>
      <w:spacing w:val="5"/>
      <w:kern w:val="28"/>
      <w:sz w:val="28"/>
      <w:szCs w:val="36"/>
      <w:lang w:eastAsia="en-US"/>
    </w:rPr>
  </w:style>
  <w:style w:type="paragraph" w:customStyle="1" w:styleId="COMH1numbered">
    <w:name w:val="COM H1 numbered"/>
    <w:next w:val="Normal"/>
    <w:qFormat/>
    <w:rsid w:val="00EC3AB0"/>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EC3AB0"/>
    <w:pPr>
      <w:numPr>
        <w:numId w:val="0"/>
      </w:numPr>
      <w:ind w:left="720" w:hanging="720"/>
      <w:jc w:val="both"/>
    </w:pPr>
  </w:style>
  <w:style w:type="paragraph" w:customStyle="1" w:styleId="PBACESHeading3">
    <w:name w:val="PBAC ES Heading 3"/>
    <w:basedOn w:val="Normal"/>
    <w:uiPriority w:val="1"/>
    <w:qFormat/>
    <w:rsid w:val="00125621"/>
    <w:pPr>
      <w:keepNext/>
      <w:keepLines/>
      <w:spacing w:before="360" w:after="120"/>
      <w:ind w:left="2520" w:hanging="360"/>
      <w:jc w:val="left"/>
      <w:outlineLvl w:val="1"/>
    </w:pPr>
    <w:rPr>
      <w:rFonts w:ascii="Calibri Light" w:eastAsia="SimSun" w:hAnsi="Calibri Light" w:cs="Times New Roman"/>
      <w:b/>
      <w:snapToGrid w:val="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778">
      <w:bodyDiv w:val="1"/>
      <w:marLeft w:val="0"/>
      <w:marRight w:val="0"/>
      <w:marTop w:val="0"/>
      <w:marBottom w:val="0"/>
      <w:divBdr>
        <w:top w:val="none" w:sz="0" w:space="0" w:color="auto"/>
        <w:left w:val="none" w:sz="0" w:space="0" w:color="auto"/>
        <w:bottom w:val="none" w:sz="0" w:space="0" w:color="auto"/>
        <w:right w:val="none" w:sz="0" w:space="0" w:color="auto"/>
      </w:divBdr>
    </w:div>
    <w:div w:id="27531718">
      <w:bodyDiv w:val="1"/>
      <w:marLeft w:val="0"/>
      <w:marRight w:val="0"/>
      <w:marTop w:val="0"/>
      <w:marBottom w:val="0"/>
      <w:divBdr>
        <w:top w:val="none" w:sz="0" w:space="0" w:color="auto"/>
        <w:left w:val="none" w:sz="0" w:space="0" w:color="auto"/>
        <w:bottom w:val="none" w:sz="0" w:space="0" w:color="auto"/>
        <w:right w:val="none" w:sz="0" w:space="0" w:color="auto"/>
      </w:divBdr>
    </w:div>
    <w:div w:id="10034392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7838396">
      <w:bodyDiv w:val="1"/>
      <w:marLeft w:val="0"/>
      <w:marRight w:val="0"/>
      <w:marTop w:val="0"/>
      <w:marBottom w:val="0"/>
      <w:divBdr>
        <w:top w:val="none" w:sz="0" w:space="0" w:color="auto"/>
        <w:left w:val="none" w:sz="0" w:space="0" w:color="auto"/>
        <w:bottom w:val="none" w:sz="0" w:space="0" w:color="auto"/>
        <w:right w:val="none" w:sz="0" w:space="0" w:color="auto"/>
      </w:divBdr>
    </w:div>
    <w:div w:id="28377964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5133135">
      <w:bodyDiv w:val="1"/>
      <w:marLeft w:val="0"/>
      <w:marRight w:val="0"/>
      <w:marTop w:val="0"/>
      <w:marBottom w:val="0"/>
      <w:divBdr>
        <w:top w:val="none" w:sz="0" w:space="0" w:color="auto"/>
        <w:left w:val="none" w:sz="0" w:space="0" w:color="auto"/>
        <w:bottom w:val="none" w:sz="0" w:space="0" w:color="auto"/>
        <w:right w:val="none" w:sz="0" w:space="0" w:color="auto"/>
      </w:divBdr>
    </w:div>
    <w:div w:id="74857982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15947416">
      <w:bodyDiv w:val="1"/>
      <w:marLeft w:val="0"/>
      <w:marRight w:val="0"/>
      <w:marTop w:val="0"/>
      <w:marBottom w:val="0"/>
      <w:divBdr>
        <w:top w:val="none" w:sz="0" w:space="0" w:color="auto"/>
        <w:left w:val="none" w:sz="0" w:space="0" w:color="auto"/>
        <w:bottom w:val="none" w:sz="0" w:space="0" w:color="auto"/>
        <w:right w:val="none" w:sz="0" w:space="0" w:color="auto"/>
      </w:divBdr>
    </w:div>
    <w:div w:id="112519517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6274514">
      <w:bodyDiv w:val="1"/>
      <w:marLeft w:val="0"/>
      <w:marRight w:val="0"/>
      <w:marTop w:val="0"/>
      <w:marBottom w:val="0"/>
      <w:divBdr>
        <w:top w:val="none" w:sz="0" w:space="0" w:color="auto"/>
        <w:left w:val="none" w:sz="0" w:space="0" w:color="auto"/>
        <w:bottom w:val="none" w:sz="0" w:space="0" w:color="auto"/>
        <w:right w:val="none" w:sz="0" w:space="0" w:color="auto"/>
      </w:divBdr>
      <w:divsChild>
        <w:div w:id="311568799">
          <w:marLeft w:val="0"/>
          <w:marRight w:val="0"/>
          <w:marTop w:val="0"/>
          <w:marBottom w:val="0"/>
          <w:divBdr>
            <w:top w:val="none" w:sz="0" w:space="0" w:color="auto"/>
            <w:left w:val="none" w:sz="0" w:space="0" w:color="auto"/>
            <w:bottom w:val="none" w:sz="0" w:space="0" w:color="auto"/>
            <w:right w:val="none" w:sz="0" w:space="0" w:color="auto"/>
          </w:divBdr>
        </w:div>
        <w:div w:id="357589743">
          <w:marLeft w:val="0"/>
          <w:marRight w:val="0"/>
          <w:marTop w:val="0"/>
          <w:marBottom w:val="0"/>
          <w:divBdr>
            <w:top w:val="none" w:sz="0" w:space="0" w:color="auto"/>
            <w:left w:val="none" w:sz="0" w:space="0" w:color="auto"/>
            <w:bottom w:val="none" w:sz="0" w:space="0" w:color="auto"/>
            <w:right w:val="none" w:sz="0" w:space="0" w:color="auto"/>
          </w:divBdr>
        </w:div>
        <w:div w:id="458496847">
          <w:marLeft w:val="0"/>
          <w:marRight w:val="0"/>
          <w:marTop w:val="0"/>
          <w:marBottom w:val="0"/>
          <w:divBdr>
            <w:top w:val="none" w:sz="0" w:space="0" w:color="auto"/>
            <w:left w:val="none" w:sz="0" w:space="0" w:color="auto"/>
            <w:bottom w:val="none" w:sz="0" w:space="0" w:color="auto"/>
            <w:right w:val="none" w:sz="0" w:space="0" w:color="auto"/>
          </w:divBdr>
        </w:div>
        <w:div w:id="538200457">
          <w:marLeft w:val="0"/>
          <w:marRight w:val="0"/>
          <w:marTop w:val="0"/>
          <w:marBottom w:val="0"/>
          <w:divBdr>
            <w:top w:val="none" w:sz="0" w:space="0" w:color="auto"/>
            <w:left w:val="none" w:sz="0" w:space="0" w:color="auto"/>
            <w:bottom w:val="none" w:sz="0" w:space="0" w:color="auto"/>
            <w:right w:val="none" w:sz="0" w:space="0" w:color="auto"/>
          </w:divBdr>
        </w:div>
        <w:div w:id="936863018">
          <w:marLeft w:val="0"/>
          <w:marRight w:val="0"/>
          <w:marTop w:val="0"/>
          <w:marBottom w:val="0"/>
          <w:divBdr>
            <w:top w:val="none" w:sz="0" w:space="0" w:color="auto"/>
            <w:left w:val="none" w:sz="0" w:space="0" w:color="auto"/>
            <w:bottom w:val="none" w:sz="0" w:space="0" w:color="auto"/>
            <w:right w:val="none" w:sz="0" w:space="0" w:color="auto"/>
          </w:divBdr>
        </w:div>
        <w:div w:id="1143498508">
          <w:marLeft w:val="0"/>
          <w:marRight w:val="0"/>
          <w:marTop w:val="0"/>
          <w:marBottom w:val="0"/>
          <w:divBdr>
            <w:top w:val="none" w:sz="0" w:space="0" w:color="auto"/>
            <w:left w:val="none" w:sz="0" w:space="0" w:color="auto"/>
            <w:bottom w:val="none" w:sz="0" w:space="0" w:color="auto"/>
            <w:right w:val="none" w:sz="0" w:space="0" w:color="auto"/>
          </w:divBdr>
        </w:div>
        <w:div w:id="1192914082">
          <w:marLeft w:val="0"/>
          <w:marRight w:val="0"/>
          <w:marTop w:val="0"/>
          <w:marBottom w:val="0"/>
          <w:divBdr>
            <w:top w:val="none" w:sz="0" w:space="0" w:color="auto"/>
            <w:left w:val="none" w:sz="0" w:space="0" w:color="auto"/>
            <w:bottom w:val="none" w:sz="0" w:space="0" w:color="auto"/>
            <w:right w:val="none" w:sz="0" w:space="0" w:color="auto"/>
          </w:divBdr>
        </w:div>
        <w:div w:id="1298994019">
          <w:marLeft w:val="0"/>
          <w:marRight w:val="0"/>
          <w:marTop w:val="0"/>
          <w:marBottom w:val="0"/>
          <w:divBdr>
            <w:top w:val="none" w:sz="0" w:space="0" w:color="auto"/>
            <w:left w:val="none" w:sz="0" w:space="0" w:color="auto"/>
            <w:bottom w:val="none" w:sz="0" w:space="0" w:color="auto"/>
            <w:right w:val="none" w:sz="0" w:space="0" w:color="auto"/>
          </w:divBdr>
        </w:div>
        <w:div w:id="1536234531">
          <w:marLeft w:val="0"/>
          <w:marRight w:val="0"/>
          <w:marTop w:val="0"/>
          <w:marBottom w:val="0"/>
          <w:divBdr>
            <w:top w:val="none" w:sz="0" w:space="0" w:color="auto"/>
            <w:left w:val="none" w:sz="0" w:space="0" w:color="auto"/>
            <w:bottom w:val="none" w:sz="0" w:space="0" w:color="auto"/>
            <w:right w:val="none" w:sz="0" w:space="0" w:color="auto"/>
          </w:divBdr>
        </w:div>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369835193">
      <w:bodyDiv w:val="1"/>
      <w:marLeft w:val="0"/>
      <w:marRight w:val="0"/>
      <w:marTop w:val="0"/>
      <w:marBottom w:val="0"/>
      <w:divBdr>
        <w:top w:val="none" w:sz="0" w:space="0" w:color="auto"/>
        <w:left w:val="none" w:sz="0" w:space="0" w:color="auto"/>
        <w:bottom w:val="none" w:sz="0" w:space="0" w:color="auto"/>
        <w:right w:val="none" w:sz="0" w:space="0" w:color="auto"/>
      </w:divBdr>
    </w:div>
    <w:div w:id="1434742001">
      <w:bodyDiv w:val="1"/>
      <w:marLeft w:val="0"/>
      <w:marRight w:val="0"/>
      <w:marTop w:val="0"/>
      <w:marBottom w:val="0"/>
      <w:divBdr>
        <w:top w:val="none" w:sz="0" w:space="0" w:color="auto"/>
        <w:left w:val="none" w:sz="0" w:space="0" w:color="auto"/>
        <w:bottom w:val="none" w:sz="0" w:space="0" w:color="auto"/>
        <w:right w:val="none" w:sz="0" w:space="0" w:color="auto"/>
      </w:divBdr>
    </w:div>
    <w:div w:id="1444884520">
      <w:bodyDiv w:val="1"/>
      <w:marLeft w:val="0"/>
      <w:marRight w:val="0"/>
      <w:marTop w:val="0"/>
      <w:marBottom w:val="0"/>
      <w:divBdr>
        <w:top w:val="none" w:sz="0" w:space="0" w:color="auto"/>
        <w:left w:val="none" w:sz="0" w:space="0" w:color="auto"/>
        <w:bottom w:val="none" w:sz="0" w:space="0" w:color="auto"/>
        <w:right w:val="none" w:sz="0" w:space="0" w:color="auto"/>
      </w:divBdr>
    </w:div>
    <w:div w:id="1512258652">
      <w:bodyDiv w:val="1"/>
      <w:marLeft w:val="0"/>
      <w:marRight w:val="0"/>
      <w:marTop w:val="0"/>
      <w:marBottom w:val="0"/>
      <w:divBdr>
        <w:top w:val="none" w:sz="0" w:space="0" w:color="auto"/>
        <w:left w:val="none" w:sz="0" w:space="0" w:color="auto"/>
        <w:bottom w:val="none" w:sz="0" w:space="0" w:color="auto"/>
        <w:right w:val="none" w:sz="0" w:space="0" w:color="auto"/>
      </w:divBdr>
      <w:divsChild>
        <w:div w:id="441876020">
          <w:marLeft w:val="0"/>
          <w:marRight w:val="0"/>
          <w:marTop w:val="0"/>
          <w:marBottom w:val="0"/>
          <w:divBdr>
            <w:top w:val="none" w:sz="0" w:space="0" w:color="auto"/>
            <w:left w:val="none" w:sz="0" w:space="0" w:color="auto"/>
            <w:bottom w:val="none" w:sz="0" w:space="0" w:color="auto"/>
            <w:right w:val="none" w:sz="0" w:space="0" w:color="auto"/>
          </w:divBdr>
        </w:div>
        <w:div w:id="470247629">
          <w:marLeft w:val="0"/>
          <w:marRight w:val="0"/>
          <w:marTop w:val="0"/>
          <w:marBottom w:val="0"/>
          <w:divBdr>
            <w:top w:val="none" w:sz="0" w:space="0" w:color="auto"/>
            <w:left w:val="none" w:sz="0" w:space="0" w:color="auto"/>
            <w:bottom w:val="none" w:sz="0" w:space="0" w:color="auto"/>
            <w:right w:val="none" w:sz="0" w:space="0" w:color="auto"/>
          </w:divBdr>
        </w:div>
        <w:div w:id="589776405">
          <w:marLeft w:val="0"/>
          <w:marRight w:val="0"/>
          <w:marTop w:val="0"/>
          <w:marBottom w:val="0"/>
          <w:divBdr>
            <w:top w:val="none" w:sz="0" w:space="0" w:color="auto"/>
            <w:left w:val="none" w:sz="0" w:space="0" w:color="auto"/>
            <w:bottom w:val="none" w:sz="0" w:space="0" w:color="auto"/>
            <w:right w:val="none" w:sz="0" w:space="0" w:color="auto"/>
          </w:divBdr>
        </w:div>
        <w:div w:id="685519880">
          <w:marLeft w:val="0"/>
          <w:marRight w:val="0"/>
          <w:marTop w:val="0"/>
          <w:marBottom w:val="0"/>
          <w:divBdr>
            <w:top w:val="none" w:sz="0" w:space="0" w:color="auto"/>
            <w:left w:val="none" w:sz="0" w:space="0" w:color="auto"/>
            <w:bottom w:val="none" w:sz="0" w:space="0" w:color="auto"/>
            <w:right w:val="none" w:sz="0" w:space="0" w:color="auto"/>
          </w:divBdr>
        </w:div>
        <w:div w:id="989795589">
          <w:marLeft w:val="0"/>
          <w:marRight w:val="0"/>
          <w:marTop w:val="0"/>
          <w:marBottom w:val="0"/>
          <w:divBdr>
            <w:top w:val="none" w:sz="0" w:space="0" w:color="auto"/>
            <w:left w:val="none" w:sz="0" w:space="0" w:color="auto"/>
            <w:bottom w:val="none" w:sz="0" w:space="0" w:color="auto"/>
            <w:right w:val="none" w:sz="0" w:space="0" w:color="auto"/>
          </w:divBdr>
        </w:div>
        <w:div w:id="1038433460">
          <w:marLeft w:val="0"/>
          <w:marRight w:val="0"/>
          <w:marTop w:val="0"/>
          <w:marBottom w:val="0"/>
          <w:divBdr>
            <w:top w:val="none" w:sz="0" w:space="0" w:color="auto"/>
            <w:left w:val="none" w:sz="0" w:space="0" w:color="auto"/>
            <w:bottom w:val="none" w:sz="0" w:space="0" w:color="auto"/>
            <w:right w:val="none" w:sz="0" w:space="0" w:color="auto"/>
          </w:divBdr>
        </w:div>
        <w:div w:id="1341784612">
          <w:marLeft w:val="0"/>
          <w:marRight w:val="0"/>
          <w:marTop w:val="0"/>
          <w:marBottom w:val="0"/>
          <w:divBdr>
            <w:top w:val="none" w:sz="0" w:space="0" w:color="auto"/>
            <w:left w:val="none" w:sz="0" w:space="0" w:color="auto"/>
            <w:bottom w:val="none" w:sz="0" w:space="0" w:color="auto"/>
            <w:right w:val="none" w:sz="0" w:space="0" w:color="auto"/>
          </w:divBdr>
        </w:div>
        <w:div w:id="2039619814">
          <w:marLeft w:val="0"/>
          <w:marRight w:val="0"/>
          <w:marTop w:val="0"/>
          <w:marBottom w:val="0"/>
          <w:divBdr>
            <w:top w:val="none" w:sz="0" w:space="0" w:color="auto"/>
            <w:left w:val="none" w:sz="0" w:space="0" w:color="auto"/>
            <w:bottom w:val="none" w:sz="0" w:space="0" w:color="auto"/>
            <w:right w:val="none" w:sz="0" w:space="0" w:color="auto"/>
          </w:divBdr>
        </w:div>
        <w:div w:id="2102988034">
          <w:marLeft w:val="0"/>
          <w:marRight w:val="0"/>
          <w:marTop w:val="0"/>
          <w:marBottom w:val="0"/>
          <w:divBdr>
            <w:top w:val="none" w:sz="0" w:space="0" w:color="auto"/>
            <w:left w:val="none" w:sz="0" w:space="0" w:color="auto"/>
            <w:bottom w:val="none" w:sz="0" w:space="0" w:color="auto"/>
            <w:right w:val="none" w:sz="0" w:space="0" w:color="auto"/>
          </w:divBdr>
        </w:div>
      </w:divsChild>
    </w:div>
    <w:div w:id="1515726183">
      <w:bodyDiv w:val="1"/>
      <w:marLeft w:val="0"/>
      <w:marRight w:val="0"/>
      <w:marTop w:val="0"/>
      <w:marBottom w:val="0"/>
      <w:divBdr>
        <w:top w:val="none" w:sz="0" w:space="0" w:color="auto"/>
        <w:left w:val="none" w:sz="0" w:space="0" w:color="auto"/>
        <w:bottom w:val="none" w:sz="0" w:space="0" w:color="auto"/>
        <w:right w:val="none" w:sz="0" w:space="0" w:color="auto"/>
      </w:divBdr>
    </w:div>
    <w:div w:id="1560480421">
      <w:bodyDiv w:val="1"/>
      <w:marLeft w:val="0"/>
      <w:marRight w:val="0"/>
      <w:marTop w:val="0"/>
      <w:marBottom w:val="0"/>
      <w:divBdr>
        <w:top w:val="none" w:sz="0" w:space="0" w:color="auto"/>
        <w:left w:val="none" w:sz="0" w:space="0" w:color="auto"/>
        <w:bottom w:val="none" w:sz="0" w:space="0" w:color="auto"/>
        <w:right w:val="none" w:sz="0" w:space="0" w:color="auto"/>
      </w:divBdr>
    </w:div>
    <w:div w:id="1689024254">
      <w:bodyDiv w:val="1"/>
      <w:marLeft w:val="0"/>
      <w:marRight w:val="0"/>
      <w:marTop w:val="0"/>
      <w:marBottom w:val="0"/>
      <w:divBdr>
        <w:top w:val="none" w:sz="0" w:space="0" w:color="auto"/>
        <w:left w:val="none" w:sz="0" w:space="0" w:color="auto"/>
        <w:bottom w:val="none" w:sz="0" w:space="0" w:color="auto"/>
        <w:right w:val="none" w:sz="0" w:space="0" w:color="auto"/>
      </w:divBdr>
    </w:div>
    <w:div w:id="1757823973">
      <w:bodyDiv w:val="1"/>
      <w:marLeft w:val="0"/>
      <w:marRight w:val="0"/>
      <w:marTop w:val="0"/>
      <w:marBottom w:val="0"/>
      <w:divBdr>
        <w:top w:val="none" w:sz="0" w:space="0" w:color="auto"/>
        <w:left w:val="none" w:sz="0" w:space="0" w:color="auto"/>
        <w:bottom w:val="none" w:sz="0" w:space="0" w:color="auto"/>
        <w:right w:val="none" w:sz="0" w:space="0" w:color="auto"/>
      </w:divBdr>
    </w:div>
    <w:div w:id="1802728187">
      <w:bodyDiv w:val="1"/>
      <w:marLeft w:val="0"/>
      <w:marRight w:val="0"/>
      <w:marTop w:val="0"/>
      <w:marBottom w:val="0"/>
      <w:divBdr>
        <w:top w:val="none" w:sz="0" w:space="0" w:color="auto"/>
        <w:left w:val="none" w:sz="0" w:space="0" w:color="auto"/>
        <w:bottom w:val="none" w:sz="0" w:space="0" w:color="auto"/>
        <w:right w:val="none" w:sz="0" w:space="0" w:color="auto"/>
      </w:divBdr>
    </w:div>
    <w:div w:id="1817405409">
      <w:bodyDiv w:val="1"/>
      <w:marLeft w:val="0"/>
      <w:marRight w:val="0"/>
      <w:marTop w:val="0"/>
      <w:marBottom w:val="0"/>
      <w:divBdr>
        <w:top w:val="none" w:sz="0" w:space="0" w:color="auto"/>
        <w:left w:val="none" w:sz="0" w:space="0" w:color="auto"/>
        <w:bottom w:val="none" w:sz="0" w:space="0" w:color="auto"/>
        <w:right w:val="none" w:sz="0" w:space="0" w:color="auto"/>
      </w:divBdr>
      <w:divsChild>
        <w:div w:id="205916896">
          <w:marLeft w:val="0"/>
          <w:marRight w:val="0"/>
          <w:marTop w:val="0"/>
          <w:marBottom w:val="0"/>
          <w:divBdr>
            <w:top w:val="none" w:sz="0" w:space="0" w:color="auto"/>
            <w:left w:val="none" w:sz="0" w:space="0" w:color="auto"/>
            <w:bottom w:val="none" w:sz="0" w:space="0" w:color="auto"/>
            <w:right w:val="none" w:sz="0" w:space="0" w:color="auto"/>
          </w:divBdr>
        </w:div>
        <w:div w:id="960065603">
          <w:marLeft w:val="0"/>
          <w:marRight w:val="0"/>
          <w:marTop w:val="0"/>
          <w:marBottom w:val="0"/>
          <w:divBdr>
            <w:top w:val="none" w:sz="0" w:space="0" w:color="auto"/>
            <w:left w:val="none" w:sz="0" w:space="0" w:color="auto"/>
            <w:bottom w:val="none" w:sz="0" w:space="0" w:color="auto"/>
            <w:right w:val="none" w:sz="0" w:space="0" w:color="auto"/>
          </w:divBdr>
        </w:div>
      </w:divsChild>
    </w:div>
    <w:div w:id="1818450554">
      <w:bodyDiv w:val="1"/>
      <w:marLeft w:val="0"/>
      <w:marRight w:val="0"/>
      <w:marTop w:val="0"/>
      <w:marBottom w:val="0"/>
      <w:divBdr>
        <w:top w:val="none" w:sz="0" w:space="0" w:color="auto"/>
        <w:left w:val="none" w:sz="0" w:space="0" w:color="auto"/>
        <w:bottom w:val="none" w:sz="0" w:space="0" w:color="auto"/>
        <w:right w:val="none" w:sz="0" w:space="0" w:color="auto"/>
      </w:divBdr>
      <w:divsChild>
        <w:div w:id="176576543">
          <w:marLeft w:val="0"/>
          <w:marRight w:val="0"/>
          <w:marTop w:val="0"/>
          <w:marBottom w:val="0"/>
          <w:divBdr>
            <w:top w:val="none" w:sz="0" w:space="0" w:color="auto"/>
            <w:left w:val="none" w:sz="0" w:space="0" w:color="auto"/>
            <w:bottom w:val="none" w:sz="0" w:space="0" w:color="auto"/>
            <w:right w:val="none" w:sz="0" w:space="0" w:color="auto"/>
          </w:divBdr>
        </w:div>
        <w:div w:id="213126952">
          <w:marLeft w:val="0"/>
          <w:marRight w:val="0"/>
          <w:marTop w:val="0"/>
          <w:marBottom w:val="0"/>
          <w:divBdr>
            <w:top w:val="none" w:sz="0" w:space="0" w:color="auto"/>
            <w:left w:val="none" w:sz="0" w:space="0" w:color="auto"/>
            <w:bottom w:val="none" w:sz="0" w:space="0" w:color="auto"/>
            <w:right w:val="none" w:sz="0" w:space="0" w:color="auto"/>
          </w:divBdr>
        </w:div>
        <w:div w:id="538667027">
          <w:marLeft w:val="0"/>
          <w:marRight w:val="0"/>
          <w:marTop w:val="0"/>
          <w:marBottom w:val="0"/>
          <w:divBdr>
            <w:top w:val="none" w:sz="0" w:space="0" w:color="auto"/>
            <w:left w:val="none" w:sz="0" w:space="0" w:color="auto"/>
            <w:bottom w:val="none" w:sz="0" w:space="0" w:color="auto"/>
            <w:right w:val="none" w:sz="0" w:space="0" w:color="auto"/>
          </w:divBdr>
        </w:div>
        <w:div w:id="848908295">
          <w:marLeft w:val="0"/>
          <w:marRight w:val="0"/>
          <w:marTop w:val="0"/>
          <w:marBottom w:val="0"/>
          <w:divBdr>
            <w:top w:val="none" w:sz="0" w:space="0" w:color="auto"/>
            <w:left w:val="none" w:sz="0" w:space="0" w:color="auto"/>
            <w:bottom w:val="none" w:sz="0" w:space="0" w:color="auto"/>
            <w:right w:val="none" w:sz="0" w:space="0" w:color="auto"/>
          </w:divBdr>
        </w:div>
        <w:div w:id="904678395">
          <w:marLeft w:val="0"/>
          <w:marRight w:val="0"/>
          <w:marTop w:val="0"/>
          <w:marBottom w:val="0"/>
          <w:divBdr>
            <w:top w:val="none" w:sz="0" w:space="0" w:color="auto"/>
            <w:left w:val="none" w:sz="0" w:space="0" w:color="auto"/>
            <w:bottom w:val="none" w:sz="0" w:space="0" w:color="auto"/>
            <w:right w:val="none" w:sz="0" w:space="0" w:color="auto"/>
          </w:divBdr>
        </w:div>
        <w:div w:id="964821530">
          <w:marLeft w:val="0"/>
          <w:marRight w:val="0"/>
          <w:marTop w:val="0"/>
          <w:marBottom w:val="0"/>
          <w:divBdr>
            <w:top w:val="none" w:sz="0" w:space="0" w:color="auto"/>
            <w:left w:val="none" w:sz="0" w:space="0" w:color="auto"/>
            <w:bottom w:val="none" w:sz="0" w:space="0" w:color="auto"/>
            <w:right w:val="none" w:sz="0" w:space="0" w:color="auto"/>
          </w:divBdr>
        </w:div>
        <w:div w:id="994839691">
          <w:marLeft w:val="0"/>
          <w:marRight w:val="0"/>
          <w:marTop w:val="0"/>
          <w:marBottom w:val="0"/>
          <w:divBdr>
            <w:top w:val="none" w:sz="0" w:space="0" w:color="auto"/>
            <w:left w:val="none" w:sz="0" w:space="0" w:color="auto"/>
            <w:bottom w:val="none" w:sz="0" w:space="0" w:color="auto"/>
            <w:right w:val="none" w:sz="0" w:space="0" w:color="auto"/>
          </w:divBdr>
        </w:div>
        <w:div w:id="1002852848">
          <w:marLeft w:val="0"/>
          <w:marRight w:val="0"/>
          <w:marTop w:val="0"/>
          <w:marBottom w:val="0"/>
          <w:divBdr>
            <w:top w:val="none" w:sz="0" w:space="0" w:color="auto"/>
            <w:left w:val="none" w:sz="0" w:space="0" w:color="auto"/>
            <w:bottom w:val="none" w:sz="0" w:space="0" w:color="auto"/>
            <w:right w:val="none" w:sz="0" w:space="0" w:color="auto"/>
          </w:divBdr>
        </w:div>
        <w:div w:id="1023704131">
          <w:marLeft w:val="0"/>
          <w:marRight w:val="0"/>
          <w:marTop w:val="0"/>
          <w:marBottom w:val="0"/>
          <w:divBdr>
            <w:top w:val="none" w:sz="0" w:space="0" w:color="auto"/>
            <w:left w:val="none" w:sz="0" w:space="0" w:color="auto"/>
            <w:bottom w:val="none" w:sz="0" w:space="0" w:color="auto"/>
            <w:right w:val="none" w:sz="0" w:space="0" w:color="auto"/>
          </w:divBdr>
        </w:div>
        <w:div w:id="1227490338">
          <w:marLeft w:val="0"/>
          <w:marRight w:val="0"/>
          <w:marTop w:val="0"/>
          <w:marBottom w:val="0"/>
          <w:divBdr>
            <w:top w:val="none" w:sz="0" w:space="0" w:color="auto"/>
            <w:left w:val="none" w:sz="0" w:space="0" w:color="auto"/>
            <w:bottom w:val="none" w:sz="0" w:space="0" w:color="auto"/>
            <w:right w:val="none" w:sz="0" w:space="0" w:color="auto"/>
          </w:divBdr>
        </w:div>
        <w:div w:id="1317146977">
          <w:marLeft w:val="0"/>
          <w:marRight w:val="0"/>
          <w:marTop w:val="0"/>
          <w:marBottom w:val="0"/>
          <w:divBdr>
            <w:top w:val="none" w:sz="0" w:space="0" w:color="auto"/>
            <w:left w:val="none" w:sz="0" w:space="0" w:color="auto"/>
            <w:bottom w:val="none" w:sz="0" w:space="0" w:color="auto"/>
            <w:right w:val="none" w:sz="0" w:space="0" w:color="auto"/>
          </w:divBdr>
        </w:div>
        <w:div w:id="1972595298">
          <w:marLeft w:val="0"/>
          <w:marRight w:val="0"/>
          <w:marTop w:val="0"/>
          <w:marBottom w:val="0"/>
          <w:divBdr>
            <w:top w:val="none" w:sz="0" w:space="0" w:color="auto"/>
            <w:left w:val="none" w:sz="0" w:space="0" w:color="auto"/>
            <w:bottom w:val="none" w:sz="0" w:space="0" w:color="auto"/>
            <w:right w:val="none" w:sz="0" w:space="0" w:color="auto"/>
          </w:divBdr>
        </w:div>
      </w:divsChild>
    </w:div>
    <w:div w:id="1855920449">
      <w:bodyDiv w:val="1"/>
      <w:marLeft w:val="0"/>
      <w:marRight w:val="0"/>
      <w:marTop w:val="0"/>
      <w:marBottom w:val="0"/>
      <w:divBdr>
        <w:top w:val="none" w:sz="0" w:space="0" w:color="auto"/>
        <w:left w:val="none" w:sz="0" w:space="0" w:color="auto"/>
        <w:bottom w:val="none" w:sz="0" w:space="0" w:color="auto"/>
        <w:right w:val="none" w:sz="0" w:space="0" w:color="auto"/>
      </w:divBdr>
      <w:divsChild>
        <w:div w:id="2111579842">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rvicesaustralia.gov.au/hp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rvicesaustralia.gov.au/hp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rvicesaustralia.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20097-6EFD-4FF7-AD9F-3C769F2569D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BFC006F3-A3FB-4C0C-A03F-D8B291443A01}">
  <ds:schemaRefs>
    <ds:schemaRef ds:uri="http://schemas.openxmlformats.org/officeDocument/2006/bibliography"/>
  </ds:schemaRefs>
</ds:datastoreItem>
</file>

<file path=customXml/itemProps3.xml><?xml version="1.0" encoding="utf-8"?>
<ds:datastoreItem xmlns:ds="http://schemas.openxmlformats.org/officeDocument/2006/customXml" ds:itemID="{E54AA97A-9B38-43E1-B69E-F2D5F8FB3797}">
  <ds:schemaRefs>
    <ds:schemaRef ds:uri="http://schemas.microsoft.com/sharepoint/v3/contenttype/forms"/>
  </ds:schemaRefs>
</ds:datastoreItem>
</file>

<file path=customXml/itemProps4.xml><?xml version="1.0" encoding="utf-8"?>
<ds:datastoreItem xmlns:ds="http://schemas.openxmlformats.org/officeDocument/2006/customXml" ds:itemID="{036AE3E4-70F9-4201-8CB4-E83E88C07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10405</Words>
  <Characters>58409</Characters>
  <Application>Microsoft Office Word</Application>
  <DocSecurity>0</DocSecurity>
  <Lines>1573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68183</CharactersWithSpaces>
  <SharedDoc>false</SharedDoc>
  <HLinks>
    <vt:vector size="18" baseType="variant">
      <vt:variant>
        <vt:i4>1507399</vt:i4>
      </vt:variant>
      <vt:variant>
        <vt:i4>171</vt:i4>
      </vt:variant>
      <vt:variant>
        <vt:i4>0</vt:i4>
      </vt:variant>
      <vt:variant>
        <vt:i4>5</vt:i4>
      </vt:variant>
      <vt:variant>
        <vt:lpwstr>http://www.servicesaustralia.gov.au/hpos</vt:lpwstr>
      </vt:variant>
      <vt:variant>
        <vt:lpwstr/>
      </vt:variant>
      <vt:variant>
        <vt:i4>1507399</vt:i4>
      </vt:variant>
      <vt:variant>
        <vt:i4>168</vt:i4>
      </vt:variant>
      <vt:variant>
        <vt:i4>0</vt:i4>
      </vt:variant>
      <vt:variant>
        <vt:i4>5</vt:i4>
      </vt:variant>
      <vt:variant>
        <vt:lpwstr>http://www.servicesaustralia.gov.au/hpos</vt:lpwstr>
      </vt:variant>
      <vt:variant>
        <vt:lpwstr/>
      </vt:variant>
      <vt:variant>
        <vt:i4>1310784</vt:i4>
      </vt:variant>
      <vt:variant>
        <vt:i4>165</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2025-12-22T04:17:00Z</dcterms:created>
  <dcterms:modified xsi:type="dcterms:W3CDTF">2025-12-22T05:30:00Z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cc619e4,55409e95,775cbbf3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2ff249e3,4b4e2fb8,7666af72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2025-12-22T04:18:03Z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964c5795-6aef-417a-8e2f-686ecbb397aa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64403c27-371e-41f2-a5d3-cd12c1c1f761_Method">
    <vt:lpwstr>Standard</vt:lpwstr>
  </property>
  <property fmtid="{D5CDD505-2E9C-101B-9397-08002B2CF9AE}" pid="17" name="MSIP_Label_7454fd80-e2ff-40dc-a7ce-a8751429c4f7_SiteId">
    <vt:lpwstr>e8911c26-cf9f-4a9c-878e-527807be8791</vt:lpwstr>
  </property>
  <property fmtid="{D5CDD505-2E9C-101B-9397-08002B2CF9AE}" pid="18" name="MSIP_Label_7454fd80-e2ff-40dc-a7ce-a8751429c4f7_Method">
    <vt:lpwstr>Privileged</vt:lpwstr>
  </property>
  <property fmtid="{D5CDD505-2E9C-101B-9397-08002B2CF9AE}" pid="19" name="MSIP_Label_7454fd80-e2ff-40dc-a7ce-a8751429c4f7_ContentBits">
    <vt:lpwstr>0</vt:lpwstr>
  </property>
  <property fmtid="{D5CDD505-2E9C-101B-9397-08002B2CF9AE}" pid="20" name="MSIP_Label_7454fd80-e2ff-40dc-a7ce-a8751429c4f7_ActionId">
    <vt:lpwstr>b4a534d4-4172-4f57-8fa4-2961d36e3e1d</vt:lpwstr>
  </property>
  <property fmtid="{D5CDD505-2E9C-101B-9397-08002B2CF9AE}" pid="21" name="MediaServiceImageTags">
    <vt:lpwstr/>
  </property>
  <property fmtid="{D5CDD505-2E9C-101B-9397-08002B2CF9AE}" pid="22" name="MSIP_Label_64403c27-371e-41f2-a5d3-cd12c1c1f761_Tag">
    <vt:lpwstr>10, 3, 0, 1</vt:lpwstr>
  </property>
  <property fmtid="{D5CDD505-2E9C-101B-9397-08002B2CF9AE}" pid="23" name="ContentTypeId">
    <vt:lpwstr>0x0101007FED174C5281F747A8037A05221D6DBD</vt:lpwstr>
  </property>
  <property fmtid="{D5CDD505-2E9C-101B-9397-08002B2CF9AE}" pid="24" name="MSIP_Label_64403c27-371e-41f2-a5d3-cd12c1c1f761_Enabled">
    <vt:lpwstr>true</vt:lpwstr>
  </property>
  <property fmtid="{D5CDD505-2E9C-101B-9397-08002B2CF9AE}" pid="25" name="MSIP_Label_64403c27-371e-41f2-a5d3-cd12c1c1f761_SetDate">
    <vt:lpwstr>2025-05-28T23:31:07Z</vt:lpwstr>
  </property>
  <property fmtid="{D5CDD505-2E9C-101B-9397-08002B2CF9AE}" pid="26" name="MSIP_Label_64403c27-371e-41f2-a5d3-cd12c1c1f761_ContentBits">
    <vt:lpwstr>0</vt:lpwstr>
  </property>
  <property fmtid="{D5CDD505-2E9C-101B-9397-08002B2CF9AE}" pid="27" name="MSIP_Label_64403c27-371e-41f2-a5d3-cd12c1c1f761_SiteId">
    <vt:lpwstr>f7b56a00-4a82-49a1-8cfc-adcbf74ea4f8</vt:lpwstr>
  </property>
  <property fmtid="{D5CDD505-2E9C-101B-9397-08002B2CF9AE}" pid="28" name="docLang">
    <vt:lpwstr>en</vt:lpwstr>
  </property>
  <property fmtid="{D5CDD505-2E9C-101B-9397-08002B2CF9AE}" pid="29" name="MSIP_Label_64403c27-371e-41f2-a5d3-cd12c1c1f761_ActionId">
    <vt:lpwstr>268ecab6-70c8-4e69-85d7-cd7a90b0df3d</vt:lpwstr>
  </property>
  <property fmtid="{D5CDD505-2E9C-101B-9397-08002B2CF9AE}" pid="30" name="MSIP_Label_7454fd80-e2ff-40dc-a7ce-a8751429c4f7_Name">
    <vt:lpwstr>UTS-Confidential</vt:lpwstr>
  </property>
  <property fmtid="{D5CDD505-2E9C-101B-9397-08002B2CF9AE}" pid="31" name="MSIP_Label_7454fd80-e2ff-40dc-a7ce-a8751429c4f7_Enabled">
    <vt:lpwstr>true</vt:lpwstr>
  </property>
  <property fmtid="{D5CDD505-2E9C-101B-9397-08002B2CF9AE}" pid="32" name="MSIP_Label_64403c27-371e-41f2-a5d3-cd12c1c1f761_Name">
    <vt:lpwstr>Public</vt:lpwstr>
  </property>
  <property fmtid="{D5CDD505-2E9C-101B-9397-08002B2CF9AE}" pid="33" name="MSIP_Label_7454fd80-e2ff-40dc-a7ce-a8751429c4f7_SetDate">
    <vt:lpwstr>2024-11-11T19:05:05Z</vt:lpwstr>
  </property>
</Properties>
</file>