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1CA8" w14:textId="772DDD99" w:rsidR="00BF6C94" w:rsidRPr="0009282C" w:rsidRDefault="008201E4" w:rsidP="003C7DEF">
      <w:pPr>
        <w:pStyle w:val="1-MainHeading"/>
        <w:spacing w:before="0" w:after="240"/>
      </w:pPr>
      <w:bookmarkStart w:id="0" w:name="_Toc188443827"/>
      <w:r w:rsidRPr="0009282C">
        <w:t>5.11</w:t>
      </w:r>
      <w:r w:rsidR="00163F66" w:rsidRPr="0009282C">
        <w:tab/>
      </w:r>
      <w:r w:rsidR="00685640" w:rsidRPr="0009282C">
        <w:t>LUMASIRAN</w:t>
      </w:r>
      <w:r w:rsidR="00163F66" w:rsidRPr="0009282C">
        <w:t>,</w:t>
      </w:r>
      <w:r w:rsidR="00163F66" w:rsidRPr="0009282C">
        <w:br/>
      </w:r>
      <w:r w:rsidR="004779F6" w:rsidRPr="0009282C">
        <w:t>Solution for sub</w:t>
      </w:r>
      <w:r w:rsidR="004F6B59" w:rsidRPr="0009282C">
        <w:t>cutaneous injection</w:t>
      </w:r>
      <w:r w:rsidR="004776A4" w:rsidRPr="0009282C">
        <w:t xml:space="preserve"> 94.5 mg</w:t>
      </w:r>
      <w:r w:rsidR="004F6B59" w:rsidRPr="0009282C">
        <w:t xml:space="preserve"> in </w:t>
      </w:r>
      <w:r w:rsidR="004776A4" w:rsidRPr="0009282C">
        <w:t>0.</w:t>
      </w:r>
      <w:r w:rsidR="00053FE1" w:rsidRPr="0009282C">
        <w:t>5</w:t>
      </w:r>
      <w:r w:rsidR="00053FE1">
        <w:t> </w:t>
      </w:r>
      <w:r w:rsidR="004776A4" w:rsidRPr="0009282C">
        <w:t>mL</w:t>
      </w:r>
      <w:r w:rsidR="00163F66" w:rsidRPr="0009282C">
        <w:br/>
      </w:r>
      <w:proofErr w:type="spellStart"/>
      <w:r w:rsidR="00557AA8" w:rsidRPr="0009282C">
        <w:t>Oxlumo</w:t>
      </w:r>
      <w:proofErr w:type="spellEnd"/>
      <w:r w:rsidR="00B60939" w:rsidRPr="0009282C">
        <w:t>®</w:t>
      </w:r>
      <w:r w:rsidR="004A6040" w:rsidRPr="0009282C">
        <w:t>,</w:t>
      </w:r>
      <w:r w:rsidR="004A6040" w:rsidRPr="0009282C">
        <w:br/>
      </w:r>
      <w:r w:rsidR="00124405" w:rsidRPr="0009282C">
        <w:t>Medison Pharma Australia Pty Lt</w:t>
      </w:r>
      <w:bookmarkEnd w:id="0"/>
      <w:r w:rsidR="001E3699" w:rsidRPr="0009282C">
        <w:t>d</w:t>
      </w:r>
    </w:p>
    <w:p w14:paraId="22671431" w14:textId="77777777" w:rsidR="001635FB" w:rsidRPr="0009282C" w:rsidRDefault="001635FB" w:rsidP="00737F9C">
      <w:pPr>
        <w:pStyle w:val="2-SectionHeading"/>
        <w:numPr>
          <w:ilvl w:val="0"/>
          <w:numId w:val="11"/>
        </w:numPr>
      </w:pPr>
      <w:bookmarkStart w:id="1" w:name="_Toc185890233"/>
      <w:bookmarkStart w:id="2" w:name="_Toc188443829"/>
      <w:r w:rsidRPr="0009282C">
        <w:t>Purpose of submission</w:t>
      </w:r>
      <w:bookmarkEnd w:id="1"/>
      <w:bookmarkEnd w:id="2"/>
    </w:p>
    <w:p w14:paraId="7DD80CBE" w14:textId="06325FB1" w:rsidR="009461D4" w:rsidRPr="0009282C" w:rsidRDefault="009461D4" w:rsidP="00EC48DC">
      <w:pPr>
        <w:pStyle w:val="3-BodyText"/>
      </w:pPr>
      <w:r w:rsidRPr="0009282C">
        <w:t xml:space="preserve">The </w:t>
      </w:r>
      <w:r w:rsidR="00E410AD" w:rsidRPr="0009282C">
        <w:t>Category 1</w:t>
      </w:r>
      <w:r w:rsidRPr="0009282C">
        <w:t xml:space="preserve"> submission requested </w:t>
      </w:r>
      <w:r w:rsidR="00E825AB" w:rsidRPr="0009282C">
        <w:t xml:space="preserve">a </w:t>
      </w:r>
      <w:r w:rsidRPr="0009282C">
        <w:t xml:space="preserve">General Schedule Authority Required (Streamlined) listing for </w:t>
      </w:r>
      <w:proofErr w:type="spellStart"/>
      <w:r w:rsidRPr="0009282C">
        <w:t>lumasiran</w:t>
      </w:r>
      <w:proofErr w:type="spellEnd"/>
      <w:r w:rsidRPr="0009282C">
        <w:t xml:space="preserve"> for the treatment of primary hyperoxaluria type 1 (PH1).</w:t>
      </w:r>
    </w:p>
    <w:p w14:paraId="646DC94F" w14:textId="1D992A1A" w:rsidR="009461D4" w:rsidRPr="0009282C" w:rsidRDefault="009461D4" w:rsidP="00EC48DC">
      <w:pPr>
        <w:pStyle w:val="3-BodyText"/>
      </w:pPr>
      <w:r w:rsidRPr="0009282C">
        <w:t>Listing was requested on the basis of a cost-effectiveness analysis versus best supportive care (BSC).</w:t>
      </w:r>
      <w:r w:rsidR="00D278E7" w:rsidRPr="0009282C">
        <w:t xml:space="preserve"> </w:t>
      </w:r>
    </w:p>
    <w:p w14:paraId="3718DE61" w14:textId="4C1E896B" w:rsidR="008B1757" w:rsidRPr="0009282C" w:rsidRDefault="00696EF9" w:rsidP="00C76FE2">
      <w:pPr>
        <w:pStyle w:val="Caption"/>
        <w:rPr>
          <w:rStyle w:val="CommentReference"/>
          <w:b/>
        </w:rPr>
      </w:pPr>
      <w:bookmarkStart w:id="3" w:name="_Ref187050999"/>
      <w:r w:rsidRPr="0009282C">
        <w:t xml:space="preserve">Table </w:t>
      </w:r>
      <w:r w:rsidR="000D4330">
        <w:fldChar w:fldCharType="begin" w:fldLock="1"/>
      </w:r>
      <w:r w:rsidR="000D4330">
        <w:instrText xml:space="preserve"> SEQ Table \* ARABIC </w:instrText>
      </w:r>
      <w:r w:rsidR="000D4330">
        <w:fldChar w:fldCharType="separate"/>
      </w:r>
      <w:r w:rsidR="00771DFF">
        <w:rPr>
          <w:noProof/>
        </w:rPr>
        <w:t>1</w:t>
      </w:r>
      <w:r w:rsidR="000D4330">
        <w:rPr>
          <w:noProof/>
        </w:rPr>
        <w:fldChar w:fldCharType="end"/>
      </w:r>
      <w:bookmarkEnd w:id="3"/>
      <w:r w:rsidR="003849C4" w:rsidRPr="0009282C">
        <w:rPr>
          <w:noProof/>
        </w:rPr>
        <w:t>:</w:t>
      </w:r>
      <w:r w:rsidR="001D32F0">
        <w:t xml:space="preserve"> </w:t>
      </w:r>
      <w:r w:rsidR="008B1757" w:rsidRPr="0009282C">
        <w:rPr>
          <w:rStyle w:val="CommentReference"/>
          <w:b/>
        </w:rPr>
        <w:t>Key components of the clinical issue addressed by the submission</w:t>
      </w:r>
      <w:r w:rsidR="007170DA" w:rsidRPr="0009282C">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09282C" w14:paraId="569F5103" w14:textId="77777777" w:rsidTr="00784D16">
        <w:trPr>
          <w:cantSplit/>
          <w:tblHeader/>
        </w:trPr>
        <w:tc>
          <w:tcPr>
            <w:tcW w:w="924" w:type="pct"/>
            <w:shd w:val="clear" w:color="auto" w:fill="auto"/>
          </w:tcPr>
          <w:p w14:paraId="501803FB" w14:textId="77777777" w:rsidR="008B1757" w:rsidRPr="0009282C" w:rsidRDefault="008B1757" w:rsidP="00C76FE2">
            <w:pPr>
              <w:pStyle w:val="In-tableHeading"/>
              <w:rPr>
                <w:szCs w:val="20"/>
                <w:lang w:val="en-AU"/>
              </w:rPr>
            </w:pPr>
            <w:r w:rsidRPr="0009282C">
              <w:rPr>
                <w:lang w:val="en-AU"/>
              </w:rPr>
              <w:t>Component</w:t>
            </w:r>
          </w:p>
        </w:tc>
        <w:tc>
          <w:tcPr>
            <w:tcW w:w="4076" w:type="pct"/>
            <w:shd w:val="clear" w:color="auto" w:fill="auto"/>
          </w:tcPr>
          <w:p w14:paraId="445D9EBB" w14:textId="77777777" w:rsidR="008B1757" w:rsidRPr="0009282C" w:rsidRDefault="008B1757" w:rsidP="00C76FE2">
            <w:pPr>
              <w:pStyle w:val="In-tableHeading"/>
              <w:rPr>
                <w:lang w:val="en-AU"/>
              </w:rPr>
            </w:pPr>
            <w:r w:rsidRPr="0009282C">
              <w:rPr>
                <w:lang w:val="en-AU"/>
              </w:rPr>
              <w:t>Description</w:t>
            </w:r>
          </w:p>
        </w:tc>
      </w:tr>
      <w:tr w:rsidR="008B1757" w:rsidRPr="0009282C" w14:paraId="2EB546E2" w14:textId="77777777" w:rsidTr="00784D16">
        <w:trPr>
          <w:cantSplit/>
        </w:trPr>
        <w:tc>
          <w:tcPr>
            <w:tcW w:w="924" w:type="pct"/>
            <w:shd w:val="clear" w:color="auto" w:fill="auto"/>
          </w:tcPr>
          <w:p w14:paraId="38F3BB34" w14:textId="77777777" w:rsidR="008B1757" w:rsidRPr="0009282C" w:rsidRDefault="008B1757" w:rsidP="00C76FE2">
            <w:pPr>
              <w:pStyle w:val="TableText0"/>
              <w:keepNext/>
              <w:keepLines/>
            </w:pPr>
            <w:r w:rsidRPr="0009282C">
              <w:t>Population</w:t>
            </w:r>
          </w:p>
        </w:tc>
        <w:tc>
          <w:tcPr>
            <w:tcW w:w="4076" w:type="pct"/>
            <w:shd w:val="clear" w:color="auto" w:fill="auto"/>
          </w:tcPr>
          <w:p w14:paraId="79618EEE" w14:textId="3793228F" w:rsidR="00233C01" w:rsidRPr="0009282C" w:rsidRDefault="003B1E0E" w:rsidP="00C76FE2">
            <w:pPr>
              <w:pStyle w:val="TableText0"/>
              <w:keepNext/>
              <w:keepLines/>
              <w:rPr>
                <w:szCs w:val="20"/>
              </w:rPr>
            </w:pPr>
            <w:r w:rsidRPr="0009282C">
              <w:t xml:space="preserve">Patients with </w:t>
            </w:r>
            <w:r w:rsidR="003378C7" w:rsidRPr="0009282C">
              <w:t xml:space="preserve">primary </w:t>
            </w:r>
            <w:r w:rsidRPr="0009282C">
              <w:t>hyperoxaluria type 1 (PH1)</w:t>
            </w:r>
          </w:p>
        </w:tc>
      </w:tr>
      <w:tr w:rsidR="008B1757" w:rsidRPr="0009282C" w14:paraId="0CA523AF" w14:textId="77777777" w:rsidTr="00784D16">
        <w:trPr>
          <w:cantSplit/>
        </w:trPr>
        <w:tc>
          <w:tcPr>
            <w:tcW w:w="924" w:type="pct"/>
            <w:shd w:val="clear" w:color="auto" w:fill="auto"/>
          </w:tcPr>
          <w:p w14:paraId="7B6D20D8" w14:textId="77777777" w:rsidR="008B1757" w:rsidRPr="0009282C" w:rsidRDefault="008B1757" w:rsidP="00C76FE2">
            <w:pPr>
              <w:pStyle w:val="TableText0"/>
              <w:keepNext/>
              <w:keepLines/>
            </w:pPr>
            <w:r w:rsidRPr="0009282C">
              <w:t>Intervention</w:t>
            </w:r>
          </w:p>
        </w:tc>
        <w:tc>
          <w:tcPr>
            <w:tcW w:w="4076" w:type="pct"/>
            <w:shd w:val="clear" w:color="auto" w:fill="auto"/>
          </w:tcPr>
          <w:p w14:paraId="2C1F9FA5" w14:textId="4FD6BB91" w:rsidR="002C5FE6" w:rsidRPr="0009282C" w:rsidRDefault="002C5FE6" w:rsidP="00C76FE2">
            <w:pPr>
              <w:pStyle w:val="TableText0"/>
              <w:keepNext/>
              <w:keepLines/>
            </w:pPr>
            <w:proofErr w:type="spellStart"/>
            <w:r w:rsidRPr="0009282C">
              <w:t>Lumasiran</w:t>
            </w:r>
            <w:proofErr w:type="spellEnd"/>
            <w:r w:rsidRPr="0009282C">
              <w:t xml:space="preserve"> (OXLUMO</w:t>
            </w:r>
            <w:r w:rsidRPr="0009282C">
              <w:rPr>
                <w:vertAlign w:val="superscript"/>
              </w:rPr>
              <w:t>®</w:t>
            </w:r>
            <w:r w:rsidRPr="0009282C">
              <w:t>) in addition to best supportive care (BSC)</w:t>
            </w:r>
          </w:p>
          <w:p w14:paraId="7C503C1D" w14:textId="4DFDD695" w:rsidR="007D2F40" w:rsidRPr="0009282C" w:rsidRDefault="004112F4" w:rsidP="00C76FE2">
            <w:pPr>
              <w:pStyle w:val="TableText0"/>
              <w:keepNext/>
              <w:keepLines/>
              <w:numPr>
                <w:ilvl w:val="0"/>
                <w:numId w:val="5"/>
              </w:numPr>
              <w:ind w:left="489" w:hanging="283"/>
            </w:pPr>
            <w:proofErr w:type="spellStart"/>
            <w:r w:rsidRPr="0009282C">
              <w:t>L</w:t>
            </w:r>
            <w:r w:rsidR="007D2F40" w:rsidRPr="0009282C">
              <w:t>um</w:t>
            </w:r>
            <w:r w:rsidRPr="0009282C">
              <w:t>asiran</w:t>
            </w:r>
            <w:proofErr w:type="spellEnd"/>
            <w:r w:rsidRPr="0009282C">
              <w:t xml:space="preserve"> is a subcutaneous injection which should be administered by a healthcare professional.</w:t>
            </w:r>
          </w:p>
          <w:p w14:paraId="6F513816" w14:textId="11B4DEF6" w:rsidR="002C5FE6" w:rsidRPr="0009282C" w:rsidRDefault="002C5FE6" w:rsidP="00C76FE2">
            <w:pPr>
              <w:pStyle w:val="TableText0"/>
              <w:keepNext/>
              <w:keepLines/>
              <w:numPr>
                <w:ilvl w:val="0"/>
                <w:numId w:val="5"/>
              </w:numPr>
              <w:ind w:left="489" w:hanging="283"/>
            </w:pPr>
            <w:r w:rsidRPr="0009282C">
              <w:t xml:space="preserve">The recommended dose of </w:t>
            </w:r>
            <w:proofErr w:type="spellStart"/>
            <w:r w:rsidRPr="0009282C">
              <w:t>lumasiran</w:t>
            </w:r>
            <w:proofErr w:type="spellEnd"/>
            <w:r w:rsidRPr="0009282C">
              <w:t xml:space="preserve"> consists of loading doses given once a month for 3 months, followed by maintenance doses starting 1 month after the last loading dose</w:t>
            </w:r>
          </w:p>
          <w:p w14:paraId="645B4AEC" w14:textId="2C788B3C" w:rsidR="002C5FE6" w:rsidRPr="0009282C" w:rsidRDefault="002C5FE6" w:rsidP="00C76FE2">
            <w:pPr>
              <w:pStyle w:val="TableText0"/>
              <w:keepNext/>
              <w:keepLines/>
              <w:numPr>
                <w:ilvl w:val="0"/>
                <w:numId w:val="5"/>
              </w:numPr>
              <w:ind w:left="489" w:hanging="283"/>
            </w:pPr>
            <w:r w:rsidRPr="0009282C">
              <w:t>Dosing is based on body weight:</w:t>
            </w:r>
          </w:p>
          <w:p w14:paraId="2F3A8095" w14:textId="278250DE" w:rsidR="002C5FE6" w:rsidRPr="0009282C" w:rsidRDefault="002C5FE6" w:rsidP="00C76FE2">
            <w:pPr>
              <w:pStyle w:val="TableText0"/>
              <w:keepNext/>
              <w:keepLines/>
              <w:numPr>
                <w:ilvl w:val="1"/>
                <w:numId w:val="5"/>
              </w:numPr>
              <w:ind w:left="915" w:hanging="284"/>
            </w:pPr>
            <w:r w:rsidRPr="0009282C">
              <w:t xml:space="preserve">Patients &lt;10 kg: 6 mg/kg once monthly for 3 months (loading dose), </w:t>
            </w:r>
            <w:r w:rsidR="009B3E88" w:rsidRPr="0009282C">
              <w:t xml:space="preserve">followed by </w:t>
            </w:r>
            <w:r w:rsidRPr="0009282C">
              <w:t>3 mg/kg once monthly (maintenance dose)</w:t>
            </w:r>
          </w:p>
          <w:p w14:paraId="12B1FC59" w14:textId="4D6526D8" w:rsidR="002C5FE6" w:rsidRPr="0009282C" w:rsidRDefault="002C5FE6" w:rsidP="00C76FE2">
            <w:pPr>
              <w:pStyle w:val="TableText0"/>
              <w:keepNext/>
              <w:keepLines/>
              <w:numPr>
                <w:ilvl w:val="1"/>
                <w:numId w:val="5"/>
              </w:numPr>
              <w:ind w:left="915" w:hanging="284"/>
            </w:pPr>
            <w:r w:rsidRPr="0009282C">
              <w:t xml:space="preserve">Patients 10 kg to &lt;20 kg: 6 mg/kg once monthly for 3 months (loading dose), </w:t>
            </w:r>
            <w:r w:rsidR="009B3E88" w:rsidRPr="0009282C">
              <w:t xml:space="preserve">followed by </w:t>
            </w:r>
            <w:r w:rsidRPr="0009282C">
              <w:t>6 mg/kg every 3 months (maintenance dose)</w:t>
            </w:r>
          </w:p>
          <w:p w14:paraId="2491E905" w14:textId="3C901046" w:rsidR="00233C01" w:rsidRPr="0009282C" w:rsidRDefault="002C5FE6" w:rsidP="00C76FE2">
            <w:pPr>
              <w:pStyle w:val="TableText0"/>
              <w:keepNext/>
              <w:keepLines/>
              <w:numPr>
                <w:ilvl w:val="1"/>
                <w:numId w:val="5"/>
              </w:numPr>
              <w:ind w:left="915" w:hanging="284"/>
            </w:pPr>
            <w:r w:rsidRPr="0009282C">
              <w:t xml:space="preserve">Patients ≥20 kg: 3 mg/kg once monthly for 3 months (loading dose), </w:t>
            </w:r>
            <w:r w:rsidR="009B3E88" w:rsidRPr="0009282C">
              <w:t xml:space="preserve">followed by </w:t>
            </w:r>
            <w:r w:rsidRPr="0009282C">
              <w:t>3 mg/kg every 3 months (maintenance dose)</w:t>
            </w:r>
          </w:p>
        </w:tc>
      </w:tr>
      <w:tr w:rsidR="008B1757" w:rsidRPr="0009282C" w14:paraId="0F81EBE4" w14:textId="77777777" w:rsidTr="00784D16">
        <w:trPr>
          <w:cantSplit/>
        </w:trPr>
        <w:tc>
          <w:tcPr>
            <w:tcW w:w="924" w:type="pct"/>
            <w:shd w:val="clear" w:color="auto" w:fill="auto"/>
          </w:tcPr>
          <w:p w14:paraId="3656B343" w14:textId="77777777" w:rsidR="008B1757" w:rsidRPr="0009282C" w:rsidRDefault="008B1757" w:rsidP="004A6040">
            <w:pPr>
              <w:pStyle w:val="TableText0"/>
            </w:pPr>
            <w:r w:rsidRPr="0009282C">
              <w:t>Comparator</w:t>
            </w:r>
          </w:p>
        </w:tc>
        <w:tc>
          <w:tcPr>
            <w:tcW w:w="4076" w:type="pct"/>
            <w:shd w:val="clear" w:color="auto" w:fill="auto"/>
          </w:tcPr>
          <w:p w14:paraId="3727DE24" w14:textId="7C6E379D" w:rsidR="00233C01" w:rsidRPr="0009282C" w:rsidRDefault="00F4317C" w:rsidP="001E1E86">
            <w:pPr>
              <w:pStyle w:val="TableText0"/>
            </w:pPr>
            <w:r w:rsidRPr="0009282C">
              <w:t>BSC alone (</w:t>
            </w:r>
            <w:r w:rsidRPr="0009282C" w:rsidDel="00340580">
              <w:t>i.e</w:t>
            </w:r>
            <w:r w:rsidR="00340580" w:rsidRPr="0009282C">
              <w:t>.</w:t>
            </w:r>
            <w:r w:rsidRPr="0009282C">
              <w:t xml:space="preserve"> pyridoxine, oxalate-controlled diet, liver transplant with a combined/sequential kidney transplant in patients with advanced PH1, haemodialysis, hyperhydration)</w:t>
            </w:r>
          </w:p>
        </w:tc>
      </w:tr>
      <w:tr w:rsidR="008B1757" w:rsidRPr="0009282C" w14:paraId="02F86F0D" w14:textId="77777777" w:rsidTr="00784D16">
        <w:trPr>
          <w:cantSplit/>
        </w:trPr>
        <w:tc>
          <w:tcPr>
            <w:tcW w:w="924" w:type="pct"/>
            <w:shd w:val="clear" w:color="auto" w:fill="auto"/>
          </w:tcPr>
          <w:p w14:paraId="06433105" w14:textId="77777777" w:rsidR="008B1757" w:rsidRPr="0009282C" w:rsidRDefault="008B1757" w:rsidP="004A6040">
            <w:pPr>
              <w:pStyle w:val="TableText0"/>
            </w:pPr>
            <w:r w:rsidRPr="0009282C">
              <w:t>Outcomes</w:t>
            </w:r>
          </w:p>
        </w:tc>
        <w:tc>
          <w:tcPr>
            <w:tcW w:w="4076" w:type="pct"/>
            <w:shd w:val="clear" w:color="auto" w:fill="auto"/>
          </w:tcPr>
          <w:p w14:paraId="3FDA15C7" w14:textId="21980413" w:rsidR="00B60CD7" w:rsidRPr="0009282C" w:rsidRDefault="00B60CD7" w:rsidP="00B96529">
            <w:pPr>
              <w:pStyle w:val="TableText0"/>
              <w:numPr>
                <w:ilvl w:val="0"/>
                <w:numId w:val="6"/>
              </w:numPr>
              <w:ind w:left="493" w:hanging="283"/>
            </w:pPr>
            <w:r w:rsidRPr="0009282C">
              <w:t>Oxalate levels</w:t>
            </w:r>
          </w:p>
          <w:p w14:paraId="2C824258" w14:textId="46B96D84" w:rsidR="00B60CD7" w:rsidRPr="0009282C" w:rsidRDefault="00B60CD7" w:rsidP="00B96529">
            <w:pPr>
              <w:pStyle w:val="TableText0"/>
              <w:numPr>
                <w:ilvl w:val="0"/>
                <w:numId w:val="6"/>
              </w:numPr>
              <w:ind w:left="493" w:hanging="283"/>
            </w:pPr>
            <w:r w:rsidRPr="0009282C">
              <w:t xml:space="preserve">Change in </w:t>
            </w:r>
            <w:r w:rsidR="00A61824" w:rsidRPr="0009282C">
              <w:t>estimated glomerular filtration rate (</w:t>
            </w:r>
            <w:r w:rsidRPr="0009282C">
              <w:t>eGFR</w:t>
            </w:r>
            <w:r w:rsidR="00A61824" w:rsidRPr="0009282C">
              <w:t>)</w:t>
            </w:r>
          </w:p>
          <w:p w14:paraId="1C37F5A6" w14:textId="2DABBB2D" w:rsidR="00B60CD7" w:rsidRPr="0009282C" w:rsidRDefault="00B60CD7" w:rsidP="00B96529">
            <w:pPr>
              <w:pStyle w:val="TableText0"/>
              <w:numPr>
                <w:ilvl w:val="0"/>
                <w:numId w:val="6"/>
              </w:numPr>
              <w:ind w:left="493" w:hanging="283"/>
            </w:pPr>
            <w:r w:rsidRPr="0009282C">
              <w:t>Need for liver transplant with a kidney transplant</w:t>
            </w:r>
          </w:p>
          <w:p w14:paraId="29D7A651" w14:textId="30387641" w:rsidR="00B60CD7" w:rsidRPr="0009282C" w:rsidRDefault="00B60CD7" w:rsidP="00B96529">
            <w:pPr>
              <w:pStyle w:val="TableText0"/>
              <w:numPr>
                <w:ilvl w:val="0"/>
                <w:numId w:val="6"/>
              </w:numPr>
              <w:ind w:left="493" w:hanging="283"/>
            </w:pPr>
            <w:r w:rsidRPr="0009282C">
              <w:t>Mortality</w:t>
            </w:r>
          </w:p>
          <w:p w14:paraId="51143011" w14:textId="011D6B57" w:rsidR="00B60CD7" w:rsidRPr="0009282C" w:rsidRDefault="00B60CD7" w:rsidP="00B96529">
            <w:pPr>
              <w:pStyle w:val="TableText0"/>
              <w:numPr>
                <w:ilvl w:val="0"/>
                <w:numId w:val="6"/>
              </w:numPr>
              <w:ind w:left="493" w:hanging="283"/>
            </w:pPr>
            <w:r w:rsidRPr="0009282C">
              <w:t>Adverse effects of treatment</w:t>
            </w:r>
          </w:p>
          <w:p w14:paraId="0E84D053" w14:textId="1A36BEE7" w:rsidR="00B60CD7" w:rsidRPr="0009282C" w:rsidRDefault="00B60CD7" w:rsidP="00B96529">
            <w:pPr>
              <w:pStyle w:val="TableText0"/>
              <w:numPr>
                <w:ilvl w:val="0"/>
                <w:numId w:val="6"/>
              </w:numPr>
              <w:ind w:left="493" w:hanging="283"/>
            </w:pPr>
            <w:r w:rsidRPr="0009282C">
              <w:t>Health-related quality of life</w:t>
            </w:r>
            <w:r w:rsidR="00AD2EED" w:rsidRPr="0009282C">
              <w:t xml:space="preserve"> (</w:t>
            </w:r>
            <w:proofErr w:type="spellStart"/>
            <w:r w:rsidR="00AD2EED" w:rsidRPr="0009282C">
              <w:t>HRQoL</w:t>
            </w:r>
            <w:proofErr w:type="spellEnd"/>
            <w:r w:rsidR="00AD2EED" w:rsidRPr="0009282C">
              <w:t>)</w:t>
            </w:r>
          </w:p>
          <w:p w14:paraId="1838B2F5" w14:textId="341691B7" w:rsidR="00B60CD7" w:rsidRPr="0009282C" w:rsidRDefault="00B60CD7" w:rsidP="00B96529">
            <w:pPr>
              <w:pStyle w:val="TableText0"/>
              <w:numPr>
                <w:ilvl w:val="0"/>
                <w:numId w:val="6"/>
              </w:numPr>
              <w:ind w:left="493" w:hanging="283"/>
            </w:pPr>
            <w:r w:rsidRPr="0009282C">
              <w:t>Renal stone events</w:t>
            </w:r>
          </w:p>
          <w:p w14:paraId="5ABC4037" w14:textId="45B97FFE" w:rsidR="00233C01" w:rsidRPr="0009282C" w:rsidRDefault="00B60CD7" w:rsidP="00B96529">
            <w:pPr>
              <w:pStyle w:val="TableText0"/>
              <w:numPr>
                <w:ilvl w:val="0"/>
                <w:numId w:val="6"/>
              </w:numPr>
              <w:ind w:left="493" w:hanging="283"/>
              <w:rPr>
                <w:rFonts w:eastAsia="Times New Roman" w:cs="Arial"/>
                <w:bCs w:val="0"/>
                <w:snapToGrid w:val="0"/>
                <w:szCs w:val="20"/>
              </w:rPr>
            </w:pPr>
            <w:r w:rsidRPr="0009282C">
              <w:t>Systemic oxalosis</w:t>
            </w:r>
          </w:p>
        </w:tc>
      </w:tr>
      <w:tr w:rsidR="008B1757" w:rsidRPr="0009282C" w14:paraId="22223890" w14:textId="77777777" w:rsidTr="00784D16">
        <w:trPr>
          <w:cantSplit/>
        </w:trPr>
        <w:tc>
          <w:tcPr>
            <w:tcW w:w="924" w:type="pct"/>
            <w:shd w:val="clear" w:color="auto" w:fill="auto"/>
          </w:tcPr>
          <w:p w14:paraId="0FC8FCE0" w14:textId="09AD5CFF" w:rsidR="008B1757" w:rsidRPr="0009282C" w:rsidRDefault="008B1757" w:rsidP="004A6040">
            <w:pPr>
              <w:pStyle w:val="TableText0"/>
            </w:pPr>
            <w:r w:rsidRPr="0009282C">
              <w:t>Clinical claim</w:t>
            </w:r>
            <w:r w:rsidR="00692CF0" w:rsidRPr="0009282C">
              <w:t xml:space="preserve"> </w:t>
            </w:r>
          </w:p>
        </w:tc>
        <w:tc>
          <w:tcPr>
            <w:tcW w:w="4076" w:type="pct"/>
            <w:shd w:val="clear" w:color="auto" w:fill="auto"/>
          </w:tcPr>
          <w:p w14:paraId="307D10D9" w14:textId="58E699C0" w:rsidR="003B60C7" w:rsidRPr="0009282C" w:rsidRDefault="003B60C7" w:rsidP="003B60C7">
            <w:pPr>
              <w:pStyle w:val="TableText0"/>
            </w:pPr>
            <w:proofErr w:type="spellStart"/>
            <w:r w:rsidRPr="0009282C">
              <w:t>Lumasiran</w:t>
            </w:r>
            <w:proofErr w:type="spellEnd"/>
            <w:r w:rsidRPr="0009282C">
              <w:t>, when used in addition to BSC, is superior in terms of effectiveness compared with BSC alone.</w:t>
            </w:r>
          </w:p>
          <w:p w14:paraId="2C99C4DE" w14:textId="528B911E" w:rsidR="00A169D6" w:rsidRPr="0009282C" w:rsidRDefault="003B60C7" w:rsidP="003B60C7">
            <w:pPr>
              <w:pStyle w:val="TableText0"/>
            </w:pPr>
            <w:proofErr w:type="spellStart"/>
            <w:r w:rsidRPr="0009282C">
              <w:t>Lumasiran</w:t>
            </w:r>
            <w:proofErr w:type="spellEnd"/>
            <w:r w:rsidRPr="0009282C">
              <w:t>, when used in addition to BSC, is comparable in terms of safety compared with BSC alone.</w:t>
            </w:r>
          </w:p>
        </w:tc>
      </w:tr>
    </w:tbl>
    <w:p w14:paraId="545E7467" w14:textId="461FAF8D" w:rsidR="004E43B2" w:rsidRPr="0009282C" w:rsidRDefault="00580660" w:rsidP="2CA8135B">
      <w:pPr>
        <w:pStyle w:val="FooterTableFigure"/>
        <w:rPr>
          <w:sz w:val="20"/>
          <w:szCs w:val="20"/>
        </w:rPr>
      </w:pPr>
      <w:r w:rsidRPr="0009282C">
        <w:rPr>
          <w:bCs/>
        </w:rPr>
        <w:t>Abbreviations:</w:t>
      </w:r>
      <w:r w:rsidR="2E7BA12A" w:rsidRPr="0009282C">
        <w:t xml:space="preserve"> BSC, best supportive care; eGFR, estimated glomerular filtration rate; </w:t>
      </w:r>
      <w:proofErr w:type="spellStart"/>
      <w:r w:rsidR="2E7BA12A" w:rsidRPr="0009282C">
        <w:t>HRQoL</w:t>
      </w:r>
      <w:proofErr w:type="spellEnd"/>
      <w:r w:rsidR="2E7BA12A" w:rsidRPr="0009282C">
        <w:t>, health-related quality of life; PH1, primary hyperoxaluria type 1</w:t>
      </w:r>
      <w:r w:rsidR="2E7BA12A" w:rsidRPr="0009282C">
        <w:rPr>
          <w:b/>
          <w:bCs/>
        </w:rPr>
        <w:t xml:space="preserve"> </w:t>
      </w:r>
    </w:p>
    <w:p w14:paraId="527CA7F0" w14:textId="44645CE7" w:rsidR="004E43B2" w:rsidRPr="0009282C" w:rsidRDefault="00580660" w:rsidP="004A6040">
      <w:pPr>
        <w:pStyle w:val="FooterTableFigure"/>
      </w:pPr>
      <w:r w:rsidRPr="0009282C">
        <w:rPr>
          <w:bCs/>
        </w:rPr>
        <w:t>Source:</w:t>
      </w:r>
      <w:r w:rsidR="008B1757" w:rsidRPr="0009282C">
        <w:t xml:space="preserve"> Table</w:t>
      </w:r>
      <w:r w:rsidR="000829B0" w:rsidRPr="0009282C">
        <w:t xml:space="preserve"> 1.1</w:t>
      </w:r>
      <w:r w:rsidR="008B1757" w:rsidRPr="0009282C">
        <w:t>, p</w:t>
      </w:r>
      <w:r w:rsidR="000829B0" w:rsidRPr="0009282C">
        <w:t>16</w:t>
      </w:r>
      <w:r w:rsidR="008B1757" w:rsidRPr="0009282C">
        <w:t xml:space="preserve"> of the submissio</w:t>
      </w:r>
      <w:r w:rsidR="00F14340" w:rsidRPr="0009282C">
        <w:t>n and p</w:t>
      </w:r>
      <w:r w:rsidR="00123363" w:rsidRPr="0009282C">
        <w:t>97 of the submission.</w:t>
      </w:r>
    </w:p>
    <w:p w14:paraId="6B4AB6C2" w14:textId="7F01D731" w:rsidR="005C25FF" w:rsidRPr="0009282C" w:rsidRDefault="005C25FF" w:rsidP="00EA17E3">
      <w:pPr>
        <w:pStyle w:val="2-SectionHeading"/>
        <w:ind w:left="709" w:hanging="709"/>
      </w:pPr>
      <w:bookmarkStart w:id="4" w:name="_Toc188443830"/>
      <w:r w:rsidRPr="0009282C">
        <w:lastRenderedPageBreak/>
        <w:t>Background</w:t>
      </w:r>
      <w:bookmarkEnd w:id="4"/>
    </w:p>
    <w:p w14:paraId="2C521D6D" w14:textId="78CF03EE" w:rsidR="005C25FF" w:rsidRPr="0009282C" w:rsidRDefault="005C25FF" w:rsidP="004A6040">
      <w:pPr>
        <w:pStyle w:val="4-SubsectionHeading"/>
      </w:pPr>
      <w:bookmarkStart w:id="5" w:name="_Toc22897638"/>
      <w:bookmarkStart w:id="6" w:name="_Toc188443831"/>
      <w:r w:rsidRPr="0009282C">
        <w:t>Registration status</w:t>
      </w:r>
      <w:bookmarkEnd w:id="5"/>
      <w:bookmarkEnd w:id="6"/>
    </w:p>
    <w:p w14:paraId="59F7DFAA" w14:textId="71DAB288" w:rsidR="008D512B" w:rsidRPr="0009282C" w:rsidRDefault="008D512B" w:rsidP="00737F9C">
      <w:pPr>
        <w:pStyle w:val="3-BodyText"/>
        <w:numPr>
          <w:ilvl w:val="1"/>
          <w:numId w:val="15"/>
        </w:numPr>
      </w:pPr>
      <w:proofErr w:type="spellStart"/>
      <w:r w:rsidRPr="0009282C">
        <w:t>Lumasiran</w:t>
      </w:r>
      <w:proofErr w:type="spellEnd"/>
      <w:r w:rsidRPr="0009282C">
        <w:t xml:space="preserve"> was TGA registered on 24 June 2024 for the treatment of PH1 in all age groups.</w:t>
      </w:r>
      <w:r w:rsidRPr="0009282C">
        <w:rPr>
          <w:color w:val="0066FF"/>
        </w:rPr>
        <w:t xml:space="preserve"> </w:t>
      </w:r>
    </w:p>
    <w:p w14:paraId="5CDA7203" w14:textId="50DBFFF0" w:rsidR="006A386F" w:rsidRPr="0009282C" w:rsidRDefault="006A386F" w:rsidP="00EC48DC">
      <w:pPr>
        <w:pStyle w:val="3-BodyText"/>
      </w:pPr>
      <w:proofErr w:type="spellStart"/>
      <w:r w:rsidRPr="0009282C">
        <w:t>Lumasiran</w:t>
      </w:r>
      <w:proofErr w:type="spellEnd"/>
      <w:r w:rsidRPr="0009282C">
        <w:t xml:space="preserve"> was approved in the European Union (EU) </w:t>
      </w:r>
      <w:r w:rsidR="003B60C7" w:rsidRPr="0009282C">
        <w:t xml:space="preserve">by the </w:t>
      </w:r>
      <w:r w:rsidR="000F3FBB" w:rsidRPr="0009282C">
        <w:t xml:space="preserve">European Medicines Agency (EMA) </w:t>
      </w:r>
      <w:r w:rsidRPr="0009282C">
        <w:t>for the treatment of PH1 in all age groups on 19</w:t>
      </w:r>
      <w:r w:rsidR="003C7DEF">
        <w:t> </w:t>
      </w:r>
      <w:r w:rsidRPr="0009282C">
        <w:t>November</w:t>
      </w:r>
      <w:r w:rsidR="003C7DEF">
        <w:t> </w:t>
      </w:r>
      <w:r w:rsidRPr="0009282C">
        <w:t xml:space="preserve">2020. </w:t>
      </w:r>
      <w:proofErr w:type="spellStart"/>
      <w:r w:rsidRPr="0009282C">
        <w:t>Lumasiran</w:t>
      </w:r>
      <w:proofErr w:type="spellEnd"/>
      <w:r w:rsidRPr="0009282C">
        <w:t xml:space="preserve"> was approved in the United States </w:t>
      </w:r>
      <w:r w:rsidR="000F3FBB" w:rsidRPr="0009282C">
        <w:t>by the Food and Drug Administration (FDA)</w:t>
      </w:r>
      <w:r w:rsidR="00A36CEC" w:rsidRPr="0009282C">
        <w:t xml:space="preserve"> </w:t>
      </w:r>
      <w:r w:rsidRPr="0009282C">
        <w:t xml:space="preserve">and </w:t>
      </w:r>
      <w:r w:rsidR="0047160C" w:rsidRPr="0009282C">
        <w:t xml:space="preserve">in </w:t>
      </w:r>
      <w:r w:rsidRPr="0009282C">
        <w:t xml:space="preserve">Canada </w:t>
      </w:r>
      <w:r w:rsidR="00A36CEC" w:rsidRPr="0009282C">
        <w:t xml:space="preserve">by Health Canada </w:t>
      </w:r>
      <w:r w:rsidRPr="0009282C">
        <w:t xml:space="preserve">for the treatment of PH1 to lower urinary oxalate levels in paediatric and adult patients on 23 November 2020 and </w:t>
      </w:r>
      <w:r w:rsidR="003C7DEF" w:rsidRPr="0009282C">
        <w:t>7</w:t>
      </w:r>
      <w:r w:rsidR="003C7DEF">
        <w:t> </w:t>
      </w:r>
      <w:r w:rsidRPr="0009282C">
        <w:t>March</w:t>
      </w:r>
      <w:r w:rsidR="003C7DEF">
        <w:t> </w:t>
      </w:r>
      <w:r w:rsidRPr="0009282C">
        <w:t>2022, respectively.</w:t>
      </w:r>
    </w:p>
    <w:p w14:paraId="360E1C89" w14:textId="5EF5978C" w:rsidR="00B354F1" w:rsidRPr="0009282C" w:rsidRDefault="00B50DB8" w:rsidP="00781FF0">
      <w:pPr>
        <w:pStyle w:val="2-SectionHeading"/>
        <w:keepLines/>
        <w:ind w:left="709" w:hanging="709"/>
      </w:pPr>
      <w:bookmarkStart w:id="7" w:name="_Toc188443832"/>
      <w:r w:rsidRPr="0009282C">
        <w:t>Requested listing</w:t>
      </w:r>
      <w:bookmarkEnd w:id="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551"/>
        <w:gridCol w:w="851"/>
        <w:gridCol w:w="850"/>
        <w:gridCol w:w="851"/>
        <w:gridCol w:w="1842"/>
      </w:tblGrid>
      <w:tr w:rsidR="004320BA" w:rsidRPr="0009282C" w14:paraId="6DD4D998" w14:textId="77777777" w:rsidTr="005A68B3">
        <w:trPr>
          <w:cantSplit/>
          <w:trHeight w:val="471"/>
        </w:trPr>
        <w:tc>
          <w:tcPr>
            <w:tcW w:w="2122" w:type="dxa"/>
          </w:tcPr>
          <w:p w14:paraId="22F80290" w14:textId="77777777" w:rsidR="004320BA" w:rsidRPr="0009282C" w:rsidRDefault="004320BA" w:rsidP="00C76FE2">
            <w:pPr>
              <w:keepNext/>
              <w:keepLines/>
              <w:ind w:left="-57"/>
              <w:rPr>
                <w:rFonts w:ascii="Arial Narrow" w:hAnsi="Arial Narrow"/>
                <w:b/>
                <w:sz w:val="20"/>
                <w:szCs w:val="20"/>
              </w:rPr>
            </w:pPr>
            <w:bookmarkStart w:id="8" w:name="_Hlk188016672"/>
            <w:r w:rsidRPr="0009282C">
              <w:rPr>
                <w:rFonts w:ascii="Arial Narrow" w:hAnsi="Arial Narrow"/>
                <w:b/>
                <w:sz w:val="20"/>
                <w:szCs w:val="20"/>
              </w:rPr>
              <w:t>MEDICINAL PRODUCT</w:t>
            </w:r>
          </w:p>
          <w:p w14:paraId="1F870BE8" w14:textId="77777777" w:rsidR="004320BA" w:rsidRPr="0009282C" w:rsidRDefault="004320BA" w:rsidP="00C76FE2">
            <w:pPr>
              <w:keepNext/>
              <w:keepLines/>
              <w:ind w:left="-57"/>
              <w:rPr>
                <w:rFonts w:ascii="Arial Narrow" w:hAnsi="Arial Narrow"/>
                <w:b/>
                <w:sz w:val="20"/>
                <w:szCs w:val="20"/>
              </w:rPr>
            </w:pPr>
            <w:r w:rsidRPr="0009282C">
              <w:rPr>
                <w:rFonts w:ascii="Arial Narrow" w:hAnsi="Arial Narrow"/>
                <w:b/>
                <w:sz w:val="20"/>
                <w:szCs w:val="20"/>
              </w:rPr>
              <w:t>medicinal product pack</w:t>
            </w:r>
          </w:p>
        </w:tc>
        <w:tc>
          <w:tcPr>
            <w:tcW w:w="2551" w:type="dxa"/>
          </w:tcPr>
          <w:p w14:paraId="1AE08299" w14:textId="44D277EC" w:rsidR="004320BA" w:rsidRPr="0009282C" w:rsidRDefault="005A68B3" w:rsidP="00C76FE2">
            <w:pPr>
              <w:keepNext/>
              <w:keepLines/>
              <w:ind w:left="-57"/>
              <w:jc w:val="center"/>
              <w:rPr>
                <w:rFonts w:ascii="Arial Narrow" w:hAnsi="Arial Narrow"/>
                <w:b/>
                <w:sz w:val="20"/>
                <w:szCs w:val="20"/>
              </w:rPr>
            </w:pPr>
            <w:r w:rsidRPr="0009282C">
              <w:rPr>
                <w:b/>
                <w:snapToGrid w:val="0"/>
                <w:sz w:val="20"/>
                <w:szCs w:val="20"/>
              </w:rPr>
              <w:t xml:space="preserve"> </w:t>
            </w:r>
            <w:r w:rsidRPr="0009282C">
              <w:rPr>
                <w:rFonts w:ascii="Arial Narrow" w:hAnsi="Arial Narrow"/>
                <w:b/>
                <w:sz w:val="20"/>
                <w:szCs w:val="20"/>
              </w:rPr>
              <w:t>Dispensed Price for Max. Qty</w:t>
            </w:r>
          </w:p>
        </w:tc>
        <w:tc>
          <w:tcPr>
            <w:tcW w:w="851" w:type="dxa"/>
          </w:tcPr>
          <w:p w14:paraId="31FEEDB7" w14:textId="77777777" w:rsidR="004320BA" w:rsidRPr="0009282C" w:rsidRDefault="004320BA" w:rsidP="00C76FE2">
            <w:pPr>
              <w:keepNext/>
              <w:keepLines/>
              <w:ind w:left="-57"/>
              <w:jc w:val="center"/>
              <w:rPr>
                <w:rFonts w:ascii="Arial Narrow" w:hAnsi="Arial Narrow"/>
                <w:b/>
                <w:sz w:val="20"/>
                <w:szCs w:val="20"/>
              </w:rPr>
            </w:pPr>
            <w:r w:rsidRPr="0009282C">
              <w:rPr>
                <w:rFonts w:ascii="Arial Narrow" w:hAnsi="Arial Narrow"/>
                <w:b/>
                <w:sz w:val="20"/>
                <w:szCs w:val="20"/>
              </w:rPr>
              <w:t>Max. qty packs</w:t>
            </w:r>
          </w:p>
        </w:tc>
        <w:tc>
          <w:tcPr>
            <w:tcW w:w="850" w:type="dxa"/>
          </w:tcPr>
          <w:p w14:paraId="1BF25FEC" w14:textId="77777777" w:rsidR="004320BA" w:rsidRPr="0009282C" w:rsidRDefault="004320BA" w:rsidP="00C76FE2">
            <w:pPr>
              <w:keepNext/>
              <w:keepLines/>
              <w:ind w:left="-57"/>
              <w:jc w:val="center"/>
              <w:rPr>
                <w:rFonts w:ascii="Arial Narrow" w:hAnsi="Arial Narrow"/>
                <w:b/>
                <w:sz w:val="20"/>
                <w:szCs w:val="20"/>
              </w:rPr>
            </w:pPr>
            <w:r w:rsidRPr="0009282C">
              <w:rPr>
                <w:rFonts w:ascii="Arial Narrow" w:hAnsi="Arial Narrow"/>
                <w:b/>
                <w:sz w:val="20"/>
                <w:szCs w:val="20"/>
              </w:rPr>
              <w:t>Max. qty units</w:t>
            </w:r>
          </w:p>
        </w:tc>
        <w:tc>
          <w:tcPr>
            <w:tcW w:w="851" w:type="dxa"/>
          </w:tcPr>
          <w:p w14:paraId="3C569D6D" w14:textId="3E4C9C19" w:rsidR="004320BA" w:rsidRPr="0009282C" w:rsidRDefault="004320BA" w:rsidP="00C76FE2">
            <w:pPr>
              <w:keepNext/>
              <w:keepLines/>
              <w:ind w:left="-57"/>
              <w:jc w:val="center"/>
              <w:rPr>
                <w:rFonts w:ascii="Arial Narrow" w:hAnsi="Arial Narrow"/>
                <w:b/>
                <w:sz w:val="20"/>
                <w:szCs w:val="20"/>
              </w:rPr>
            </w:pPr>
            <w:r w:rsidRPr="0009282C">
              <w:rPr>
                <w:rFonts w:ascii="Arial Narrow" w:hAnsi="Arial Narrow"/>
                <w:b/>
                <w:sz w:val="20"/>
                <w:szCs w:val="20"/>
              </w:rPr>
              <w:t>№.of</w:t>
            </w:r>
          </w:p>
          <w:p w14:paraId="61E23D61" w14:textId="667D6430" w:rsidR="004320BA" w:rsidRPr="0009282C" w:rsidRDefault="007D2E6B" w:rsidP="00C76FE2">
            <w:pPr>
              <w:keepNext/>
              <w:keepLines/>
              <w:ind w:left="-57"/>
              <w:jc w:val="center"/>
              <w:rPr>
                <w:rFonts w:ascii="Arial Narrow" w:hAnsi="Arial Narrow"/>
                <w:b/>
                <w:sz w:val="20"/>
                <w:szCs w:val="20"/>
              </w:rPr>
            </w:pPr>
            <w:r w:rsidRPr="0009282C">
              <w:rPr>
                <w:rFonts w:ascii="Arial Narrow" w:hAnsi="Arial Narrow"/>
                <w:b/>
                <w:sz w:val="20"/>
                <w:szCs w:val="20"/>
              </w:rPr>
              <w:t>Repeats</w:t>
            </w:r>
          </w:p>
        </w:tc>
        <w:tc>
          <w:tcPr>
            <w:tcW w:w="1842" w:type="dxa"/>
          </w:tcPr>
          <w:p w14:paraId="3F59A9D3" w14:textId="77777777" w:rsidR="004320BA" w:rsidRPr="0009282C" w:rsidRDefault="004320BA" w:rsidP="00C76FE2">
            <w:pPr>
              <w:keepNext/>
              <w:keepLines/>
              <w:ind w:left="-57"/>
              <w:rPr>
                <w:rFonts w:ascii="Arial Narrow" w:hAnsi="Arial Narrow"/>
                <w:b/>
                <w:sz w:val="20"/>
                <w:szCs w:val="20"/>
              </w:rPr>
            </w:pPr>
            <w:r w:rsidRPr="0009282C">
              <w:rPr>
                <w:rFonts w:ascii="Arial Narrow" w:hAnsi="Arial Narrow"/>
                <w:b/>
                <w:sz w:val="20"/>
                <w:szCs w:val="20"/>
              </w:rPr>
              <w:t>Available brands</w:t>
            </w:r>
          </w:p>
        </w:tc>
      </w:tr>
      <w:tr w:rsidR="004320BA" w:rsidRPr="0009282C" w14:paraId="0A30F8A4" w14:textId="77777777" w:rsidTr="000C7FBB">
        <w:trPr>
          <w:cantSplit/>
          <w:trHeight w:val="302"/>
        </w:trPr>
        <w:tc>
          <w:tcPr>
            <w:tcW w:w="9067" w:type="dxa"/>
            <w:gridSpan w:val="6"/>
          </w:tcPr>
          <w:p w14:paraId="19AC832C" w14:textId="77777777" w:rsidR="004320BA" w:rsidRPr="0009282C" w:rsidRDefault="004320BA" w:rsidP="00C76FE2">
            <w:pPr>
              <w:keepNext/>
              <w:keepLines/>
              <w:ind w:left="-57"/>
              <w:rPr>
                <w:rFonts w:ascii="Arial Narrow" w:hAnsi="Arial Narrow"/>
                <w:sz w:val="20"/>
                <w:szCs w:val="20"/>
              </w:rPr>
            </w:pPr>
            <w:r w:rsidRPr="0009282C">
              <w:rPr>
                <w:rFonts w:ascii="Arial Narrow" w:hAnsi="Arial Narrow"/>
                <w:sz w:val="20"/>
                <w:szCs w:val="20"/>
              </w:rPr>
              <w:t>LUMASIRAN</w:t>
            </w:r>
          </w:p>
        </w:tc>
      </w:tr>
      <w:tr w:rsidR="004320BA" w:rsidRPr="0009282C" w14:paraId="1515190E" w14:textId="77777777" w:rsidTr="00ED18C8">
        <w:trPr>
          <w:cantSplit/>
          <w:trHeight w:val="554"/>
        </w:trPr>
        <w:tc>
          <w:tcPr>
            <w:tcW w:w="2122" w:type="dxa"/>
          </w:tcPr>
          <w:p w14:paraId="13BF7443" w14:textId="1B8BCFBC" w:rsidR="004320BA" w:rsidRPr="0009282C" w:rsidRDefault="004320BA" w:rsidP="00C76FE2">
            <w:pPr>
              <w:keepNext/>
              <w:keepLines/>
              <w:jc w:val="left"/>
              <w:rPr>
                <w:rFonts w:ascii="Arial Narrow" w:hAnsi="Arial Narrow"/>
                <w:sz w:val="20"/>
                <w:szCs w:val="20"/>
              </w:rPr>
            </w:pPr>
            <w:proofErr w:type="spellStart"/>
            <w:r w:rsidRPr="0009282C">
              <w:rPr>
                <w:rFonts w:ascii="Arial Narrow" w:hAnsi="Arial Narrow"/>
                <w:sz w:val="20"/>
                <w:szCs w:val="20"/>
              </w:rPr>
              <w:t>lumasiran</w:t>
            </w:r>
            <w:proofErr w:type="spellEnd"/>
            <w:r w:rsidRPr="0009282C">
              <w:rPr>
                <w:rFonts w:ascii="Arial Narrow" w:hAnsi="Arial Narrow"/>
                <w:sz w:val="20"/>
                <w:szCs w:val="20"/>
              </w:rPr>
              <w:t xml:space="preserve"> (as sodium) 94.5 mg/mL injection vial</w:t>
            </w:r>
          </w:p>
        </w:tc>
        <w:tc>
          <w:tcPr>
            <w:tcW w:w="2551" w:type="dxa"/>
          </w:tcPr>
          <w:p w14:paraId="6544F72F" w14:textId="2463B75B" w:rsidR="00C0014C" w:rsidRPr="0009282C" w:rsidRDefault="00C0014C" w:rsidP="00C76FE2">
            <w:pPr>
              <w:keepNext/>
              <w:keepLines/>
              <w:ind w:left="-57"/>
              <w:jc w:val="center"/>
              <w:rPr>
                <w:rFonts w:ascii="Arial Narrow" w:hAnsi="Arial Narrow"/>
                <w:iCs/>
                <w:sz w:val="20"/>
                <w:szCs w:val="20"/>
                <w:u w:val="single"/>
              </w:rPr>
            </w:pPr>
            <w:r w:rsidRPr="0009282C">
              <w:rPr>
                <w:rFonts w:ascii="Arial Narrow" w:hAnsi="Arial Narrow"/>
                <w:iCs/>
                <w:sz w:val="20"/>
                <w:szCs w:val="20"/>
                <w:u w:val="single"/>
              </w:rPr>
              <w:t xml:space="preserve">Published Price </w:t>
            </w:r>
          </w:p>
          <w:p w14:paraId="6A68EE32" w14:textId="5C0274BA" w:rsidR="00415178" w:rsidRPr="0009282C" w:rsidRDefault="00415178" w:rsidP="00C76FE2">
            <w:pPr>
              <w:keepNext/>
              <w:keepLines/>
              <w:ind w:left="-57"/>
              <w:jc w:val="center"/>
              <w:rPr>
                <w:rFonts w:ascii="Arial Narrow" w:hAnsi="Arial Narrow"/>
                <w:iCs/>
                <w:sz w:val="20"/>
                <w:szCs w:val="20"/>
              </w:rPr>
            </w:pPr>
            <w:r w:rsidRPr="0009282C">
              <w:rPr>
                <w:rFonts w:ascii="Arial Narrow" w:hAnsi="Arial Narrow"/>
                <w:iCs/>
                <w:sz w:val="20"/>
                <w:szCs w:val="20"/>
              </w:rPr>
              <w:t>$</w:t>
            </w:r>
            <w:r w:rsidR="00CD30EE" w:rsidRPr="0009282C">
              <w:rPr>
                <w:rFonts w:ascii="Arial Narrow" w:hAnsi="Arial Narrow"/>
                <w:iCs/>
                <w:sz w:val="20"/>
                <w:szCs w:val="20"/>
              </w:rPr>
              <w:t>435,495.88</w:t>
            </w:r>
            <w:r w:rsidR="00C0014C" w:rsidRPr="0009282C">
              <w:rPr>
                <w:rFonts w:ascii="Arial Narrow" w:hAnsi="Arial Narrow"/>
                <w:iCs/>
                <w:sz w:val="20"/>
                <w:szCs w:val="20"/>
              </w:rPr>
              <w:t xml:space="preserve"> </w:t>
            </w:r>
          </w:p>
          <w:p w14:paraId="40E77A53" w14:textId="1F0A4BFD" w:rsidR="00415178" w:rsidRPr="0009282C" w:rsidRDefault="00C0014C" w:rsidP="00C76FE2">
            <w:pPr>
              <w:keepNext/>
              <w:keepLines/>
              <w:ind w:left="-57"/>
              <w:jc w:val="center"/>
              <w:rPr>
                <w:rFonts w:ascii="Arial Narrow" w:hAnsi="Arial Narrow"/>
                <w:iCs/>
                <w:sz w:val="20"/>
                <w:szCs w:val="20"/>
                <w:u w:val="single"/>
              </w:rPr>
            </w:pPr>
            <w:r w:rsidRPr="0009282C">
              <w:rPr>
                <w:rFonts w:ascii="Arial Narrow" w:hAnsi="Arial Narrow"/>
                <w:iCs/>
                <w:sz w:val="20"/>
                <w:szCs w:val="20"/>
                <w:u w:val="single"/>
              </w:rPr>
              <w:t>E</w:t>
            </w:r>
            <w:r w:rsidR="00415178" w:rsidRPr="0009282C">
              <w:rPr>
                <w:rFonts w:ascii="Arial Narrow" w:hAnsi="Arial Narrow"/>
                <w:iCs/>
                <w:sz w:val="20"/>
                <w:szCs w:val="20"/>
                <w:u w:val="single"/>
              </w:rPr>
              <w:t xml:space="preserve">ffective </w:t>
            </w:r>
            <w:r w:rsidRPr="0009282C">
              <w:rPr>
                <w:rFonts w:ascii="Arial Narrow" w:hAnsi="Arial Narrow"/>
                <w:iCs/>
                <w:sz w:val="20"/>
                <w:szCs w:val="20"/>
                <w:u w:val="single"/>
              </w:rPr>
              <w:t>P</w:t>
            </w:r>
            <w:r w:rsidR="00415178" w:rsidRPr="0009282C">
              <w:rPr>
                <w:rFonts w:ascii="Arial Narrow" w:hAnsi="Arial Narrow"/>
                <w:iCs/>
                <w:sz w:val="20"/>
                <w:szCs w:val="20"/>
                <w:u w:val="single"/>
              </w:rPr>
              <w:t>rice</w:t>
            </w:r>
          </w:p>
          <w:p w14:paraId="398C93ED" w14:textId="059B7F60" w:rsidR="00F30282" w:rsidRPr="0009282C" w:rsidRDefault="00C0014C" w:rsidP="00C76FE2">
            <w:pPr>
              <w:keepNext/>
              <w:keepLines/>
              <w:ind w:left="-57"/>
              <w:jc w:val="center"/>
              <w:rPr>
                <w:rFonts w:ascii="Arial Narrow" w:hAnsi="Arial Narrow"/>
                <w:iCs/>
                <w:sz w:val="20"/>
                <w:szCs w:val="20"/>
              </w:rPr>
            </w:pPr>
            <w:r w:rsidRPr="0009282C">
              <w:rPr>
                <w:rFonts w:ascii="Arial Narrow" w:hAnsi="Arial Narrow"/>
                <w:iCs/>
                <w:sz w:val="20"/>
                <w:szCs w:val="20"/>
              </w:rPr>
              <w:t>$</w:t>
            </w:r>
            <w:r w:rsidR="002212A2" w:rsidRPr="00B91BD2">
              <w:rPr>
                <w:rFonts w:ascii="Arial Narrow" w:hAnsi="Arial Narrow"/>
                <w:color w:val="000000"/>
                <w:spacing w:val="49"/>
                <w:sz w:val="20"/>
                <w:szCs w:val="20"/>
                <w:shd w:val="solid" w:color="000000" w:fill="000000"/>
                <w:fitText w:val="320" w:id="-694423808"/>
                <w14:textFill>
                  <w14:solidFill>
                    <w14:srgbClr w14:val="000000">
                      <w14:alpha w14:val="100000"/>
                    </w14:srgbClr>
                  </w14:solidFill>
                </w14:textFill>
              </w:rPr>
              <w:t>|||</w:t>
            </w:r>
            <w:r w:rsidR="002212A2" w:rsidRPr="00B91BD2">
              <w:rPr>
                <w:rFonts w:ascii="Arial Narrow" w:hAnsi="Arial Narrow"/>
                <w:color w:val="000000"/>
                <w:spacing w:val="3"/>
                <w:sz w:val="20"/>
                <w:szCs w:val="20"/>
                <w:shd w:val="solid" w:color="000000" w:fill="000000"/>
                <w:fitText w:val="320" w:id="-694423808"/>
                <w14:textFill>
                  <w14:solidFill>
                    <w14:srgbClr w14:val="000000">
                      <w14:alpha w14:val="100000"/>
                    </w14:srgbClr>
                  </w14:solidFill>
                </w14:textFill>
              </w:rPr>
              <w:t>|</w:t>
            </w:r>
            <w:r w:rsidR="00176C29" w:rsidRPr="0009282C">
              <w:t xml:space="preserve"> </w:t>
            </w:r>
          </w:p>
        </w:tc>
        <w:tc>
          <w:tcPr>
            <w:tcW w:w="851" w:type="dxa"/>
            <w:vAlign w:val="center"/>
          </w:tcPr>
          <w:p w14:paraId="6113B041" w14:textId="7EB0572B" w:rsidR="004320BA" w:rsidRPr="0009282C" w:rsidRDefault="007C612B" w:rsidP="00C76FE2">
            <w:pPr>
              <w:keepNext/>
              <w:keepLines/>
              <w:ind w:left="-57"/>
              <w:jc w:val="center"/>
              <w:rPr>
                <w:rFonts w:ascii="Arial Narrow" w:hAnsi="Arial Narrow"/>
                <w:iCs/>
                <w:sz w:val="20"/>
                <w:szCs w:val="20"/>
              </w:rPr>
            </w:pPr>
            <w:r w:rsidRPr="0009282C">
              <w:rPr>
                <w:rFonts w:ascii="Arial Narrow" w:hAnsi="Arial Narrow"/>
                <w:iCs/>
                <w:sz w:val="20"/>
                <w:szCs w:val="20"/>
              </w:rPr>
              <w:t>4</w:t>
            </w:r>
          </w:p>
        </w:tc>
        <w:tc>
          <w:tcPr>
            <w:tcW w:w="850" w:type="dxa"/>
            <w:vAlign w:val="center"/>
          </w:tcPr>
          <w:p w14:paraId="61E5337D" w14:textId="64759AA0" w:rsidR="004320BA" w:rsidRPr="0009282C" w:rsidRDefault="0000685D" w:rsidP="00C76FE2">
            <w:pPr>
              <w:keepNext/>
              <w:keepLines/>
              <w:jc w:val="center"/>
              <w:rPr>
                <w:rFonts w:ascii="Arial Narrow" w:hAnsi="Arial Narrow"/>
                <w:iCs/>
                <w:sz w:val="20"/>
                <w:szCs w:val="20"/>
              </w:rPr>
            </w:pPr>
            <w:r w:rsidRPr="0009282C">
              <w:rPr>
                <w:rFonts w:ascii="Arial Narrow" w:hAnsi="Arial Narrow"/>
                <w:iCs/>
                <w:sz w:val="20"/>
                <w:szCs w:val="20"/>
              </w:rPr>
              <w:t>4</w:t>
            </w:r>
          </w:p>
        </w:tc>
        <w:tc>
          <w:tcPr>
            <w:tcW w:w="851" w:type="dxa"/>
            <w:vAlign w:val="center"/>
          </w:tcPr>
          <w:p w14:paraId="464C74CB" w14:textId="07D84750" w:rsidR="004320BA" w:rsidRPr="0009282C" w:rsidRDefault="00CF7A51" w:rsidP="00C76FE2">
            <w:pPr>
              <w:keepNext/>
              <w:keepLines/>
              <w:jc w:val="center"/>
              <w:rPr>
                <w:rFonts w:ascii="Arial Narrow" w:hAnsi="Arial Narrow"/>
                <w:iCs/>
                <w:sz w:val="20"/>
                <w:szCs w:val="20"/>
              </w:rPr>
            </w:pPr>
            <w:r w:rsidRPr="0009282C">
              <w:rPr>
                <w:rFonts w:ascii="Arial Narrow" w:hAnsi="Arial Narrow"/>
                <w:iCs/>
                <w:sz w:val="20"/>
                <w:szCs w:val="20"/>
              </w:rPr>
              <w:t>2</w:t>
            </w:r>
          </w:p>
        </w:tc>
        <w:tc>
          <w:tcPr>
            <w:tcW w:w="1842" w:type="dxa"/>
          </w:tcPr>
          <w:p w14:paraId="7E296503" w14:textId="3FA00FD6" w:rsidR="004320BA" w:rsidRPr="0009282C" w:rsidRDefault="00F15F97" w:rsidP="00C76FE2">
            <w:pPr>
              <w:keepNext/>
              <w:keepLines/>
              <w:ind w:left="-57"/>
              <w:rPr>
                <w:rFonts w:ascii="Arial Narrow" w:hAnsi="Arial Narrow"/>
                <w:sz w:val="20"/>
                <w:szCs w:val="20"/>
              </w:rPr>
            </w:pPr>
            <w:proofErr w:type="spellStart"/>
            <w:r w:rsidRPr="0009282C">
              <w:rPr>
                <w:rFonts w:ascii="Arial Narrow" w:hAnsi="Arial Narrow"/>
                <w:sz w:val="20"/>
                <w:szCs w:val="20"/>
              </w:rPr>
              <w:t>O</w:t>
            </w:r>
            <w:r w:rsidR="004366A4" w:rsidRPr="0009282C">
              <w:rPr>
                <w:rFonts w:ascii="Arial Narrow" w:hAnsi="Arial Narrow"/>
                <w:sz w:val="20"/>
                <w:szCs w:val="20"/>
              </w:rPr>
              <w:t>xlumo</w:t>
            </w:r>
            <w:proofErr w:type="spellEnd"/>
          </w:p>
        </w:tc>
      </w:tr>
      <w:tr w:rsidR="00EB5CE0" w:rsidRPr="0009282C" w14:paraId="3A6B1E2E"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4C0A18ED" w14:textId="77777777" w:rsidR="00EB5CE0" w:rsidRPr="0009282C" w:rsidRDefault="00EB5CE0" w:rsidP="000C7FBB">
            <w:pPr>
              <w:rPr>
                <w:rFonts w:ascii="Arial Narrow" w:hAnsi="Arial Narrow"/>
                <w:b/>
                <w:color w:val="333333"/>
                <w:sz w:val="20"/>
                <w:szCs w:val="20"/>
              </w:rPr>
            </w:pPr>
          </w:p>
        </w:tc>
      </w:tr>
      <w:tr w:rsidR="00C74B08" w:rsidRPr="0009282C" w14:paraId="454ABE36"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46910A73"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Indication:</w:t>
            </w:r>
            <w:r w:rsidRPr="0009282C">
              <w:rPr>
                <w:rFonts w:ascii="Arial Narrow" w:hAnsi="Arial Narrow"/>
                <w:color w:val="333333"/>
                <w:sz w:val="20"/>
                <w:szCs w:val="20"/>
              </w:rPr>
              <w:t xml:space="preserve"> Primary hyperoxaluria type 1</w:t>
            </w:r>
          </w:p>
        </w:tc>
      </w:tr>
      <w:tr w:rsidR="00C74B08" w:rsidRPr="0009282C" w14:paraId="418A4423"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30EAFA1F"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Treatment Phase:</w:t>
            </w:r>
            <w:r w:rsidRPr="0009282C">
              <w:rPr>
                <w:rFonts w:ascii="Arial Narrow" w:hAnsi="Arial Narrow"/>
                <w:color w:val="333333"/>
                <w:sz w:val="20"/>
                <w:szCs w:val="20"/>
              </w:rPr>
              <w:t xml:space="preserve"> Treatment initiation</w:t>
            </w:r>
          </w:p>
        </w:tc>
      </w:tr>
      <w:tr w:rsidR="00C74B08" w:rsidRPr="0009282C" w14:paraId="21B65012"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6A88EB43"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Clinical criteria:</w:t>
            </w:r>
          </w:p>
        </w:tc>
      </w:tr>
      <w:tr w:rsidR="00C74B08" w:rsidRPr="0009282C" w14:paraId="21685E60" w14:textId="77777777" w:rsidTr="00A304B7">
        <w:tblPrEx>
          <w:tblCellMar>
            <w:top w:w="15" w:type="dxa"/>
            <w:left w:w="15" w:type="dxa"/>
            <w:bottom w:w="15" w:type="dxa"/>
            <w:right w:w="15" w:type="dxa"/>
          </w:tblCellMar>
        </w:tblPrEx>
        <w:tc>
          <w:tcPr>
            <w:tcW w:w="9067" w:type="dxa"/>
            <w:gridSpan w:val="6"/>
            <w:shd w:val="clear" w:color="auto" w:fill="auto"/>
            <w:vAlign w:val="center"/>
            <w:hideMark/>
          </w:tcPr>
          <w:p w14:paraId="7A29672F" w14:textId="77777777" w:rsidR="00C74B08" w:rsidRPr="0009282C" w:rsidRDefault="00C74B08" w:rsidP="000C7FBB">
            <w:pPr>
              <w:rPr>
                <w:rFonts w:ascii="Arial Narrow" w:hAnsi="Arial Narrow"/>
                <w:color w:val="333333"/>
                <w:sz w:val="20"/>
                <w:szCs w:val="20"/>
              </w:rPr>
            </w:pPr>
            <w:r w:rsidRPr="0009282C">
              <w:rPr>
                <w:rFonts w:ascii="Arial Narrow" w:hAnsi="Arial Narrow"/>
                <w:color w:val="333333"/>
                <w:sz w:val="20"/>
                <w:szCs w:val="20"/>
              </w:rPr>
              <w:t>The condition must be primary hyperoxaluria type 1 confirmed by genetic testing</w:t>
            </w:r>
          </w:p>
        </w:tc>
      </w:tr>
      <w:tr w:rsidR="00C74B08" w:rsidRPr="0009282C" w14:paraId="4E0C124E"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6866E27F"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AND</w:t>
            </w:r>
          </w:p>
        </w:tc>
      </w:tr>
      <w:tr w:rsidR="00C74B08" w:rsidRPr="0009282C" w14:paraId="7075B5A4"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35C23995" w14:textId="77777777" w:rsidR="00C74B08" w:rsidRPr="0009282C" w:rsidRDefault="00C74B08" w:rsidP="000C7FBB">
            <w:pPr>
              <w:rPr>
                <w:rFonts w:ascii="Arial Narrow" w:hAnsi="Arial Narrow"/>
                <w:color w:val="333333"/>
                <w:sz w:val="20"/>
                <w:szCs w:val="20"/>
              </w:rPr>
            </w:pPr>
            <w:r w:rsidRPr="0009282C">
              <w:rPr>
                <w:rFonts w:ascii="Arial Narrow" w:hAnsi="Arial Narrow"/>
                <w:color w:val="333333"/>
                <w:sz w:val="20"/>
                <w:szCs w:val="20"/>
              </w:rPr>
              <w:t>Patient must have urinary oxalate ≥0.70 mmol/24 h/1.73 m</w:t>
            </w:r>
            <w:r w:rsidRPr="0009282C">
              <w:rPr>
                <w:rFonts w:ascii="Arial Narrow" w:hAnsi="Arial Narrow"/>
                <w:color w:val="333333"/>
                <w:sz w:val="20"/>
                <w:szCs w:val="20"/>
                <w:vertAlign w:val="superscript"/>
              </w:rPr>
              <w:t>2</w:t>
            </w:r>
            <w:r w:rsidRPr="0009282C">
              <w:rPr>
                <w:rFonts w:ascii="Arial Narrow" w:hAnsi="Arial Narrow"/>
                <w:color w:val="333333"/>
                <w:sz w:val="20"/>
                <w:szCs w:val="20"/>
              </w:rPr>
              <w:t xml:space="preserve"> measured by mean 24-h urinary oxalate excretion from a valid 24-h urine collection; OR</w:t>
            </w:r>
          </w:p>
          <w:p w14:paraId="7727D3E8" w14:textId="296B4C01" w:rsidR="00C74B08" w:rsidRPr="0009282C" w:rsidRDefault="00C74B08" w:rsidP="000C7FBB">
            <w:pPr>
              <w:rPr>
                <w:rFonts w:ascii="Arial Narrow" w:hAnsi="Arial Narrow"/>
                <w:sz w:val="20"/>
                <w:szCs w:val="20"/>
              </w:rPr>
            </w:pPr>
            <w:r w:rsidRPr="0009282C">
              <w:rPr>
                <w:rFonts w:ascii="Arial Narrow" w:hAnsi="Arial Narrow"/>
                <w:sz w:val="20"/>
                <w:szCs w:val="20"/>
              </w:rPr>
              <w:t xml:space="preserve">Patient must have urinary </w:t>
            </w:r>
            <w:proofErr w:type="spellStart"/>
            <w:r w:rsidRPr="0009282C">
              <w:rPr>
                <w:rFonts w:ascii="Arial Narrow" w:hAnsi="Arial Narrow"/>
                <w:sz w:val="20"/>
                <w:szCs w:val="20"/>
              </w:rPr>
              <w:t>oxalate:creatinine</w:t>
            </w:r>
            <w:proofErr w:type="spellEnd"/>
            <w:r w:rsidRPr="0009282C">
              <w:rPr>
                <w:rFonts w:ascii="Arial Narrow" w:hAnsi="Arial Narrow"/>
                <w:sz w:val="20"/>
                <w:szCs w:val="20"/>
              </w:rPr>
              <w:t xml:space="preserve"> ratio greater than the upper limit of normal based on age on at least two of three single-void collections during screening; OR</w:t>
            </w:r>
          </w:p>
          <w:p w14:paraId="4DF94FC2" w14:textId="77777777" w:rsidR="00C74B08" w:rsidRPr="0009282C" w:rsidRDefault="00C74B08" w:rsidP="000C7FBB">
            <w:pPr>
              <w:rPr>
                <w:rFonts w:ascii="Arial Narrow" w:hAnsi="Arial Narrow"/>
                <w:color w:val="333333"/>
                <w:sz w:val="20"/>
                <w:szCs w:val="20"/>
              </w:rPr>
            </w:pPr>
            <w:r w:rsidRPr="0009282C">
              <w:rPr>
                <w:rFonts w:ascii="Arial Narrow" w:hAnsi="Arial Narrow"/>
                <w:sz w:val="20"/>
                <w:szCs w:val="20"/>
              </w:rPr>
              <w:t>Patient must have clinical symptoms indicative of hyperoxaluria, such as nephrocalcinosis and/or renal stones and/or renal impairment</w:t>
            </w:r>
            <w:r w:rsidRPr="0009282C">
              <w:rPr>
                <w:rFonts w:ascii="Arial Narrow" w:hAnsi="Arial Narrow"/>
                <w:color w:val="FF0000"/>
                <w:sz w:val="20"/>
                <w:szCs w:val="20"/>
              </w:rPr>
              <w:t xml:space="preserve"> </w:t>
            </w:r>
            <w:r w:rsidRPr="0009282C">
              <w:rPr>
                <w:rFonts w:ascii="Arial Narrow" w:hAnsi="Arial Narrow"/>
                <w:sz w:val="20"/>
                <w:szCs w:val="20"/>
              </w:rPr>
              <w:t>and/or systemic oxalosis</w:t>
            </w:r>
          </w:p>
        </w:tc>
      </w:tr>
      <w:tr w:rsidR="00C74B08" w:rsidRPr="0009282C" w14:paraId="534A6563"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6A9E3B00"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Treatment criteria:</w:t>
            </w:r>
          </w:p>
        </w:tc>
      </w:tr>
      <w:tr w:rsidR="00C74B08" w:rsidRPr="0009282C" w14:paraId="0550FD0F"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3D231107" w14:textId="77777777" w:rsidR="00C74B08" w:rsidRPr="0009282C" w:rsidRDefault="00C74B08" w:rsidP="000C7FBB">
            <w:pPr>
              <w:autoSpaceDE w:val="0"/>
              <w:autoSpaceDN w:val="0"/>
              <w:adjustRightInd w:val="0"/>
              <w:rPr>
                <w:rFonts w:ascii="Arial Narrow" w:hAnsi="Arial Narrow" w:cs="Arial Narrow"/>
                <w:i/>
                <w:sz w:val="20"/>
                <w:szCs w:val="20"/>
              </w:rPr>
            </w:pPr>
            <w:r w:rsidRPr="0009282C">
              <w:rPr>
                <w:rFonts w:ascii="Arial Narrow" w:hAnsi="Arial Narrow" w:cs="Arial Narrow"/>
                <w:sz w:val="20"/>
                <w:szCs w:val="20"/>
              </w:rPr>
              <w:t xml:space="preserve">Must be treated by a nephrologist with experience in the management of </w:t>
            </w:r>
            <w:r w:rsidRPr="0009282C">
              <w:rPr>
                <w:rFonts w:ascii="Arial Narrow" w:hAnsi="Arial Narrow"/>
                <w:color w:val="333333"/>
                <w:sz w:val="20"/>
                <w:szCs w:val="20"/>
              </w:rPr>
              <w:t>hyperoxaluria o</w:t>
            </w:r>
            <w:r w:rsidRPr="0009282C">
              <w:rPr>
                <w:rFonts w:ascii="Arial Narrow" w:hAnsi="Arial Narrow" w:cs="Arial Narrow"/>
                <w:sz w:val="20"/>
                <w:szCs w:val="20"/>
              </w:rPr>
              <w:t xml:space="preserve">r in consultation with a nephrologist with experience in the management of </w:t>
            </w:r>
            <w:r w:rsidRPr="0009282C">
              <w:rPr>
                <w:rFonts w:ascii="Arial Narrow" w:hAnsi="Arial Narrow"/>
                <w:color w:val="333333"/>
                <w:sz w:val="20"/>
                <w:szCs w:val="20"/>
              </w:rPr>
              <w:t>hyperoxaluria</w:t>
            </w:r>
          </w:p>
        </w:tc>
      </w:tr>
      <w:tr w:rsidR="00C74B08" w:rsidRPr="0009282C" w14:paraId="743FF5CA"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B38FC9E"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Population criteria:</w:t>
            </w:r>
          </w:p>
        </w:tc>
      </w:tr>
      <w:tr w:rsidR="00C74B08" w:rsidRPr="0009282C" w14:paraId="519803F9"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2BC221D0" w14:textId="77777777" w:rsidR="00C74B08" w:rsidRPr="0009282C" w:rsidRDefault="00C74B08" w:rsidP="000C7FBB">
            <w:pPr>
              <w:rPr>
                <w:rFonts w:ascii="Arial Narrow" w:hAnsi="Arial Narrow"/>
                <w:color w:val="333333"/>
                <w:sz w:val="20"/>
                <w:szCs w:val="20"/>
              </w:rPr>
            </w:pPr>
            <w:r w:rsidRPr="0009282C">
              <w:rPr>
                <w:rFonts w:ascii="Arial Narrow" w:hAnsi="Arial Narrow"/>
                <w:color w:val="333333"/>
                <w:sz w:val="20"/>
                <w:szCs w:val="20"/>
              </w:rPr>
              <w:t>Patient must not have previously undergone a liver transplant for primary hyperoxaluria type 1</w:t>
            </w:r>
          </w:p>
        </w:tc>
      </w:tr>
      <w:tr w:rsidR="00C74B08" w:rsidRPr="0009282C" w14:paraId="001C2171"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42422F44" w14:textId="77777777" w:rsidR="00C74B08" w:rsidRPr="0009282C" w:rsidRDefault="00C74B08" w:rsidP="000C7FBB">
            <w:pPr>
              <w:rPr>
                <w:rFonts w:ascii="Arial Narrow" w:hAnsi="Arial Narrow"/>
                <w:color w:val="333333"/>
                <w:sz w:val="20"/>
                <w:szCs w:val="20"/>
              </w:rPr>
            </w:pPr>
            <w:r w:rsidRPr="0009282C">
              <w:rPr>
                <w:rFonts w:ascii="Arial Narrow" w:hAnsi="Arial Narrow"/>
                <w:b/>
                <w:color w:val="333333"/>
                <w:sz w:val="20"/>
                <w:szCs w:val="20"/>
              </w:rPr>
              <w:t>Prescribing Instructions:</w:t>
            </w:r>
            <w:r w:rsidRPr="0009282C">
              <w:rPr>
                <w:rFonts w:ascii="Arial Narrow" w:hAnsi="Arial Narrow"/>
                <w:color w:val="333333"/>
                <w:sz w:val="20"/>
                <w:szCs w:val="20"/>
              </w:rPr>
              <w:t xml:space="preserve"> </w:t>
            </w:r>
          </w:p>
        </w:tc>
      </w:tr>
      <w:tr w:rsidR="00C74B08" w:rsidRPr="0009282C" w14:paraId="56DFC03E" w14:textId="77777777" w:rsidTr="00C74B0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55B9E053" w14:textId="5A184E83" w:rsidR="00C74B08" w:rsidRPr="0009282C" w:rsidRDefault="00C74B08" w:rsidP="000C7FBB">
            <w:pPr>
              <w:rPr>
                <w:rFonts w:ascii="Arial Narrow" w:hAnsi="Arial Narrow"/>
                <w:color w:val="333333"/>
                <w:sz w:val="20"/>
                <w:szCs w:val="20"/>
              </w:rPr>
            </w:pPr>
            <w:r w:rsidRPr="0009282C">
              <w:rPr>
                <w:rFonts w:ascii="Arial Narrow" w:hAnsi="Arial Narrow"/>
                <w:color w:val="333333"/>
                <w:sz w:val="20"/>
                <w:szCs w:val="20"/>
              </w:rPr>
              <w:t>At the time of the authority application, prescribers should request the appropriate number of vials for a single dose based on the patient's weight, as per the Product Information</w:t>
            </w:r>
          </w:p>
        </w:tc>
      </w:tr>
      <w:tr w:rsidR="00EB5CE0" w:rsidRPr="0009282C" w14:paraId="4FCA9D89"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56C1E12" w14:textId="77777777" w:rsidR="00EB5CE0" w:rsidRPr="0009282C" w:rsidRDefault="00EB5CE0" w:rsidP="000C7FBB">
            <w:pPr>
              <w:rPr>
                <w:rFonts w:ascii="Arial Narrow" w:hAnsi="Arial Narrow"/>
                <w:b/>
                <w:color w:val="333333"/>
                <w:sz w:val="20"/>
                <w:szCs w:val="20"/>
              </w:rPr>
            </w:pPr>
          </w:p>
        </w:tc>
      </w:tr>
      <w:tr w:rsidR="00121ED8" w:rsidRPr="0009282C" w14:paraId="7C743EE7"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55356518"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Treatment Phase:</w:t>
            </w:r>
            <w:r w:rsidRPr="0009282C">
              <w:rPr>
                <w:rFonts w:ascii="Arial Narrow" w:hAnsi="Arial Narrow"/>
                <w:color w:val="333333"/>
                <w:sz w:val="20"/>
                <w:szCs w:val="20"/>
              </w:rPr>
              <w:t xml:space="preserve"> Treatment continuation</w:t>
            </w:r>
          </w:p>
        </w:tc>
      </w:tr>
      <w:tr w:rsidR="00121ED8" w:rsidRPr="0009282C" w14:paraId="209080F5"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6499973"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Clinical criteria:</w:t>
            </w:r>
          </w:p>
        </w:tc>
      </w:tr>
      <w:tr w:rsidR="00121ED8" w:rsidRPr="0009282C" w14:paraId="5CC7CFF2"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6552DB9" w14:textId="77777777" w:rsidR="00121ED8" w:rsidRPr="0009282C" w:rsidRDefault="00121ED8" w:rsidP="000C7FBB">
            <w:pPr>
              <w:rPr>
                <w:rFonts w:ascii="Arial Narrow" w:hAnsi="Arial Narrow"/>
                <w:color w:val="333333"/>
                <w:sz w:val="20"/>
                <w:szCs w:val="20"/>
              </w:rPr>
            </w:pPr>
            <w:r w:rsidRPr="0009282C">
              <w:rPr>
                <w:rFonts w:ascii="Arial Narrow" w:hAnsi="Arial Narrow"/>
                <w:color w:val="333333"/>
                <w:sz w:val="20"/>
                <w:szCs w:val="20"/>
              </w:rPr>
              <w:t>Patient must have previously received PBS-subsidised treatment with this drug for this condition</w:t>
            </w:r>
          </w:p>
        </w:tc>
      </w:tr>
      <w:tr w:rsidR="00121ED8" w:rsidRPr="0009282C" w14:paraId="1F98BBF3"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7E0A14D"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AND</w:t>
            </w:r>
          </w:p>
        </w:tc>
      </w:tr>
      <w:tr w:rsidR="00121ED8" w:rsidRPr="0009282C" w14:paraId="1891FBE7"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5EB31DFA" w14:textId="4E1D6EB2" w:rsidR="00121ED8" w:rsidRPr="0009282C" w:rsidRDefault="00121ED8" w:rsidP="000C7FBB">
            <w:pPr>
              <w:rPr>
                <w:rFonts w:ascii="Arial Narrow" w:hAnsi="Arial Narrow"/>
                <w:sz w:val="20"/>
                <w:szCs w:val="20"/>
              </w:rPr>
            </w:pPr>
            <w:r w:rsidRPr="0009282C">
              <w:rPr>
                <w:rFonts w:ascii="Arial Narrow" w:hAnsi="Arial Narrow"/>
                <w:sz w:val="20"/>
                <w:szCs w:val="20"/>
              </w:rPr>
              <w:t>Patient must continue to demonstrate clinical benefit</w:t>
            </w:r>
          </w:p>
        </w:tc>
      </w:tr>
      <w:tr w:rsidR="00121ED8" w:rsidRPr="0009282C" w14:paraId="0BC2A057"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50A602B4"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Treatment criteria:</w:t>
            </w:r>
          </w:p>
        </w:tc>
      </w:tr>
      <w:tr w:rsidR="00121ED8" w:rsidRPr="0009282C" w14:paraId="03F4F976" w14:textId="77777777" w:rsidTr="00121ED8">
        <w:tblPrEx>
          <w:tblCellMar>
            <w:top w:w="15" w:type="dxa"/>
            <w:left w:w="15" w:type="dxa"/>
            <w:bottom w:w="15" w:type="dxa"/>
            <w:right w:w="15" w:type="dxa"/>
          </w:tblCellMar>
        </w:tblPrEx>
        <w:trPr>
          <w:trHeight w:val="397"/>
        </w:trPr>
        <w:tc>
          <w:tcPr>
            <w:tcW w:w="9067" w:type="dxa"/>
            <w:gridSpan w:val="6"/>
            <w:vAlign w:val="center"/>
            <w:hideMark/>
          </w:tcPr>
          <w:p w14:paraId="12027952" w14:textId="77777777" w:rsidR="00121ED8" w:rsidRPr="0009282C" w:rsidRDefault="00121ED8" w:rsidP="000C7FBB">
            <w:pPr>
              <w:autoSpaceDE w:val="0"/>
              <w:autoSpaceDN w:val="0"/>
              <w:adjustRightInd w:val="0"/>
              <w:rPr>
                <w:rFonts w:ascii="Arial Narrow" w:hAnsi="Arial Narrow" w:cs="Arial Narrow"/>
                <w:i/>
                <w:sz w:val="20"/>
                <w:szCs w:val="20"/>
              </w:rPr>
            </w:pPr>
            <w:r w:rsidRPr="0009282C">
              <w:rPr>
                <w:rFonts w:ascii="Arial Narrow" w:hAnsi="Arial Narrow" w:cs="Arial Narrow"/>
                <w:sz w:val="20"/>
                <w:szCs w:val="20"/>
              </w:rPr>
              <w:t xml:space="preserve">Must be treated by a nephrologist with experience in the management of </w:t>
            </w:r>
            <w:r w:rsidRPr="0009282C">
              <w:rPr>
                <w:rFonts w:ascii="Arial Narrow" w:hAnsi="Arial Narrow"/>
                <w:color w:val="333333"/>
                <w:sz w:val="20"/>
                <w:szCs w:val="20"/>
              </w:rPr>
              <w:t>hyperoxaluria o</w:t>
            </w:r>
            <w:r w:rsidRPr="0009282C">
              <w:rPr>
                <w:rFonts w:ascii="Arial Narrow" w:hAnsi="Arial Narrow" w:cs="Arial Narrow"/>
                <w:sz w:val="20"/>
                <w:szCs w:val="20"/>
              </w:rPr>
              <w:t xml:space="preserve">r in consultation with a nephrologist with experience in the management of </w:t>
            </w:r>
            <w:r w:rsidRPr="0009282C">
              <w:rPr>
                <w:rFonts w:ascii="Arial Narrow" w:hAnsi="Arial Narrow"/>
                <w:color w:val="333333"/>
                <w:sz w:val="20"/>
                <w:szCs w:val="20"/>
              </w:rPr>
              <w:t>hyperoxaluria</w:t>
            </w:r>
          </w:p>
        </w:tc>
      </w:tr>
      <w:tr w:rsidR="00121ED8" w:rsidRPr="0009282C" w14:paraId="48B1FFB7"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7D9B44F9"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Population criteria:</w:t>
            </w:r>
          </w:p>
        </w:tc>
      </w:tr>
      <w:tr w:rsidR="00121ED8" w:rsidRPr="0009282C" w14:paraId="2D301769"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2FFD8DA7" w14:textId="77777777" w:rsidR="00121ED8" w:rsidRPr="0009282C" w:rsidRDefault="00121ED8" w:rsidP="000C7FBB">
            <w:pPr>
              <w:rPr>
                <w:rFonts w:ascii="Arial Narrow" w:hAnsi="Arial Narrow"/>
                <w:color w:val="333333"/>
                <w:sz w:val="20"/>
                <w:szCs w:val="20"/>
              </w:rPr>
            </w:pPr>
            <w:r w:rsidRPr="0009282C">
              <w:rPr>
                <w:rFonts w:ascii="Arial Narrow" w:hAnsi="Arial Narrow"/>
                <w:color w:val="333333"/>
                <w:sz w:val="20"/>
                <w:szCs w:val="20"/>
              </w:rPr>
              <w:t>Patient must not have previously undergone a liver transplant for primary hyperoxaluria type 1</w:t>
            </w:r>
          </w:p>
        </w:tc>
      </w:tr>
      <w:tr w:rsidR="00121ED8" w:rsidRPr="0009282C" w14:paraId="0C84219F"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2CBB8F9"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Prescribing Instructions:</w:t>
            </w:r>
            <w:r w:rsidRPr="0009282C">
              <w:rPr>
                <w:rFonts w:ascii="Arial Narrow" w:hAnsi="Arial Narrow"/>
                <w:color w:val="333333"/>
                <w:sz w:val="20"/>
                <w:szCs w:val="20"/>
              </w:rPr>
              <w:t xml:space="preserve"> </w:t>
            </w:r>
          </w:p>
        </w:tc>
      </w:tr>
      <w:tr w:rsidR="00121ED8" w:rsidRPr="0009282C" w14:paraId="7C1205BA" w14:textId="77777777" w:rsidTr="00121ED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60DC3CB6" w14:textId="257BDEC0" w:rsidR="00121ED8" w:rsidRPr="0009282C" w:rsidRDefault="00121ED8" w:rsidP="000C7FBB">
            <w:pPr>
              <w:rPr>
                <w:rFonts w:ascii="Arial Narrow" w:hAnsi="Arial Narrow"/>
                <w:sz w:val="20"/>
                <w:szCs w:val="20"/>
              </w:rPr>
            </w:pPr>
            <w:r w:rsidRPr="0009282C">
              <w:rPr>
                <w:rFonts w:ascii="Arial Narrow" w:hAnsi="Arial Narrow"/>
                <w:color w:val="333333"/>
                <w:sz w:val="20"/>
                <w:szCs w:val="20"/>
              </w:rPr>
              <w:t>At the time of the authority application, prescribers should request the appropriate number of vials and number of repeats for a single dose based on the patient's weight, as per the Product Information</w:t>
            </w:r>
          </w:p>
        </w:tc>
      </w:tr>
    </w:tbl>
    <w:p w14:paraId="028B23EC" w14:textId="792B6F4E" w:rsidR="00543DC3" w:rsidRPr="0009282C" w:rsidRDefault="00543DC3" w:rsidP="00DD4BB8"/>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121ED8" w:rsidRPr="0009282C" w14:paraId="74EC3E37" w14:textId="77777777" w:rsidTr="00121ED8">
        <w:tc>
          <w:tcPr>
            <w:tcW w:w="9067" w:type="dxa"/>
            <w:vAlign w:val="center"/>
            <w:hideMark/>
          </w:tcPr>
          <w:p w14:paraId="3B98EDEC"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Treatment Phase:</w:t>
            </w:r>
            <w:r w:rsidRPr="0009282C">
              <w:rPr>
                <w:rFonts w:ascii="Arial Narrow" w:hAnsi="Arial Narrow"/>
                <w:color w:val="333333"/>
                <w:sz w:val="20"/>
                <w:szCs w:val="20"/>
              </w:rPr>
              <w:t xml:space="preserve"> Transitioning from non-PBS to PBS-subsidised supply - Grandfather arrangements</w:t>
            </w:r>
          </w:p>
        </w:tc>
      </w:tr>
      <w:tr w:rsidR="00121ED8" w:rsidRPr="0009282C" w14:paraId="54824821" w14:textId="77777777" w:rsidTr="00121ED8">
        <w:tc>
          <w:tcPr>
            <w:tcW w:w="9067" w:type="dxa"/>
            <w:vAlign w:val="center"/>
          </w:tcPr>
          <w:p w14:paraId="77A6C937" w14:textId="77777777" w:rsidR="00121ED8" w:rsidRPr="0009282C" w:rsidRDefault="00121ED8" w:rsidP="000C7FBB">
            <w:pPr>
              <w:keepNext/>
              <w:rPr>
                <w:rFonts w:ascii="Arial Narrow" w:hAnsi="Arial Narrow"/>
                <w:b/>
                <w:color w:val="333333"/>
                <w:sz w:val="20"/>
                <w:szCs w:val="20"/>
              </w:rPr>
            </w:pPr>
            <w:r w:rsidRPr="0009282C">
              <w:rPr>
                <w:rFonts w:ascii="Arial Narrow" w:hAnsi="Arial Narrow"/>
                <w:b/>
                <w:color w:val="333333"/>
                <w:sz w:val="20"/>
                <w:szCs w:val="20"/>
              </w:rPr>
              <w:t>Clinical criteria:</w:t>
            </w:r>
          </w:p>
        </w:tc>
      </w:tr>
      <w:tr w:rsidR="00121ED8" w:rsidRPr="0009282C" w14:paraId="1CE55ACB" w14:textId="77777777" w:rsidTr="00121ED8">
        <w:tc>
          <w:tcPr>
            <w:tcW w:w="9067" w:type="dxa"/>
            <w:vAlign w:val="center"/>
          </w:tcPr>
          <w:p w14:paraId="54F02C6E" w14:textId="77777777" w:rsidR="00121ED8" w:rsidRPr="0009282C" w:rsidRDefault="00121ED8" w:rsidP="000C7FBB">
            <w:pPr>
              <w:keepNext/>
              <w:rPr>
                <w:rFonts w:ascii="Arial Narrow" w:hAnsi="Arial Narrow"/>
                <w:color w:val="333333"/>
                <w:sz w:val="20"/>
                <w:szCs w:val="20"/>
              </w:rPr>
            </w:pPr>
            <w:r w:rsidRPr="0009282C">
              <w:rPr>
                <w:rFonts w:ascii="Arial Narrow" w:hAnsi="Arial Narrow"/>
                <w:color w:val="333333"/>
                <w:sz w:val="20"/>
                <w:szCs w:val="20"/>
              </w:rPr>
              <w:t>Patient must have received treatment with this drug for this condition prior to PBS listing date</w:t>
            </w:r>
          </w:p>
        </w:tc>
      </w:tr>
      <w:tr w:rsidR="00121ED8" w:rsidRPr="0009282C" w14:paraId="224C94F0" w14:textId="77777777" w:rsidTr="00121ED8">
        <w:tc>
          <w:tcPr>
            <w:tcW w:w="9067" w:type="dxa"/>
            <w:vAlign w:val="center"/>
          </w:tcPr>
          <w:p w14:paraId="0D3AC2B7"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AND</w:t>
            </w:r>
          </w:p>
        </w:tc>
      </w:tr>
      <w:tr w:rsidR="00121ED8" w:rsidRPr="0009282C" w14:paraId="5DE9A7F3" w14:textId="77777777" w:rsidTr="00121ED8">
        <w:tc>
          <w:tcPr>
            <w:tcW w:w="9067" w:type="dxa"/>
            <w:vAlign w:val="center"/>
          </w:tcPr>
          <w:p w14:paraId="1C009891" w14:textId="599B8FBD" w:rsidR="00121ED8" w:rsidRPr="0009282C" w:rsidRDefault="00121ED8" w:rsidP="000C7FBB">
            <w:pPr>
              <w:rPr>
                <w:rFonts w:ascii="Arial Narrow" w:hAnsi="Arial Narrow"/>
                <w:b/>
                <w:color w:val="333333"/>
                <w:sz w:val="20"/>
                <w:szCs w:val="20"/>
              </w:rPr>
            </w:pPr>
            <w:r w:rsidRPr="0009282C">
              <w:rPr>
                <w:rFonts w:ascii="Arial Narrow" w:hAnsi="Arial Narrow"/>
                <w:color w:val="333333"/>
                <w:sz w:val="20"/>
                <w:szCs w:val="20"/>
              </w:rPr>
              <w:t>Patient must continue to demonstrate clinical benefit</w:t>
            </w:r>
          </w:p>
        </w:tc>
      </w:tr>
      <w:tr w:rsidR="00121ED8" w:rsidRPr="0009282C" w14:paraId="1ED8F5EA" w14:textId="77777777" w:rsidTr="00121ED8">
        <w:tc>
          <w:tcPr>
            <w:tcW w:w="9067" w:type="dxa"/>
            <w:vAlign w:val="center"/>
          </w:tcPr>
          <w:p w14:paraId="03C7B0DE" w14:textId="77777777" w:rsidR="00121ED8" w:rsidRPr="0009282C" w:rsidRDefault="00121ED8" w:rsidP="000C7FBB">
            <w:pPr>
              <w:rPr>
                <w:rFonts w:ascii="Arial Narrow" w:hAnsi="Arial Narrow"/>
                <w:b/>
                <w:color w:val="333333"/>
                <w:sz w:val="20"/>
                <w:szCs w:val="20"/>
              </w:rPr>
            </w:pPr>
            <w:r w:rsidRPr="0009282C">
              <w:rPr>
                <w:rFonts w:ascii="Arial Narrow" w:hAnsi="Arial Narrow"/>
                <w:b/>
                <w:color w:val="333333"/>
                <w:sz w:val="20"/>
                <w:szCs w:val="20"/>
              </w:rPr>
              <w:t>Treatment criteria:</w:t>
            </w:r>
          </w:p>
        </w:tc>
      </w:tr>
      <w:tr w:rsidR="00121ED8" w:rsidRPr="0009282C" w14:paraId="16FC6989" w14:textId="77777777" w:rsidTr="00121ED8">
        <w:tc>
          <w:tcPr>
            <w:tcW w:w="9067" w:type="dxa"/>
            <w:vAlign w:val="center"/>
          </w:tcPr>
          <w:p w14:paraId="43FE89E2" w14:textId="77777777" w:rsidR="00121ED8" w:rsidRPr="0009282C" w:rsidRDefault="00121ED8" w:rsidP="000C7FBB">
            <w:pPr>
              <w:rPr>
                <w:rFonts w:ascii="Arial Narrow" w:hAnsi="Arial Narrow"/>
                <w:b/>
                <w:color w:val="333333"/>
                <w:sz w:val="20"/>
                <w:szCs w:val="20"/>
              </w:rPr>
            </w:pPr>
            <w:r w:rsidRPr="0009282C">
              <w:rPr>
                <w:rFonts w:ascii="Arial Narrow" w:hAnsi="Arial Narrow" w:cs="Arial Narrow"/>
                <w:sz w:val="20"/>
                <w:szCs w:val="20"/>
              </w:rPr>
              <w:t xml:space="preserve">Must be treated by a nephrologist with experience in the management of </w:t>
            </w:r>
            <w:r w:rsidRPr="0009282C">
              <w:rPr>
                <w:rFonts w:ascii="Arial Narrow" w:hAnsi="Arial Narrow"/>
                <w:color w:val="333333"/>
                <w:sz w:val="20"/>
                <w:szCs w:val="20"/>
              </w:rPr>
              <w:t>hyperoxaluria o</w:t>
            </w:r>
            <w:r w:rsidRPr="0009282C">
              <w:rPr>
                <w:rFonts w:ascii="Arial Narrow" w:hAnsi="Arial Narrow" w:cs="Arial Narrow"/>
                <w:sz w:val="20"/>
                <w:szCs w:val="20"/>
              </w:rPr>
              <w:t xml:space="preserve">r in consultation with a nephrologist with experience in the management of </w:t>
            </w:r>
            <w:r w:rsidRPr="0009282C">
              <w:rPr>
                <w:rFonts w:ascii="Arial Narrow" w:hAnsi="Arial Narrow"/>
                <w:color w:val="333333"/>
                <w:sz w:val="20"/>
                <w:szCs w:val="20"/>
              </w:rPr>
              <w:t>hyperoxaluria</w:t>
            </w:r>
          </w:p>
        </w:tc>
      </w:tr>
      <w:tr w:rsidR="00121ED8" w:rsidRPr="0009282C" w14:paraId="05D40401" w14:textId="77777777" w:rsidTr="00121ED8">
        <w:tc>
          <w:tcPr>
            <w:tcW w:w="9067" w:type="dxa"/>
            <w:vAlign w:val="center"/>
          </w:tcPr>
          <w:p w14:paraId="4AC1BF48" w14:textId="77777777" w:rsidR="00121ED8" w:rsidRPr="0009282C" w:rsidRDefault="00121ED8" w:rsidP="000C7FBB">
            <w:pPr>
              <w:autoSpaceDE w:val="0"/>
              <w:autoSpaceDN w:val="0"/>
              <w:adjustRightInd w:val="0"/>
              <w:rPr>
                <w:rFonts w:ascii="Arial Narrow" w:hAnsi="Arial Narrow" w:cs="Arial Narrow"/>
                <w:i/>
                <w:sz w:val="20"/>
                <w:szCs w:val="20"/>
              </w:rPr>
            </w:pPr>
            <w:r w:rsidRPr="0009282C">
              <w:rPr>
                <w:rFonts w:ascii="Arial Narrow" w:hAnsi="Arial Narrow"/>
                <w:b/>
                <w:color w:val="333333"/>
                <w:sz w:val="20"/>
                <w:szCs w:val="20"/>
              </w:rPr>
              <w:t>Population criteria:</w:t>
            </w:r>
          </w:p>
        </w:tc>
      </w:tr>
      <w:tr w:rsidR="00121ED8" w:rsidRPr="0009282C" w14:paraId="4D090E78" w14:textId="77777777" w:rsidTr="00121ED8">
        <w:tc>
          <w:tcPr>
            <w:tcW w:w="9067" w:type="dxa"/>
            <w:vAlign w:val="center"/>
          </w:tcPr>
          <w:p w14:paraId="6AB8C276" w14:textId="77777777" w:rsidR="00121ED8" w:rsidRPr="0009282C" w:rsidRDefault="00121ED8" w:rsidP="000C7FBB">
            <w:pPr>
              <w:autoSpaceDE w:val="0"/>
              <w:autoSpaceDN w:val="0"/>
              <w:adjustRightInd w:val="0"/>
              <w:jc w:val="left"/>
              <w:rPr>
                <w:rFonts w:ascii="Arial Narrow" w:hAnsi="Arial Narrow"/>
                <w:b/>
                <w:color w:val="333333"/>
                <w:sz w:val="20"/>
                <w:szCs w:val="20"/>
              </w:rPr>
            </w:pPr>
            <w:r w:rsidRPr="0009282C">
              <w:rPr>
                <w:rFonts w:ascii="Arial Narrow" w:hAnsi="Arial Narrow"/>
                <w:color w:val="333333"/>
                <w:sz w:val="20"/>
                <w:szCs w:val="20"/>
              </w:rPr>
              <w:t>Patient must not have previously undergone a liver transplant for primary hyperoxaluria type 1</w:t>
            </w:r>
          </w:p>
        </w:tc>
      </w:tr>
      <w:tr w:rsidR="00121ED8" w:rsidRPr="0009282C" w14:paraId="2A42D494" w14:textId="77777777" w:rsidTr="00121ED8">
        <w:tc>
          <w:tcPr>
            <w:tcW w:w="9067" w:type="dxa"/>
            <w:vAlign w:val="center"/>
          </w:tcPr>
          <w:p w14:paraId="5BFA3EAA" w14:textId="77777777" w:rsidR="00121ED8" w:rsidRPr="0009282C" w:rsidRDefault="00121ED8" w:rsidP="000C7FBB">
            <w:pPr>
              <w:rPr>
                <w:rFonts w:ascii="Arial Narrow" w:hAnsi="Arial Narrow"/>
                <w:color w:val="333333"/>
                <w:sz w:val="20"/>
                <w:szCs w:val="20"/>
              </w:rPr>
            </w:pPr>
            <w:r w:rsidRPr="0009282C">
              <w:rPr>
                <w:rFonts w:ascii="Arial Narrow" w:hAnsi="Arial Narrow"/>
                <w:b/>
                <w:color w:val="333333"/>
                <w:sz w:val="20"/>
                <w:szCs w:val="20"/>
              </w:rPr>
              <w:t>Prescribing Instructions:</w:t>
            </w:r>
            <w:r w:rsidRPr="0009282C">
              <w:rPr>
                <w:rFonts w:ascii="Arial Narrow" w:hAnsi="Arial Narrow"/>
                <w:color w:val="333333"/>
                <w:sz w:val="20"/>
                <w:szCs w:val="20"/>
              </w:rPr>
              <w:t xml:space="preserve"> </w:t>
            </w:r>
          </w:p>
        </w:tc>
      </w:tr>
      <w:tr w:rsidR="00121ED8" w:rsidRPr="0009282C" w14:paraId="0B9D0602" w14:textId="77777777" w:rsidTr="00121ED8">
        <w:tc>
          <w:tcPr>
            <w:tcW w:w="9067" w:type="dxa"/>
            <w:vAlign w:val="center"/>
          </w:tcPr>
          <w:p w14:paraId="58B0A454" w14:textId="082F993E" w:rsidR="00121ED8" w:rsidRPr="0009282C" w:rsidRDefault="00121ED8" w:rsidP="000C7FBB">
            <w:pPr>
              <w:rPr>
                <w:rFonts w:ascii="Arial Narrow" w:hAnsi="Arial Narrow"/>
                <w:b/>
                <w:color w:val="333333"/>
                <w:sz w:val="20"/>
                <w:szCs w:val="20"/>
              </w:rPr>
            </w:pPr>
            <w:r w:rsidRPr="0009282C">
              <w:rPr>
                <w:rFonts w:ascii="Arial Narrow" w:hAnsi="Arial Narrow"/>
                <w:color w:val="333333"/>
                <w:sz w:val="20"/>
                <w:szCs w:val="20"/>
              </w:rPr>
              <w:t>At the time of the authority application, prescribers should request the appropriate number of vials and number of repeats for a single dose based on the patient's weight, as per the Product Information</w:t>
            </w:r>
          </w:p>
        </w:tc>
      </w:tr>
    </w:tbl>
    <w:bookmarkEnd w:id="8"/>
    <w:p w14:paraId="686FA1C4" w14:textId="2D9C4B3F" w:rsidR="00D501BB" w:rsidRPr="0009282C" w:rsidRDefault="0015266B" w:rsidP="00A15E45">
      <w:pPr>
        <w:pStyle w:val="3-BodyText"/>
        <w:numPr>
          <w:ilvl w:val="1"/>
          <w:numId w:val="29"/>
        </w:numPr>
      </w:pPr>
      <w:r w:rsidRPr="0009282C">
        <w:t>The submission proposed</w:t>
      </w:r>
      <w:r w:rsidR="00F3317E" w:rsidRPr="0009282C">
        <w:t xml:space="preserve"> a</w:t>
      </w:r>
      <w:r w:rsidRPr="0009282C">
        <w:t xml:space="preserve"> Special Pricing Arrangement</w:t>
      </w:r>
      <w:r w:rsidR="000F28D6" w:rsidRPr="0009282C">
        <w:t>s</w:t>
      </w:r>
      <w:r w:rsidRPr="0009282C">
        <w:t xml:space="preserve"> (SPA</w:t>
      </w:r>
      <w:r w:rsidR="00866F24" w:rsidRPr="0009282C">
        <w:t>)</w:t>
      </w:r>
      <w:r w:rsidR="00CC0C79" w:rsidRPr="0009282C">
        <w:t xml:space="preserve">. </w:t>
      </w:r>
      <w:r w:rsidR="00FA2AC7" w:rsidRPr="0009282C">
        <w:t xml:space="preserve">The submission requested an </w:t>
      </w:r>
      <w:r w:rsidR="000C2EFE" w:rsidRPr="0009282C">
        <w:t xml:space="preserve">effective </w:t>
      </w:r>
      <w:r w:rsidR="00B71117" w:rsidRPr="0009282C">
        <w:t>ex-manufacturer price (EMP)</w:t>
      </w:r>
      <w:r w:rsidR="00F14439" w:rsidRPr="0009282C">
        <w:t xml:space="preserve"> of</w:t>
      </w:r>
      <w:r w:rsidR="005D1364" w:rsidRPr="0009282C">
        <w:t xml:space="preserve"> $</w:t>
      </w:r>
      <w:r w:rsidR="002212A2" w:rsidRPr="002212A2">
        <w:rPr>
          <w:color w:val="000000"/>
          <w:w w:val="62"/>
          <w:shd w:val="solid" w:color="000000" w:fill="000000"/>
          <w:fitText w:val="480" w:id="-694423807"/>
          <w14:textFill>
            <w14:solidFill>
              <w14:srgbClr w14:val="000000">
                <w14:alpha w14:val="100000"/>
              </w14:srgbClr>
            </w14:solidFill>
          </w14:textFill>
        </w:rPr>
        <w:t>|||  ||</w:t>
      </w:r>
      <w:r w:rsidR="002212A2" w:rsidRPr="002212A2">
        <w:rPr>
          <w:color w:val="000000"/>
          <w:spacing w:val="2"/>
          <w:w w:val="62"/>
          <w:shd w:val="solid" w:color="000000" w:fill="000000"/>
          <w:fitText w:val="480" w:id="-694423807"/>
          <w14:textFill>
            <w14:solidFill>
              <w14:srgbClr w14:val="000000">
                <w14:alpha w14:val="100000"/>
              </w14:srgbClr>
            </w14:solidFill>
          </w14:textFill>
        </w:rPr>
        <w:t>|</w:t>
      </w:r>
      <w:r w:rsidR="005D1364" w:rsidRPr="0009282C">
        <w:t xml:space="preserve"> </w:t>
      </w:r>
      <w:r w:rsidR="00224828" w:rsidRPr="0009282C">
        <w:t xml:space="preserve">per vial </w:t>
      </w:r>
      <w:r w:rsidR="005D1364" w:rsidRPr="0009282C">
        <w:t>(published EMP:</w:t>
      </w:r>
      <w:r w:rsidR="00F14439" w:rsidRPr="0009282C">
        <w:t xml:space="preserve"> $108,873.97</w:t>
      </w:r>
      <w:r w:rsidR="00224828" w:rsidRPr="0009282C">
        <w:t xml:space="preserve"> per vial</w:t>
      </w:r>
      <w:r w:rsidR="005D1364" w:rsidRPr="0009282C">
        <w:t>).</w:t>
      </w:r>
      <w:r w:rsidR="00E76143" w:rsidRPr="0009282C">
        <w:t xml:space="preserve"> </w:t>
      </w:r>
      <w:r w:rsidR="003E3C52" w:rsidRPr="0009282C">
        <w:t>The maximum per script is 4</w:t>
      </w:r>
      <w:r w:rsidR="00525EFF" w:rsidRPr="0009282C">
        <w:t xml:space="preserve"> vials</w:t>
      </w:r>
      <w:r w:rsidR="003E3C52" w:rsidRPr="0009282C">
        <w:t xml:space="preserve"> for both children and adults. </w:t>
      </w:r>
      <w:r w:rsidR="00525EFF" w:rsidRPr="0009282C">
        <w:t>Calculated based on this, t</w:t>
      </w:r>
      <w:r w:rsidR="003E3C52" w:rsidRPr="0009282C">
        <w:t xml:space="preserve">he published DPMQ should be </w:t>
      </w:r>
      <w:r w:rsidR="00363245" w:rsidRPr="00A15E45">
        <w:rPr>
          <w:iCs/>
        </w:rPr>
        <w:t>$435,495.88; the effective DPMQ should be $</w:t>
      </w:r>
      <w:r w:rsidR="002212A2" w:rsidRPr="00B91BD2">
        <w:rPr>
          <w:color w:val="000000"/>
          <w:w w:val="60"/>
          <w:shd w:val="solid" w:color="000000" w:fill="000000"/>
          <w:fitText w:val="470" w:id="-694423806"/>
          <w14:textFill>
            <w14:solidFill>
              <w14:srgbClr w14:val="000000">
                <w14:alpha w14:val="100000"/>
              </w14:srgbClr>
            </w14:solidFill>
          </w14:textFill>
        </w:rPr>
        <w:t>|||  ||</w:t>
      </w:r>
      <w:r w:rsidR="002212A2" w:rsidRPr="00B91BD2">
        <w:rPr>
          <w:color w:val="000000"/>
          <w:spacing w:val="6"/>
          <w:w w:val="60"/>
          <w:shd w:val="solid" w:color="000000" w:fill="000000"/>
          <w:fitText w:val="470" w:id="-694423806"/>
          <w14:textFill>
            <w14:solidFill>
              <w14:srgbClr w14:val="000000">
                <w14:alpha w14:val="100000"/>
              </w14:srgbClr>
            </w14:solidFill>
          </w14:textFill>
        </w:rPr>
        <w:t>|</w:t>
      </w:r>
      <w:r w:rsidR="00363245" w:rsidRPr="00A15E45">
        <w:rPr>
          <w:iCs/>
        </w:rPr>
        <w:t>.</w:t>
      </w:r>
      <w:r w:rsidR="00363245" w:rsidRPr="0009282C">
        <w:t xml:space="preserve"> </w:t>
      </w:r>
    </w:p>
    <w:p w14:paraId="0E49E0E0" w14:textId="36965C7F" w:rsidR="006B4339" w:rsidRPr="0009282C" w:rsidRDefault="00F3647E" w:rsidP="00A15E45">
      <w:pPr>
        <w:pStyle w:val="3-BodyText"/>
        <w:numPr>
          <w:ilvl w:val="1"/>
          <w:numId w:val="29"/>
        </w:numPr>
      </w:pPr>
      <w:bookmarkStart w:id="9" w:name="_Ref190244781"/>
      <w:r w:rsidRPr="0009282C">
        <w:t>T</w:t>
      </w:r>
      <w:r w:rsidR="00E60DCA" w:rsidRPr="0009282C">
        <w:t xml:space="preserve">he </w:t>
      </w:r>
      <w:r w:rsidR="00795FA2" w:rsidRPr="0009282C">
        <w:t xml:space="preserve">requested </w:t>
      </w:r>
      <w:r w:rsidR="00E60DCA" w:rsidRPr="0009282C">
        <w:t xml:space="preserve">listing </w:t>
      </w:r>
      <w:r w:rsidR="00BE3A81" w:rsidRPr="0009282C">
        <w:t xml:space="preserve">was narrower than </w:t>
      </w:r>
      <w:r w:rsidR="009322F2" w:rsidRPr="0009282C">
        <w:t>the TGA indication</w:t>
      </w:r>
      <w:r w:rsidR="00BE3A81" w:rsidRPr="0009282C">
        <w:t xml:space="preserve"> which</w:t>
      </w:r>
      <w:r w:rsidR="00873888" w:rsidRPr="0009282C">
        <w:t xml:space="preserve"> </w:t>
      </w:r>
      <w:r w:rsidR="001D0A2D" w:rsidRPr="0009282C">
        <w:t>inc</w:t>
      </w:r>
      <w:r w:rsidR="00431559" w:rsidRPr="0009282C">
        <w:t>l</w:t>
      </w:r>
      <w:r w:rsidR="001D0A2D" w:rsidRPr="0009282C">
        <w:t xml:space="preserve">udes all </w:t>
      </w:r>
      <w:r w:rsidR="00AB68AB" w:rsidRPr="0009282C">
        <w:t>patients</w:t>
      </w:r>
      <w:r w:rsidR="001D0A2D" w:rsidRPr="0009282C">
        <w:t xml:space="preserve"> with PH1</w:t>
      </w:r>
      <w:r w:rsidR="00573B47" w:rsidRPr="0009282C">
        <w:t xml:space="preserve">. </w:t>
      </w:r>
      <w:r w:rsidR="008C0FB7" w:rsidRPr="0009282C">
        <w:t xml:space="preserve">The proposed listing </w:t>
      </w:r>
      <w:r w:rsidR="000D77C3" w:rsidRPr="0009282C">
        <w:t>was</w:t>
      </w:r>
      <w:r w:rsidR="008C0FB7" w:rsidRPr="0009282C">
        <w:t xml:space="preserve"> more specific</w:t>
      </w:r>
      <w:r w:rsidR="00431559" w:rsidRPr="0009282C">
        <w:t>,</w:t>
      </w:r>
      <w:r w:rsidR="008C0FB7" w:rsidRPr="0009282C">
        <w:t xml:space="preserve"> </w:t>
      </w:r>
      <w:r w:rsidR="00873888" w:rsidRPr="0009282C">
        <w:t xml:space="preserve">requiring </w:t>
      </w:r>
      <w:r w:rsidR="00691C95" w:rsidRPr="0009282C">
        <w:t>patients</w:t>
      </w:r>
      <w:r w:rsidR="00FF3D4D" w:rsidRPr="0009282C">
        <w:t xml:space="preserve"> </w:t>
      </w:r>
      <w:r w:rsidR="00873888" w:rsidRPr="0009282C">
        <w:t xml:space="preserve">to </w:t>
      </w:r>
      <w:r w:rsidR="00FF3D4D" w:rsidRPr="0009282C">
        <w:t>meet the following criteria:</w:t>
      </w:r>
      <w:bookmarkEnd w:id="9"/>
      <w:r w:rsidR="00176C29" w:rsidRPr="0009282C">
        <w:t xml:space="preserve"> </w:t>
      </w:r>
    </w:p>
    <w:p w14:paraId="1E58DBC3" w14:textId="30062520" w:rsidR="0078239B" w:rsidRPr="0009282C" w:rsidRDefault="00431559" w:rsidP="00B96529">
      <w:pPr>
        <w:pStyle w:val="ExecSumBodyText"/>
        <w:numPr>
          <w:ilvl w:val="0"/>
          <w:numId w:val="8"/>
        </w:numPr>
        <w:ind w:left="1134"/>
      </w:pPr>
      <w:r w:rsidRPr="0009282C">
        <w:t>U</w:t>
      </w:r>
      <w:r w:rsidR="00A944D6" w:rsidRPr="0009282C">
        <w:t xml:space="preserve">rinary oxalate </w:t>
      </w:r>
      <w:r w:rsidR="0091690D" w:rsidRPr="0009282C">
        <w:rPr>
          <w:rFonts w:ascii="Calibri" w:hAnsi="Calibri" w:cs="Calibri"/>
        </w:rPr>
        <w:t>≥</w:t>
      </w:r>
      <w:r w:rsidR="00A944D6" w:rsidRPr="0009282C">
        <w:t>0.70 mmol/24 h/1.</w:t>
      </w:r>
      <w:r w:rsidR="00B96322" w:rsidRPr="0009282C">
        <w:t>73</w:t>
      </w:r>
      <w:r w:rsidR="00B96322">
        <w:t> </w:t>
      </w:r>
      <w:r w:rsidR="00B96322" w:rsidRPr="0009282C">
        <w:t>m</w:t>
      </w:r>
      <w:r w:rsidR="00B96322" w:rsidRPr="0009282C">
        <w:rPr>
          <w:vertAlign w:val="superscript"/>
        </w:rPr>
        <w:t>2</w:t>
      </w:r>
      <w:r w:rsidR="00B96322" w:rsidRPr="0009282C">
        <w:t xml:space="preserve"> </w:t>
      </w:r>
      <w:r w:rsidR="00A944D6" w:rsidRPr="0009282C">
        <w:t>measured by mean 24-hour urinary oxalate excretion from a valid 24-h</w:t>
      </w:r>
      <w:r w:rsidRPr="0009282C">
        <w:t>our</w:t>
      </w:r>
      <w:r w:rsidR="00A944D6" w:rsidRPr="0009282C">
        <w:t xml:space="preserve"> urine collection</w:t>
      </w:r>
      <w:r w:rsidR="0078239B" w:rsidRPr="0009282C">
        <w:t>, OR</w:t>
      </w:r>
    </w:p>
    <w:p w14:paraId="16C21E9C" w14:textId="6E344321" w:rsidR="00A944D6" w:rsidRPr="0009282C" w:rsidRDefault="00431559" w:rsidP="00B96529">
      <w:pPr>
        <w:pStyle w:val="ExecSumBodyText"/>
        <w:numPr>
          <w:ilvl w:val="0"/>
          <w:numId w:val="8"/>
        </w:numPr>
        <w:ind w:left="1134"/>
      </w:pPr>
      <w:r w:rsidRPr="0009282C">
        <w:t>U</w:t>
      </w:r>
      <w:r w:rsidR="00A944D6" w:rsidRPr="0009282C">
        <w:t xml:space="preserve">rinary </w:t>
      </w:r>
      <w:proofErr w:type="spellStart"/>
      <w:r w:rsidR="00A944D6" w:rsidRPr="0009282C">
        <w:t>oxalate:creatinine</w:t>
      </w:r>
      <w:proofErr w:type="spellEnd"/>
      <w:r w:rsidR="00A944D6" w:rsidRPr="0009282C">
        <w:t xml:space="preserve"> (O:C) ratio greater than the upper limit of normal (based on age) on at least 2 of 3 single-void collections during screening</w:t>
      </w:r>
      <w:r w:rsidR="0078239B" w:rsidRPr="0009282C">
        <w:t xml:space="preserve">, </w:t>
      </w:r>
      <w:r w:rsidR="00A944D6" w:rsidRPr="0009282C">
        <w:t xml:space="preserve">OR </w:t>
      </w:r>
    </w:p>
    <w:p w14:paraId="36ACF113" w14:textId="0E2DC5C9" w:rsidR="00973554" w:rsidRPr="0009282C" w:rsidRDefault="00FF1336" w:rsidP="00B96529">
      <w:pPr>
        <w:pStyle w:val="ExecSumBodyText"/>
        <w:numPr>
          <w:ilvl w:val="0"/>
          <w:numId w:val="8"/>
        </w:numPr>
        <w:ind w:left="1134"/>
      </w:pPr>
      <w:r w:rsidRPr="0009282C">
        <w:t>C</w:t>
      </w:r>
      <w:r w:rsidR="00A944D6" w:rsidRPr="0009282C">
        <w:t>linical symptoms indicative of hyperoxaluria, such as nephrocalcinosis and/or renal stones and/or renal impairment and/or systemic oxalosis.</w:t>
      </w:r>
    </w:p>
    <w:p w14:paraId="2FD86685" w14:textId="76CB0E72" w:rsidR="00E71C1A" w:rsidRPr="00E71C1A" w:rsidRDefault="001745AE" w:rsidP="000F5A63">
      <w:pPr>
        <w:pStyle w:val="3-BodyText"/>
        <w:numPr>
          <w:ilvl w:val="1"/>
          <w:numId w:val="29"/>
        </w:numPr>
      </w:pPr>
      <w:r w:rsidRPr="0009282C">
        <w:t xml:space="preserve">Criteria </w:t>
      </w:r>
      <w:r w:rsidR="00544415" w:rsidRPr="0009282C">
        <w:t>A</w:t>
      </w:r>
      <w:r w:rsidRPr="0009282C">
        <w:t xml:space="preserve"> and </w:t>
      </w:r>
      <w:r w:rsidR="00544415" w:rsidRPr="0009282C">
        <w:t>B</w:t>
      </w:r>
      <w:r w:rsidRPr="0009282C">
        <w:t xml:space="preserve"> above </w:t>
      </w:r>
      <w:r w:rsidR="000014FA" w:rsidRPr="0009282C">
        <w:t>are aligned wit</w:t>
      </w:r>
      <w:r w:rsidR="00871973" w:rsidRPr="0009282C">
        <w:t xml:space="preserve">h </w:t>
      </w:r>
      <w:r w:rsidR="004732C8" w:rsidRPr="0009282C">
        <w:t xml:space="preserve">the </w:t>
      </w:r>
      <w:r w:rsidR="00123F31" w:rsidRPr="0009282C">
        <w:t>trial populations</w:t>
      </w:r>
      <w:r w:rsidR="008D763C" w:rsidRPr="0009282C">
        <w:t xml:space="preserve"> </w:t>
      </w:r>
      <w:r w:rsidR="0082110E" w:rsidRPr="0009282C">
        <w:t xml:space="preserve">in </w:t>
      </w:r>
      <w:r w:rsidR="00D31CA0" w:rsidRPr="0009282C">
        <w:t>ILLUMINATE</w:t>
      </w:r>
      <w:r w:rsidR="006F5CDF" w:rsidRPr="0009282C">
        <w:t>-A and ILLUMINATE-B</w:t>
      </w:r>
      <w:r w:rsidR="00123F31" w:rsidRPr="0009282C">
        <w:t>.</w:t>
      </w:r>
      <w:r w:rsidR="006B3E36" w:rsidRPr="0009282C">
        <w:t xml:space="preserve"> </w:t>
      </w:r>
      <w:r w:rsidR="00D52FCA" w:rsidRPr="0009282C">
        <w:rPr>
          <w:iCs/>
        </w:rPr>
        <w:t xml:space="preserve">The </w:t>
      </w:r>
      <w:r w:rsidR="00D62F35">
        <w:rPr>
          <w:iCs/>
        </w:rPr>
        <w:t>Pre-Sub-Committee Response (</w:t>
      </w:r>
      <w:r w:rsidR="00D52FCA" w:rsidRPr="0009282C">
        <w:rPr>
          <w:iCs/>
        </w:rPr>
        <w:t>PSCR</w:t>
      </w:r>
      <w:r w:rsidR="00D62F35">
        <w:rPr>
          <w:iCs/>
        </w:rPr>
        <w:t>)</w:t>
      </w:r>
      <w:r w:rsidR="00D52FCA" w:rsidRPr="0009282C">
        <w:rPr>
          <w:iCs/>
        </w:rPr>
        <w:t xml:space="preserve"> noted that criterion C </w:t>
      </w:r>
      <w:r w:rsidR="00501B53" w:rsidRPr="0009282C">
        <w:rPr>
          <w:iCs/>
        </w:rPr>
        <w:t>was necessary as patients with advanced renal disease may not be able to produce urine samples for testing</w:t>
      </w:r>
      <w:r w:rsidR="00D7565A" w:rsidRPr="0009282C">
        <w:rPr>
          <w:iCs/>
        </w:rPr>
        <w:t xml:space="preserve"> and considered that</w:t>
      </w:r>
      <w:r w:rsidR="00501B53" w:rsidRPr="0009282C">
        <w:t xml:space="preserve"> </w:t>
      </w:r>
      <w:r w:rsidR="00D7565A" w:rsidRPr="0009282C">
        <w:rPr>
          <w:iCs/>
        </w:rPr>
        <w:t>t</w:t>
      </w:r>
      <w:r w:rsidR="00501B53" w:rsidRPr="0009282C">
        <w:rPr>
          <w:iCs/>
        </w:rPr>
        <w:t xml:space="preserve">he clinical symptoms proposed </w:t>
      </w:r>
      <w:r w:rsidR="00D7565A" w:rsidRPr="0009282C">
        <w:rPr>
          <w:iCs/>
        </w:rPr>
        <w:t xml:space="preserve">in the criterion </w:t>
      </w:r>
      <w:r w:rsidR="00836FCE" w:rsidRPr="0009282C">
        <w:rPr>
          <w:iCs/>
        </w:rPr>
        <w:t>were</w:t>
      </w:r>
      <w:r w:rsidR="00501B53" w:rsidRPr="0009282C">
        <w:rPr>
          <w:iCs/>
        </w:rPr>
        <w:t xml:space="preserve"> consistent with the expert consensus statement from </w:t>
      </w:r>
      <w:proofErr w:type="spellStart"/>
      <w:r w:rsidR="00501B53" w:rsidRPr="0009282C">
        <w:rPr>
          <w:iCs/>
        </w:rPr>
        <w:t>ERKNet</w:t>
      </w:r>
      <w:proofErr w:type="spellEnd"/>
      <w:r w:rsidR="00501B53" w:rsidRPr="0009282C">
        <w:rPr>
          <w:iCs/>
        </w:rPr>
        <w:t xml:space="preserve"> and OxalEurope9</w:t>
      </w:r>
      <w:r w:rsidR="00584CF1" w:rsidRPr="0009282C">
        <w:rPr>
          <w:rStyle w:val="FootnoteReference"/>
          <w:iCs/>
        </w:rPr>
        <w:footnoteReference w:id="2"/>
      </w:r>
      <w:r w:rsidR="00501B53" w:rsidRPr="0009282C">
        <w:rPr>
          <w:iCs/>
        </w:rPr>
        <w:t xml:space="preserve"> and advice from local clinical experts. </w:t>
      </w:r>
      <w:r w:rsidR="00906EB3" w:rsidRPr="0009282C">
        <w:rPr>
          <w:iCs/>
        </w:rPr>
        <w:t xml:space="preserve">The ESC </w:t>
      </w:r>
      <w:r w:rsidR="003D174A" w:rsidRPr="0009282C">
        <w:rPr>
          <w:iCs/>
        </w:rPr>
        <w:t xml:space="preserve">agreed with the PSCR and </w:t>
      </w:r>
      <w:r w:rsidR="006D605B" w:rsidRPr="0009282C">
        <w:rPr>
          <w:iCs/>
        </w:rPr>
        <w:t xml:space="preserve">considered the inclusion of </w:t>
      </w:r>
      <w:r w:rsidR="001B7D6C" w:rsidRPr="0009282C">
        <w:rPr>
          <w:iCs/>
        </w:rPr>
        <w:t>c</w:t>
      </w:r>
      <w:r w:rsidR="006D605B" w:rsidRPr="0009282C">
        <w:rPr>
          <w:iCs/>
        </w:rPr>
        <w:t>riteri</w:t>
      </w:r>
      <w:r w:rsidR="007D0069" w:rsidRPr="0009282C">
        <w:rPr>
          <w:iCs/>
        </w:rPr>
        <w:t>on</w:t>
      </w:r>
      <w:r w:rsidR="006D605B" w:rsidRPr="0009282C">
        <w:rPr>
          <w:iCs/>
        </w:rPr>
        <w:t xml:space="preserve"> C was likely reasonabl</w:t>
      </w:r>
      <w:r w:rsidR="00A94302" w:rsidRPr="0009282C">
        <w:rPr>
          <w:iCs/>
        </w:rPr>
        <w:t>e.</w:t>
      </w:r>
      <w:r w:rsidR="006D605B" w:rsidRPr="0009282C">
        <w:rPr>
          <w:iCs/>
        </w:rPr>
        <w:t xml:space="preserve"> </w:t>
      </w:r>
      <w:r w:rsidR="00A94302" w:rsidRPr="0009282C">
        <w:rPr>
          <w:iCs/>
        </w:rPr>
        <w:t>W</w:t>
      </w:r>
      <w:r w:rsidR="00702C51" w:rsidRPr="0009282C">
        <w:rPr>
          <w:iCs/>
        </w:rPr>
        <w:t>hile</w:t>
      </w:r>
      <w:r w:rsidR="006D605B" w:rsidRPr="0009282C">
        <w:rPr>
          <w:iCs/>
        </w:rPr>
        <w:t xml:space="preserve"> </w:t>
      </w:r>
      <w:r w:rsidR="00A94302" w:rsidRPr="0009282C">
        <w:rPr>
          <w:iCs/>
        </w:rPr>
        <w:t>this criterion does</w:t>
      </w:r>
      <w:r w:rsidR="006D605B" w:rsidRPr="0009282C">
        <w:rPr>
          <w:iCs/>
        </w:rPr>
        <w:t xml:space="preserve"> </w:t>
      </w:r>
      <w:r w:rsidR="00A94302" w:rsidRPr="0009282C">
        <w:rPr>
          <w:iCs/>
        </w:rPr>
        <w:t>not align</w:t>
      </w:r>
      <w:r w:rsidR="006D605B" w:rsidRPr="0009282C">
        <w:rPr>
          <w:iCs/>
        </w:rPr>
        <w:t xml:space="preserve"> with the inclusion of the clinical trials, </w:t>
      </w:r>
      <w:r w:rsidR="00CE3CD4" w:rsidRPr="0009282C">
        <w:rPr>
          <w:iCs/>
        </w:rPr>
        <w:t>the ESC consider</w:t>
      </w:r>
      <w:r w:rsidR="00CA10A6" w:rsidRPr="0009282C">
        <w:rPr>
          <w:iCs/>
        </w:rPr>
        <w:t>ed</w:t>
      </w:r>
      <w:r w:rsidR="00CE3CD4" w:rsidRPr="0009282C">
        <w:rPr>
          <w:iCs/>
        </w:rPr>
        <w:t xml:space="preserve"> </w:t>
      </w:r>
      <w:r w:rsidR="00296A80" w:rsidRPr="0009282C">
        <w:rPr>
          <w:iCs/>
        </w:rPr>
        <w:t xml:space="preserve">that </w:t>
      </w:r>
      <w:r w:rsidR="00CE3CD4" w:rsidRPr="0009282C">
        <w:rPr>
          <w:iCs/>
        </w:rPr>
        <w:t xml:space="preserve">the potential for </w:t>
      </w:r>
      <w:r w:rsidR="00CE380B">
        <w:rPr>
          <w:iCs/>
        </w:rPr>
        <w:t xml:space="preserve">broad </w:t>
      </w:r>
      <w:r w:rsidR="00521B70">
        <w:rPr>
          <w:iCs/>
        </w:rPr>
        <w:t>use</w:t>
      </w:r>
      <w:r w:rsidR="00521B70" w:rsidRPr="0009282C">
        <w:rPr>
          <w:iCs/>
        </w:rPr>
        <w:t xml:space="preserve"> </w:t>
      </w:r>
      <w:r w:rsidR="00D00BDA" w:rsidRPr="0009282C">
        <w:rPr>
          <w:iCs/>
        </w:rPr>
        <w:t>(</w:t>
      </w:r>
      <w:r w:rsidR="00896AA6" w:rsidRPr="0009282C">
        <w:rPr>
          <w:iCs/>
        </w:rPr>
        <w:t>from</w:t>
      </w:r>
      <w:r w:rsidR="00D00BDA" w:rsidRPr="0009282C">
        <w:rPr>
          <w:iCs/>
        </w:rPr>
        <w:t xml:space="preserve"> bypass</w:t>
      </w:r>
      <w:r w:rsidR="00896AA6" w:rsidRPr="0009282C">
        <w:rPr>
          <w:iCs/>
        </w:rPr>
        <w:t>ing</w:t>
      </w:r>
      <w:r w:rsidR="00D00BDA" w:rsidRPr="0009282C">
        <w:rPr>
          <w:iCs/>
        </w:rPr>
        <w:t xml:space="preserve"> the clinical markers in criteri</w:t>
      </w:r>
      <w:r w:rsidR="00EA213F" w:rsidRPr="0009282C">
        <w:rPr>
          <w:iCs/>
        </w:rPr>
        <w:t>on</w:t>
      </w:r>
      <w:r w:rsidR="00D00BDA" w:rsidRPr="0009282C">
        <w:rPr>
          <w:iCs/>
        </w:rPr>
        <w:t xml:space="preserve"> A and B</w:t>
      </w:r>
      <w:r w:rsidR="00896AA6" w:rsidRPr="0009282C">
        <w:rPr>
          <w:iCs/>
        </w:rPr>
        <w:t xml:space="preserve">) was low given </w:t>
      </w:r>
      <w:r w:rsidR="00CA6934" w:rsidRPr="0009282C">
        <w:rPr>
          <w:iCs/>
        </w:rPr>
        <w:t>the</w:t>
      </w:r>
      <w:r w:rsidR="00670D5D" w:rsidRPr="0009282C">
        <w:rPr>
          <w:iCs/>
        </w:rPr>
        <w:t xml:space="preserve"> additional</w:t>
      </w:r>
      <w:r w:rsidR="00CA6934" w:rsidRPr="0009282C">
        <w:rPr>
          <w:iCs/>
        </w:rPr>
        <w:t xml:space="preserve"> requirement for</w:t>
      </w:r>
      <w:r w:rsidR="00896AA6" w:rsidRPr="0009282C">
        <w:rPr>
          <w:iCs/>
        </w:rPr>
        <w:t xml:space="preserve"> genetically confirmed PH1</w:t>
      </w:r>
      <w:r w:rsidR="001F5963" w:rsidRPr="0009282C">
        <w:rPr>
          <w:iCs/>
        </w:rPr>
        <w:t>, which is</w:t>
      </w:r>
      <w:r w:rsidR="005E4AB5" w:rsidRPr="0009282C">
        <w:rPr>
          <w:iCs/>
        </w:rPr>
        <w:t xml:space="preserve"> the gold standard for diagnosis</w:t>
      </w:r>
      <w:r w:rsidR="005E4AB5" w:rsidRPr="0009282C">
        <w:rPr>
          <w:rStyle w:val="FootnoteReference"/>
          <w:iCs/>
        </w:rPr>
        <w:footnoteReference w:id="3"/>
      </w:r>
      <w:r w:rsidR="005E4AB5" w:rsidRPr="0009282C">
        <w:rPr>
          <w:iCs/>
        </w:rPr>
        <w:t>.</w:t>
      </w:r>
      <w:r w:rsidR="00CA10A6" w:rsidRPr="0009282C">
        <w:rPr>
          <w:iCs/>
        </w:rPr>
        <w:t xml:space="preserve"> </w:t>
      </w:r>
      <w:r w:rsidR="005E4AB5" w:rsidRPr="0009282C">
        <w:rPr>
          <w:iCs/>
        </w:rPr>
        <w:t xml:space="preserve">The ESC </w:t>
      </w:r>
      <w:r w:rsidR="008F776F" w:rsidRPr="0009282C">
        <w:rPr>
          <w:iCs/>
        </w:rPr>
        <w:t>also considered</w:t>
      </w:r>
      <w:r w:rsidR="00CA10A6" w:rsidRPr="0009282C">
        <w:rPr>
          <w:iCs/>
        </w:rPr>
        <w:t xml:space="preserve"> </w:t>
      </w:r>
      <w:r w:rsidR="00296A80" w:rsidRPr="0009282C">
        <w:rPr>
          <w:iCs/>
        </w:rPr>
        <w:t xml:space="preserve">that </w:t>
      </w:r>
      <w:r w:rsidR="00CA10A6" w:rsidRPr="0009282C">
        <w:rPr>
          <w:iCs/>
        </w:rPr>
        <w:t>the</w:t>
      </w:r>
      <w:r w:rsidR="000F0B56" w:rsidRPr="0009282C">
        <w:rPr>
          <w:iCs/>
        </w:rPr>
        <w:t xml:space="preserve"> listed</w:t>
      </w:r>
      <w:r w:rsidR="00CA10A6" w:rsidRPr="0009282C">
        <w:rPr>
          <w:iCs/>
        </w:rPr>
        <w:t xml:space="preserve"> clinical symptoms in criterion C </w:t>
      </w:r>
      <w:r w:rsidR="0078462A" w:rsidRPr="0009282C">
        <w:rPr>
          <w:iCs/>
        </w:rPr>
        <w:t>were</w:t>
      </w:r>
      <w:r w:rsidR="008A5398" w:rsidRPr="0009282C">
        <w:rPr>
          <w:iCs/>
        </w:rPr>
        <w:t xml:space="preserve"> </w:t>
      </w:r>
      <w:r w:rsidR="00EA7046" w:rsidRPr="0009282C">
        <w:rPr>
          <w:iCs/>
        </w:rPr>
        <w:t>likely</w:t>
      </w:r>
      <w:r w:rsidR="00E36A58" w:rsidRPr="0009282C">
        <w:rPr>
          <w:iCs/>
        </w:rPr>
        <w:t xml:space="preserve"> to be</w:t>
      </w:r>
      <w:r w:rsidR="00EA7046" w:rsidRPr="0009282C">
        <w:rPr>
          <w:iCs/>
        </w:rPr>
        <w:t xml:space="preserve"> clinically </w:t>
      </w:r>
      <w:r w:rsidR="0078462A" w:rsidRPr="0009282C">
        <w:rPr>
          <w:iCs/>
        </w:rPr>
        <w:t>meaningful</w:t>
      </w:r>
      <w:r w:rsidR="00CA10A6" w:rsidRPr="0009282C">
        <w:rPr>
          <w:iCs/>
        </w:rPr>
        <w:t>.</w:t>
      </w:r>
      <w:r w:rsidR="00EA7046" w:rsidRPr="0009282C">
        <w:rPr>
          <w:iCs/>
        </w:rPr>
        <w:t xml:space="preserve"> However,</w:t>
      </w:r>
      <w:r w:rsidR="00B42836" w:rsidRPr="0009282C">
        <w:rPr>
          <w:iCs/>
        </w:rPr>
        <w:t xml:space="preserve"> the ESC and DUSC</w:t>
      </w:r>
      <w:r w:rsidR="00EA7046" w:rsidRPr="0009282C">
        <w:rPr>
          <w:iCs/>
        </w:rPr>
        <w:t xml:space="preserve"> considered t</w:t>
      </w:r>
      <w:r w:rsidR="00050CD6" w:rsidRPr="0009282C">
        <w:rPr>
          <w:iCs/>
        </w:rPr>
        <w:t>hat ‘renal impairment’ requir</w:t>
      </w:r>
      <w:r w:rsidR="00610CC6" w:rsidRPr="0009282C">
        <w:rPr>
          <w:iCs/>
        </w:rPr>
        <w:t xml:space="preserve">ed </w:t>
      </w:r>
      <w:r w:rsidR="00437985" w:rsidRPr="0009282C">
        <w:rPr>
          <w:iCs/>
        </w:rPr>
        <w:t>further clinical clarification</w:t>
      </w:r>
      <w:r w:rsidR="00563FC7" w:rsidRPr="0009282C">
        <w:rPr>
          <w:iCs/>
        </w:rPr>
        <w:t>/definition</w:t>
      </w:r>
      <w:r w:rsidR="00050CD6" w:rsidRPr="0009282C">
        <w:rPr>
          <w:iCs/>
        </w:rPr>
        <w:t>.</w:t>
      </w:r>
    </w:p>
    <w:p w14:paraId="70E1F5FF" w14:textId="684D6B07" w:rsidR="0016708E" w:rsidRPr="0009282C" w:rsidRDefault="00D20581" w:rsidP="00A15E45">
      <w:pPr>
        <w:pStyle w:val="3-BodyText"/>
        <w:numPr>
          <w:ilvl w:val="1"/>
          <w:numId w:val="29"/>
        </w:numPr>
      </w:pPr>
      <w:r w:rsidRPr="0009282C">
        <w:t>The</w:t>
      </w:r>
      <w:r w:rsidR="004F23B7" w:rsidRPr="0009282C">
        <w:t xml:space="preserve"> ILLUMINATE trials </w:t>
      </w:r>
      <w:r w:rsidR="00C95AEF" w:rsidRPr="0009282C">
        <w:t xml:space="preserve">excluded </w:t>
      </w:r>
      <w:r w:rsidR="00FE4DB5" w:rsidRPr="0009282C">
        <w:t>patients</w:t>
      </w:r>
      <w:r w:rsidR="00C95AEF" w:rsidRPr="0009282C">
        <w:t xml:space="preserve"> with a history of </w:t>
      </w:r>
      <w:r w:rsidR="00C95AEF" w:rsidRPr="0009282C">
        <w:rPr>
          <w:iCs/>
        </w:rPr>
        <w:t xml:space="preserve">renal or liver transplant, however the proposed </w:t>
      </w:r>
      <w:r w:rsidR="00477114" w:rsidRPr="0009282C">
        <w:rPr>
          <w:iCs/>
        </w:rPr>
        <w:t>restriction</w:t>
      </w:r>
      <w:r w:rsidR="00C60CD3" w:rsidRPr="0009282C">
        <w:rPr>
          <w:iCs/>
        </w:rPr>
        <w:t xml:space="preserve"> excluded only patients with liver transplants.</w:t>
      </w:r>
      <w:r w:rsidR="00C60CD3" w:rsidRPr="0009282C">
        <w:t xml:space="preserve"> </w:t>
      </w:r>
      <w:r w:rsidR="007D0F60" w:rsidRPr="0009282C">
        <w:rPr>
          <w:iCs/>
        </w:rPr>
        <w:t>The ESC considered that this was reasonable as liver transplant is curative</w:t>
      </w:r>
      <w:r w:rsidR="00E563DB" w:rsidRPr="0009282C">
        <w:rPr>
          <w:iCs/>
        </w:rPr>
        <w:t xml:space="preserve">, whereas </w:t>
      </w:r>
      <w:r w:rsidR="003C67FE" w:rsidRPr="0009282C">
        <w:rPr>
          <w:iCs/>
        </w:rPr>
        <w:t xml:space="preserve">a </w:t>
      </w:r>
      <w:r w:rsidR="007D0F60" w:rsidRPr="0009282C">
        <w:rPr>
          <w:iCs/>
        </w:rPr>
        <w:t>renal</w:t>
      </w:r>
      <w:r w:rsidR="00165162" w:rsidRPr="0009282C">
        <w:rPr>
          <w:iCs/>
        </w:rPr>
        <w:t xml:space="preserve"> transplant is used to manage advanced </w:t>
      </w:r>
      <w:r w:rsidR="00507198" w:rsidRPr="0009282C">
        <w:rPr>
          <w:iCs/>
        </w:rPr>
        <w:t>chronic kidney disease (CKD)</w:t>
      </w:r>
      <w:r w:rsidR="003C67FE" w:rsidRPr="0009282C">
        <w:rPr>
          <w:iCs/>
        </w:rPr>
        <w:t xml:space="preserve"> and is not curative</w:t>
      </w:r>
      <w:r w:rsidR="00507198" w:rsidRPr="0009282C">
        <w:rPr>
          <w:iCs/>
        </w:rPr>
        <w:t>.</w:t>
      </w:r>
      <w:r w:rsidR="006F5CDF" w:rsidRPr="0009282C">
        <w:t xml:space="preserve"> </w:t>
      </w:r>
    </w:p>
    <w:p w14:paraId="6617FBDE" w14:textId="3E904AA8" w:rsidR="00FB6538" w:rsidRPr="0009282C" w:rsidRDefault="00D45474" w:rsidP="00A15E45">
      <w:pPr>
        <w:pStyle w:val="3-BodyText"/>
        <w:numPr>
          <w:ilvl w:val="1"/>
          <w:numId w:val="29"/>
        </w:numPr>
        <w:rPr>
          <w:b/>
        </w:rPr>
      </w:pPr>
      <w:r w:rsidRPr="0009282C">
        <w:t>The</w:t>
      </w:r>
      <w:r w:rsidR="00FB6538" w:rsidRPr="0009282C">
        <w:t xml:space="preserve"> proposed listing for initial treatment</w:t>
      </w:r>
      <w:r w:rsidRPr="0009282C">
        <w:t xml:space="preserve"> requires</w:t>
      </w:r>
      <w:r w:rsidR="00FB6538" w:rsidRPr="0009282C">
        <w:t xml:space="preserve"> </w:t>
      </w:r>
      <w:r w:rsidR="0061694A" w:rsidRPr="0009282C">
        <w:t>PH1</w:t>
      </w:r>
      <w:r w:rsidR="00F8393B" w:rsidRPr="0009282C">
        <w:t xml:space="preserve"> to</w:t>
      </w:r>
      <w:r w:rsidR="0061694A" w:rsidRPr="0009282C">
        <w:t xml:space="preserve"> be</w:t>
      </w:r>
      <w:r w:rsidR="00FB6538" w:rsidRPr="0009282C">
        <w:t xml:space="preserve"> confirmed by genetic testing. </w:t>
      </w:r>
      <w:r w:rsidR="004617ED" w:rsidRPr="0009282C">
        <w:t>T</w:t>
      </w:r>
      <w:r w:rsidR="00FB6538" w:rsidRPr="0009282C">
        <w:t xml:space="preserve">here are MBS items to fulfill this testing requirement. </w:t>
      </w:r>
    </w:p>
    <w:p w14:paraId="05A4A1E5" w14:textId="02F20207" w:rsidR="00F64AE7" w:rsidRPr="0009282C" w:rsidRDefault="000B4E6D" w:rsidP="00A15E45">
      <w:pPr>
        <w:pStyle w:val="3-BodyText"/>
        <w:numPr>
          <w:ilvl w:val="1"/>
          <w:numId w:val="29"/>
        </w:numPr>
      </w:pPr>
      <w:bookmarkStart w:id="10" w:name="_Ref190244976"/>
      <w:r w:rsidRPr="0009282C">
        <w:t>The proposed listing for patient continuation require</w:t>
      </w:r>
      <w:r w:rsidR="00DD590A" w:rsidRPr="0009282C">
        <w:t>s</w:t>
      </w:r>
      <w:r w:rsidRPr="0009282C">
        <w:t xml:space="preserve"> patients to </w:t>
      </w:r>
      <w:r w:rsidR="00750D99" w:rsidRPr="0009282C">
        <w:t xml:space="preserve">have </w:t>
      </w:r>
      <w:r w:rsidRPr="0009282C">
        <w:t xml:space="preserve">already </w:t>
      </w:r>
      <w:r w:rsidR="00121BEC" w:rsidRPr="0009282C">
        <w:t xml:space="preserve">received PBS-subsidised </w:t>
      </w:r>
      <w:proofErr w:type="spellStart"/>
      <w:r w:rsidR="00431559" w:rsidRPr="0009282C">
        <w:t>l</w:t>
      </w:r>
      <w:r w:rsidR="00121BEC" w:rsidRPr="0009282C">
        <w:t>umasiran</w:t>
      </w:r>
      <w:proofErr w:type="spellEnd"/>
      <w:r w:rsidR="00121BEC" w:rsidRPr="0009282C">
        <w:t xml:space="preserve"> treatment and demonstrated </w:t>
      </w:r>
      <w:r w:rsidR="00D674CE" w:rsidRPr="0009282C">
        <w:t>‘</w:t>
      </w:r>
      <w:r w:rsidR="00121BEC" w:rsidRPr="0009282C">
        <w:t>clinical benefit</w:t>
      </w:r>
      <w:r w:rsidR="00D674CE" w:rsidRPr="0009282C">
        <w:t>’</w:t>
      </w:r>
      <w:r w:rsidR="003851CA" w:rsidRPr="0009282C">
        <w:t xml:space="preserve"> from treatment</w:t>
      </w:r>
      <w:r w:rsidR="00B87D93" w:rsidRPr="0009282C">
        <w:t>.</w:t>
      </w:r>
      <w:r w:rsidR="00121BEC" w:rsidRPr="0009282C">
        <w:t xml:space="preserve"> </w:t>
      </w:r>
      <w:r w:rsidR="00752AB9" w:rsidRPr="0009282C">
        <w:t xml:space="preserve">The submission </w:t>
      </w:r>
      <w:r w:rsidR="00294DB0" w:rsidRPr="0009282C">
        <w:t>stated</w:t>
      </w:r>
      <w:r w:rsidR="008C0099" w:rsidRPr="0009282C">
        <w:t xml:space="preserve"> that due to the </w:t>
      </w:r>
      <w:r w:rsidR="00123B82" w:rsidRPr="0009282C">
        <w:t>heterogeneous nature of the disease, the assessment of clinical benefit should be individualised, considering each patient’s outcomes and at the discretion of the treating physician</w:t>
      </w:r>
      <w:r w:rsidR="00752AB9" w:rsidRPr="0009282C">
        <w:t xml:space="preserve">. </w:t>
      </w:r>
      <w:r w:rsidR="008040CE" w:rsidRPr="0009282C">
        <w:rPr>
          <w:iCs/>
        </w:rPr>
        <w:t>However, the</w:t>
      </w:r>
      <w:r w:rsidR="007C5276" w:rsidRPr="0009282C">
        <w:rPr>
          <w:iCs/>
        </w:rPr>
        <w:t xml:space="preserve"> </w:t>
      </w:r>
      <w:r w:rsidR="00E41CB3" w:rsidRPr="0009282C">
        <w:rPr>
          <w:iCs/>
        </w:rPr>
        <w:t xml:space="preserve">submission stated that </w:t>
      </w:r>
      <w:r w:rsidR="007C5276" w:rsidRPr="0009282C">
        <w:rPr>
          <w:iCs/>
        </w:rPr>
        <w:t xml:space="preserve">local experts </w:t>
      </w:r>
      <w:r w:rsidR="00E41CB3" w:rsidRPr="0009282C">
        <w:rPr>
          <w:iCs/>
        </w:rPr>
        <w:t xml:space="preserve">had been </w:t>
      </w:r>
      <w:r w:rsidR="007C5276" w:rsidRPr="0009282C">
        <w:rPr>
          <w:iCs/>
        </w:rPr>
        <w:t>consulted</w:t>
      </w:r>
      <w:r w:rsidR="00A666E1" w:rsidRPr="0009282C">
        <w:rPr>
          <w:iCs/>
        </w:rPr>
        <w:t xml:space="preserve"> </w:t>
      </w:r>
      <w:r w:rsidR="004E15D9" w:rsidRPr="0009282C">
        <w:rPr>
          <w:iCs/>
        </w:rPr>
        <w:t xml:space="preserve">and </w:t>
      </w:r>
      <w:r w:rsidR="00A666E1" w:rsidRPr="0009282C">
        <w:rPr>
          <w:iCs/>
        </w:rPr>
        <w:t>considered a</w:t>
      </w:r>
      <w:r w:rsidR="00DC66B7" w:rsidRPr="0009282C">
        <w:rPr>
          <w:iCs/>
        </w:rPr>
        <w:t xml:space="preserve"> broad</w:t>
      </w:r>
      <w:r w:rsidR="00A666E1" w:rsidRPr="0009282C">
        <w:rPr>
          <w:iCs/>
        </w:rPr>
        <w:t xml:space="preserve"> definition of</w:t>
      </w:r>
      <w:r w:rsidR="007C5276" w:rsidRPr="0009282C">
        <w:rPr>
          <w:iCs/>
        </w:rPr>
        <w:t xml:space="preserve"> clinical efficacy to </w:t>
      </w:r>
      <w:proofErr w:type="spellStart"/>
      <w:r w:rsidR="007C5276" w:rsidRPr="0009282C">
        <w:rPr>
          <w:iCs/>
        </w:rPr>
        <w:t>lumasira</w:t>
      </w:r>
      <w:r w:rsidR="00DC66B7" w:rsidRPr="0009282C">
        <w:rPr>
          <w:iCs/>
        </w:rPr>
        <w:t>n</w:t>
      </w:r>
      <w:proofErr w:type="spellEnd"/>
      <w:r w:rsidR="00DC66B7" w:rsidRPr="0009282C">
        <w:rPr>
          <w:iCs/>
        </w:rPr>
        <w:t xml:space="preserve"> would be </w:t>
      </w:r>
      <w:r w:rsidR="007C5276" w:rsidRPr="0009282C">
        <w:rPr>
          <w:iCs/>
        </w:rPr>
        <w:t xml:space="preserve">demonstrated by, but not limited to, </w:t>
      </w:r>
      <w:r w:rsidR="00E41CB3" w:rsidRPr="0009282C">
        <w:rPr>
          <w:iCs/>
        </w:rPr>
        <w:t xml:space="preserve">the </w:t>
      </w:r>
      <w:r w:rsidR="007C5276" w:rsidRPr="0009282C">
        <w:rPr>
          <w:iCs/>
        </w:rPr>
        <w:t>stabilisation of CKD and non</w:t>
      </w:r>
      <w:r w:rsidR="00EE490A" w:rsidRPr="0009282C">
        <w:rPr>
          <w:iCs/>
        </w:rPr>
        <w:t>-</w:t>
      </w:r>
      <w:r w:rsidR="007C5276" w:rsidRPr="0009282C">
        <w:rPr>
          <w:iCs/>
        </w:rPr>
        <w:t xml:space="preserve">progression to renal failure. </w:t>
      </w:r>
      <w:r w:rsidR="00752AB9" w:rsidRPr="0009282C">
        <w:t xml:space="preserve">The submission also noted that </w:t>
      </w:r>
      <w:r w:rsidR="00861D4D" w:rsidRPr="0009282C">
        <w:t>clinical practice guidelines (</w:t>
      </w:r>
      <w:proofErr w:type="spellStart"/>
      <w:r w:rsidR="00752AB9" w:rsidRPr="0009282C">
        <w:t>ERKNet</w:t>
      </w:r>
      <w:proofErr w:type="spellEnd"/>
      <w:r w:rsidR="00752AB9" w:rsidRPr="0009282C">
        <w:t>/</w:t>
      </w:r>
      <w:proofErr w:type="spellStart"/>
      <w:r w:rsidR="00752AB9" w:rsidRPr="0009282C">
        <w:t>OxalEurope</w:t>
      </w:r>
      <w:proofErr w:type="spellEnd"/>
      <w:r w:rsidR="00861D4D" w:rsidRPr="0009282C">
        <w:t>)</w:t>
      </w:r>
      <w:r w:rsidR="00752AB9" w:rsidRPr="0009282C">
        <w:t xml:space="preserve"> </w:t>
      </w:r>
      <w:r w:rsidR="007A69E1" w:rsidRPr="0009282C">
        <w:t>suggest</w:t>
      </w:r>
      <w:r w:rsidR="00861D4D" w:rsidRPr="0009282C">
        <w:t xml:space="preserve"> </w:t>
      </w:r>
      <w:r w:rsidR="00752AB9" w:rsidRPr="0009282C">
        <w:t xml:space="preserve">that biochemical effectiveness, including urinary oxalate levels, be re-evaluated when considering clinical benefit and treatment continuation. </w:t>
      </w:r>
      <w:r w:rsidR="00570849" w:rsidRPr="0009282C">
        <w:rPr>
          <w:iCs/>
        </w:rPr>
        <w:t>However, the</w:t>
      </w:r>
      <w:r w:rsidR="003863C0" w:rsidRPr="0009282C">
        <w:rPr>
          <w:iCs/>
        </w:rPr>
        <w:t xml:space="preserve"> </w:t>
      </w:r>
      <w:r w:rsidR="00AA6EA5" w:rsidRPr="0009282C">
        <w:rPr>
          <w:iCs/>
        </w:rPr>
        <w:t>PSCR</w:t>
      </w:r>
      <w:r w:rsidR="00570849" w:rsidRPr="0009282C">
        <w:rPr>
          <w:iCs/>
        </w:rPr>
        <w:t xml:space="preserve"> </w:t>
      </w:r>
      <w:r w:rsidR="00AA6EA5" w:rsidRPr="0009282C">
        <w:rPr>
          <w:iCs/>
        </w:rPr>
        <w:t xml:space="preserve">noted that patients who </w:t>
      </w:r>
      <w:r w:rsidR="00570849" w:rsidRPr="0009282C">
        <w:rPr>
          <w:iCs/>
        </w:rPr>
        <w:t>could not</w:t>
      </w:r>
      <w:r w:rsidR="00AA6EA5" w:rsidRPr="0009282C">
        <w:rPr>
          <w:iCs/>
        </w:rPr>
        <w:t xml:space="preserve"> provide a urine sample due to impaired renal function could </w:t>
      </w:r>
      <w:r w:rsidR="00570849" w:rsidRPr="0009282C">
        <w:rPr>
          <w:iCs/>
        </w:rPr>
        <w:t>n</w:t>
      </w:r>
      <w:r w:rsidR="00AA6EA5" w:rsidRPr="0009282C">
        <w:rPr>
          <w:iCs/>
        </w:rPr>
        <w:t xml:space="preserve">ot be tested against specific </w:t>
      </w:r>
      <w:r w:rsidR="00C85E8F" w:rsidRPr="0009282C">
        <w:rPr>
          <w:iCs/>
        </w:rPr>
        <w:t xml:space="preserve">biochemical markers. </w:t>
      </w:r>
      <w:r w:rsidR="00F33A79" w:rsidRPr="0009282C">
        <w:rPr>
          <w:iCs/>
        </w:rPr>
        <w:t>T</w:t>
      </w:r>
      <w:r w:rsidR="00570849" w:rsidRPr="0009282C">
        <w:rPr>
          <w:iCs/>
        </w:rPr>
        <w:t>he</w:t>
      </w:r>
      <w:r w:rsidR="00C85E8F" w:rsidRPr="0009282C">
        <w:rPr>
          <w:iCs/>
        </w:rPr>
        <w:t xml:space="preserve"> PSCR considered</w:t>
      </w:r>
      <w:r w:rsidR="002F0506" w:rsidRPr="0009282C">
        <w:rPr>
          <w:iCs/>
        </w:rPr>
        <w:t xml:space="preserve"> the criterion proposed </w:t>
      </w:r>
      <w:r w:rsidR="00E4215B" w:rsidRPr="0009282C">
        <w:rPr>
          <w:iCs/>
        </w:rPr>
        <w:t xml:space="preserve">by the submission </w:t>
      </w:r>
      <w:r w:rsidR="002F0506" w:rsidRPr="0009282C">
        <w:rPr>
          <w:iCs/>
        </w:rPr>
        <w:t>was likely appropriate for a rare, heterogeneous condition managed by clinical experts</w:t>
      </w:r>
      <w:r w:rsidR="00570849" w:rsidRPr="0009282C">
        <w:rPr>
          <w:iCs/>
        </w:rPr>
        <w:t xml:space="preserve"> and </w:t>
      </w:r>
      <w:r w:rsidR="00E96B61" w:rsidRPr="0009282C">
        <w:rPr>
          <w:iCs/>
        </w:rPr>
        <w:t xml:space="preserve">noted that it </w:t>
      </w:r>
      <w:r w:rsidR="00570849" w:rsidRPr="0009282C">
        <w:rPr>
          <w:iCs/>
        </w:rPr>
        <w:t xml:space="preserve">was consistent with </w:t>
      </w:r>
      <w:r w:rsidR="00161A21" w:rsidRPr="0009282C">
        <w:rPr>
          <w:iCs/>
        </w:rPr>
        <w:t>the PBS</w:t>
      </w:r>
      <w:r w:rsidR="00B24E74" w:rsidRPr="0009282C">
        <w:rPr>
          <w:iCs/>
        </w:rPr>
        <w:t xml:space="preserve"> continuing</w:t>
      </w:r>
      <w:r w:rsidR="00161A21" w:rsidRPr="0009282C">
        <w:rPr>
          <w:iCs/>
        </w:rPr>
        <w:t xml:space="preserve"> </w:t>
      </w:r>
      <w:r w:rsidR="00B24E74" w:rsidRPr="0009282C">
        <w:rPr>
          <w:iCs/>
        </w:rPr>
        <w:t>restriction</w:t>
      </w:r>
      <w:r w:rsidR="00161A21" w:rsidRPr="0009282C">
        <w:rPr>
          <w:iCs/>
        </w:rPr>
        <w:t xml:space="preserve"> for </w:t>
      </w:r>
      <w:proofErr w:type="spellStart"/>
      <w:r w:rsidR="00161A21" w:rsidRPr="0009282C">
        <w:rPr>
          <w:iCs/>
        </w:rPr>
        <w:t>patisiran</w:t>
      </w:r>
      <w:proofErr w:type="spellEnd"/>
      <w:r w:rsidR="002F0506" w:rsidRPr="0009282C">
        <w:rPr>
          <w:iCs/>
        </w:rPr>
        <w:t>.</w:t>
      </w:r>
      <w:r w:rsidR="003863C0" w:rsidRPr="0009282C">
        <w:t xml:space="preserve"> </w:t>
      </w:r>
      <w:r w:rsidR="002F0506" w:rsidRPr="0009282C">
        <w:rPr>
          <w:iCs/>
        </w:rPr>
        <w:t>However, the</w:t>
      </w:r>
      <w:r w:rsidR="006F7CB5" w:rsidRPr="0009282C">
        <w:rPr>
          <w:iCs/>
        </w:rPr>
        <w:t xml:space="preserve"> ESC considered that </w:t>
      </w:r>
      <w:r w:rsidR="00B17221" w:rsidRPr="0009282C">
        <w:rPr>
          <w:iCs/>
        </w:rPr>
        <w:t>it likely remained</w:t>
      </w:r>
      <w:r w:rsidR="00873491" w:rsidRPr="0009282C">
        <w:rPr>
          <w:iCs/>
        </w:rPr>
        <w:t xml:space="preserve"> appropriate to include</w:t>
      </w:r>
      <w:r w:rsidR="004774B3" w:rsidRPr="0009282C">
        <w:rPr>
          <w:iCs/>
        </w:rPr>
        <w:t xml:space="preserve"> a</w:t>
      </w:r>
      <w:r w:rsidR="00873491" w:rsidRPr="0009282C">
        <w:rPr>
          <w:iCs/>
        </w:rPr>
        <w:t xml:space="preserve"> </w:t>
      </w:r>
      <w:r w:rsidR="004774B3" w:rsidRPr="0009282C">
        <w:rPr>
          <w:iCs/>
        </w:rPr>
        <w:t>definition</w:t>
      </w:r>
      <w:r w:rsidR="008805D0" w:rsidRPr="0009282C">
        <w:rPr>
          <w:iCs/>
        </w:rPr>
        <w:t xml:space="preserve"> for</w:t>
      </w:r>
      <w:r w:rsidR="004774B3" w:rsidRPr="0009282C">
        <w:rPr>
          <w:iCs/>
        </w:rPr>
        <w:t xml:space="preserve"> clinical benefit</w:t>
      </w:r>
      <w:r w:rsidR="00B17221" w:rsidRPr="0009282C">
        <w:rPr>
          <w:iCs/>
        </w:rPr>
        <w:t xml:space="preserve"> </w:t>
      </w:r>
      <w:r w:rsidR="00033134" w:rsidRPr="0009282C">
        <w:rPr>
          <w:iCs/>
        </w:rPr>
        <w:t xml:space="preserve">and </w:t>
      </w:r>
      <w:r w:rsidR="00533C2E" w:rsidRPr="0009282C">
        <w:t>that this definition should be developed in consultation with nephrology specialists.</w:t>
      </w:r>
      <w:bookmarkEnd w:id="10"/>
      <w:r w:rsidR="004074AD" w:rsidRPr="0009282C">
        <w:t xml:space="preserve"> The DUSC also considered</w:t>
      </w:r>
      <w:r w:rsidR="004074AD" w:rsidRPr="0009282C">
        <w:rPr>
          <w:i/>
          <w:iCs/>
        </w:rPr>
        <w:t xml:space="preserve"> </w:t>
      </w:r>
      <w:r w:rsidR="004074AD" w:rsidRPr="0009282C">
        <w:t>that a quantifiable measure to describe ‘clinical benefit’ should be considered for inclusion in the continuing restriction.</w:t>
      </w:r>
    </w:p>
    <w:p w14:paraId="5405201E" w14:textId="3C97C89E" w:rsidR="00F33A79" w:rsidRPr="0009282C" w:rsidRDefault="00F33A79" w:rsidP="00A15E45">
      <w:pPr>
        <w:pStyle w:val="3-BodyText"/>
        <w:numPr>
          <w:ilvl w:val="1"/>
          <w:numId w:val="29"/>
        </w:numPr>
      </w:pPr>
      <w:r w:rsidRPr="0009282C">
        <w:t xml:space="preserve">The ESC </w:t>
      </w:r>
      <w:r w:rsidR="00522724" w:rsidRPr="0009282C">
        <w:t xml:space="preserve">also </w:t>
      </w:r>
      <w:r w:rsidRPr="0009282C">
        <w:t xml:space="preserve">considered that </w:t>
      </w:r>
      <w:r w:rsidR="00944551" w:rsidRPr="0009282C">
        <w:t xml:space="preserve">it may be appropriate for </w:t>
      </w:r>
      <w:r w:rsidRPr="0009282C">
        <w:t>the treatment criteri</w:t>
      </w:r>
      <w:r w:rsidR="0081130D" w:rsidRPr="0009282C">
        <w:t>on</w:t>
      </w:r>
      <w:r w:rsidRPr="0009282C">
        <w:t xml:space="preserve"> stating that patients must be treated </w:t>
      </w:r>
      <w:r w:rsidR="00335160">
        <w:t>by</w:t>
      </w:r>
      <w:r w:rsidRPr="0009282C">
        <w:t xml:space="preserve"> a nephrologist with experience in the management of hyperoxaluria or in consultation with a nephrologist with experience in the management of hyperoxaluria, </w:t>
      </w:r>
      <w:r w:rsidR="00944551" w:rsidRPr="0009282C">
        <w:t>to</w:t>
      </w:r>
      <w:r w:rsidRPr="0009282C">
        <w:t xml:space="preserve"> be </w:t>
      </w:r>
      <w:r w:rsidR="00944551" w:rsidRPr="0009282C">
        <w:t>expanded</w:t>
      </w:r>
      <w:r w:rsidRPr="0009282C">
        <w:t xml:space="preserve"> to include paediatricians and paediatric nephrologists. </w:t>
      </w:r>
    </w:p>
    <w:p w14:paraId="43F97443" w14:textId="28F2011C" w:rsidR="00F70A62" w:rsidRPr="0009282C" w:rsidRDefault="00F70A62" w:rsidP="00A15E45">
      <w:pPr>
        <w:pStyle w:val="3-BodyText"/>
        <w:numPr>
          <w:ilvl w:val="1"/>
          <w:numId w:val="29"/>
        </w:numPr>
      </w:pPr>
      <w:r w:rsidRPr="0009282C">
        <w:t>The ESC noted that different genotypes of PH1 respond differently to pyridoxine therapy.</w:t>
      </w:r>
      <w:r w:rsidRPr="0009282C">
        <w:rPr>
          <w:rStyle w:val="FootnoteReference"/>
        </w:rPr>
        <w:footnoteReference w:id="4"/>
      </w:r>
      <w:r w:rsidRPr="0009282C">
        <w:t xml:space="preserve"> The </w:t>
      </w:r>
      <w:r w:rsidR="00DB6733" w:rsidRPr="0009282C">
        <w:t>PBAC is asked to consider whether</w:t>
      </w:r>
      <w:r w:rsidRPr="0009282C">
        <w:t xml:space="preserve"> patients carrying a pyridoxine responsive allele</w:t>
      </w:r>
      <w:r w:rsidR="0022492F" w:rsidRPr="0009282C">
        <w:t xml:space="preserve"> should</w:t>
      </w:r>
      <w:r w:rsidR="00354D95" w:rsidRPr="0009282C">
        <w:t xml:space="preserve"> trial pyridoxine</w:t>
      </w:r>
      <w:r w:rsidR="00BA3C61" w:rsidRPr="0009282C">
        <w:t xml:space="preserve"> therapy</w:t>
      </w:r>
      <w:r w:rsidR="00354D95" w:rsidRPr="0009282C">
        <w:t xml:space="preserve"> (B6) prior to treatment with </w:t>
      </w:r>
      <w:proofErr w:type="spellStart"/>
      <w:r w:rsidR="00354D95" w:rsidRPr="0009282C">
        <w:t>lumasiran</w:t>
      </w:r>
      <w:proofErr w:type="spellEnd"/>
      <w:r w:rsidR="00354D95" w:rsidRPr="0009282C">
        <w:t>.</w:t>
      </w:r>
    </w:p>
    <w:p w14:paraId="4C8F07DD" w14:textId="4C1D56B9" w:rsidR="00B622E7" w:rsidRPr="0009282C" w:rsidRDefault="00B87D93" w:rsidP="00A15E45">
      <w:pPr>
        <w:pStyle w:val="3-BodyText"/>
        <w:numPr>
          <w:ilvl w:val="1"/>
          <w:numId w:val="29"/>
        </w:numPr>
      </w:pPr>
      <w:r w:rsidRPr="0009282C">
        <w:t xml:space="preserve">A </w:t>
      </w:r>
      <w:r w:rsidR="00076C89">
        <w:t>‘</w:t>
      </w:r>
      <w:r w:rsidRPr="0009282C">
        <w:t>grandfather</w:t>
      </w:r>
      <w:r w:rsidR="00076C89">
        <w:t>’</w:t>
      </w:r>
      <w:r w:rsidR="00190CF5">
        <w:t xml:space="preserve"> </w:t>
      </w:r>
      <w:r w:rsidR="00076C89">
        <w:t xml:space="preserve">listing </w:t>
      </w:r>
      <w:r w:rsidR="00A1701C">
        <w:t xml:space="preserve">to transition </w:t>
      </w:r>
      <w:r w:rsidR="00F171B0">
        <w:t xml:space="preserve">patients accessing </w:t>
      </w:r>
      <w:proofErr w:type="spellStart"/>
      <w:r w:rsidR="00F171B0">
        <w:t>lumasiran</w:t>
      </w:r>
      <w:proofErr w:type="spellEnd"/>
      <w:r w:rsidR="00F171B0">
        <w:t xml:space="preserve"> through a comp</w:t>
      </w:r>
      <w:r w:rsidR="009D2D2E">
        <w:t xml:space="preserve">assionate </w:t>
      </w:r>
      <w:r w:rsidR="00757B05">
        <w:t xml:space="preserve">access program </w:t>
      </w:r>
      <w:r w:rsidR="00255362">
        <w:t xml:space="preserve">to PBS-subsidised supply </w:t>
      </w:r>
      <w:r w:rsidRPr="0009282C">
        <w:t xml:space="preserve">was proposed in the submission. </w:t>
      </w:r>
      <w:r w:rsidR="007D5DF2" w:rsidRPr="0009282C">
        <w:t xml:space="preserve">The submission stated that there were no patients currently being treated with </w:t>
      </w:r>
      <w:proofErr w:type="spellStart"/>
      <w:r w:rsidR="007D5DF2" w:rsidRPr="0009282C">
        <w:t>lumasiran</w:t>
      </w:r>
      <w:proofErr w:type="spellEnd"/>
      <w:r w:rsidR="007D5DF2" w:rsidRPr="0009282C">
        <w:t xml:space="preserve"> in Australia, however a compassionate access program was in development. The submission stated that a small number of patients </w:t>
      </w:r>
      <w:r w:rsidR="00030D86" w:rsidRPr="0009282C">
        <w:t>may</w:t>
      </w:r>
      <w:r w:rsidR="007D5DF2" w:rsidRPr="0009282C">
        <w:t xml:space="preserve"> </w:t>
      </w:r>
      <w:r w:rsidR="00030D86" w:rsidRPr="0009282C">
        <w:t>require access to</w:t>
      </w:r>
      <w:r w:rsidR="007D5DF2" w:rsidRPr="0009282C">
        <w:t xml:space="preserve"> </w:t>
      </w:r>
      <w:proofErr w:type="spellStart"/>
      <w:r w:rsidR="00030D86" w:rsidRPr="0009282C">
        <w:t>lumasiran</w:t>
      </w:r>
      <w:proofErr w:type="spellEnd"/>
      <w:r w:rsidR="007D5DF2" w:rsidRPr="0009282C">
        <w:t xml:space="preserve"> through </w:t>
      </w:r>
      <w:r w:rsidR="0037747F">
        <w:t xml:space="preserve">such </w:t>
      </w:r>
      <w:r w:rsidR="00030D86" w:rsidRPr="0009282C">
        <w:t>a</w:t>
      </w:r>
      <w:r w:rsidR="00AD3C00">
        <w:t xml:space="preserve"> </w:t>
      </w:r>
      <w:r w:rsidR="0037747F">
        <w:t>listing</w:t>
      </w:r>
      <w:r w:rsidR="007D5DF2" w:rsidRPr="0009282C">
        <w:t>.</w:t>
      </w:r>
    </w:p>
    <w:p w14:paraId="73DD13F1" w14:textId="21F68F88" w:rsidR="00B622E7" w:rsidRPr="0009282C" w:rsidRDefault="00B622E7" w:rsidP="00B622E7">
      <w:pPr>
        <w:pStyle w:val="3-BodyText"/>
        <w:numPr>
          <w:ilvl w:val="0"/>
          <w:numId w:val="0"/>
        </w:numPr>
        <w:ind w:left="720"/>
        <w:rPr>
          <w:i/>
          <w:iCs/>
        </w:rPr>
      </w:pPr>
      <w:r w:rsidRPr="0009282C">
        <w:rPr>
          <w:i/>
          <w:iCs/>
        </w:rPr>
        <w:t>For more detail on PBAC’s view, see section 7 PBAC outcome.</w:t>
      </w:r>
    </w:p>
    <w:p w14:paraId="7075B85C" w14:textId="62A47B7B" w:rsidR="00B50DB8" w:rsidRPr="0009282C" w:rsidDel="00195452" w:rsidRDefault="00203181" w:rsidP="00781FF0">
      <w:pPr>
        <w:pStyle w:val="2-SectionHeading"/>
        <w:ind w:left="709" w:hanging="709"/>
      </w:pPr>
      <w:bookmarkStart w:id="11" w:name="_Toc188443833"/>
      <w:r w:rsidRPr="0009282C" w:rsidDel="00195452">
        <w:t xml:space="preserve">Population and </w:t>
      </w:r>
      <w:r w:rsidR="008E0D3C" w:rsidRPr="0009282C" w:rsidDel="00195452">
        <w:t>d</w:t>
      </w:r>
      <w:r w:rsidRPr="0009282C" w:rsidDel="00195452">
        <w:t>isease</w:t>
      </w:r>
      <w:bookmarkEnd w:id="11"/>
    </w:p>
    <w:p w14:paraId="42C063F3" w14:textId="66A8F276" w:rsidR="00637F9E" w:rsidRPr="0009282C" w:rsidRDefault="00637F9E" w:rsidP="00737F9C">
      <w:pPr>
        <w:pStyle w:val="3-BodyText"/>
        <w:numPr>
          <w:ilvl w:val="1"/>
          <w:numId w:val="13"/>
        </w:numPr>
      </w:pPr>
      <w:r w:rsidRPr="0009282C">
        <w:t xml:space="preserve">PH1 is a potentially fatal condition that </w:t>
      </w:r>
      <w:r w:rsidR="00E1322A" w:rsidRPr="0009282C">
        <w:t>impacts</w:t>
      </w:r>
      <w:r w:rsidRPr="0009282C">
        <w:t xml:space="preserve"> oxalate</w:t>
      </w:r>
      <w:r w:rsidR="00E1322A" w:rsidRPr="0009282C">
        <w:t xml:space="preserve"> metabolism</w:t>
      </w:r>
      <w:r w:rsidRPr="0009282C">
        <w:t xml:space="preserve">. </w:t>
      </w:r>
      <w:r w:rsidR="00C34AA4" w:rsidRPr="0009282C">
        <w:t xml:space="preserve">PH1 is caused by a mutation in the AGXT gene, leading to a deficiency of the enzyme alanine-glyoxylate aminotransferase (AGT). This deficiency prevents the conversion of glyoxylate to glycine, causing excess glyoxylate to accumulate </w:t>
      </w:r>
      <w:proofErr w:type="gramStart"/>
      <w:r w:rsidR="00C34AA4" w:rsidRPr="0009282C">
        <w:t>and</w:t>
      </w:r>
      <w:proofErr w:type="gramEnd"/>
      <w:r w:rsidR="00C34AA4" w:rsidRPr="0009282C">
        <w:t xml:space="preserve"> overproduc</w:t>
      </w:r>
      <w:r w:rsidR="005D358B" w:rsidRPr="0009282C">
        <w:t>tion of</w:t>
      </w:r>
      <w:r w:rsidR="00C34AA4" w:rsidRPr="0009282C">
        <w:t xml:space="preserve"> oxalate. </w:t>
      </w:r>
      <w:r w:rsidRPr="0009282C">
        <w:t xml:space="preserve">The accumulation of oxalate can result in kidney stones, nephrocalcinosis, progressive renal failure and systematic oxalosis which causes multi-organ damage. </w:t>
      </w:r>
    </w:p>
    <w:p w14:paraId="69C72E00" w14:textId="4C8F97A1" w:rsidR="00637F9E" w:rsidRPr="0009282C" w:rsidDel="00195452" w:rsidRDefault="00637F9E" w:rsidP="00737F9C">
      <w:pPr>
        <w:pStyle w:val="3-BodyText"/>
        <w:numPr>
          <w:ilvl w:val="1"/>
          <w:numId w:val="13"/>
        </w:numPr>
      </w:pPr>
      <w:r w:rsidRPr="0009282C">
        <w:t>PH1 is present at birth but may not be diagnosed until patients become highly symptomatic, with 90% of patients becoming symptomatic in childhood or adolescence. PH1 tends to be more severe the earlier it is diagnosed such as in infantile PH1, in which there is often a rapid progression to stage 5 chronic kidney disease (CKD 5)</w:t>
      </w:r>
      <w:r w:rsidR="0018680D" w:rsidRPr="0009282C">
        <w:t>,</w:t>
      </w:r>
      <w:r w:rsidRPr="0009282C">
        <w:t xml:space="preserve"> and significantly reduced survival compared to patients with later clinical onset.</w:t>
      </w:r>
    </w:p>
    <w:p w14:paraId="193CB634" w14:textId="40709BFA" w:rsidR="00706BA2" w:rsidRPr="0009282C" w:rsidDel="00195452" w:rsidRDefault="004F5B69" w:rsidP="00737F9C">
      <w:pPr>
        <w:pStyle w:val="3-BodyText"/>
        <w:numPr>
          <w:ilvl w:val="1"/>
          <w:numId w:val="13"/>
        </w:numPr>
      </w:pPr>
      <w:r w:rsidRPr="0009282C">
        <w:t xml:space="preserve">There is currently </w:t>
      </w:r>
      <w:r w:rsidR="004E197E" w:rsidRPr="0009282C">
        <w:rPr>
          <w:iCs/>
        </w:rPr>
        <w:t>minimal</w:t>
      </w:r>
      <w:r w:rsidRPr="0009282C">
        <w:t xml:space="preserve"> </w:t>
      </w:r>
      <w:r w:rsidR="00B72883" w:rsidRPr="0009282C">
        <w:t xml:space="preserve">published </w:t>
      </w:r>
      <w:r w:rsidR="003A29E2" w:rsidRPr="0009282C">
        <w:t>epidemiological</w:t>
      </w:r>
      <w:r w:rsidR="00B72883" w:rsidRPr="0009282C">
        <w:t xml:space="preserve"> data for the </w:t>
      </w:r>
      <w:r w:rsidR="007550F3" w:rsidRPr="0009282C">
        <w:t>prevalence and incidence of PH1 in Australia</w:t>
      </w:r>
      <w:r w:rsidR="00165796" w:rsidRPr="0009282C">
        <w:t xml:space="preserve">. </w:t>
      </w:r>
      <w:r w:rsidR="000B24B1" w:rsidRPr="0009282C">
        <w:t>Based on European</w:t>
      </w:r>
      <w:r w:rsidR="000B24B1" w:rsidRPr="0009282C" w:rsidDel="00A4461E">
        <w:t xml:space="preserve"> </w:t>
      </w:r>
      <w:r w:rsidR="00A4461E" w:rsidRPr="0009282C">
        <w:t xml:space="preserve">data, the prevalence of PH1 </w:t>
      </w:r>
      <w:r w:rsidR="009F5859" w:rsidRPr="0009282C">
        <w:t xml:space="preserve">is </w:t>
      </w:r>
      <w:r w:rsidR="002A2E39" w:rsidRPr="0009282C">
        <w:t xml:space="preserve">estimated </w:t>
      </w:r>
      <w:r w:rsidR="00A4461E" w:rsidRPr="0009282C">
        <w:t xml:space="preserve">to be 1–3 </w:t>
      </w:r>
      <w:r w:rsidR="00975974" w:rsidRPr="0009282C">
        <w:t xml:space="preserve">cases </w:t>
      </w:r>
      <w:r w:rsidR="00A4461E" w:rsidRPr="0009282C">
        <w:t xml:space="preserve">per million </w:t>
      </w:r>
      <w:r w:rsidR="00C36CE1" w:rsidRPr="0009282C">
        <w:t>people</w:t>
      </w:r>
      <w:r w:rsidR="005168E7" w:rsidRPr="0009282C">
        <w:t xml:space="preserve"> </w:t>
      </w:r>
      <w:r w:rsidR="00A4461E" w:rsidRPr="0009282C">
        <w:t xml:space="preserve">and the incidence </w:t>
      </w:r>
      <w:r w:rsidR="008821F4" w:rsidRPr="0009282C">
        <w:t>was</w:t>
      </w:r>
      <w:r w:rsidR="003B2858" w:rsidRPr="0009282C">
        <w:t xml:space="preserve"> estimated </w:t>
      </w:r>
      <w:r w:rsidR="00A4461E" w:rsidRPr="0009282C">
        <w:t>to be 1 in 100,000 live births</w:t>
      </w:r>
      <w:r w:rsidR="009C4636" w:rsidRPr="0009282C">
        <w:rPr>
          <w:rStyle w:val="FootnoteReference"/>
        </w:rPr>
        <w:footnoteReference w:id="5"/>
      </w:r>
      <w:r w:rsidR="009C4636" w:rsidRPr="0009282C">
        <w:rPr>
          <w:vertAlign w:val="superscript"/>
        </w:rPr>
        <w:t>,</w:t>
      </w:r>
      <w:r w:rsidR="009C4636" w:rsidRPr="0009282C">
        <w:rPr>
          <w:rStyle w:val="FootnoteReference"/>
        </w:rPr>
        <w:footnoteReference w:id="6"/>
      </w:r>
      <w:r w:rsidR="00BB7EC0" w:rsidRPr="0009282C">
        <w:rPr>
          <w:vertAlign w:val="superscript"/>
        </w:rPr>
        <w:t>,</w:t>
      </w:r>
      <w:r w:rsidR="00BB7EC0" w:rsidRPr="0009282C">
        <w:rPr>
          <w:rStyle w:val="FootnoteReference"/>
        </w:rPr>
        <w:footnoteReference w:id="7"/>
      </w:r>
      <w:r w:rsidR="00A4461E" w:rsidRPr="0009282C">
        <w:t>.</w:t>
      </w:r>
      <w:r w:rsidR="00187618" w:rsidRPr="0009282C">
        <w:t xml:space="preserve"> </w:t>
      </w:r>
    </w:p>
    <w:p w14:paraId="4926BA90" w14:textId="1350320C" w:rsidR="002C2775" w:rsidRDefault="008B6557" w:rsidP="00737F9C">
      <w:pPr>
        <w:pStyle w:val="3-BodyText"/>
        <w:numPr>
          <w:ilvl w:val="1"/>
          <w:numId w:val="13"/>
        </w:numPr>
      </w:pPr>
      <w:r w:rsidRPr="0009282C">
        <w:t>At present t</w:t>
      </w:r>
      <w:r w:rsidR="00BA4FDB" w:rsidRPr="0009282C">
        <w:t xml:space="preserve">here </w:t>
      </w:r>
      <w:r w:rsidR="00E30CBE" w:rsidRPr="0009282C">
        <w:t>are</w:t>
      </w:r>
      <w:r w:rsidR="00BA4FDB" w:rsidRPr="0009282C">
        <w:t xml:space="preserve"> </w:t>
      </w:r>
      <w:r w:rsidR="006B58D6" w:rsidRPr="0009282C">
        <w:t xml:space="preserve">no </w:t>
      </w:r>
      <w:r w:rsidR="00294964" w:rsidRPr="0009282C">
        <w:t>available pharmacological treatments for PH1</w:t>
      </w:r>
      <w:r w:rsidR="00997658" w:rsidRPr="0009282C">
        <w:t xml:space="preserve">, with </w:t>
      </w:r>
      <w:r w:rsidR="00A43761" w:rsidRPr="0009282C">
        <w:t xml:space="preserve">current </w:t>
      </w:r>
      <w:r w:rsidR="00997658" w:rsidRPr="0009282C">
        <w:t xml:space="preserve">clinical management focusing on </w:t>
      </w:r>
      <w:r w:rsidR="00A43761" w:rsidRPr="0009282C">
        <w:t xml:space="preserve">disease management strategies known as </w:t>
      </w:r>
      <w:r w:rsidR="00407316" w:rsidRPr="0009282C">
        <w:t xml:space="preserve">BSC. BSC </w:t>
      </w:r>
      <w:r w:rsidR="001564F6" w:rsidRPr="0009282C">
        <w:t xml:space="preserve">aims to </w:t>
      </w:r>
      <w:r w:rsidR="00856614" w:rsidRPr="0009282C">
        <w:t>either</w:t>
      </w:r>
      <w:r w:rsidR="001564F6" w:rsidRPr="0009282C">
        <w:t xml:space="preserve"> reduce </w:t>
      </w:r>
      <w:r w:rsidR="00CB202A" w:rsidRPr="0009282C">
        <w:t>oxalate levels or mitigate the effects of oxalate accumulation</w:t>
      </w:r>
      <w:r w:rsidR="00D22203" w:rsidRPr="0009282C">
        <w:t xml:space="preserve">, </w:t>
      </w:r>
      <w:r w:rsidR="00856614" w:rsidRPr="0009282C">
        <w:t xml:space="preserve">but </w:t>
      </w:r>
      <w:r w:rsidR="00D22203" w:rsidRPr="0009282C">
        <w:t>it is not curative</w:t>
      </w:r>
      <w:r w:rsidR="00DF4C70" w:rsidRPr="0009282C">
        <w:rPr>
          <w:iCs/>
        </w:rPr>
        <w:t>.</w:t>
      </w:r>
      <w:r w:rsidR="00D22203" w:rsidRPr="0009282C">
        <w:rPr>
          <w:iCs/>
        </w:rPr>
        <w:t xml:space="preserve"> </w:t>
      </w:r>
      <w:r w:rsidR="0069716E" w:rsidRPr="0009282C">
        <w:rPr>
          <w:iCs/>
        </w:rPr>
        <w:t>The ESC noted that BSC constitute</w:t>
      </w:r>
      <w:r w:rsidR="00683D91" w:rsidRPr="0009282C">
        <w:rPr>
          <w:iCs/>
        </w:rPr>
        <w:t>s</w:t>
      </w:r>
      <w:r w:rsidR="0069716E" w:rsidRPr="0009282C">
        <w:rPr>
          <w:iCs/>
        </w:rPr>
        <w:t xml:space="preserve"> of hyperhydrat</w:t>
      </w:r>
      <w:r w:rsidR="00EF4DF2" w:rsidRPr="0009282C">
        <w:rPr>
          <w:iCs/>
        </w:rPr>
        <w:t>ion (3</w:t>
      </w:r>
      <w:r w:rsidR="00EF4DF2" w:rsidRPr="0009282C">
        <w:t>−</w:t>
      </w:r>
      <w:r w:rsidR="00EF4DF2" w:rsidRPr="0009282C">
        <w:rPr>
          <w:iCs/>
        </w:rPr>
        <w:t xml:space="preserve">5 litres per day), with young children often requiring </w:t>
      </w:r>
      <w:r w:rsidR="00FA4227" w:rsidRPr="0009282C">
        <w:rPr>
          <w:iCs/>
        </w:rPr>
        <w:t xml:space="preserve">a </w:t>
      </w:r>
      <w:r w:rsidR="0059169E" w:rsidRPr="0009282C">
        <w:rPr>
          <w:iCs/>
        </w:rPr>
        <w:t>naso</w:t>
      </w:r>
      <w:r w:rsidR="00E86DCA" w:rsidRPr="0009282C">
        <w:rPr>
          <w:iCs/>
        </w:rPr>
        <w:t>gastric</w:t>
      </w:r>
      <w:r w:rsidR="00FA4227" w:rsidRPr="0009282C">
        <w:rPr>
          <w:iCs/>
        </w:rPr>
        <w:t xml:space="preserve"> or percutaneous enterostomy tube</w:t>
      </w:r>
      <w:r w:rsidR="0072309D" w:rsidRPr="0009282C">
        <w:rPr>
          <w:iCs/>
        </w:rPr>
        <w:t xml:space="preserve">, </w:t>
      </w:r>
      <w:r w:rsidR="00C17609" w:rsidRPr="0009282C">
        <w:rPr>
          <w:iCs/>
        </w:rPr>
        <w:t xml:space="preserve">and </w:t>
      </w:r>
      <w:r w:rsidR="0072309D" w:rsidRPr="0009282C">
        <w:rPr>
          <w:iCs/>
        </w:rPr>
        <w:t>high dose pyridoxine (</w:t>
      </w:r>
      <w:r w:rsidR="00060139" w:rsidRPr="0009282C">
        <w:rPr>
          <w:iCs/>
        </w:rPr>
        <w:t xml:space="preserve">vitamin </w:t>
      </w:r>
      <w:r w:rsidR="0072309D" w:rsidRPr="0009282C">
        <w:rPr>
          <w:iCs/>
        </w:rPr>
        <w:t xml:space="preserve">B6), </w:t>
      </w:r>
      <w:r w:rsidR="007D6AE6" w:rsidRPr="0009282C">
        <w:rPr>
          <w:iCs/>
        </w:rPr>
        <w:t>which improves urine oxalate levels in some</w:t>
      </w:r>
      <w:r w:rsidR="00EB3C8D" w:rsidRPr="0009282C">
        <w:rPr>
          <w:iCs/>
        </w:rPr>
        <w:t xml:space="preserve"> patients</w:t>
      </w:r>
      <w:r w:rsidR="001322C5" w:rsidRPr="0009282C">
        <w:rPr>
          <w:iCs/>
        </w:rPr>
        <w:t>;</w:t>
      </w:r>
      <w:r w:rsidR="007D6AE6" w:rsidRPr="0009282C">
        <w:rPr>
          <w:iCs/>
        </w:rPr>
        <w:t xml:space="preserve"> </w:t>
      </w:r>
      <w:r w:rsidR="00EB3C8D" w:rsidRPr="0009282C">
        <w:rPr>
          <w:iCs/>
        </w:rPr>
        <w:t>however</w:t>
      </w:r>
      <w:r w:rsidR="001322C5" w:rsidRPr="0009282C">
        <w:rPr>
          <w:iCs/>
        </w:rPr>
        <w:t>,</w:t>
      </w:r>
      <w:r w:rsidR="007D6AE6" w:rsidRPr="0009282C">
        <w:rPr>
          <w:iCs/>
        </w:rPr>
        <w:t xml:space="preserve"> can cause peripheral neuropathy. The ESC</w:t>
      </w:r>
      <w:r w:rsidR="00683D91" w:rsidRPr="0009282C">
        <w:rPr>
          <w:iCs/>
        </w:rPr>
        <w:t xml:space="preserve"> also</w:t>
      </w:r>
      <w:r w:rsidR="007D6AE6" w:rsidRPr="0009282C">
        <w:rPr>
          <w:iCs/>
        </w:rPr>
        <w:t xml:space="preserve"> noted BSC also include</w:t>
      </w:r>
      <w:r w:rsidR="003B6F8B" w:rsidRPr="0009282C">
        <w:rPr>
          <w:iCs/>
        </w:rPr>
        <w:t>s</w:t>
      </w:r>
      <w:r w:rsidR="007D6AE6" w:rsidRPr="0009282C">
        <w:rPr>
          <w:iCs/>
        </w:rPr>
        <w:t xml:space="preserve"> potassium/sodium citrate supplementation, dietary oxalate restriction</w:t>
      </w:r>
      <w:r w:rsidR="002057F0" w:rsidRPr="0009282C">
        <w:rPr>
          <w:iCs/>
        </w:rPr>
        <w:t xml:space="preserve">, and frequent (often daily) haemodialysis </w:t>
      </w:r>
      <w:r w:rsidR="005733E8" w:rsidRPr="0009282C">
        <w:rPr>
          <w:iCs/>
        </w:rPr>
        <w:t>f</w:t>
      </w:r>
      <w:r w:rsidR="002057F0" w:rsidRPr="0009282C">
        <w:rPr>
          <w:iCs/>
        </w:rPr>
        <w:t>or CKD. The ESC noted that liver transplantation was curative</w:t>
      </w:r>
      <w:r w:rsidR="00C17609" w:rsidRPr="0009282C">
        <w:rPr>
          <w:iCs/>
        </w:rPr>
        <w:t xml:space="preserve"> and is often done </w:t>
      </w:r>
      <w:r w:rsidR="003B6F8B" w:rsidRPr="0009282C">
        <w:rPr>
          <w:iCs/>
        </w:rPr>
        <w:t>in combination with a</w:t>
      </w:r>
      <w:r w:rsidR="00C17609" w:rsidRPr="0009282C">
        <w:rPr>
          <w:iCs/>
        </w:rPr>
        <w:t xml:space="preserve"> renal transplant.</w:t>
      </w:r>
      <w:r w:rsidR="00FA4227" w:rsidRPr="0009282C">
        <w:t xml:space="preserve"> </w:t>
      </w:r>
      <w:proofErr w:type="spellStart"/>
      <w:r w:rsidR="00150F11" w:rsidRPr="0009282C">
        <w:t>Lumasiran</w:t>
      </w:r>
      <w:proofErr w:type="spellEnd"/>
      <w:r w:rsidR="00150F11" w:rsidRPr="0009282C">
        <w:t xml:space="preserve"> </w:t>
      </w:r>
      <w:r w:rsidR="006A66A7" w:rsidRPr="0009282C">
        <w:t>is being</w:t>
      </w:r>
      <w:r w:rsidR="00C166D2" w:rsidRPr="0009282C">
        <w:t xml:space="preserve"> proposed as an addition to BSC</w:t>
      </w:r>
      <w:r w:rsidR="006A66A7" w:rsidRPr="0009282C">
        <w:t>, not a replacement.</w:t>
      </w:r>
    </w:p>
    <w:p w14:paraId="4BC297E6" w14:textId="1B303329" w:rsidR="005613D5" w:rsidRPr="005613D5" w:rsidDel="00195452" w:rsidRDefault="005613D5" w:rsidP="005613D5">
      <w:pPr>
        <w:pStyle w:val="3-BodyText"/>
        <w:numPr>
          <w:ilvl w:val="1"/>
          <w:numId w:val="13"/>
        </w:numPr>
      </w:pPr>
      <w:proofErr w:type="spellStart"/>
      <w:r w:rsidRPr="005613D5">
        <w:t>Lumasiran</w:t>
      </w:r>
      <w:proofErr w:type="spellEnd"/>
      <w:r w:rsidRPr="005613D5">
        <w:t xml:space="preserve"> targets messenger ribonucleic acid (mRNA) in the HAO1 gene in hepatocytes using small interfering ribonucleic acid (siRNA)-mediated interference to reduce levels of the enzyme glycolate oxidase. The decrease in glycolate oxidase reduces the amount of glyoxylate available for oxalate production, thereby reducing the amount of oxalate being produced. This results in a reduction in plasma and urinary oxalate levels, the underlying cause of symptoms and complications associated with PH1.</w:t>
      </w:r>
    </w:p>
    <w:p w14:paraId="72E44460" w14:textId="2B6C4DF6" w:rsidR="007372E2" w:rsidRPr="0009282C" w:rsidRDefault="00941293" w:rsidP="00737F9C">
      <w:pPr>
        <w:pStyle w:val="3-BodyText"/>
        <w:numPr>
          <w:ilvl w:val="1"/>
          <w:numId w:val="13"/>
        </w:numPr>
      </w:pPr>
      <w:r w:rsidRPr="0009282C">
        <w:t xml:space="preserve">Details of the proposed clinical management algorithm is provided in </w:t>
      </w:r>
      <w:r w:rsidR="009E013E" w:rsidRPr="0009282C">
        <w:fldChar w:fldCharType="begin" w:fldLock="1"/>
      </w:r>
      <w:r w:rsidR="009E013E" w:rsidRPr="0009282C">
        <w:instrText xml:space="preserve"> REF _Ref185865578 \h </w:instrText>
      </w:r>
      <w:r w:rsidR="009E013E" w:rsidRPr="0009282C">
        <w:fldChar w:fldCharType="separate"/>
      </w:r>
      <w:r w:rsidR="00771DFF" w:rsidRPr="0009282C">
        <w:t xml:space="preserve">Figure </w:t>
      </w:r>
      <w:r w:rsidR="00771DFF">
        <w:rPr>
          <w:noProof/>
        </w:rPr>
        <w:t>1</w:t>
      </w:r>
      <w:r w:rsidR="009E013E" w:rsidRPr="0009282C">
        <w:fldChar w:fldCharType="end"/>
      </w:r>
      <w:r w:rsidR="007372E2" w:rsidRPr="0009282C">
        <w:t>.</w:t>
      </w:r>
      <w:r w:rsidR="009E7D67" w:rsidRPr="0009282C">
        <w:t xml:space="preserve"> </w:t>
      </w:r>
      <w:r w:rsidR="004D19DD" w:rsidRPr="0009282C">
        <w:rPr>
          <w:iCs/>
        </w:rPr>
        <w:t xml:space="preserve">The ESC noted that patients may also initially present to a general practitioner, the emergency department or a general paediatrician. </w:t>
      </w:r>
    </w:p>
    <w:p w14:paraId="0A4687F1" w14:textId="69A95809" w:rsidR="00601A80" w:rsidRPr="0009282C" w:rsidRDefault="003176BA" w:rsidP="001E6A64">
      <w:pPr>
        <w:pStyle w:val="Caption"/>
        <w:spacing w:after="40"/>
      </w:pPr>
      <w:bookmarkStart w:id="12" w:name="_Ref185865578"/>
      <w:bookmarkStart w:id="13" w:name="_Ref185867153"/>
      <w:bookmarkStart w:id="14" w:name="_Ref185867149"/>
      <w:r w:rsidRPr="0009282C">
        <w:t xml:space="preserve">Figure </w:t>
      </w:r>
      <w:r w:rsidR="000D4330">
        <w:fldChar w:fldCharType="begin" w:fldLock="1"/>
      </w:r>
      <w:r w:rsidR="000D4330">
        <w:instrText xml:space="preserve"> SEQ Figure \* ARABIC </w:instrText>
      </w:r>
      <w:r w:rsidR="000D4330">
        <w:fldChar w:fldCharType="separate"/>
      </w:r>
      <w:r w:rsidR="00771DFF">
        <w:rPr>
          <w:noProof/>
        </w:rPr>
        <w:t>1</w:t>
      </w:r>
      <w:r w:rsidR="000D4330">
        <w:rPr>
          <w:noProof/>
        </w:rPr>
        <w:fldChar w:fldCharType="end"/>
      </w:r>
      <w:bookmarkEnd w:id="12"/>
      <w:bookmarkEnd w:id="13"/>
      <w:r w:rsidR="00FF2357" w:rsidRPr="0009282C">
        <w:rPr>
          <w:noProof/>
        </w:rPr>
        <w:t>:</w:t>
      </w:r>
      <w:r w:rsidR="000D2056" w:rsidRPr="0009282C">
        <w:tab/>
      </w:r>
      <w:r w:rsidRPr="0009282C">
        <w:t>Proposed clinical management algorithm</w:t>
      </w:r>
      <w:bookmarkEnd w:id="14"/>
    </w:p>
    <w:p w14:paraId="4C32FC26" w14:textId="77777777" w:rsidR="003176BA" w:rsidRPr="0009282C" w:rsidRDefault="003176BA" w:rsidP="001E6A64">
      <w:pPr>
        <w:jc w:val="left"/>
      </w:pPr>
      <w:r w:rsidRPr="0009282C">
        <w:rPr>
          <w:noProof/>
        </w:rPr>
        <w:drawing>
          <wp:inline distT="0" distB="0" distL="0" distR="0" wp14:anchorId="607FA9BA" wp14:editId="5C280BA3">
            <wp:extent cx="5666509" cy="2487946"/>
            <wp:effectExtent l="0" t="0" r="0" b="7620"/>
            <wp:docPr id="1164278760" name="Picture 2" descr="A diagram of a patient's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78760" name="Picture 2" descr="A diagram of a patient's tes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666509" cy="2487946"/>
                    </a:xfrm>
                    <a:prstGeom prst="rect">
                      <a:avLst/>
                    </a:prstGeom>
                    <a:noFill/>
                    <a:ln>
                      <a:noFill/>
                    </a:ln>
                    <a:extLst>
                      <a:ext uri="{53640926-AAD7-44D8-BBD7-CCE9431645EC}">
                        <a14:shadowObscured xmlns:a14="http://schemas.microsoft.com/office/drawing/2010/main"/>
                      </a:ext>
                    </a:extLst>
                  </pic:spPr>
                </pic:pic>
              </a:graphicData>
            </a:graphic>
          </wp:inline>
        </w:drawing>
      </w:r>
    </w:p>
    <w:p w14:paraId="12A14423" w14:textId="28D928DB" w:rsidR="003176BA" w:rsidRPr="0009282C" w:rsidRDefault="00580660" w:rsidP="001E6A64">
      <w:pPr>
        <w:pStyle w:val="TableFigureFooter"/>
      </w:pPr>
      <w:r w:rsidRPr="0009282C">
        <w:t>Abbreviations:</w:t>
      </w:r>
      <w:r w:rsidR="125F562A" w:rsidRPr="0009282C">
        <w:t xml:space="preserve"> AGXT, alanine-glyoxylate aminotransferase; CKD, chronic kidney disease; ESKD, end-stage kidney disease; PH1, primary hyperoxaluria type 1; PBS, Pharmaceutical Benefits Scheme</w:t>
      </w:r>
      <w:r w:rsidR="125F562A" w:rsidRPr="0009282C">
        <w:rPr>
          <w:b/>
        </w:rPr>
        <w:t xml:space="preserve"> </w:t>
      </w:r>
    </w:p>
    <w:p w14:paraId="51B99199" w14:textId="13B581C1" w:rsidR="007372E2" w:rsidRPr="0009282C" w:rsidRDefault="00580660" w:rsidP="001E6A64">
      <w:pPr>
        <w:pStyle w:val="TableFigureFooter"/>
      </w:pPr>
      <w:r w:rsidRPr="0009282C">
        <w:t>Source:</w:t>
      </w:r>
      <w:r w:rsidR="003176BA" w:rsidRPr="0009282C">
        <w:t xml:space="preserve"> </w:t>
      </w:r>
      <w:r w:rsidR="00864F57" w:rsidRPr="0009282C">
        <w:t xml:space="preserve">p29, Figure 1.5 of the submission. Based on </w:t>
      </w:r>
      <w:r w:rsidR="003176BA" w:rsidRPr="0009282C">
        <w:t>Australian PH1 clinical expert opinion (Data on File)</w:t>
      </w:r>
      <w:r w:rsidR="00864F57" w:rsidRPr="0009282C">
        <w:t>.</w:t>
      </w:r>
    </w:p>
    <w:p w14:paraId="0F68B3FE" w14:textId="1DAF8A02" w:rsidR="00B622E7" w:rsidRPr="0009282C" w:rsidDel="00195452" w:rsidRDefault="00B622E7" w:rsidP="000D44BD">
      <w:pPr>
        <w:pStyle w:val="3-BodyText"/>
        <w:numPr>
          <w:ilvl w:val="0"/>
          <w:numId w:val="0"/>
        </w:numPr>
        <w:ind w:left="720" w:hanging="720"/>
        <w:rPr>
          <w:i/>
          <w:iCs/>
        </w:rPr>
      </w:pPr>
      <w:r w:rsidRPr="0009282C">
        <w:rPr>
          <w:i/>
          <w:iCs/>
        </w:rPr>
        <w:t>For more detail on PBAC’s view, see section 7 PBAC outcome.</w:t>
      </w:r>
    </w:p>
    <w:p w14:paraId="51E5AE96" w14:textId="136A63B1" w:rsidR="00B50DB8" w:rsidRPr="0009282C" w:rsidRDefault="00B50DB8" w:rsidP="000222C0">
      <w:pPr>
        <w:pStyle w:val="2-SectionHeading"/>
        <w:ind w:left="709" w:hanging="709"/>
      </w:pPr>
      <w:bookmarkStart w:id="15" w:name="_Toc188443834"/>
      <w:r w:rsidRPr="0009282C">
        <w:t>Comparator</w:t>
      </w:r>
      <w:bookmarkEnd w:id="15"/>
    </w:p>
    <w:p w14:paraId="00728504" w14:textId="26FE265C" w:rsidR="005226D6" w:rsidRPr="0009282C" w:rsidRDefault="00ED5BD4" w:rsidP="00737F9C">
      <w:pPr>
        <w:pStyle w:val="3-BodyText"/>
        <w:numPr>
          <w:ilvl w:val="1"/>
          <w:numId w:val="16"/>
        </w:numPr>
      </w:pPr>
      <w:r w:rsidRPr="0009282C">
        <w:t xml:space="preserve">The submission nominated </w:t>
      </w:r>
      <w:r w:rsidR="0095722D" w:rsidRPr="0009282C">
        <w:t>BSC</w:t>
      </w:r>
      <w:r w:rsidRPr="0009282C">
        <w:t xml:space="preserve"> as the </w:t>
      </w:r>
      <w:r w:rsidR="001072AE" w:rsidRPr="0009282C">
        <w:t xml:space="preserve">main </w:t>
      </w:r>
      <w:r w:rsidRPr="0009282C">
        <w:t xml:space="preserve">comparator. </w:t>
      </w:r>
      <w:r w:rsidR="000C646A" w:rsidRPr="0009282C">
        <w:rPr>
          <w:iCs/>
        </w:rPr>
        <w:t>The submission stated that</w:t>
      </w:r>
      <w:r w:rsidR="000C646A" w:rsidRPr="0009282C">
        <w:t xml:space="preserve"> </w:t>
      </w:r>
      <w:r w:rsidR="00672531" w:rsidRPr="0009282C">
        <w:t>BSC may include dietary management, hyper</w:t>
      </w:r>
      <w:r w:rsidR="000C646A" w:rsidRPr="0009282C">
        <w:t>-</w:t>
      </w:r>
      <w:r w:rsidR="00672531" w:rsidRPr="0009282C">
        <w:t xml:space="preserve">hydration, citrate and pyridoxine (vitamin B6) administration, urological management of kidney stones, dialysis and combined </w:t>
      </w:r>
      <w:r w:rsidR="000C646A" w:rsidRPr="0009282C">
        <w:t>liver-kidney trans</w:t>
      </w:r>
      <w:r w:rsidR="00A26446" w:rsidRPr="0009282C">
        <w:t>plantation (</w:t>
      </w:r>
      <w:r w:rsidR="00672531" w:rsidRPr="0009282C">
        <w:t>LKT</w:t>
      </w:r>
      <w:r w:rsidR="00A26446" w:rsidRPr="0009282C">
        <w:t>)</w:t>
      </w:r>
      <w:r w:rsidR="00672531" w:rsidRPr="0009282C">
        <w:t>.</w:t>
      </w:r>
    </w:p>
    <w:p w14:paraId="2D32472D" w14:textId="55C75B98" w:rsidR="00B37D87" w:rsidRPr="0009282C" w:rsidRDefault="005226D6" w:rsidP="00EC48DC">
      <w:pPr>
        <w:pStyle w:val="3-BodyText"/>
      </w:pPr>
      <w:proofErr w:type="spellStart"/>
      <w:r w:rsidRPr="0009282C">
        <w:t>Lumasiran</w:t>
      </w:r>
      <w:proofErr w:type="spellEnd"/>
      <w:r w:rsidRPr="0009282C">
        <w:t xml:space="preserve"> </w:t>
      </w:r>
      <w:r w:rsidR="006C790E" w:rsidRPr="0009282C">
        <w:t>wa</w:t>
      </w:r>
      <w:r w:rsidR="00995D94" w:rsidRPr="0009282C">
        <w:t>s proposed to not</w:t>
      </w:r>
      <w:r w:rsidRPr="0009282C">
        <w:t xml:space="preserve"> replace any medicines in Australia; it </w:t>
      </w:r>
      <w:r w:rsidR="006C790E" w:rsidRPr="0009282C">
        <w:t>wa</w:t>
      </w:r>
      <w:r w:rsidR="00B145E0" w:rsidRPr="0009282C">
        <w:t xml:space="preserve">s proposed to </w:t>
      </w:r>
      <w:r w:rsidRPr="0009282C">
        <w:t>be offered in addition to BSC.</w:t>
      </w:r>
      <w:r w:rsidR="007B5493" w:rsidRPr="0009282C">
        <w:t xml:space="preserve"> </w:t>
      </w:r>
    </w:p>
    <w:p w14:paraId="674860C2" w14:textId="5958A9A0" w:rsidR="002C2775" w:rsidRPr="0009282C" w:rsidRDefault="00096113" w:rsidP="00EC48DC">
      <w:pPr>
        <w:pStyle w:val="3-BodyText"/>
      </w:pPr>
      <w:r w:rsidRPr="0009282C">
        <w:rPr>
          <w:iCs/>
        </w:rPr>
        <w:t xml:space="preserve">The ESC considered that non-invasive measures were </w:t>
      </w:r>
      <w:r w:rsidR="00647562" w:rsidRPr="0009282C">
        <w:rPr>
          <w:iCs/>
        </w:rPr>
        <w:t xml:space="preserve">a </w:t>
      </w:r>
      <w:r w:rsidRPr="0009282C">
        <w:rPr>
          <w:iCs/>
        </w:rPr>
        <w:t xml:space="preserve">reasonable </w:t>
      </w:r>
      <w:r w:rsidR="00D82DEC" w:rsidRPr="0009282C">
        <w:rPr>
          <w:iCs/>
        </w:rPr>
        <w:t xml:space="preserve">main comparator for </w:t>
      </w:r>
      <w:proofErr w:type="spellStart"/>
      <w:r w:rsidR="00D82DEC" w:rsidRPr="0009282C">
        <w:rPr>
          <w:iCs/>
        </w:rPr>
        <w:t>lumasiran</w:t>
      </w:r>
      <w:proofErr w:type="spellEnd"/>
      <w:r w:rsidR="00D82DEC" w:rsidRPr="0009282C">
        <w:rPr>
          <w:iCs/>
        </w:rPr>
        <w:t>.</w:t>
      </w:r>
      <w:r w:rsidR="00556AD8">
        <w:rPr>
          <w:iCs/>
        </w:rPr>
        <w:t xml:space="preserve"> T</w:t>
      </w:r>
      <w:r w:rsidR="00655A89" w:rsidRPr="0009282C">
        <w:rPr>
          <w:iCs/>
        </w:rPr>
        <w:t>he ESC noted that</w:t>
      </w:r>
      <w:r w:rsidR="00655A89" w:rsidRPr="0009282C">
        <w:t xml:space="preserve"> </w:t>
      </w:r>
      <w:proofErr w:type="spellStart"/>
      <w:r w:rsidR="00B145E0" w:rsidRPr="0009282C">
        <w:t>l</w:t>
      </w:r>
      <w:r w:rsidR="00B55373" w:rsidRPr="0009282C">
        <w:t>umasiran</w:t>
      </w:r>
      <w:proofErr w:type="spellEnd"/>
      <w:r w:rsidR="007B5493" w:rsidRPr="0009282C">
        <w:t xml:space="preserve"> </w:t>
      </w:r>
      <w:r w:rsidR="00E2102D" w:rsidRPr="0009282C">
        <w:t xml:space="preserve">may reduce </w:t>
      </w:r>
      <w:r w:rsidR="00D82DEC" w:rsidRPr="0009282C">
        <w:rPr>
          <w:iCs/>
        </w:rPr>
        <w:t xml:space="preserve">progression </w:t>
      </w:r>
      <w:r w:rsidR="00823116" w:rsidRPr="0009282C">
        <w:rPr>
          <w:iCs/>
        </w:rPr>
        <w:t xml:space="preserve">to </w:t>
      </w:r>
      <w:r w:rsidR="00303EBD" w:rsidRPr="0009282C">
        <w:t>dialysis</w:t>
      </w:r>
      <w:r w:rsidR="008F4612" w:rsidRPr="0009282C">
        <w:t xml:space="preserve"> </w:t>
      </w:r>
      <w:r w:rsidR="00EA237E" w:rsidRPr="0009282C">
        <w:t>and</w:t>
      </w:r>
      <w:r w:rsidR="008F4612" w:rsidRPr="0009282C">
        <w:t xml:space="preserve"> </w:t>
      </w:r>
      <w:r w:rsidR="00F01D0A" w:rsidRPr="0009282C">
        <w:rPr>
          <w:iCs/>
        </w:rPr>
        <w:t>renal</w:t>
      </w:r>
      <w:r w:rsidR="00F01D0A" w:rsidRPr="0009282C">
        <w:t xml:space="preserve"> </w:t>
      </w:r>
      <w:r w:rsidR="008F4612" w:rsidRPr="0009282C">
        <w:t>transplantation</w:t>
      </w:r>
      <w:r w:rsidR="00A22FA7" w:rsidRPr="0009282C">
        <w:t xml:space="preserve"> (included in BSC)</w:t>
      </w:r>
      <w:r w:rsidR="000F6EE7">
        <w:t>, and</w:t>
      </w:r>
      <w:r w:rsidR="00B37D87" w:rsidRPr="0009282C">
        <w:t xml:space="preserve"> </w:t>
      </w:r>
      <w:r w:rsidR="000F6EE7">
        <w:t>t</w:t>
      </w:r>
      <w:r w:rsidR="0072152C" w:rsidRPr="0009282C">
        <w:t>his was</w:t>
      </w:r>
      <w:r w:rsidR="007B5493" w:rsidRPr="0009282C">
        <w:t xml:space="preserve"> </w:t>
      </w:r>
      <w:r w:rsidR="00ED5BD4" w:rsidRPr="0009282C">
        <w:t>considered in the economic</w:t>
      </w:r>
      <w:r w:rsidR="00F713CB" w:rsidRPr="0009282C">
        <w:t>/</w:t>
      </w:r>
      <w:r w:rsidR="00ED5BD4" w:rsidRPr="0009282C">
        <w:t xml:space="preserve">financial </w:t>
      </w:r>
      <w:r w:rsidR="00F713CB" w:rsidRPr="0009282C">
        <w:t xml:space="preserve">models. </w:t>
      </w:r>
    </w:p>
    <w:p w14:paraId="3D6E54F0" w14:textId="4E0C2DDC" w:rsidR="00B622E7" w:rsidRPr="0009282C" w:rsidRDefault="00B622E7" w:rsidP="00B622E7">
      <w:pPr>
        <w:pStyle w:val="3-BodyText"/>
        <w:numPr>
          <w:ilvl w:val="0"/>
          <w:numId w:val="0"/>
        </w:numPr>
        <w:ind w:left="720"/>
        <w:rPr>
          <w:i/>
          <w:iCs/>
        </w:rPr>
      </w:pPr>
      <w:r w:rsidRPr="0009282C">
        <w:rPr>
          <w:i/>
          <w:iCs/>
        </w:rPr>
        <w:t>For more detail on PBAC’s view, see section 7 PBAC outcome.</w:t>
      </w:r>
    </w:p>
    <w:p w14:paraId="7F9C27C8" w14:textId="77777777" w:rsidR="00223D5A" w:rsidRPr="0009282C" w:rsidRDefault="00223D5A" w:rsidP="000222C0">
      <w:pPr>
        <w:pStyle w:val="2-SectionHeading"/>
        <w:ind w:left="709" w:hanging="709"/>
      </w:pPr>
      <w:bookmarkStart w:id="16" w:name="_Toc188443835"/>
      <w:bookmarkStart w:id="17" w:name="_Toc22897640"/>
      <w:r w:rsidRPr="0009282C">
        <w:t>Consideration of the evidence</w:t>
      </w:r>
      <w:bookmarkEnd w:id="16"/>
    </w:p>
    <w:p w14:paraId="346A9EEB" w14:textId="77777777" w:rsidR="00EB4B57" w:rsidRPr="0009282C" w:rsidRDefault="00EB4B57" w:rsidP="00EB4B57">
      <w:pPr>
        <w:pStyle w:val="4-SubsectionHeading"/>
      </w:pPr>
      <w:bookmarkStart w:id="18" w:name="_Hlk76375935"/>
      <w:bookmarkEnd w:id="17"/>
      <w:r w:rsidRPr="0009282C">
        <w:t>Sponsor hearing</w:t>
      </w:r>
    </w:p>
    <w:p w14:paraId="795F6992" w14:textId="3BB8D0AF" w:rsidR="00EB4B57" w:rsidRPr="00A15E45" w:rsidRDefault="00EB4B57" w:rsidP="00A15E45">
      <w:pPr>
        <w:pStyle w:val="3-BodyText"/>
        <w:numPr>
          <w:ilvl w:val="1"/>
          <w:numId w:val="30"/>
        </w:numPr>
        <w:rPr>
          <w:bCs/>
          <w:snapToGrid w:val="0"/>
        </w:rPr>
      </w:pPr>
      <w:bookmarkStart w:id="19" w:name="_Hlk76382586"/>
      <w:r w:rsidRPr="00A15E45">
        <w:rPr>
          <w:snapToGrid w:val="0"/>
        </w:rPr>
        <w:t>The sponsor requested a hearing for this item.</w:t>
      </w:r>
      <w:r w:rsidR="008F5545" w:rsidRPr="00A15E45">
        <w:rPr>
          <w:snapToGrid w:val="0"/>
        </w:rPr>
        <w:t xml:space="preserve"> The first clinician n</w:t>
      </w:r>
      <w:r w:rsidR="00B523D2" w:rsidRPr="00A15E45">
        <w:rPr>
          <w:snapToGrid w:val="0"/>
        </w:rPr>
        <w:t xml:space="preserve">oted that patients with PH1 </w:t>
      </w:r>
      <w:r w:rsidR="000D702A" w:rsidRPr="00A15E45">
        <w:rPr>
          <w:snapToGrid w:val="0"/>
        </w:rPr>
        <w:t>are often diagnosed</w:t>
      </w:r>
      <w:r w:rsidR="00147764" w:rsidRPr="00A15E45">
        <w:rPr>
          <w:snapToGrid w:val="0"/>
        </w:rPr>
        <w:t xml:space="preserve"> late</w:t>
      </w:r>
      <w:r w:rsidR="000D702A" w:rsidRPr="00A15E45">
        <w:rPr>
          <w:snapToGrid w:val="0"/>
        </w:rPr>
        <w:t xml:space="preserve"> </w:t>
      </w:r>
      <w:r w:rsidR="003A7D23" w:rsidRPr="00A15E45">
        <w:rPr>
          <w:snapToGrid w:val="0"/>
        </w:rPr>
        <w:t>at an advanced stage of disease</w:t>
      </w:r>
      <w:r w:rsidR="004F4036" w:rsidRPr="00A15E45">
        <w:rPr>
          <w:snapToGrid w:val="0"/>
        </w:rPr>
        <w:t xml:space="preserve"> and </w:t>
      </w:r>
      <w:r w:rsidR="007C0DF9" w:rsidRPr="00A15E45">
        <w:rPr>
          <w:snapToGrid w:val="0"/>
        </w:rPr>
        <w:t>typically experience</w:t>
      </w:r>
      <w:r w:rsidR="00A90735" w:rsidRPr="00A15E45">
        <w:rPr>
          <w:snapToGrid w:val="0"/>
        </w:rPr>
        <w:t xml:space="preserve"> </w:t>
      </w:r>
      <w:r w:rsidR="008233B2" w:rsidRPr="00A15E45">
        <w:rPr>
          <w:snapToGrid w:val="0"/>
        </w:rPr>
        <w:t xml:space="preserve">a </w:t>
      </w:r>
      <w:r w:rsidR="007C0DF9" w:rsidRPr="00A15E45">
        <w:rPr>
          <w:snapToGrid w:val="0"/>
        </w:rPr>
        <w:t xml:space="preserve">very </w:t>
      </w:r>
      <w:r w:rsidR="004F4036" w:rsidRPr="00A15E45">
        <w:rPr>
          <w:snapToGrid w:val="0"/>
        </w:rPr>
        <w:t>difficult</w:t>
      </w:r>
      <w:r w:rsidR="008233B2" w:rsidRPr="00A15E45">
        <w:rPr>
          <w:snapToGrid w:val="0"/>
        </w:rPr>
        <w:t xml:space="preserve"> clinical course</w:t>
      </w:r>
      <w:r w:rsidR="00204854" w:rsidRPr="00A15E45">
        <w:rPr>
          <w:snapToGrid w:val="0"/>
        </w:rPr>
        <w:t xml:space="preserve">. </w:t>
      </w:r>
      <w:r w:rsidR="00671BF9" w:rsidRPr="00A15E45">
        <w:rPr>
          <w:snapToGrid w:val="0"/>
        </w:rPr>
        <w:t xml:space="preserve">The clinician </w:t>
      </w:r>
      <w:r w:rsidR="00147764" w:rsidRPr="00A15E45">
        <w:rPr>
          <w:snapToGrid w:val="0"/>
        </w:rPr>
        <w:t>emphasised</w:t>
      </w:r>
      <w:r w:rsidR="00671BF9" w:rsidRPr="00A15E45">
        <w:rPr>
          <w:snapToGrid w:val="0"/>
        </w:rPr>
        <w:t xml:space="preserve"> </w:t>
      </w:r>
      <w:r w:rsidR="00661102" w:rsidRPr="00A15E45">
        <w:rPr>
          <w:snapToGrid w:val="0"/>
        </w:rPr>
        <w:t>the</w:t>
      </w:r>
      <w:r w:rsidR="00671BF9" w:rsidRPr="00A15E45">
        <w:rPr>
          <w:snapToGrid w:val="0"/>
        </w:rPr>
        <w:t xml:space="preserve"> significant time, effort, and expense involved in reducing oxalate levels </w:t>
      </w:r>
      <w:r w:rsidR="00BD0CC8" w:rsidRPr="00A15E45">
        <w:rPr>
          <w:snapToGrid w:val="0"/>
        </w:rPr>
        <w:t>in individuals with</w:t>
      </w:r>
      <w:r w:rsidR="00671BF9" w:rsidRPr="00A15E45">
        <w:rPr>
          <w:snapToGrid w:val="0"/>
        </w:rPr>
        <w:t xml:space="preserve"> </w:t>
      </w:r>
      <w:r w:rsidR="009A524A" w:rsidRPr="00A15E45">
        <w:rPr>
          <w:snapToGrid w:val="0"/>
        </w:rPr>
        <w:t xml:space="preserve">PH1 </w:t>
      </w:r>
      <w:r w:rsidR="0066137E" w:rsidRPr="00A15E45">
        <w:rPr>
          <w:snapToGrid w:val="0"/>
        </w:rPr>
        <w:t>and</w:t>
      </w:r>
      <w:r w:rsidR="007C0DF9" w:rsidRPr="00A15E45">
        <w:rPr>
          <w:snapToGrid w:val="0"/>
        </w:rPr>
        <w:t xml:space="preserve"> noted</w:t>
      </w:r>
      <w:r w:rsidR="0066137E" w:rsidRPr="00A15E45">
        <w:rPr>
          <w:snapToGrid w:val="0"/>
        </w:rPr>
        <w:t xml:space="preserve"> that current BSC places a significant burden on patients.</w:t>
      </w:r>
      <w:r w:rsidR="00671BF9" w:rsidRPr="00A15E45">
        <w:rPr>
          <w:snapToGrid w:val="0"/>
        </w:rPr>
        <w:t xml:space="preserve"> </w:t>
      </w:r>
      <w:r w:rsidR="00204854" w:rsidRPr="00A15E45">
        <w:rPr>
          <w:snapToGrid w:val="0"/>
        </w:rPr>
        <w:t>Patients</w:t>
      </w:r>
      <w:r w:rsidR="00D36575" w:rsidRPr="00A15E45">
        <w:rPr>
          <w:snapToGrid w:val="0"/>
        </w:rPr>
        <w:t xml:space="preserve"> </w:t>
      </w:r>
      <w:r w:rsidR="001854E6" w:rsidRPr="00A15E45">
        <w:rPr>
          <w:snapToGrid w:val="0"/>
        </w:rPr>
        <w:t>typically require 6 to 8 hours of dia</w:t>
      </w:r>
      <w:r w:rsidR="00717051">
        <w:rPr>
          <w:snapToGrid w:val="0"/>
        </w:rPr>
        <w:t>lysis</w:t>
      </w:r>
      <w:r w:rsidR="00C274D7">
        <w:rPr>
          <w:snapToGrid w:val="0"/>
        </w:rPr>
        <w:t>,</w:t>
      </w:r>
      <w:r w:rsidR="001854E6" w:rsidRPr="00A15E45">
        <w:rPr>
          <w:snapToGrid w:val="0"/>
        </w:rPr>
        <w:t xml:space="preserve"> 6 to 7 days per week, </w:t>
      </w:r>
      <w:r w:rsidR="007C0DF9" w:rsidRPr="00A15E45">
        <w:rPr>
          <w:snapToGrid w:val="0"/>
        </w:rPr>
        <w:t xml:space="preserve">and </w:t>
      </w:r>
      <w:r w:rsidR="00A821F7" w:rsidRPr="00A15E45">
        <w:rPr>
          <w:snapToGrid w:val="0"/>
        </w:rPr>
        <w:t>commonly experienc</w:t>
      </w:r>
      <w:r w:rsidR="00AD5DC2" w:rsidRPr="00A15E45">
        <w:rPr>
          <w:snapToGrid w:val="0"/>
        </w:rPr>
        <w:t>e</w:t>
      </w:r>
      <w:r w:rsidR="00A821F7" w:rsidRPr="00A15E45">
        <w:rPr>
          <w:snapToGrid w:val="0"/>
        </w:rPr>
        <w:t xml:space="preserve"> </w:t>
      </w:r>
      <w:r w:rsidR="00B523D2" w:rsidRPr="00A15E45">
        <w:rPr>
          <w:snapToGrid w:val="0"/>
        </w:rPr>
        <w:t>recurrent kidney stones, leading to repeat hospitalisations for urological proc</w:t>
      </w:r>
      <w:r w:rsidR="00070DEF" w:rsidRPr="00A15E45">
        <w:rPr>
          <w:snapToGrid w:val="0"/>
        </w:rPr>
        <w:t xml:space="preserve">edures and pain management. </w:t>
      </w:r>
      <w:r w:rsidR="00950F2F" w:rsidRPr="00A15E45">
        <w:rPr>
          <w:bCs/>
          <w:snapToGrid w:val="0"/>
        </w:rPr>
        <w:t xml:space="preserve">The clinician </w:t>
      </w:r>
      <w:r w:rsidR="00FD48BB" w:rsidRPr="00A15E45">
        <w:rPr>
          <w:bCs/>
          <w:snapToGrid w:val="0"/>
        </w:rPr>
        <w:t>emphasised</w:t>
      </w:r>
      <w:r w:rsidR="00950F2F" w:rsidRPr="00A15E45">
        <w:rPr>
          <w:bCs/>
          <w:snapToGrid w:val="0"/>
        </w:rPr>
        <w:t xml:space="preserve"> the importance of </w:t>
      </w:r>
      <w:r w:rsidR="003070CC" w:rsidRPr="00A15E45">
        <w:rPr>
          <w:bCs/>
          <w:snapToGrid w:val="0"/>
        </w:rPr>
        <w:t>early kidney</w:t>
      </w:r>
      <w:r w:rsidR="00AF6CEA" w:rsidRPr="00A15E45">
        <w:rPr>
          <w:bCs/>
          <w:snapToGrid w:val="0"/>
        </w:rPr>
        <w:t xml:space="preserve"> and liver</w:t>
      </w:r>
      <w:r w:rsidR="003070CC" w:rsidRPr="00A15E45">
        <w:rPr>
          <w:bCs/>
          <w:snapToGrid w:val="0"/>
        </w:rPr>
        <w:t xml:space="preserve"> transplantation and</w:t>
      </w:r>
      <w:r w:rsidR="00C70D21" w:rsidRPr="00A15E45">
        <w:rPr>
          <w:bCs/>
          <w:snapToGrid w:val="0"/>
        </w:rPr>
        <w:t xml:space="preserve"> the need for</w:t>
      </w:r>
      <w:r w:rsidR="003070CC" w:rsidRPr="00A15E45">
        <w:rPr>
          <w:bCs/>
          <w:snapToGrid w:val="0"/>
        </w:rPr>
        <w:t xml:space="preserve"> </w:t>
      </w:r>
      <w:r w:rsidR="00950F2F" w:rsidRPr="00A15E45">
        <w:rPr>
          <w:bCs/>
          <w:snapToGrid w:val="0"/>
        </w:rPr>
        <w:t>reducing</w:t>
      </w:r>
      <w:r w:rsidR="00265FE2" w:rsidRPr="00A15E45">
        <w:rPr>
          <w:bCs/>
          <w:snapToGrid w:val="0"/>
        </w:rPr>
        <w:t xml:space="preserve"> oxalate accumulation in the body</w:t>
      </w:r>
      <w:r w:rsidR="004A2E1B" w:rsidRPr="00A15E45">
        <w:rPr>
          <w:bCs/>
          <w:snapToGrid w:val="0"/>
        </w:rPr>
        <w:t xml:space="preserve">, as </w:t>
      </w:r>
      <w:r w:rsidR="00383331" w:rsidRPr="00A15E45">
        <w:rPr>
          <w:bCs/>
          <w:snapToGrid w:val="0"/>
        </w:rPr>
        <w:t xml:space="preserve">transplants </w:t>
      </w:r>
      <w:r w:rsidR="0000205B" w:rsidRPr="00A15E45">
        <w:rPr>
          <w:bCs/>
          <w:snapToGrid w:val="0"/>
        </w:rPr>
        <w:t>performed at a more advanced stage of disease, and when combined with high oxalate levels, are associated with poor outcomes.</w:t>
      </w:r>
      <w:r w:rsidR="006C7006" w:rsidRPr="00A15E45">
        <w:rPr>
          <w:bCs/>
          <w:snapToGrid w:val="0"/>
        </w:rPr>
        <w:t xml:space="preserve"> The second clinician</w:t>
      </w:r>
      <w:r w:rsidR="00593BED" w:rsidRPr="00A15E45">
        <w:rPr>
          <w:bCs/>
          <w:snapToGrid w:val="0"/>
        </w:rPr>
        <w:t xml:space="preserve"> noted that </w:t>
      </w:r>
      <w:r w:rsidR="00564E94" w:rsidRPr="0009282C">
        <w:t xml:space="preserve">PH1 tends to be more severe </w:t>
      </w:r>
      <w:r w:rsidR="00A138FF">
        <w:t>when diagnosed in the first 3 years of life</w:t>
      </w:r>
      <w:r w:rsidR="00B94E15">
        <w:t xml:space="preserve">. </w:t>
      </w:r>
      <w:r w:rsidR="0043637B">
        <w:t>The clinician</w:t>
      </w:r>
      <w:r w:rsidR="00BF5457">
        <w:t xml:space="preserve"> a</w:t>
      </w:r>
      <w:r w:rsidR="00836E91">
        <w:t>lso</w:t>
      </w:r>
      <w:r w:rsidR="0043637B">
        <w:t xml:space="preserve"> noted that </w:t>
      </w:r>
      <w:r w:rsidR="0005167E" w:rsidRPr="0005167E">
        <w:t xml:space="preserve">urinary oxalate </w:t>
      </w:r>
      <w:r w:rsidR="0005167E">
        <w:t xml:space="preserve">is typically used </w:t>
      </w:r>
      <w:r w:rsidR="0005167E" w:rsidRPr="0005167E">
        <w:t>as a biomarker</w:t>
      </w:r>
      <w:r w:rsidR="0005167E">
        <w:t xml:space="preserve"> for</w:t>
      </w:r>
      <w:r w:rsidR="0005167E" w:rsidRPr="0005167E">
        <w:t xml:space="preserve"> disease activity</w:t>
      </w:r>
      <w:r w:rsidR="0074322B">
        <w:t>, but</w:t>
      </w:r>
      <w:r w:rsidR="00780A9B">
        <w:t xml:space="preserve"> </w:t>
      </w:r>
      <w:r w:rsidR="0074322B">
        <w:t>p</w:t>
      </w:r>
      <w:r w:rsidR="00780A9B">
        <w:t xml:space="preserve">lasma oxalate would be used for patients with very severe disease. </w:t>
      </w:r>
      <w:r w:rsidR="001669B1">
        <w:t xml:space="preserve">The second clinician also </w:t>
      </w:r>
      <w:r w:rsidR="00F230FA">
        <w:t>highlighted</w:t>
      </w:r>
      <w:r w:rsidR="001669B1">
        <w:t xml:space="preserve"> the </w:t>
      </w:r>
      <w:r w:rsidR="00E83CB8">
        <w:t>burden</w:t>
      </w:r>
      <w:r w:rsidR="00F47CAF">
        <w:t xml:space="preserve"> on</w:t>
      </w:r>
      <w:r w:rsidR="00062DCA">
        <w:t xml:space="preserve"> both</w:t>
      </w:r>
      <w:r w:rsidR="00F47CAF">
        <w:t xml:space="preserve"> patients and healthcare systems</w:t>
      </w:r>
      <w:r w:rsidR="00E83CB8">
        <w:t xml:space="preserve"> </w:t>
      </w:r>
      <w:r w:rsidR="0053700F">
        <w:t>in</w:t>
      </w:r>
      <w:r w:rsidR="00E83CB8">
        <w:t xml:space="preserve"> </w:t>
      </w:r>
      <w:r w:rsidR="00062DCA">
        <w:t>managing</w:t>
      </w:r>
      <w:r w:rsidR="00E83CB8">
        <w:t xml:space="preserve"> oxalate</w:t>
      </w:r>
      <w:r w:rsidR="0007443D">
        <w:t xml:space="preserve"> levels</w:t>
      </w:r>
      <w:r w:rsidR="00E83CB8">
        <w:t xml:space="preserve"> </w:t>
      </w:r>
      <w:r w:rsidR="00062DCA">
        <w:t>in</w:t>
      </w:r>
      <w:r w:rsidR="0053700F">
        <w:t xml:space="preserve"> children </w:t>
      </w:r>
      <w:r w:rsidR="00062DCA">
        <w:t>while they await a liver transplant.</w:t>
      </w:r>
      <w:r w:rsidR="008F410B">
        <w:t xml:space="preserve"> The second clinician </w:t>
      </w:r>
      <w:r w:rsidR="002164FD">
        <w:t xml:space="preserve">considered </w:t>
      </w:r>
      <w:r w:rsidR="00836E91">
        <w:t>that the results from the</w:t>
      </w:r>
      <w:r w:rsidR="002164FD">
        <w:t xml:space="preserve"> </w:t>
      </w:r>
      <w:proofErr w:type="spellStart"/>
      <w:r w:rsidR="002164FD">
        <w:t>lumasiran</w:t>
      </w:r>
      <w:proofErr w:type="spellEnd"/>
      <w:r w:rsidR="002164FD">
        <w:t xml:space="preserve"> clinical trial</w:t>
      </w:r>
      <w:r w:rsidR="00836E91">
        <w:t>s were</w:t>
      </w:r>
      <w:r w:rsidR="002164FD">
        <w:t xml:space="preserve"> </w:t>
      </w:r>
      <w:r w:rsidR="00824A58">
        <w:t>encouraging</w:t>
      </w:r>
      <w:r w:rsidR="00433607">
        <w:t xml:space="preserve"> </w:t>
      </w:r>
      <w:r w:rsidR="00E43821">
        <w:t xml:space="preserve">and considered </w:t>
      </w:r>
      <w:r w:rsidR="00430B9A">
        <w:t xml:space="preserve">that integrating </w:t>
      </w:r>
      <w:proofErr w:type="spellStart"/>
      <w:r w:rsidR="00430B9A">
        <w:t>lumasiran</w:t>
      </w:r>
      <w:proofErr w:type="spellEnd"/>
      <w:r w:rsidR="00430B9A">
        <w:t xml:space="preserve"> into clinical practice could significantly reduce the </w:t>
      </w:r>
      <w:r w:rsidR="00026076">
        <w:t xml:space="preserve">current </w:t>
      </w:r>
      <w:r w:rsidR="00430B9A">
        <w:t xml:space="preserve">burden </w:t>
      </w:r>
      <w:r w:rsidR="003C3742">
        <w:t xml:space="preserve">of BSC </w:t>
      </w:r>
      <w:r w:rsidR="00430B9A">
        <w:t xml:space="preserve">on </w:t>
      </w:r>
      <w:r w:rsidR="00357348">
        <w:t xml:space="preserve">both </w:t>
      </w:r>
      <w:r w:rsidR="00430B9A">
        <w:t xml:space="preserve">patients and healthcare providers. </w:t>
      </w:r>
      <w:r w:rsidR="00A24509">
        <w:t xml:space="preserve">The third clinician </w:t>
      </w:r>
      <w:r w:rsidR="00D766ED">
        <w:t>considered</w:t>
      </w:r>
      <w:r w:rsidR="00E044C5">
        <w:t xml:space="preserve"> that</w:t>
      </w:r>
      <w:r w:rsidR="00524601">
        <w:t xml:space="preserve"> the </w:t>
      </w:r>
      <w:r w:rsidR="00E044C5">
        <w:t xml:space="preserve">incidence and </w:t>
      </w:r>
      <w:r w:rsidR="00524601">
        <w:t xml:space="preserve">prevalence of PH1 in Australia was </w:t>
      </w:r>
      <w:r w:rsidR="00276F35">
        <w:t>similar</w:t>
      </w:r>
      <w:r w:rsidR="00CD63C3">
        <w:t xml:space="preserve"> </w:t>
      </w:r>
      <w:r w:rsidR="00D766ED">
        <w:t>to</w:t>
      </w:r>
      <w:r w:rsidR="00E044C5">
        <w:t xml:space="preserve"> </w:t>
      </w:r>
      <w:r w:rsidR="00524601">
        <w:t>that reported overseas and also discussed</w:t>
      </w:r>
      <w:r w:rsidR="004E0522">
        <w:t xml:space="preserve"> the relationship between </w:t>
      </w:r>
      <w:r w:rsidR="00E4216B">
        <w:t>plasma oxalate</w:t>
      </w:r>
      <w:r w:rsidR="00DB134D">
        <w:t xml:space="preserve">, </w:t>
      </w:r>
      <w:r w:rsidR="00E4216B">
        <w:t xml:space="preserve">urinary oxalate </w:t>
      </w:r>
      <w:r w:rsidR="00524601">
        <w:t xml:space="preserve">and </w:t>
      </w:r>
      <w:r w:rsidR="00E4216B">
        <w:t>the progression of PH1</w:t>
      </w:r>
      <w:r w:rsidR="00524601">
        <w:t>.</w:t>
      </w:r>
    </w:p>
    <w:bookmarkEnd w:id="19"/>
    <w:p w14:paraId="3B6DBAC0" w14:textId="77777777" w:rsidR="00EB4B57" w:rsidRPr="0009282C" w:rsidRDefault="00EB4B57" w:rsidP="00EB4B57">
      <w:pPr>
        <w:pStyle w:val="4-SubsectionHeading"/>
      </w:pPr>
      <w:r w:rsidRPr="0009282C">
        <w:t>Consumer comments</w:t>
      </w:r>
    </w:p>
    <w:p w14:paraId="7BA23EA0" w14:textId="6A6E31B8" w:rsidR="00EB4B57" w:rsidRDefault="00EB4B57" w:rsidP="0082695E">
      <w:pPr>
        <w:pStyle w:val="3-BodyText"/>
        <w:rPr>
          <w:bCs/>
          <w:snapToGrid w:val="0"/>
        </w:rPr>
      </w:pPr>
      <w:bookmarkStart w:id="20" w:name="_Hlk76382618"/>
      <w:r w:rsidRPr="0009282C">
        <w:rPr>
          <w:bCs/>
          <w:snapToGrid w:val="0"/>
        </w:rPr>
        <w:t>The PBAC noted and welcomed the input from individuals (</w:t>
      </w:r>
      <w:r w:rsidR="00E034FB">
        <w:rPr>
          <w:bCs/>
          <w:snapToGrid w:val="0"/>
        </w:rPr>
        <w:t>6</w:t>
      </w:r>
      <w:r w:rsidRPr="0009282C">
        <w:rPr>
          <w:bCs/>
          <w:snapToGrid w:val="0"/>
        </w:rPr>
        <w:t>), health care professionals (</w:t>
      </w:r>
      <w:r w:rsidR="006350AE">
        <w:rPr>
          <w:bCs/>
          <w:snapToGrid w:val="0"/>
        </w:rPr>
        <w:t>3</w:t>
      </w:r>
      <w:r w:rsidRPr="0009282C">
        <w:rPr>
          <w:bCs/>
          <w:snapToGrid w:val="0"/>
        </w:rPr>
        <w:t>) and organisations (</w:t>
      </w:r>
      <w:r w:rsidR="006350AE">
        <w:rPr>
          <w:bCs/>
          <w:snapToGrid w:val="0"/>
        </w:rPr>
        <w:t>4</w:t>
      </w:r>
      <w:r w:rsidRPr="0009282C">
        <w:rPr>
          <w:bCs/>
          <w:snapToGrid w:val="0"/>
        </w:rPr>
        <w:t xml:space="preserve">) via the Consumer Comments facility on the PBS website. </w:t>
      </w:r>
      <w:r w:rsidR="00101F0B" w:rsidRPr="00A423A2">
        <w:t>Clinicians,</w:t>
      </w:r>
      <w:r w:rsidR="00CB1DD4">
        <w:t xml:space="preserve"> </w:t>
      </w:r>
      <w:r w:rsidR="00101F0B" w:rsidRPr="00A423A2">
        <w:t>individuals and their care</w:t>
      </w:r>
      <w:r w:rsidR="00D76E1E">
        <w:t>givers</w:t>
      </w:r>
      <w:r w:rsidR="00101F0B" w:rsidRPr="00A423A2">
        <w:t xml:space="preserve"> and supporters </w:t>
      </w:r>
      <w:r w:rsidR="00FB2CB9" w:rsidRPr="00FB2CB9">
        <w:rPr>
          <w:bCs/>
          <w:snapToGrid w:val="0"/>
        </w:rPr>
        <w:t>describe</w:t>
      </w:r>
      <w:r w:rsidR="00101F0B">
        <w:rPr>
          <w:bCs/>
          <w:snapToGrid w:val="0"/>
        </w:rPr>
        <w:t>d</w:t>
      </w:r>
      <w:r w:rsidR="00FB2CB9" w:rsidRPr="00FB2CB9">
        <w:rPr>
          <w:bCs/>
          <w:snapToGrid w:val="0"/>
        </w:rPr>
        <w:t xml:space="preserve"> PH1 as a devastating condition </w:t>
      </w:r>
      <w:r w:rsidR="00FB2CB9" w:rsidRPr="00203D7A">
        <w:rPr>
          <w:bCs/>
          <w:snapToGrid w:val="0"/>
        </w:rPr>
        <w:t>that</w:t>
      </w:r>
      <w:r w:rsidR="00101F0B" w:rsidRPr="00203D7A">
        <w:rPr>
          <w:bCs/>
          <w:snapToGrid w:val="0"/>
        </w:rPr>
        <w:t xml:space="preserve"> </w:t>
      </w:r>
      <w:r w:rsidR="00EE7BD1">
        <w:rPr>
          <w:bCs/>
          <w:snapToGrid w:val="0"/>
        </w:rPr>
        <w:t xml:space="preserve">severely impacts the physical and </w:t>
      </w:r>
      <w:r w:rsidR="007A6769">
        <w:rPr>
          <w:bCs/>
          <w:snapToGrid w:val="0"/>
        </w:rPr>
        <w:t>psychological</w:t>
      </w:r>
      <w:r w:rsidR="00EE7BD1">
        <w:rPr>
          <w:bCs/>
          <w:snapToGrid w:val="0"/>
        </w:rPr>
        <w:t xml:space="preserve"> wellbeing </w:t>
      </w:r>
      <w:r w:rsidR="00AF0C18">
        <w:rPr>
          <w:bCs/>
          <w:snapToGrid w:val="0"/>
        </w:rPr>
        <w:t>o</w:t>
      </w:r>
      <w:r w:rsidR="00461A8D">
        <w:rPr>
          <w:bCs/>
          <w:snapToGrid w:val="0"/>
        </w:rPr>
        <w:t xml:space="preserve">f </w:t>
      </w:r>
      <w:r w:rsidR="00DB2388">
        <w:rPr>
          <w:bCs/>
          <w:snapToGrid w:val="0"/>
        </w:rPr>
        <w:t>individuals</w:t>
      </w:r>
      <w:r w:rsidR="00A620C4">
        <w:rPr>
          <w:bCs/>
          <w:snapToGrid w:val="0"/>
        </w:rPr>
        <w:t xml:space="preserve"> with PH1</w:t>
      </w:r>
      <w:r w:rsidR="00B91896">
        <w:rPr>
          <w:bCs/>
          <w:snapToGrid w:val="0"/>
        </w:rPr>
        <w:t xml:space="preserve"> </w:t>
      </w:r>
      <w:r w:rsidR="00AF0C18">
        <w:rPr>
          <w:bCs/>
          <w:snapToGrid w:val="0"/>
        </w:rPr>
        <w:t xml:space="preserve">and their </w:t>
      </w:r>
      <w:r w:rsidR="008A379F">
        <w:rPr>
          <w:bCs/>
          <w:snapToGrid w:val="0"/>
        </w:rPr>
        <w:t xml:space="preserve">supporting </w:t>
      </w:r>
      <w:r w:rsidR="006C51B1">
        <w:rPr>
          <w:bCs/>
          <w:snapToGrid w:val="0"/>
        </w:rPr>
        <w:t>caregivers</w:t>
      </w:r>
      <w:r w:rsidR="00AF0C18">
        <w:rPr>
          <w:bCs/>
          <w:snapToGrid w:val="0"/>
        </w:rPr>
        <w:t xml:space="preserve"> and family.</w:t>
      </w:r>
      <w:r w:rsidR="00FF6151">
        <w:rPr>
          <w:bCs/>
          <w:snapToGrid w:val="0"/>
        </w:rPr>
        <w:t xml:space="preserve"> </w:t>
      </w:r>
      <w:r w:rsidR="004E665A">
        <w:t>Comments described</w:t>
      </w:r>
      <w:r w:rsidR="002A0881">
        <w:t xml:space="preserve"> that current </w:t>
      </w:r>
      <w:r w:rsidR="00234EA9">
        <w:t>supportive therapies</w:t>
      </w:r>
      <w:r w:rsidR="002A0881">
        <w:t xml:space="preserve"> for PH1 impose a significant burden</w:t>
      </w:r>
      <w:r w:rsidR="007700F3">
        <w:t xml:space="preserve"> on patients and care</w:t>
      </w:r>
      <w:r w:rsidR="007A3E4D">
        <w:t>r</w:t>
      </w:r>
      <w:r w:rsidR="007700F3">
        <w:t>s, and often include</w:t>
      </w:r>
      <w:r w:rsidR="004E665A">
        <w:t xml:space="preserve"> </w:t>
      </w:r>
      <w:r w:rsidR="00101F0B">
        <w:t>consistent and intensive dialysis, regular medications, and strict fluid intake and diet modification</w:t>
      </w:r>
      <w:r w:rsidR="00BE3D9D">
        <w:t xml:space="preserve">s. For children, adhering to complex </w:t>
      </w:r>
      <w:r w:rsidR="00FE68D2">
        <w:t xml:space="preserve">and restrictive </w:t>
      </w:r>
      <w:r w:rsidR="00D97DE4">
        <w:t xml:space="preserve">medical </w:t>
      </w:r>
      <w:r w:rsidR="00BE3D9D">
        <w:t xml:space="preserve">regimens </w:t>
      </w:r>
      <w:r w:rsidR="00355B2C">
        <w:t xml:space="preserve">can be particularly challenging, and managing them effectively </w:t>
      </w:r>
      <w:r w:rsidR="00E94F5A">
        <w:t>can become</w:t>
      </w:r>
      <w:r w:rsidR="00355B2C">
        <w:t xml:space="preserve"> a considerable strain for caregivers. </w:t>
      </w:r>
      <w:r w:rsidR="00BE3490" w:rsidRPr="00B22070">
        <w:rPr>
          <w:bCs/>
          <w:snapToGrid w:val="0"/>
        </w:rPr>
        <w:t xml:space="preserve">Comments </w:t>
      </w:r>
      <w:r w:rsidR="00B22070">
        <w:rPr>
          <w:bCs/>
          <w:snapToGrid w:val="0"/>
        </w:rPr>
        <w:t>emphasised</w:t>
      </w:r>
      <w:r w:rsidR="00BE3490" w:rsidRPr="00B22070">
        <w:rPr>
          <w:bCs/>
          <w:snapToGrid w:val="0"/>
        </w:rPr>
        <w:t xml:space="preserve"> that patients who develop ESKD </w:t>
      </w:r>
      <w:r w:rsidR="002D22CD">
        <w:rPr>
          <w:bCs/>
          <w:snapToGrid w:val="0"/>
        </w:rPr>
        <w:t>experience an increased risk of cardiovascular issues</w:t>
      </w:r>
      <w:r w:rsidR="008E4D71">
        <w:t xml:space="preserve"> and </w:t>
      </w:r>
      <w:r w:rsidR="00BE3490" w:rsidRPr="008E4D71">
        <w:rPr>
          <w:bCs/>
          <w:snapToGrid w:val="0"/>
        </w:rPr>
        <w:t>have a reduced life expectancy</w:t>
      </w:r>
      <w:r w:rsidR="008E4D71">
        <w:rPr>
          <w:bCs/>
          <w:snapToGrid w:val="0"/>
        </w:rPr>
        <w:t xml:space="preserve">. Patients </w:t>
      </w:r>
      <w:r w:rsidR="00FD180C">
        <w:rPr>
          <w:bCs/>
          <w:snapToGrid w:val="0"/>
        </w:rPr>
        <w:t xml:space="preserve">with PH1 </w:t>
      </w:r>
      <w:r w:rsidR="00C348C5">
        <w:rPr>
          <w:bCs/>
          <w:snapToGrid w:val="0"/>
        </w:rPr>
        <w:t>also</w:t>
      </w:r>
      <w:r w:rsidR="00F34BD0">
        <w:rPr>
          <w:bCs/>
          <w:snapToGrid w:val="0"/>
        </w:rPr>
        <w:t xml:space="preserve"> face </w:t>
      </w:r>
      <w:r w:rsidR="00BE3490" w:rsidRPr="008E4D71">
        <w:rPr>
          <w:bCs/>
          <w:snapToGrid w:val="0"/>
        </w:rPr>
        <w:t xml:space="preserve">significant emotional, psychological and </w:t>
      </w:r>
      <w:r w:rsidR="00F34BD0">
        <w:rPr>
          <w:bCs/>
          <w:snapToGrid w:val="0"/>
        </w:rPr>
        <w:t>cognitive challenges, which</w:t>
      </w:r>
      <w:r w:rsidR="00BE3490" w:rsidRPr="008E4D71">
        <w:rPr>
          <w:bCs/>
          <w:snapToGrid w:val="0"/>
        </w:rPr>
        <w:t xml:space="preserve"> impact on their </w:t>
      </w:r>
      <w:r w:rsidR="0024295A">
        <w:rPr>
          <w:bCs/>
          <w:snapToGrid w:val="0"/>
        </w:rPr>
        <w:t xml:space="preserve">ability to succeed in school and hinder their ability to </w:t>
      </w:r>
      <w:r w:rsidR="00BE3490" w:rsidRPr="008E4D71">
        <w:rPr>
          <w:bCs/>
          <w:snapToGrid w:val="0"/>
        </w:rPr>
        <w:t>navigate adult life</w:t>
      </w:r>
      <w:r w:rsidR="0024295A">
        <w:rPr>
          <w:bCs/>
          <w:snapToGrid w:val="0"/>
        </w:rPr>
        <w:t xml:space="preserve"> independently</w:t>
      </w:r>
      <w:r w:rsidR="00BE3490" w:rsidRPr="008E4D71">
        <w:rPr>
          <w:bCs/>
          <w:snapToGrid w:val="0"/>
        </w:rPr>
        <w:t>.</w:t>
      </w:r>
      <w:r w:rsidR="00DE4D18">
        <w:rPr>
          <w:bCs/>
          <w:snapToGrid w:val="0"/>
        </w:rPr>
        <w:t xml:space="preserve"> Family members</w:t>
      </w:r>
      <w:r w:rsidR="00600497">
        <w:rPr>
          <w:bCs/>
          <w:snapToGrid w:val="0"/>
        </w:rPr>
        <w:t xml:space="preserve"> and carers</w:t>
      </w:r>
      <w:r w:rsidR="00DE4D18">
        <w:rPr>
          <w:bCs/>
          <w:snapToGrid w:val="0"/>
        </w:rPr>
        <w:t xml:space="preserve"> </w:t>
      </w:r>
      <w:r w:rsidR="002040F9">
        <w:rPr>
          <w:bCs/>
          <w:snapToGrid w:val="0"/>
        </w:rPr>
        <w:t xml:space="preserve">describe the </w:t>
      </w:r>
      <w:r w:rsidR="003569F7">
        <w:rPr>
          <w:bCs/>
          <w:snapToGrid w:val="0"/>
        </w:rPr>
        <w:t>anxiety</w:t>
      </w:r>
      <w:r w:rsidR="002412EA">
        <w:rPr>
          <w:bCs/>
          <w:snapToGrid w:val="0"/>
        </w:rPr>
        <w:t xml:space="preserve"> </w:t>
      </w:r>
      <w:r w:rsidR="0021793D">
        <w:rPr>
          <w:bCs/>
          <w:snapToGrid w:val="0"/>
        </w:rPr>
        <w:t>related to developmental delays and t</w:t>
      </w:r>
      <w:r w:rsidR="008B2CBB">
        <w:rPr>
          <w:bCs/>
          <w:snapToGrid w:val="0"/>
        </w:rPr>
        <w:t>he unknown impact</w:t>
      </w:r>
      <w:r w:rsidR="005908AE">
        <w:rPr>
          <w:bCs/>
          <w:snapToGrid w:val="0"/>
        </w:rPr>
        <w:t xml:space="preserve"> PH1 will have on their</w:t>
      </w:r>
      <w:r w:rsidR="008D0CF9">
        <w:rPr>
          <w:bCs/>
          <w:snapToGrid w:val="0"/>
        </w:rPr>
        <w:t xml:space="preserve"> child’s</w:t>
      </w:r>
      <w:r w:rsidR="005908AE">
        <w:rPr>
          <w:bCs/>
          <w:snapToGrid w:val="0"/>
        </w:rPr>
        <w:t xml:space="preserve"> future </w:t>
      </w:r>
      <w:r w:rsidR="00931178">
        <w:rPr>
          <w:bCs/>
          <w:snapToGrid w:val="0"/>
        </w:rPr>
        <w:t>health</w:t>
      </w:r>
      <w:r w:rsidR="005908AE">
        <w:rPr>
          <w:bCs/>
          <w:snapToGrid w:val="0"/>
        </w:rPr>
        <w:t xml:space="preserve"> and </w:t>
      </w:r>
      <w:r w:rsidR="00931178">
        <w:rPr>
          <w:bCs/>
          <w:snapToGrid w:val="0"/>
        </w:rPr>
        <w:t xml:space="preserve">quality of </w:t>
      </w:r>
      <w:r w:rsidR="005908AE">
        <w:rPr>
          <w:bCs/>
          <w:snapToGrid w:val="0"/>
        </w:rPr>
        <w:t>life.</w:t>
      </w:r>
      <w:r w:rsidR="00D56E87">
        <w:t xml:space="preserve"> </w:t>
      </w:r>
      <w:r w:rsidR="00CF0F3D" w:rsidRPr="0082695E">
        <w:rPr>
          <w:bCs/>
          <w:snapToGrid w:val="0"/>
        </w:rPr>
        <w:t>The</w:t>
      </w:r>
      <w:r w:rsidR="006659CF" w:rsidRPr="0082695E">
        <w:rPr>
          <w:bCs/>
          <w:snapToGrid w:val="0"/>
        </w:rPr>
        <w:t xml:space="preserve"> comments described a range of </w:t>
      </w:r>
      <w:r w:rsidR="00821392">
        <w:rPr>
          <w:bCs/>
          <w:snapToGrid w:val="0"/>
        </w:rPr>
        <w:t xml:space="preserve">potential </w:t>
      </w:r>
      <w:r w:rsidR="006659CF" w:rsidRPr="0082695E">
        <w:rPr>
          <w:bCs/>
          <w:snapToGrid w:val="0"/>
        </w:rPr>
        <w:t xml:space="preserve">benefits of treatment with </w:t>
      </w:r>
      <w:proofErr w:type="spellStart"/>
      <w:r w:rsidR="006659CF" w:rsidRPr="0082695E">
        <w:rPr>
          <w:bCs/>
          <w:snapToGrid w:val="0"/>
        </w:rPr>
        <w:t>lumasiran</w:t>
      </w:r>
      <w:proofErr w:type="spellEnd"/>
      <w:r w:rsidR="006659CF" w:rsidRPr="0082695E">
        <w:rPr>
          <w:bCs/>
          <w:snapToGrid w:val="0"/>
        </w:rPr>
        <w:t xml:space="preserve"> including </w:t>
      </w:r>
      <w:r w:rsidR="000B384E" w:rsidRPr="0082695E">
        <w:rPr>
          <w:bCs/>
          <w:snapToGrid w:val="0"/>
        </w:rPr>
        <w:t>the reduction of</w:t>
      </w:r>
      <w:r w:rsidR="006659CF" w:rsidRPr="0082695E">
        <w:rPr>
          <w:bCs/>
          <w:snapToGrid w:val="0"/>
        </w:rPr>
        <w:t xml:space="preserve"> oxalate levels and</w:t>
      </w:r>
      <w:r w:rsidR="00821392">
        <w:rPr>
          <w:bCs/>
          <w:snapToGrid w:val="0"/>
        </w:rPr>
        <w:t xml:space="preserve"> the</w:t>
      </w:r>
      <w:r w:rsidR="006659CF" w:rsidRPr="0082695E">
        <w:rPr>
          <w:bCs/>
          <w:snapToGrid w:val="0"/>
        </w:rPr>
        <w:t xml:space="preserve"> potential</w:t>
      </w:r>
      <w:r w:rsidR="00D43890" w:rsidRPr="0082695E">
        <w:rPr>
          <w:bCs/>
          <w:snapToGrid w:val="0"/>
        </w:rPr>
        <w:t xml:space="preserve"> to</w:t>
      </w:r>
      <w:r w:rsidR="006659CF" w:rsidRPr="0082695E">
        <w:rPr>
          <w:bCs/>
          <w:snapToGrid w:val="0"/>
        </w:rPr>
        <w:t xml:space="preserve"> </w:t>
      </w:r>
      <w:r w:rsidR="00F54E2F" w:rsidRPr="0082695E">
        <w:rPr>
          <w:bCs/>
          <w:snapToGrid w:val="0"/>
        </w:rPr>
        <w:t>prevent</w:t>
      </w:r>
      <w:r w:rsidR="00B65B56" w:rsidRPr="0082695E">
        <w:rPr>
          <w:bCs/>
          <w:snapToGrid w:val="0"/>
        </w:rPr>
        <w:t>/reduce kidney stones</w:t>
      </w:r>
      <w:r w:rsidR="00DE4D18" w:rsidRPr="0082695E">
        <w:rPr>
          <w:bCs/>
          <w:snapToGrid w:val="0"/>
        </w:rPr>
        <w:t>,</w:t>
      </w:r>
      <w:r w:rsidR="00C0762B" w:rsidRPr="0082695E">
        <w:rPr>
          <w:bCs/>
          <w:snapToGrid w:val="0"/>
        </w:rPr>
        <w:t xml:space="preserve"> renal replacement therapy</w:t>
      </w:r>
      <w:r w:rsidR="00821392">
        <w:rPr>
          <w:bCs/>
          <w:snapToGrid w:val="0"/>
        </w:rPr>
        <w:t xml:space="preserve"> and transplantation</w:t>
      </w:r>
      <w:r w:rsidR="00C0762B" w:rsidRPr="0082695E">
        <w:rPr>
          <w:bCs/>
          <w:snapToGrid w:val="0"/>
        </w:rPr>
        <w:t>,</w:t>
      </w:r>
      <w:r w:rsidR="00DE4D18" w:rsidRPr="0082695E">
        <w:rPr>
          <w:bCs/>
          <w:snapToGrid w:val="0"/>
        </w:rPr>
        <w:t xml:space="preserve"> </w:t>
      </w:r>
      <w:r w:rsidR="00F54E2F" w:rsidRPr="0082695E">
        <w:rPr>
          <w:bCs/>
          <w:snapToGrid w:val="0"/>
        </w:rPr>
        <w:t>end-stage kidney failure</w:t>
      </w:r>
      <w:r w:rsidR="00C0762B" w:rsidRPr="0082695E">
        <w:rPr>
          <w:bCs/>
          <w:snapToGrid w:val="0"/>
        </w:rPr>
        <w:t xml:space="preserve"> and the </w:t>
      </w:r>
      <w:r w:rsidR="00F54E2F" w:rsidRPr="0082695E">
        <w:rPr>
          <w:bCs/>
          <w:snapToGrid w:val="0"/>
        </w:rPr>
        <w:t xml:space="preserve">sequelae </w:t>
      </w:r>
      <w:r w:rsidR="00F33B46" w:rsidRPr="0082695E">
        <w:rPr>
          <w:bCs/>
          <w:snapToGrid w:val="0"/>
        </w:rPr>
        <w:t>related to</w:t>
      </w:r>
      <w:r w:rsidR="00F54E2F" w:rsidRPr="0082695E">
        <w:rPr>
          <w:bCs/>
          <w:snapToGrid w:val="0"/>
        </w:rPr>
        <w:t xml:space="preserve"> systemic oxalosis.</w:t>
      </w:r>
      <w:r w:rsidR="00E078CB" w:rsidRPr="0082695E">
        <w:rPr>
          <w:bCs/>
          <w:snapToGrid w:val="0"/>
        </w:rPr>
        <w:t xml:space="preserve"> </w:t>
      </w:r>
      <w:r w:rsidR="00B469EF">
        <w:rPr>
          <w:bCs/>
          <w:snapToGrid w:val="0"/>
        </w:rPr>
        <w:t>Care</w:t>
      </w:r>
      <w:r w:rsidR="00CD0740">
        <w:rPr>
          <w:bCs/>
          <w:snapToGrid w:val="0"/>
        </w:rPr>
        <w:t>giver</w:t>
      </w:r>
      <w:r w:rsidR="00B469EF">
        <w:rPr>
          <w:bCs/>
          <w:snapToGrid w:val="0"/>
        </w:rPr>
        <w:t xml:space="preserve">s describe the potential for </w:t>
      </w:r>
      <w:proofErr w:type="spellStart"/>
      <w:r w:rsidR="00B469EF">
        <w:rPr>
          <w:bCs/>
          <w:snapToGrid w:val="0"/>
        </w:rPr>
        <w:t>lumasiran</w:t>
      </w:r>
      <w:proofErr w:type="spellEnd"/>
      <w:r w:rsidR="00B469EF">
        <w:rPr>
          <w:bCs/>
          <w:snapToGrid w:val="0"/>
        </w:rPr>
        <w:t xml:space="preserve"> to </w:t>
      </w:r>
      <w:r w:rsidR="00E0442A">
        <w:rPr>
          <w:bCs/>
          <w:snapToGrid w:val="0"/>
        </w:rPr>
        <w:t>reduce</w:t>
      </w:r>
      <w:r w:rsidR="00C800EB">
        <w:rPr>
          <w:bCs/>
          <w:snapToGrid w:val="0"/>
        </w:rPr>
        <w:t xml:space="preserve"> </w:t>
      </w:r>
      <w:r w:rsidR="00072ABA">
        <w:rPr>
          <w:bCs/>
          <w:snapToGrid w:val="0"/>
        </w:rPr>
        <w:t xml:space="preserve">the </w:t>
      </w:r>
      <w:r w:rsidR="00E0442A">
        <w:rPr>
          <w:bCs/>
          <w:snapToGrid w:val="0"/>
        </w:rPr>
        <w:t>significant</w:t>
      </w:r>
      <w:r w:rsidR="00C800EB">
        <w:rPr>
          <w:bCs/>
          <w:snapToGrid w:val="0"/>
        </w:rPr>
        <w:t xml:space="preserve"> treatment burden</w:t>
      </w:r>
      <w:r w:rsidR="00E0442A">
        <w:rPr>
          <w:bCs/>
          <w:snapToGrid w:val="0"/>
        </w:rPr>
        <w:t xml:space="preserve"> </w:t>
      </w:r>
      <w:r w:rsidR="00C800EB">
        <w:rPr>
          <w:bCs/>
          <w:snapToGrid w:val="0"/>
        </w:rPr>
        <w:t xml:space="preserve">and </w:t>
      </w:r>
      <w:r w:rsidR="00E0442A">
        <w:rPr>
          <w:bCs/>
          <w:snapToGrid w:val="0"/>
        </w:rPr>
        <w:t>provide</w:t>
      </w:r>
      <w:r w:rsidR="00C800EB">
        <w:rPr>
          <w:bCs/>
          <w:snapToGrid w:val="0"/>
        </w:rPr>
        <w:t xml:space="preserve"> </w:t>
      </w:r>
      <w:r w:rsidR="00B469EF">
        <w:rPr>
          <w:bCs/>
          <w:snapToGrid w:val="0"/>
        </w:rPr>
        <w:t xml:space="preserve">children </w:t>
      </w:r>
      <w:r w:rsidR="0092235C">
        <w:rPr>
          <w:bCs/>
          <w:snapToGrid w:val="0"/>
        </w:rPr>
        <w:t xml:space="preserve">and all </w:t>
      </w:r>
      <w:r w:rsidR="00072ABA">
        <w:rPr>
          <w:bCs/>
          <w:snapToGrid w:val="0"/>
        </w:rPr>
        <w:t>individuals</w:t>
      </w:r>
      <w:r w:rsidR="009426B2">
        <w:rPr>
          <w:bCs/>
          <w:snapToGrid w:val="0"/>
        </w:rPr>
        <w:t xml:space="preserve"> with</w:t>
      </w:r>
      <w:r w:rsidR="00F86A90">
        <w:rPr>
          <w:bCs/>
          <w:snapToGrid w:val="0"/>
        </w:rPr>
        <w:t xml:space="preserve"> PH1 </w:t>
      </w:r>
      <w:r w:rsidR="00B469EF">
        <w:rPr>
          <w:bCs/>
          <w:snapToGrid w:val="0"/>
        </w:rPr>
        <w:t xml:space="preserve">with </w:t>
      </w:r>
      <w:r w:rsidR="004638E4">
        <w:rPr>
          <w:bCs/>
          <w:snapToGrid w:val="0"/>
        </w:rPr>
        <w:t>a</w:t>
      </w:r>
      <w:r w:rsidR="00ED797C">
        <w:rPr>
          <w:bCs/>
          <w:snapToGrid w:val="0"/>
        </w:rPr>
        <w:t xml:space="preserve">n improved </w:t>
      </w:r>
      <w:r w:rsidR="004638E4">
        <w:rPr>
          <w:bCs/>
          <w:snapToGrid w:val="0"/>
        </w:rPr>
        <w:t xml:space="preserve">quality of life </w:t>
      </w:r>
      <w:r w:rsidR="00A95D96">
        <w:rPr>
          <w:bCs/>
          <w:snapToGrid w:val="0"/>
        </w:rPr>
        <w:t xml:space="preserve">and </w:t>
      </w:r>
      <w:r w:rsidR="00872DBB">
        <w:rPr>
          <w:bCs/>
          <w:snapToGrid w:val="0"/>
        </w:rPr>
        <w:t>restore some</w:t>
      </w:r>
      <w:r w:rsidR="000C3480">
        <w:rPr>
          <w:bCs/>
          <w:snapToGrid w:val="0"/>
        </w:rPr>
        <w:t xml:space="preserve"> normalisation to their life and family routine.</w:t>
      </w:r>
    </w:p>
    <w:p w14:paraId="46F445C7" w14:textId="7E92BD68" w:rsidR="002B422F" w:rsidRPr="002B422F" w:rsidRDefault="002D46C8" w:rsidP="00AE6D9E">
      <w:pPr>
        <w:pStyle w:val="3-BodyText"/>
      </w:pPr>
      <w:r>
        <w:t>The PBAC noted the input received from</w:t>
      </w:r>
      <w:r w:rsidR="003D3FC7">
        <w:t xml:space="preserve"> the</w:t>
      </w:r>
      <w:r>
        <w:t xml:space="preserve"> </w:t>
      </w:r>
      <w:r w:rsidR="00A32271" w:rsidRPr="00A32271">
        <w:t>Australia and New Zealand Society of Nephrology (ANZSN),</w:t>
      </w:r>
      <w:r w:rsidR="00A32271">
        <w:t xml:space="preserve"> </w:t>
      </w:r>
      <w:r w:rsidR="0006492D" w:rsidRPr="0006492D">
        <w:t>the Australian and New Zealand Paediatric Nephrology Association (ANZPNA),</w:t>
      </w:r>
      <w:r w:rsidR="006F277A">
        <w:t xml:space="preserve"> Kidney Health Australia </w:t>
      </w:r>
      <w:r w:rsidR="00466361">
        <w:t xml:space="preserve">and the </w:t>
      </w:r>
      <w:proofErr w:type="spellStart"/>
      <w:r w:rsidR="00466361" w:rsidRPr="00466361">
        <w:t>KidGen</w:t>
      </w:r>
      <w:proofErr w:type="spellEnd"/>
      <w:r w:rsidR="00466361" w:rsidRPr="00466361">
        <w:t xml:space="preserve"> Renal Genetics Consortium</w:t>
      </w:r>
      <w:r w:rsidR="00DA6B55">
        <w:t xml:space="preserve">. </w:t>
      </w:r>
      <w:r w:rsidR="007447AE">
        <w:t xml:space="preserve">The organisations expressed strong support </w:t>
      </w:r>
      <w:r w:rsidR="005542E6">
        <w:t xml:space="preserve">for the PBS listing of </w:t>
      </w:r>
      <w:proofErr w:type="spellStart"/>
      <w:r w:rsidR="005542E6">
        <w:t>lumasiran</w:t>
      </w:r>
      <w:proofErr w:type="spellEnd"/>
      <w:r w:rsidR="005542E6">
        <w:t xml:space="preserve"> </w:t>
      </w:r>
      <w:r w:rsidR="00E3290B">
        <w:t xml:space="preserve">for the treatment of PH1. </w:t>
      </w:r>
      <w:r w:rsidR="00CB7D51">
        <w:t xml:space="preserve">The </w:t>
      </w:r>
      <w:r w:rsidR="00BB20BD">
        <w:t>advice</w:t>
      </w:r>
      <w:r w:rsidR="00C47DA4">
        <w:t xml:space="preserve"> </w:t>
      </w:r>
      <w:r w:rsidR="00214319">
        <w:t>stated</w:t>
      </w:r>
      <w:r w:rsidR="00FD7A4D">
        <w:t xml:space="preserve"> </w:t>
      </w:r>
      <w:r w:rsidR="00C47DA4">
        <w:t xml:space="preserve">that current PH1 </w:t>
      </w:r>
      <w:r w:rsidR="00326F26">
        <w:t xml:space="preserve">therapy includes </w:t>
      </w:r>
      <w:r w:rsidR="007E329B">
        <w:t>hy</w:t>
      </w:r>
      <w:r w:rsidR="00E142E6">
        <w:t>perhydration and that this</w:t>
      </w:r>
      <w:r w:rsidR="00436B25">
        <w:t xml:space="preserve"> represents water intake beyond what feels comfortable to consume, and younger children usually requir</w:t>
      </w:r>
      <w:r w:rsidR="004F4926">
        <w:t>e</w:t>
      </w:r>
      <w:r w:rsidR="00436B25">
        <w:t xml:space="preserve"> </w:t>
      </w:r>
      <w:r w:rsidR="00FD7A4D">
        <w:t xml:space="preserve">a </w:t>
      </w:r>
      <w:r w:rsidR="00BA2B9C" w:rsidRPr="00BA2B9C">
        <w:t>nasogastric tube or percutaneous enterostomy tube insertion to maintain sufficient fluid intake.</w:t>
      </w:r>
      <w:r w:rsidR="00BA2B9C">
        <w:t xml:space="preserve"> </w:t>
      </w:r>
      <w:r w:rsidR="00350D3A">
        <w:t>If</w:t>
      </w:r>
      <w:r w:rsidR="00BA2B9C">
        <w:t xml:space="preserve"> chronic kidney disease </w:t>
      </w:r>
      <w:r w:rsidR="001605B7">
        <w:t xml:space="preserve">develops, intensive dialysis is necessary </w:t>
      </w:r>
      <w:r w:rsidR="001605B7" w:rsidRPr="001605B7">
        <w:t>to mitigate oxalate accumulation in the bones, bone marrow, eyes, heart and blood vessels, skin and other tissues.</w:t>
      </w:r>
      <w:r w:rsidR="001605B7">
        <w:t xml:space="preserve"> </w:t>
      </w:r>
      <w:r w:rsidR="00E07349">
        <w:t>It was emphasised that ac</w:t>
      </w:r>
      <w:r w:rsidR="00E07349" w:rsidRPr="00E07349">
        <w:t>cess to optimal management is challenging, particularly in regional areas where speciali</w:t>
      </w:r>
      <w:r w:rsidR="00E07349">
        <w:t>s</w:t>
      </w:r>
      <w:r w:rsidR="00E07349" w:rsidRPr="00E07349">
        <w:t>ed renal genetic services are limited.</w:t>
      </w:r>
      <w:r w:rsidR="001E7EE2">
        <w:t xml:space="preserve"> Furthermore, provision of </w:t>
      </w:r>
      <w:r w:rsidR="001E7EE2" w:rsidRPr="001E7EE2">
        <w:t xml:space="preserve">paediatric dialysis is limited to tertiary metropolitan centres, </w:t>
      </w:r>
      <w:r w:rsidR="001E7EE2">
        <w:t>and</w:t>
      </w:r>
      <w:r w:rsidR="00FB70A6">
        <w:t xml:space="preserve"> therefore</w:t>
      </w:r>
      <w:r w:rsidR="001E7EE2" w:rsidRPr="001E7EE2">
        <w:t xml:space="preserve"> paediatric PH1 patient requiring dialysis require metropolitan relocation</w:t>
      </w:r>
      <w:r w:rsidR="00FB70A6">
        <w:t>.</w:t>
      </w:r>
      <w:r w:rsidR="00350D3A">
        <w:t xml:space="preserve"> </w:t>
      </w:r>
      <w:r w:rsidR="00EA5DA5">
        <w:t xml:space="preserve">The PBAC noted advice stating that intensive dialysis does not treat the underlying disease, and </w:t>
      </w:r>
      <w:r w:rsidR="0022134E">
        <w:t xml:space="preserve">that </w:t>
      </w:r>
      <w:r w:rsidR="00EA5DA5">
        <w:t>liver transplantation involves long wait times, requ</w:t>
      </w:r>
      <w:r w:rsidR="00F9209A">
        <w:t>ires lifelong immunosuppression, and is associated with increased risk of morbidity and mortality.</w:t>
      </w:r>
      <w:r w:rsidR="00327EDD">
        <w:t xml:space="preserve"> </w:t>
      </w:r>
      <w:r w:rsidR="00214319">
        <w:t>It was</w:t>
      </w:r>
      <w:r w:rsidR="00327EDD">
        <w:t xml:space="preserve"> emphasised </w:t>
      </w:r>
      <w:r w:rsidR="001D4357">
        <w:t xml:space="preserve">that </w:t>
      </w:r>
      <w:proofErr w:type="spellStart"/>
      <w:r w:rsidR="001D4357">
        <w:t>lumasiran</w:t>
      </w:r>
      <w:proofErr w:type="spellEnd"/>
      <w:r w:rsidR="001D4357">
        <w:t xml:space="preserve"> had the potential to reduce the </w:t>
      </w:r>
      <w:r w:rsidR="002D23EF">
        <w:t xml:space="preserve">significant </w:t>
      </w:r>
      <w:r w:rsidR="001D4357">
        <w:t xml:space="preserve">healthcare burden </w:t>
      </w:r>
      <w:r w:rsidR="002D23EF">
        <w:t xml:space="preserve">associated with PH1 </w:t>
      </w:r>
      <w:r w:rsidR="001D4357">
        <w:t>and provide patients with access to</w:t>
      </w:r>
      <w:r w:rsidR="00840368">
        <w:t xml:space="preserve"> alternative therapy that is</w:t>
      </w:r>
      <w:r w:rsidR="001D4357">
        <w:t xml:space="preserve"> effective </w:t>
      </w:r>
      <w:r w:rsidR="003E46AF">
        <w:t>and generally</w:t>
      </w:r>
      <w:r w:rsidR="002D23EF">
        <w:t xml:space="preserve"> well tolerated</w:t>
      </w:r>
      <w:r w:rsidR="001D4357">
        <w:t>.</w:t>
      </w:r>
      <w:r w:rsidR="00327EDD">
        <w:t xml:space="preserve"> </w:t>
      </w:r>
    </w:p>
    <w:p w14:paraId="2E1EDF83" w14:textId="20048624" w:rsidR="00EB4B57" w:rsidRPr="0009282C" w:rsidRDefault="00EB4B57" w:rsidP="00EB4B57">
      <w:pPr>
        <w:pStyle w:val="4-SubsectionHeading"/>
      </w:pPr>
      <w:bookmarkStart w:id="21" w:name="_Toc188443836"/>
      <w:bookmarkEnd w:id="18"/>
      <w:bookmarkEnd w:id="20"/>
      <w:r w:rsidRPr="0009282C">
        <w:t>Clinical trials</w:t>
      </w:r>
      <w:bookmarkEnd w:id="21"/>
    </w:p>
    <w:p w14:paraId="4EB5AEFE" w14:textId="166A59B8" w:rsidR="007F1017" w:rsidRPr="0009282C" w:rsidRDefault="00A73134" w:rsidP="00A15E45">
      <w:pPr>
        <w:pStyle w:val="3-BodyText"/>
      </w:pPr>
      <w:r w:rsidRPr="0009282C">
        <w:t xml:space="preserve">The submission </w:t>
      </w:r>
      <w:r w:rsidR="00D5243B" w:rsidRPr="0009282C">
        <w:t>wa</w:t>
      </w:r>
      <w:r w:rsidRPr="0009282C">
        <w:t xml:space="preserve">s based </w:t>
      </w:r>
      <w:r w:rsidR="00B11531" w:rsidRPr="0009282C">
        <w:t>on the following clinical evidence:</w:t>
      </w:r>
    </w:p>
    <w:p w14:paraId="45BBAB39" w14:textId="58392276" w:rsidR="00D06512" w:rsidRPr="0009282C" w:rsidRDefault="00D06512" w:rsidP="590A36EA">
      <w:pPr>
        <w:pStyle w:val="ListParagraph"/>
        <w:ind w:left="1134" w:hanging="425"/>
        <w:jc w:val="both"/>
        <w:rPr>
          <w:rFonts w:eastAsiaTheme="minorEastAsia" w:cstheme="minorBidi"/>
          <w:snapToGrid/>
        </w:rPr>
      </w:pPr>
      <w:r w:rsidRPr="0009282C">
        <w:t>ILLUMINATE-A</w:t>
      </w:r>
      <w:r w:rsidR="003A1ADF" w:rsidRPr="0009282C">
        <w:t xml:space="preserve"> (</w:t>
      </w:r>
      <w:r w:rsidR="0028422C" w:rsidRPr="0009282C">
        <w:t>N</w:t>
      </w:r>
      <w:r w:rsidR="003A1ADF" w:rsidRPr="0009282C">
        <w:t>=</w:t>
      </w:r>
      <w:r w:rsidR="00C47817" w:rsidRPr="0009282C">
        <w:t>39)</w:t>
      </w:r>
      <w:r w:rsidR="00991DB7" w:rsidRPr="0009282C">
        <w:t>:</w:t>
      </w:r>
      <w:r w:rsidR="00B11531" w:rsidRPr="0009282C">
        <w:t xml:space="preserve"> A randomised, double blind, placebo-controlled trial (6</w:t>
      </w:r>
      <w:r w:rsidR="00711840">
        <w:t> </w:t>
      </w:r>
      <w:r w:rsidR="00B11531" w:rsidRPr="0009282C">
        <w:t xml:space="preserve">months) with an extension period with both arms receiving </w:t>
      </w:r>
      <w:proofErr w:type="spellStart"/>
      <w:r w:rsidR="00B11531" w:rsidRPr="0009282C">
        <w:t>lumasiran</w:t>
      </w:r>
      <w:proofErr w:type="spellEnd"/>
      <w:r w:rsidR="00B11531" w:rsidRPr="0009282C">
        <w:t xml:space="preserve"> (3</w:t>
      </w:r>
      <w:r w:rsidR="00711840">
        <w:t> </w:t>
      </w:r>
      <w:r w:rsidR="00B11531" w:rsidRPr="0009282C">
        <w:t>month bl</w:t>
      </w:r>
      <w:r w:rsidR="0066540F" w:rsidRPr="0009282C">
        <w:t>i</w:t>
      </w:r>
      <w:r w:rsidR="00B11531" w:rsidRPr="0009282C">
        <w:t>nded, 51-month open-label period).</w:t>
      </w:r>
      <w:r w:rsidR="00991DB7" w:rsidRPr="0009282C">
        <w:t xml:space="preserve"> </w:t>
      </w:r>
      <w:r w:rsidR="00D61E32" w:rsidRPr="0009282C">
        <w:t>Patients</w:t>
      </w:r>
      <w:r w:rsidR="0083149C" w:rsidRPr="0009282C">
        <w:t xml:space="preserve"> were</w:t>
      </w:r>
      <w:r w:rsidR="00D61E32" w:rsidRPr="0009282C">
        <w:t xml:space="preserve"> </w:t>
      </w:r>
      <w:r w:rsidR="00C02BD2" w:rsidRPr="0009282C">
        <w:t>aged</w:t>
      </w:r>
      <w:r w:rsidR="00D61E32" w:rsidRPr="0009282C">
        <w:t xml:space="preserve"> &gt;6 years of age</w:t>
      </w:r>
      <w:r w:rsidR="008409DB" w:rsidRPr="0009282C">
        <w:t xml:space="preserve">, </w:t>
      </w:r>
      <w:r w:rsidR="00D61E32" w:rsidRPr="0009282C">
        <w:t xml:space="preserve">eGFR </w:t>
      </w:r>
      <w:r w:rsidR="007D09A1" w:rsidRPr="0009282C">
        <w:t>≥</w:t>
      </w:r>
      <w:r w:rsidR="00D61E32" w:rsidRPr="0009282C">
        <w:t>30</w:t>
      </w:r>
      <w:r w:rsidR="00711840">
        <w:t> </w:t>
      </w:r>
      <w:r w:rsidR="00D61E32" w:rsidRPr="0009282C">
        <w:t>mL/min/1.73 m</w:t>
      </w:r>
      <w:r w:rsidR="00D61E32" w:rsidRPr="0009282C">
        <w:rPr>
          <w:vertAlign w:val="superscript"/>
        </w:rPr>
        <w:t>2</w:t>
      </w:r>
      <w:r w:rsidR="007D09A1" w:rsidRPr="0009282C">
        <w:t>,</w:t>
      </w:r>
      <w:r w:rsidR="008409DB" w:rsidRPr="0009282C">
        <w:t xml:space="preserve"> and have a mean</w:t>
      </w:r>
      <w:r w:rsidR="008409DB" w:rsidRPr="0009282C">
        <w:rPr>
          <w:rFonts w:eastAsiaTheme="minorEastAsia" w:cstheme="minorBidi"/>
          <w:snapToGrid/>
        </w:rPr>
        <w:t xml:space="preserve"> 24-h</w:t>
      </w:r>
      <w:r w:rsidR="007D09A1" w:rsidRPr="0009282C">
        <w:rPr>
          <w:rFonts w:eastAsiaTheme="minorEastAsia" w:cstheme="minorBidi"/>
          <w:snapToGrid/>
        </w:rPr>
        <w:t>our</w:t>
      </w:r>
      <w:r w:rsidR="008409DB" w:rsidRPr="0009282C">
        <w:rPr>
          <w:rFonts w:eastAsiaTheme="minorEastAsia" w:cstheme="minorBidi"/>
          <w:snapToGrid/>
        </w:rPr>
        <w:t xml:space="preserve"> urinary oxalate excretion </w:t>
      </w:r>
      <w:r w:rsidR="007D09A1" w:rsidRPr="0009282C">
        <w:rPr>
          <w:rFonts w:eastAsiaTheme="minorEastAsia" w:cstheme="minorBidi"/>
          <w:snapToGrid/>
        </w:rPr>
        <w:t>≥</w:t>
      </w:r>
      <w:r w:rsidR="008409DB" w:rsidRPr="0009282C">
        <w:rPr>
          <w:rFonts w:eastAsiaTheme="minorEastAsia" w:cstheme="minorBidi"/>
          <w:snapToGrid/>
        </w:rPr>
        <w:t>0.70</w:t>
      </w:r>
      <w:r w:rsidR="00711840">
        <w:rPr>
          <w:rFonts w:eastAsiaTheme="minorEastAsia" w:cstheme="minorBidi"/>
          <w:snapToGrid/>
        </w:rPr>
        <w:t> </w:t>
      </w:r>
      <w:r w:rsidR="008409DB" w:rsidRPr="0009282C">
        <w:rPr>
          <w:rFonts w:eastAsiaTheme="minorEastAsia" w:cstheme="minorBidi"/>
          <w:snapToGrid/>
        </w:rPr>
        <w:t>mmol/24 h/1.73 m</w:t>
      </w:r>
      <w:r w:rsidR="008409DB" w:rsidRPr="0009282C">
        <w:rPr>
          <w:vertAlign w:val="superscript"/>
        </w:rPr>
        <w:t>2</w:t>
      </w:r>
      <w:r w:rsidR="008409DB" w:rsidRPr="0009282C">
        <w:rPr>
          <w:rFonts w:eastAsiaTheme="minorEastAsia" w:cstheme="minorBidi"/>
          <w:snapToGrid/>
        </w:rPr>
        <w:t xml:space="preserve"> (from first two valid 24-h urine collections). </w:t>
      </w:r>
    </w:p>
    <w:p w14:paraId="5DFB395F" w14:textId="188A5CAD" w:rsidR="00D06512" w:rsidRPr="0009282C" w:rsidRDefault="00D06512" w:rsidP="590A36EA">
      <w:pPr>
        <w:pStyle w:val="ListParagraph"/>
        <w:ind w:left="1134" w:hanging="425"/>
        <w:jc w:val="both"/>
        <w:rPr>
          <w:rFonts w:eastAsiaTheme="minorEastAsia" w:cstheme="minorBidi"/>
          <w:snapToGrid/>
        </w:rPr>
      </w:pPr>
      <w:r w:rsidRPr="0009282C">
        <w:t>ILLUMINATE-B</w:t>
      </w:r>
      <w:r w:rsidR="00C47817" w:rsidRPr="0009282C">
        <w:t xml:space="preserve"> (</w:t>
      </w:r>
      <w:r w:rsidR="0028422C" w:rsidRPr="0009282C">
        <w:t>N</w:t>
      </w:r>
      <w:r w:rsidR="00C47817" w:rsidRPr="0009282C">
        <w:t>=18)</w:t>
      </w:r>
      <w:r w:rsidR="00EB39B6" w:rsidRPr="0009282C">
        <w:t xml:space="preserve">: </w:t>
      </w:r>
      <w:r w:rsidR="008B2663" w:rsidRPr="0009282C">
        <w:t>A phase 3, single-arm, open-label trial (6</w:t>
      </w:r>
      <w:r w:rsidR="001D13DA" w:rsidRPr="0009282C">
        <w:t xml:space="preserve"> month) with an extension period (54 months). </w:t>
      </w:r>
      <w:r w:rsidR="00EB39B6" w:rsidRPr="0009282C">
        <w:t xml:space="preserve">Patients </w:t>
      </w:r>
      <w:r w:rsidR="001D13DA" w:rsidRPr="0009282C">
        <w:t xml:space="preserve">were </w:t>
      </w:r>
      <w:r w:rsidR="000E258D" w:rsidRPr="0009282C">
        <w:t>between 37 weeks estimated gestational age and &lt;6 years</w:t>
      </w:r>
      <w:r w:rsidR="008409DB" w:rsidRPr="0009282C">
        <w:t xml:space="preserve">, </w:t>
      </w:r>
      <w:r w:rsidR="00EB39B6" w:rsidRPr="0009282C">
        <w:t xml:space="preserve">eGFR </w:t>
      </w:r>
      <w:r w:rsidR="0032436E">
        <w:rPr>
          <w:rFonts w:ascii="Calibri" w:hAnsi="Calibri" w:cs="Calibri"/>
        </w:rPr>
        <w:t>≥</w:t>
      </w:r>
      <w:r w:rsidR="00EB39B6" w:rsidRPr="0009282C">
        <w:t>45 mL/min/1.73 m</w:t>
      </w:r>
      <w:r w:rsidR="00EB39B6" w:rsidRPr="0009282C">
        <w:rPr>
          <w:vertAlign w:val="superscript"/>
        </w:rPr>
        <w:t>2</w:t>
      </w:r>
      <w:r w:rsidR="00EB39B6" w:rsidRPr="0009282C">
        <w:t xml:space="preserve"> </w:t>
      </w:r>
      <w:r w:rsidR="002667E4" w:rsidRPr="0009282C">
        <w:t xml:space="preserve">if aged </w:t>
      </w:r>
      <w:r w:rsidR="002667E4" w:rsidRPr="0009282C">
        <w:rPr>
          <w:rFonts w:cstheme="minorBidi"/>
        </w:rPr>
        <w:t>≥</w:t>
      </w:r>
      <w:r w:rsidR="002667E4" w:rsidRPr="0009282C">
        <w:t xml:space="preserve">1 year </w:t>
      </w:r>
      <w:r w:rsidR="00EB39B6" w:rsidRPr="0009282C">
        <w:t>or normal serum creatinine if aged &lt;1 year</w:t>
      </w:r>
      <w:r w:rsidR="002667E4" w:rsidRPr="0009282C">
        <w:t>,</w:t>
      </w:r>
      <w:r w:rsidR="008409DB" w:rsidRPr="0009282C">
        <w:t xml:space="preserve"> and </w:t>
      </w:r>
      <w:r w:rsidR="002667E4" w:rsidRPr="0009282C">
        <w:rPr>
          <w:rFonts w:eastAsiaTheme="minorEastAsia" w:cstheme="minorBidi"/>
        </w:rPr>
        <w:t>u</w:t>
      </w:r>
      <w:r w:rsidR="008409DB" w:rsidRPr="0009282C">
        <w:rPr>
          <w:rFonts w:eastAsiaTheme="minorEastAsia" w:cstheme="minorBidi"/>
        </w:rPr>
        <w:t xml:space="preserve">rinary </w:t>
      </w:r>
      <w:proofErr w:type="spellStart"/>
      <w:r w:rsidR="008409DB" w:rsidRPr="0009282C">
        <w:rPr>
          <w:rFonts w:eastAsiaTheme="minorEastAsia" w:cstheme="minorBidi"/>
        </w:rPr>
        <w:t>oxalate:creatinine</w:t>
      </w:r>
      <w:proofErr w:type="spellEnd"/>
      <w:r w:rsidR="008409DB" w:rsidRPr="0009282C">
        <w:rPr>
          <w:rFonts w:eastAsiaTheme="minorEastAsia" w:cstheme="minorBidi"/>
        </w:rPr>
        <w:t xml:space="preserve"> ratio </w:t>
      </w:r>
      <w:r w:rsidR="00221D6D" w:rsidRPr="0009282C">
        <w:rPr>
          <w:rFonts w:eastAsiaTheme="minorEastAsia" w:cstheme="minorBidi"/>
        </w:rPr>
        <w:t>&gt;</w:t>
      </w:r>
      <w:r w:rsidR="003B24AF" w:rsidRPr="0009282C">
        <w:rPr>
          <w:rFonts w:eastAsiaTheme="minorEastAsia" w:cstheme="minorBidi"/>
        </w:rPr>
        <w:t xml:space="preserve"> upper limit of normal</w:t>
      </w:r>
      <w:r w:rsidR="008409DB" w:rsidRPr="0009282C">
        <w:rPr>
          <w:rFonts w:eastAsiaTheme="minorEastAsia" w:cstheme="minorBidi"/>
        </w:rPr>
        <w:t xml:space="preserve"> </w:t>
      </w:r>
      <w:r w:rsidR="001E15F7" w:rsidRPr="0009282C">
        <w:rPr>
          <w:rFonts w:eastAsiaTheme="minorEastAsia" w:cstheme="minorBidi"/>
        </w:rPr>
        <w:t>(</w:t>
      </w:r>
      <w:r w:rsidR="008409DB" w:rsidRPr="0009282C">
        <w:rPr>
          <w:rFonts w:eastAsiaTheme="minorEastAsia" w:cstheme="minorBidi"/>
        </w:rPr>
        <w:t>ULN</w:t>
      </w:r>
      <w:r w:rsidR="001E15F7" w:rsidRPr="0009282C">
        <w:rPr>
          <w:rFonts w:eastAsiaTheme="minorEastAsia" w:cstheme="minorBidi"/>
        </w:rPr>
        <w:t xml:space="preserve">; </w:t>
      </w:r>
      <w:r w:rsidR="00C87C18" w:rsidRPr="0009282C">
        <w:rPr>
          <w:rFonts w:eastAsiaTheme="minorEastAsia" w:cstheme="minorBidi"/>
        </w:rPr>
        <w:t>ULN = 0.514</w:t>
      </w:r>
      <w:r w:rsidR="002667E4" w:rsidRPr="0009282C">
        <w:rPr>
          <w:rFonts w:eastAsiaTheme="minorEastAsia" w:cstheme="minorBidi"/>
        </w:rPr>
        <w:t xml:space="preserve"> </w:t>
      </w:r>
      <w:r w:rsidR="00C87C18" w:rsidRPr="0009282C">
        <w:rPr>
          <w:rFonts w:eastAsiaTheme="minorEastAsia" w:cstheme="minorBidi"/>
        </w:rPr>
        <w:t>mmol/24hr/1.73</w:t>
      </w:r>
      <w:r w:rsidR="00685924" w:rsidRPr="0009282C">
        <w:rPr>
          <w:rFonts w:eastAsiaTheme="minorEastAsia" w:cstheme="minorBidi"/>
        </w:rPr>
        <w:t xml:space="preserve"> </w:t>
      </w:r>
      <w:r w:rsidR="00C87C18" w:rsidRPr="0009282C">
        <w:rPr>
          <w:rFonts w:eastAsiaTheme="minorEastAsia" w:cstheme="minorBidi"/>
        </w:rPr>
        <w:t>m</w:t>
      </w:r>
      <w:r w:rsidR="00C87C18" w:rsidRPr="0009282C">
        <w:rPr>
          <w:vertAlign w:val="superscript"/>
        </w:rPr>
        <w:t>2</w:t>
      </w:r>
      <w:r w:rsidR="00C87C18" w:rsidRPr="0009282C">
        <w:rPr>
          <w:rFonts w:eastAsiaTheme="minorEastAsia" w:cstheme="minorBidi"/>
        </w:rPr>
        <w:t>)</w:t>
      </w:r>
      <w:r w:rsidR="00685924" w:rsidRPr="0009282C">
        <w:rPr>
          <w:rFonts w:eastAsiaTheme="minorEastAsia" w:cstheme="minorBidi"/>
        </w:rPr>
        <w:t>.</w:t>
      </w:r>
    </w:p>
    <w:p w14:paraId="416846CA" w14:textId="4689C19D" w:rsidR="00C87C18" w:rsidRPr="0009282C" w:rsidRDefault="00D06512" w:rsidP="590A36EA">
      <w:pPr>
        <w:pStyle w:val="ListParagraph"/>
        <w:ind w:left="1134" w:hanging="425"/>
        <w:jc w:val="both"/>
        <w:rPr>
          <w:rFonts w:eastAsiaTheme="minorEastAsia" w:cstheme="minorBidi"/>
          <w:snapToGrid/>
        </w:rPr>
      </w:pPr>
      <w:r w:rsidRPr="0009282C">
        <w:t>ILLUMINATE-C</w:t>
      </w:r>
      <w:r w:rsidR="00C47817" w:rsidRPr="0009282C">
        <w:t xml:space="preserve"> (</w:t>
      </w:r>
      <w:r w:rsidR="0028422C" w:rsidRPr="0009282C">
        <w:t>N</w:t>
      </w:r>
      <w:r w:rsidR="00C47817" w:rsidRPr="0009282C">
        <w:t>=21)</w:t>
      </w:r>
      <w:r w:rsidR="00683727" w:rsidRPr="0009282C">
        <w:t>:</w:t>
      </w:r>
      <w:r w:rsidR="001D13DA" w:rsidRPr="0009282C">
        <w:t xml:space="preserve"> A phase 3, single-arm, open-label trial (6 month) with an </w:t>
      </w:r>
      <w:r w:rsidR="000605DB" w:rsidRPr="0009282C">
        <w:t xml:space="preserve">ongoing </w:t>
      </w:r>
      <w:r w:rsidR="001D13DA" w:rsidRPr="0009282C">
        <w:t>e</w:t>
      </w:r>
      <w:r w:rsidR="00647E15" w:rsidRPr="0009282C">
        <w:t>xtension period (52 months)</w:t>
      </w:r>
      <w:r w:rsidR="000605DB" w:rsidRPr="0009282C">
        <w:t>.</w:t>
      </w:r>
      <w:r w:rsidR="00683727" w:rsidRPr="0009282C">
        <w:t xml:space="preserve"> </w:t>
      </w:r>
      <w:r w:rsidR="00685924" w:rsidRPr="0009282C">
        <w:t>Patients</w:t>
      </w:r>
      <w:r w:rsidR="000605DB" w:rsidRPr="0009282C">
        <w:t xml:space="preserve"> were</w:t>
      </w:r>
      <w:r w:rsidR="00572479" w:rsidRPr="0009282C">
        <w:t xml:space="preserve"> </w:t>
      </w:r>
      <w:r w:rsidR="00685924" w:rsidRPr="0009282C">
        <w:t xml:space="preserve">≥37 weeks estimated gestational age, </w:t>
      </w:r>
      <w:r w:rsidR="00683727" w:rsidRPr="0009282C">
        <w:t xml:space="preserve">eGFR </w:t>
      </w:r>
      <w:r w:rsidR="00685924" w:rsidRPr="0009282C">
        <w:rPr>
          <w:rFonts w:ascii="Calibri" w:hAnsi="Calibri" w:cs="Calibri"/>
        </w:rPr>
        <w:t>≤</w:t>
      </w:r>
      <w:r w:rsidR="00683727" w:rsidRPr="0009282C">
        <w:t>45 mL/min/1.73 m</w:t>
      </w:r>
      <w:r w:rsidR="00683727" w:rsidRPr="0009282C">
        <w:rPr>
          <w:vertAlign w:val="superscript"/>
        </w:rPr>
        <w:t>2</w:t>
      </w:r>
      <w:r w:rsidR="006A7FBF" w:rsidRPr="0009282C">
        <w:t>,</w:t>
      </w:r>
      <w:r w:rsidR="00C87C18" w:rsidRPr="0009282C">
        <w:t xml:space="preserve"> </w:t>
      </w:r>
      <w:r w:rsidR="00C87C18" w:rsidRPr="0009282C">
        <w:rPr>
          <w:rFonts w:eastAsiaTheme="minorEastAsia" w:cstheme="minorBidi"/>
        </w:rPr>
        <w:t xml:space="preserve">a mean plasma oxalate level during screening </w:t>
      </w:r>
      <w:r w:rsidR="006A7FBF" w:rsidRPr="0009282C">
        <w:rPr>
          <w:rFonts w:eastAsiaTheme="minorEastAsia" w:cstheme="minorBidi"/>
        </w:rPr>
        <w:t>≥</w:t>
      </w:r>
      <w:r w:rsidR="00C87C18" w:rsidRPr="0009282C">
        <w:rPr>
          <w:rFonts w:eastAsiaTheme="minorEastAsia" w:cstheme="minorBidi"/>
        </w:rPr>
        <w:t xml:space="preserve">20 </w:t>
      </w:r>
      <w:proofErr w:type="spellStart"/>
      <w:r w:rsidR="006A7FBF" w:rsidRPr="0009282C">
        <w:rPr>
          <w:rFonts w:eastAsiaTheme="minorEastAsia" w:cstheme="minorBidi"/>
        </w:rPr>
        <w:t>μ</w:t>
      </w:r>
      <w:r w:rsidR="00C87C18" w:rsidRPr="0009282C">
        <w:rPr>
          <w:rFonts w:eastAsiaTheme="minorEastAsia" w:cstheme="minorBidi"/>
        </w:rPr>
        <w:t>mol</w:t>
      </w:r>
      <w:proofErr w:type="spellEnd"/>
      <w:r w:rsidR="00C87C18" w:rsidRPr="0009282C">
        <w:rPr>
          <w:rFonts w:eastAsiaTheme="minorEastAsia" w:cstheme="minorBidi"/>
        </w:rPr>
        <w:t>/L</w:t>
      </w:r>
      <w:r w:rsidR="006A7FBF" w:rsidRPr="0009282C">
        <w:rPr>
          <w:rFonts w:eastAsiaTheme="minorEastAsia" w:cstheme="minorBidi"/>
        </w:rPr>
        <w:t>, and for patients who require dialysis (Cohort B): on a stable haemodialysis regimen for &gt;4 weeks prior to screening plasma oxalate assessment and able to maintain this regimen through Month 6, with changes permitted only when medically indicated.</w:t>
      </w:r>
    </w:p>
    <w:p w14:paraId="1FE209F4" w14:textId="02A5BD07" w:rsidR="00295567" w:rsidRPr="0009282C" w:rsidRDefault="00295567" w:rsidP="00EC48DC">
      <w:pPr>
        <w:pStyle w:val="3-BodyText"/>
        <w:rPr>
          <w:iCs/>
        </w:rPr>
      </w:pPr>
      <w:r w:rsidRPr="0009282C">
        <w:rPr>
          <w:iCs/>
        </w:rPr>
        <w:t>Additional clinical evidence was also provided:</w:t>
      </w:r>
    </w:p>
    <w:p w14:paraId="2E7F1438" w14:textId="22EBE4BB" w:rsidR="00B71083" w:rsidRPr="0009282C" w:rsidRDefault="00B71083" w:rsidP="590A36EA">
      <w:pPr>
        <w:pStyle w:val="ListParagraph"/>
        <w:ind w:left="1134" w:hanging="425"/>
        <w:jc w:val="both"/>
        <w:rPr>
          <w:rFonts w:eastAsiaTheme="minorEastAsia" w:cstheme="minorBidi"/>
          <w:iCs/>
          <w:snapToGrid/>
        </w:rPr>
      </w:pPr>
      <w:r w:rsidRPr="0009282C">
        <w:rPr>
          <w:rFonts w:eastAsiaTheme="minorEastAsia" w:cstheme="minorBidi"/>
          <w:iCs/>
        </w:rPr>
        <w:t>ALN-GO1-001B</w:t>
      </w:r>
      <w:r w:rsidR="0028422C" w:rsidRPr="0009282C">
        <w:rPr>
          <w:rFonts w:eastAsiaTheme="minorEastAsia" w:cstheme="minorBidi"/>
          <w:iCs/>
        </w:rPr>
        <w:t xml:space="preserve"> (N=20)</w:t>
      </w:r>
      <w:r w:rsidR="00370930" w:rsidRPr="0009282C">
        <w:rPr>
          <w:rFonts w:eastAsiaTheme="minorEastAsia" w:cstheme="minorBidi"/>
          <w:iCs/>
        </w:rPr>
        <w:t>:</w:t>
      </w:r>
      <w:r w:rsidRPr="0009282C">
        <w:rPr>
          <w:rFonts w:eastAsiaTheme="minorEastAsia" w:cstheme="minorBidi"/>
          <w:iCs/>
        </w:rPr>
        <w:t xml:space="preserve"> </w:t>
      </w:r>
      <w:r w:rsidR="0028422C" w:rsidRPr="0009282C">
        <w:rPr>
          <w:rFonts w:eastAsiaTheme="minorEastAsia" w:cstheme="minorBidi"/>
          <w:iCs/>
        </w:rPr>
        <w:t>A</w:t>
      </w:r>
      <w:r w:rsidRPr="0009282C">
        <w:rPr>
          <w:rFonts w:eastAsiaTheme="minorEastAsia" w:cstheme="minorBidi"/>
          <w:iCs/>
        </w:rPr>
        <w:t xml:space="preserve"> phase 1/2 randomised, placebo-controlled dosing study</w:t>
      </w:r>
      <w:r w:rsidR="00747B0B" w:rsidRPr="0009282C">
        <w:rPr>
          <w:rFonts w:eastAsiaTheme="minorEastAsia" w:cstheme="minorBidi"/>
          <w:iCs/>
        </w:rPr>
        <w:t xml:space="preserve">. Patients were </w:t>
      </w:r>
      <w:r w:rsidR="00747B0B" w:rsidRPr="0009282C">
        <w:rPr>
          <w:iCs/>
        </w:rPr>
        <w:t>aged ≥6 years with PH1 with urinary oxalate ≥0.7 mmol/1.73</w:t>
      </w:r>
      <w:r w:rsidR="00711840">
        <w:rPr>
          <w:iCs/>
        </w:rPr>
        <w:t> </w:t>
      </w:r>
      <w:r w:rsidR="00747B0B" w:rsidRPr="0009282C">
        <w:rPr>
          <w:iCs/>
        </w:rPr>
        <w:t>m</w:t>
      </w:r>
      <w:r w:rsidR="00747B0B" w:rsidRPr="0009282C">
        <w:rPr>
          <w:iCs/>
          <w:vertAlign w:val="superscript"/>
        </w:rPr>
        <w:t>2</w:t>
      </w:r>
      <w:r w:rsidR="00747B0B" w:rsidRPr="0009282C">
        <w:rPr>
          <w:iCs/>
        </w:rPr>
        <w:t>/day and eGFR &gt;45 mL/min/1.73 m</w:t>
      </w:r>
      <w:r w:rsidR="00747B0B" w:rsidRPr="0009282C">
        <w:rPr>
          <w:iCs/>
          <w:vertAlign w:val="superscript"/>
        </w:rPr>
        <w:t>2</w:t>
      </w:r>
      <w:r w:rsidR="00747B0B" w:rsidRPr="0009282C">
        <w:rPr>
          <w:iCs/>
        </w:rPr>
        <w:t>.</w:t>
      </w:r>
    </w:p>
    <w:p w14:paraId="4A9AE5A7" w14:textId="2E2077BB" w:rsidR="000605DB" w:rsidRPr="0009282C" w:rsidRDefault="00B71083" w:rsidP="008E787D">
      <w:pPr>
        <w:pStyle w:val="ListParagraph"/>
        <w:ind w:left="1134" w:hanging="425"/>
        <w:jc w:val="both"/>
        <w:rPr>
          <w:rFonts w:eastAsiaTheme="minorHAnsi" w:cstheme="minorBidi"/>
          <w:iCs/>
          <w:snapToGrid/>
          <w:szCs w:val="22"/>
        </w:rPr>
      </w:pPr>
      <w:r w:rsidRPr="0009282C">
        <w:rPr>
          <w:rFonts w:eastAsiaTheme="minorHAnsi" w:cstheme="minorBidi"/>
          <w:iCs/>
          <w:snapToGrid/>
          <w:szCs w:val="22"/>
        </w:rPr>
        <w:t>ALN-GO1-00</w:t>
      </w:r>
      <w:r w:rsidR="00A64127" w:rsidRPr="0009282C">
        <w:rPr>
          <w:rFonts w:eastAsiaTheme="minorHAnsi" w:cstheme="minorBidi"/>
          <w:iCs/>
          <w:snapToGrid/>
          <w:szCs w:val="22"/>
        </w:rPr>
        <w:t>2 (N=2</w:t>
      </w:r>
      <w:r w:rsidR="00A66BC6" w:rsidRPr="0009282C">
        <w:rPr>
          <w:rFonts w:eastAsiaTheme="minorHAnsi" w:cstheme="minorBidi"/>
          <w:iCs/>
          <w:snapToGrid/>
          <w:szCs w:val="22"/>
        </w:rPr>
        <w:t>0</w:t>
      </w:r>
      <w:r w:rsidR="00A64127" w:rsidRPr="0009282C">
        <w:rPr>
          <w:rFonts w:eastAsiaTheme="minorHAnsi" w:cstheme="minorBidi"/>
          <w:iCs/>
          <w:snapToGrid/>
          <w:szCs w:val="22"/>
        </w:rPr>
        <w:t>):</w:t>
      </w:r>
      <w:r w:rsidRPr="0009282C">
        <w:rPr>
          <w:rFonts w:eastAsiaTheme="minorHAnsi" w:cstheme="minorBidi"/>
          <w:iCs/>
          <w:snapToGrid/>
          <w:szCs w:val="22"/>
        </w:rPr>
        <w:t xml:space="preserve"> </w:t>
      </w:r>
      <w:r w:rsidR="00A66BC6" w:rsidRPr="0009282C">
        <w:rPr>
          <w:rFonts w:eastAsiaTheme="minorHAnsi" w:cstheme="minorBidi"/>
          <w:iCs/>
          <w:snapToGrid/>
          <w:szCs w:val="22"/>
        </w:rPr>
        <w:t>A</w:t>
      </w:r>
      <w:r w:rsidRPr="0009282C">
        <w:rPr>
          <w:rFonts w:eastAsiaTheme="minorHAnsi" w:cstheme="minorBidi"/>
          <w:iCs/>
          <w:snapToGrid/>
          <w:szCs w:val="22"/>
        </w:rPr>
        <w:t xml:space="preserve"> phase 2, open-label extension safety study of people previously enrolled in ALN-GO1-001B</w:t>
      </w:r>
      <w:r w:rsidR="00A66BC6" w:rsidRPr="0009282C">
        <w:rPr>
          <w:rFonts w:eastAsiaTheme="minorHAnsi" w:cstheme="minorBidi"/>
          <w:iCs/>
          <w:snapToGrid/>
          <w:szCs w:val="22"/>
        </w:rPr>
        <w:t>.</w:t>
      </w:r>
    </w:p>
    <w:p w14:paraId="6C2D1749" w14:textId="36E15909" w:rsidR="00895B4E" w:rsidRPr="0009282C" w:rsidRDefault="00EB1637" w:rsidP="00EC48DC">
      <w:pPr>
        <w:pStyle w:val="3-BodyText"/>
        <w:rPr>
          <w:iCs/>
        </w:rPr>
      </w:pPr>
      <w:r w:rsidRPr="0009282C">
        <w:t>T</w:t>
      </w:r>
      <w:r w:rsidR="00E02D82" w:rsidRPr="0009282C">
        <w:t xml:space="preserve">he </w:t>
      </w:r>
      <w:r w:rsidR="009D67C9" w:rsidRPr="0009282C">
        <w:rPr>
          <w:iCs/>
        </w:rPr>
        <w:t>median age of</w:t>
      </w:r>
      <w:r w:rsidR="009D67C9" w:rsidRPr="0009282C">
        <w:t xml:space="preserve"> </w:t>
      </w:r>
      <w:r w:rsidR="00E02D82" w:rsidRPr="0009282C">
        <w:t xml:space="preserve">patients included in ILLUMINATE-A </w:t>
      </w:r>
      <w:r w:rsidR="009D67C9" w:rsidRPr="0009282C">
        <w:rPr>
          <w:iCs/>
        </w:rPr>
        <w:t>was 14</w:t>
      </w:r>
      <w:r w:rsidR="00EA4123" w:rsidRPr="0009282C">
        <w:rPr>
          <w:iCs/>
        </w:rPr>
        <w:t xml:space="preserve"> years</w:t>
      </w:r>
      <w:r w:rsidR="009D67C9" w:rsidRPr="0009282C">
        <w:rPr>
          <w:iCs/>
        </w:rPr>
        <w:t xml:space="preserve"> (</w:t>
      </w:r>
      <w:r w:rsidR="00F75104" w:rsidRPr="0009282C">
        <w:rPr>
          <w:iCs/>
        </w:rPr>
        <w:t>range</w:t>
      </w:r>
      <w:r w:rsidR="009D67C9" w:rsidRPr="0009282C">
        <w:rPr>
          <w:iCs/>
        </w:rPr>
        <w:t xml:space="preserve"> = 6−60</w:t>
      </w:r>
      <w:r w:rsidR="00711840">
        <w:rPr>
          <w:iCs/>
        </w:rPr>
        <w:t> </w:t>
      </w:r>
      <w:r w:rsidR="00EA4123" w:rsidRPr="0009282C">
        <w:rPr>
          <w:iCs/>
        </w:rPr>
        <w:t>years</w:t>
      </w:r>
      <w:r w:rsidR="009D67C9" w:rsidRPr="0009282C">
        <w:rPr>
          <w:iCs/>
        </w:rPr>
        <w:t xml:space="preserve">) </w:t>
      </w:r>
      <w:r w:rsidR="00EA4123" w:rsidRPr="0009282C">
        <w:rPr>
          <w:iCs/>
        </w:rPr>
        <w:t xml:space="preserve">with </w:t>
      </w:r>
      <w:r w:rsidR="004A0523" w:rsidRPr="0009282C">
        <w:rPr>
          <w:iCs/>
        </w:rPr>
        <w:t>44% of patients 18 years or older</w:t>
      </w:r>
      <w:r w:rsidR="004A0523" w:rsidRPr="0009282C">
        <w:t xml:space="preserve"> </w:t>
      </w:r>
      <w:r w:rsidR="00E02D82" w:rsidRPr="0009282C">
        <w:t xml:space="preserve">with relatively preserved kidney function. </w:t>
      </w:r>
      <w:r w:rsidR="00FC0DFD" w:rsidRPr="0009282C">
        <w:t>T</w:t>
      </w:r>
      <w:r w:rsidR="00E02D82" w:rsidRPr="0009282C">
        <w:t xml:space="preserve">he ILLUMINATE-B trial </w:t>
      </w:r>
      <w:r w:rsidR="0044009D">
        <w:t>included</w:t>
      </w:r>
      <w:r w:rsidR="00E02D82" w:rsidRPr="0009282C">
        <w:t xml:space="preserve"> paediatric patients with relatively preserved kidney function and the ILLUMINATE-C trial included patients </w:t>
      </w:r>
      <w:r w:rsidR="00A253BE" w:rsidRPr="0009282C">
        <w:t>≥</w:t>
      </w:r>
      <w:r w:rsidR="00711840" w:rsidRPr="0009282C">
        <w:t>37</w:t>
      </w:r>
      <w:r w:rsidR="00711840">
        <w:t> </w:t>
      </w:r>
      <w:r w:rsidR="00A253BE" w:rsidRPr="0009282C">
        <w:t>weeks</w:t>
      </w:r>
      <w:r w:rsidR="00D82513" w:rsidRPr="0009282C">
        <w:t xml:space="preserve"> </w:t>
      </w:r>
      <w:r w:rsidR="008A13AB" w:rsidRPr="0009282C">
        <w:t>gestational age</w:t>
      </w:r>
      <w:r w:rsidR="00D82513" w:rsidRPr="0009282C">
        <w:t xml:space="preserve"> </w:t>
      </w:r>
      <w:r w:rsidR="00E02D82" w:rsidRPr="0009282C">
        <w:t xml:space="preserve">with more advanced CKD. </w:t>
      </w:r>
      <w:r w:rsidR="0061175F" w:rsidRPr="0009282C">
        <w:t>The</w:t>
      </w:r>
      <w:r w:rsidR="002461D3" w:rsidRPr="0009282C">
        <w:t xml:space="preserve"> </w:t>
      </w:r>
      <w:r w:rsidR="00CA5E64" w:rsidRPr="0009282C">
        <w:t xml:space="preserve">evaluation </w:t>
      </w:r>
      <w:r w:rsidR="002461D3" w:rsidRPr="0009282C">
        <w:t>noted that the</w:t>
      </w:r>
      <w:r w:rsidR="0061175F" w:rsidRPr="0009282C">
        <w:t xml:space="preserve"> three</w:t>
      </w:r>
      <w:r w:rsidR="00E02D82" w:rsidRPr="0009282C">
        <w:rPr>
          <w:iCs/>
        </w:rPr>
        <w:t xml:space="preserve"> ILLUMINATE trial</w:t>
      </w:r>
      <w:r w:rsidR="00B31BE5" w:rsidRPr="0009282C">
        <w:rPr>
          <w:iCs/>
        </w:rPr>
        <w:t>s</w:t>
      </w:r>
      <w:r w:rsidR="00E02D82" w:rsidRPr="0009282C">
        <w:rPr>
          <w:iCs/>
        </w:rPr>
        <w:t xml:space="preserve"> </w:t>
      </w:r>
      <w:r w:rsidR="00F234A3" w:rsidRPr="0009282C">
        <w:t>included</w:t>
      </w:r>
      <w:r w:rsidR="00E01892" w:rsidRPr="0009282C">
        <w:t xml:space="preserve"> a small number of</w:t>
      </w:r>
      <w:r w:rsidR="00F234A3" w:rsidRPr="0009282C">
        <w:t xml:space="preserve"> patients with </w:t>
      </w:r>
      <w:r w:rsidR="00E01892" w:rsidRPr="0009282C">
        <w:t>varying</w:t>
      </w:r>
      <w:r w:rsidR="00E01892" w:rsidRPr="0009282C">
        <w:rPr>
          <w:iCs/>
        </w:rPr>
        <w:t xml:space="preserve"> </w:t>
      </w:r>
      <w:r w:rsidR="00E02D82" w:rsidRPr="0009282C">
        <w:rPr>
          <w:iCs/>
        </w:rPr>
        <w:t>levels of kidney function</w:t>
      </w:r>
      <w:r w:rsidR="00E01892" w:rsidRPr="0009282C">
        <w:t xml:space="preserve">. </w:t>
      </w:r>
      <w:r w:rsidR="00EB445D" w:rsidRPr="0009282C">
        <w:t xml:space="preserve">For this reason, </w:t>
      </w:r>
      <w:r w:rsidR="00E02D82" w:rsidRPr="0009282C">
        <w:rPr>
          <w:iCs/>
        </w:rPr>
        <w:t xml:space="preserve">the results of the 3 trials </w:t>
      </w:r>
      <w:r w:rsidR="0080091E">
        <w:rPr>
          <w:iCs/>
        </w:rPr>
        <w:t>sh</w:t>
      </w:r>
      <w:r w:rsidR="00E02D82" w:rsidRPr="0009282C">
        <w:rPr>
          <w:iCs/>
        </w:rPr>
        <w:t xml:space="preserve">ould not be interpreted within the same context. </w:t>
      </w:r>
    </w:p>
    <w:p w14:paraId="51419863" w14:textId="45833A64" w:rsidR="004C1485" w:rsidRPr="0009282C" w:rsidRDefault="007C2EEF" w:rsidP="00EC48DC">
      <w:pPr>
        <w:pStyle w:val="3-BodyText"/>
      </w:pPr>
      <w:r w:rsidRPr="0009282C">
        <w:t>T</w:t>
      </w:r>
      <w:r w:rsidR="004C1485" w:rsidRPr="0009282C">
        <w:t>he ILLUMINATE-A and -B trials excluded patients with systemic oxalosis, which is a feature of PH1 progression.</w:t>
      </w:r>
      <w:r w:rsidR="008F2C84" w:rsidRPr="0009282C">
        <w:t xml:space="preserve"> </w:t>
      </w:r>
      <w:r w:rsidR="008F2C84" w:rsidRPr="0009282C">
        <w:rPr>
          <w:iCs/>
        </w:rPr>
        <w:t>Therefore, the generalisability of the findings to these patients is uncertain.</w:t>
      </w:r>
    </w:p>
    <w:p w14:paraId="4B769C75" w14:textId="7D47281B" w:rsidR="008C1D51" w:rsidRPr="0009282C" w:rsidRDefault="008C1D51" w:rsidP="00EC48DC">
      <w:pPr>
        <w:pStyle w:val="3-BodyText"/>
        <w:rPr>
          <w:iCs/>
        </w:rPr>
      </w:pPr>
      <w:r w:rsidRPr="0009282C">
        <w:rPr>
          <w:iCs/>
        </w:rPr>
        <w:t xml:space="preserve">The ESC </w:t>
      </w:r>
      <w:r w:rsidR="00E17C65" w:rsidRPr="0009282C">
        <w:rPr>
          <w:iCs/>
        </w:rPr>
        <w:t>noted the rarity of PH1,</w:t>
      </w:r>
      <w:r w:rsidR="003C4FF7" w:rsidRPr="0009282C">
        <w:rPr>
          <w:iCs/>
        </w:rPr>
        <w:t xml:space="preserve"> and considered the availability of randomised data, though limited, was a valuable contribution to the evidence base.</w:t>
      </w:r>
    </w:p>
    <w:p w14:paraId="22C0550E" w14:textId="3EA6004F" w:rsidR="001936C3" w:rsidRPr="0009282C" w:rsidRDefault="00A73134" w:rsidP="00EC48DC">
      <w:pPr>
        <w:pStyle w:val="3-BodyText"/>
      </w:pPr>
      <w:r w:rsidRPr="0009282C">
        <w:t xml:space="preserve">Details of the </w:t>
      </w:r>
      <w:r w:rsidR="000545C9" w:rsidRPr="0009282C">
        <w:t>trial</w:t>
      </w:r>
      <w:r w:rsidR="00D635EB" w:rsidRPr="0009282C">
        <w:t xml:space="preserve"> publications</w:t>
      </w:r>
      <w:r w:rsidRPr="0009282C">
        <w:t xml:space="preserve"> presented in the submission are provided in</w:t>
      </w:r>
      <w:r w:rsidR="00FD752D" w:rsidRPr="0009282C">
        <w:t xml:space="preserve"> </w:t>
      </w:r>
      <w:r w:rsidR="00FD752D" w:rsidRPr="0009282C">
        <w:fldChar w:fldCharType="begin" w:fldLock="1"/>
      </w:r>
      <w:r w:rsidR="00FD752D" w:rsidRPr="0009282C">
        <w:instrText xml:space="preserve"> REF _Ref185865620 \h </w:instrText>
      </w:r>
      <w:r w:rsidR="00FD752D" w:rsidRPr="0009282C">
        <w:fldChar w:fldCharType="separate"/>
      </w:r>
      <w:r w:rsidR="00771DFF" w:rsidRPr="0009282C">
        <w:t xml:space="preserve">Table </w:t>
      </w:r>
      <w:r w:rsidR="00771DFF">
        <w:rPr>
          <w:noProof/>
        </w:rPr>
        <w:t>2</w:t>
      </w:r>
      <w:r w:rsidR="00FD752D" w:rsidRPr="0009282C">
        <w:fldChar w:fldCharType="end"/>
      </w:r>
      <w:r w:rsidRPr="0009282C">
        <w:t>.</w:t>
      </w:r>
    </w:p>
    <w:p w14:paraId="51FF9431" w14:textId="7E21869B" w:rsidR="00DB1147" w:rsidRPr="0009282C" w:rsidRDefault="00DB1147" w:rsidP="00DB1147">
      <w:pPr>
        <w:pStyle w:val="Caption"/>
      </w:pPr>
      <w:bookmarkStart w:id="22" w:name="_Ref185865620"/>
      <w:bookmarkStart w:id="23" w:name="_Ref185867218"/>
      <w:bookmarkStart w:id="24" w:name="_Ref185340715"/>
      <w:r w:rsidRPr="0009282C">
        <w:t xml:space="preserve">Table </w:t>
      </w:r>
      <w:r w:rsidR="000D4330">
        <w:fldChar w:fldCharType="begin" w:fldLock="1"/>
      </w:r>
      <w:r w:rsidR="000D4330">
        <w:instrText xml:space="preserve"> SEQ Table \* ARABIC </w:instrText>
      </w:r>
      <w:r w:rsidR="000D4330">
        <w:fldChar w:fldCharType="separate"/>
      </w:r>
      <w:r w:rsidR="00771DFF">
        <w:rPr>
          <w:noProof/>
        </w:rPr>
        <w:t>2</w:t>
      </w:r>
      <w:r w:rsidR="000D4330">
        <w:rPr>
          <w:noProof/>
        </w:rPr>
        <w:fldChar w:fldCharType="end"/>
      </w:r>
      <w:bookmarkEnd w:id="22"/>
      <w:bookmarkEnd w:id="23"/>
      <w:r w:rsidR="005C26AE" w:rsidRPr="0009282C">
        <w:rPr>
          <w:noProof/>
        </w:rPr>
        <w:t>:</w:t>
      </w:r>
      <w:r w:rsidR="00711840">
        <w:t xml:space="preserve"> </w:t>
      </w:r>
      <w:r w:rsidRPr="0009282C">
        <w:t>Trials and associated reports presented in the submission</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103"/>
        <w:gridCol w:w="2643"/>
      </w:tblGrid>
      <w:tr w:rsidR="00DB1147" w:rsidRPr="0009282C" w14:paraId="52760444" w14:textId="77777777" w:rsidTr="00784D16">
        <w:trPr>
          <w:tblHeader/>
        </w:trPr>
        <w:tc>
          <w:tcPr>
            <w:tcW w:w="1271" w:type="dxa"/>
            <w:vAlign w:val="center"/>
          </w:tcPr>
          <w:p w14:paraId="54E50021" w14:textId="77777777" w:rsidR="00DB1147" w:rsidRPr="0009282C" w:rsidRDefault="00DB1147">
            <w:pPr>
              <w:pStyle w:val="In-tableHeading"/>
              <w:keepNext w:val="0"/>
              <w:rPr>
                <w:lang w:val="en-AU"/>
              </w:rPr>
            </w:pPr>
            <w:r w:rsidRPr="0009282C">
              <w:rPr>
                <w:lang w:val="en-AU"/>
              </w:rPr>
              <w:t>Trial ID</w:t>
            </w:r>
          </w:p>
        </w:tc>
        <w:tc>
          <w:tcPr>
            <w:tcW w:w="5103" w:type="dxa"/>
            <w:vAlign w:val="center"/>
          </w:tcPr>
          <w:p w14:paraId="7042D424" w14:textId="5DDFA5B2" w:rsidR="00DB1147" w:rsidRPr="0009282C" w:rsidRDefault="00DB1147">
            <w:pPr>
              <w:pStyle w:val="In-tableHeading"/>
              <w:keepNext w:val="0"/>
              <w:rPr>
                <w:lang w:val="en-AU"/>
              </w:rPr>
            </w:pPr>
            <w:r w:rsidRPr="0009282C">
              <w:rPr>
                <w:lang w:val="en-AU"/>
              </w:rPr>
              <w:t>Publication/Conference abstract/Clinical study report title</w:t>
            </w:r>
          </w:p>
        </w:tc>
        <w:tc>
          <w:tcPr>
            <w:tcW w:w="2643" w:type="dxa"/>
            <w:vAlign w:val="center"/>
          </w:tcPr>
          <w:p w14:paraId="4ED16755" w14:textId="77777777" w:rsidR="00DB1147" w:rsidRPr="0009282C" w:rsidRDefault="00DB1147">
            <w:pPr>
              <w:pStyle w:val="In-tableHeading"/>
              <w:keepNext w:val="0"/>
              <w:rPr>
                <w:lang w:val="en-AU"/>
              </w:rPr>
            </w:pPr>
            <w:r w:rsidRPr="0009282C">
              <w:rPr>
                <w:lang w:val="en-AU"/>
              </w:rPr>
              <w:t>Publication type; Publication citation</w:t>
            </w:r>
          </w:p>
        </w:tc>
      </w:tr>
      <w:tr w:rsidR="00DB1147" w:rsidRPr="0009282C" w14:paraId="3962CEA0" w14:textId="77777777" w:rsidTr="00784D16">
        <w:tc>
          <w:tcPr>
            <w:tcW w:w="0" w:type="auto"/>
            <w:gridSpan w:val="3"/>
          </w:tcPr>
          <w:p w14:paraId="148E7D1F" w14:textId="77777777" w:rsidR="00DB1147" w:rsidRPr="0009282C" w:rsidRDefault="00DB1147">
            <w:pPr>
              <w:pStyle w:val="TableText0"/>
              <w:rPr>
                <w:b/>
                <w:bCs w:val="0"/>
              </w:rPr>
            </w:pPr>
            <w:r w:rsidRPr="0009282C">
              <w:rPr>
                <w:b/>
                <w:bCs w:val="0"/>
              </w:rPr>
              <w:t>Randomised trials</w:t>
            </w:r>
          </w:p>
        </w:tc>
      </w:tr>
      <w:tr w:rsidR="00DB1147" w:rsidRPr="0009282C" w14:paraId="79039E6A" w14:textId="77777777" w:rsidTr="00784D16">
        <w:tc>
          <w:tcPr>
            <w:tcW w:w="1271" w:type="dxa"/>
            <w:vMerge w:val="restart"/>
          </w:tcPr>
          <w:p w14:paraId="1E9DAB17" w14:textId="77777777" w:rsidR="00DB1147" w:rsidRPr="0009282C" w:rsidRDefault="00DB1147">
            <w:pPr>
              <w:pStyle w:val="TableText0"/>
            </w:pPr>
            <w:r w:rsidRPr="0009282C">
              <w:t>ILLUMINATE-A</w:t>
            </w:r>
          </w:p>
          <w:p w14:paraId="21B95877" w14:textId="77777777" w:rsidR="00DB1147" w:rsidRPr="0009282C" w:rsidRDefault="00DB1147">
            <w:pPr>
              <w:pStyle w:val="TableText0"/>
            </w:pPr>
            <w:r w:rsidRPr="0009282C">
              <w:t>ALN-GO1-003</w:t>
            </w:r>
          </w:p>
          <w:p w14:paraId="5E838F2A" w14:textId="77777777" w:rsidR="00DB1147" w:rsidRPr="0009282C" w:rsidRDefault="00DB1147">
            <w:pPr>
              <w:pStyle w:val="TableText0"/>
            </w:pPr>
            <w:r w:rsidRPr="0009282C">
              <w:t>NCT03681184</w:t>
            </w:r>
          </w:p>
        </w:tc>
        <w:tc>
          <w:tcPr>
            <w:tcW w:w="5103" w:type="dxa"/>
          </w:tcPr>
          <w:p w14:paraId="78183876" w14:textId="77777777" w:rsidR="00DB1147" w:rsidRPr="0009282C" w:rsidRDefault="00DB1147">
            <w:pPr>
              <w:pStyle w:val="TableText0"/>
              <w:rPr>
                <w:szCs w:val="18"/>
              </w:rPr>
            </w:pPr>
            <w:r w:rsidRPr="0009282C">
              <w:t>Alnylam Pharmaceuticals. Data on File. ILLUMINATE-A (ALN-GO1-003) Clinical Study Report (CSR) 2.</w:t>
            </w:r>
          </w:p>
        </w:tc>
        <w:tc>
          <w:tcPr>
            <w:tcW w:w="2643" w:type="dxa"/>
            <w:vAlign w:val="center"/>
          </w:tcPr>
          <w:p w14:paraId="543B10E2" w14:textId="77777777" w:rsidR="00DB1147" w:rsidRPr="0009282C" w:rsidRDefault="00DB1147">
            <w:pPr>
              <w:pStyle w:val="TableText0"/>
            </w:pPr>
            <w:r w:rsidRPr="0009282C">
              <w:t>CSR; 28 June 2024.</w:t>
            </w:r>
          </w:p>
        </w:tc>
      </w:tr>
      <w:tr w:rsidR="00DB1147" w:rsidRPr="0009282C" w14:paraId="079177EF" w14:textId="77777777" w:rsidTr="00784D16">
        <w:tc>
          <w:tcPr>
            <w:tcW w:w="1271" w:type="dxa"/>
            <w:vMerge/>
          </w:tcPr>
          <w:p w14:paraId="1AE1536D" w14:textId="77777777" w:rsidR="00DB1147" w:rsidRPr="0009282C" w:rsidRDefault="00DB1147">
            <w:pPr>
              <w:pStyle w:val="TableText0"/>
            </w:pPr>
          </w:p>
        </w:tc>
        <w:tc>
          <w:tcPr>
            <w:tcW w:w="5103" w:type="dxa"/>
          </w:tcPr>
          <w:p w14:paraId="514A4D72" w14:textId="77777777" w:rsidR="00DB1147" w:rsidRPr="0009282C" w:rsidRDefault="00DB1147">
            <w:pPr>
              <w:pStyle w:val="TableText0"/>
              <w:rPr>
                <w:szCs w:val="18"/>
              </w:rPr>
            </w:pPr>
            <w:r w:rsidRPr="0009282C">
              <w:t>Alnylam Pharmaceuticals. Data on File. ILLUMINATE-1 (ALN-GO1-003) Clinical Study Report (CSR) 1.</w:t>
            </w:r>
          </w:p>
        </w:tc>
        <w:tc>
          <w:tcPr>
            <w:tcW w:w="2643" w:type="dxa"/>
            <w:vAlign w:val="center"/>
          </w:tcPr>
          <w:p w14:paraId="2A89E7E1" w14:textId="77777777" w:rsidR="00DB1147" w:rsidRPr="0009282C" w:rsidRDefault="00DB1147">
            <w:pPr>
              <w:pStyle w:val="TableText0"/>
              <w:rPr>
                <w:szCs w:val="18"/>
              </w:rPr>
            </w:pPr>
            <w:r w:rsidRPr="0009282C">
              <w:t>CSR; 10 March 2020.</w:t>
            </w:r>
          </w:p>
        </w:tc>
      </w:tr>
      <w:tr w:rsidR="00DB1147" w:rsidRPr="0009282C" w14:paraId="78C94684" w14:textId="77777777" w:rsidTr="00784D16">
        <w:tc>
          <w:tcPr>
            <w:tcW w:w="1271" w:type="dxa"/>
            <w:vMerge/>
          </w:tcPr>
          <w:p w14:paraId="72B2D374" w14:textId="77777777" w:rsidR="00DB1147" w:rsidRPr="0009282C" w:rsidRDefault="00DB1147">
            <w:pPr>
              <w:pStyle w:val="TableText0"/>
            </w:pPr>
          </w:p>
        </w:tc>
        <w:tc>
          <w:tcPr>
            <w:tcW w:w="5103" w:type="dxa"/>
          </w:tcPr>
          <w:p w14:paraId="5166FBDB" w14:textId="52830732" w:rsidR="00DB1147" w:rsidRPr="0009282C" w:rsidRDefault="00DB1147">
            <w:pPr>
              <w:pStyle w:val="TableText0"/>
            </w:pPr>
            <w:r w:rsidRPr="0009282C">
              <w:t xml:space="preserve">Saland JM, Lieske JC, Groothoff JW, et al. Efficacy and safety of </w:t>
            </w:r>
            <w:proofErr w:type="spellStart"/>
            <w:r w:rsidRPr="0009282C">
              <w:t>lumasiran</w:t>
            </w:r>
            <w:proofErr w:type="spellEnd"/>
            <w:r w:rsidRPr="0009282C">
              <w:t xml:space="preserve"> in patients with primary hyperoxaluria type 1: results from a phase III clinical trial.</w:t>
            </w:r>
          </w:p>
        </w:tc>
        <w:tc>
          <w:tcPr>
            <w:tcW w:w="2643" w:type="dxa"/>
            <w:vAlign w:val="center"/>
          </w:tcPr>
          <w:p w14:paraId="76D8DDFE" w14:textId="77777777" w:rsidR="00DB1147" w:rsidRPr="0009282C" w:rsidRDefault="00DB1147">
            <w:pPr>
              <w:pStyle w:val="TableText0"/>
              <w:rPr>
                <w:szCs w:val="18"/>
              </w:rPr>
            </w:pPr>
            <w:r w:rsidRPr="0009282C">
              <w:t>Full publication; Kidney Int Rep. 2024;9(7):2037-2046.</w:t>
            </w:r>
          </w:p>
        </w:tc>
      </w:tr>
      <w:tr w:rsidR="00DB1147" w:rsidRPr="0009282C" w14:paraId="03E0A365" w14:textId="77777777" w:rsidTr="00784D16">
        <w:tc>
          <w:tcPr>
            <w:tcW w:w="1271" w:type="dxa"/>
            <w:vMerge/>
          </w:tcPr>
          <w:p w14:paraId="5CA32FDC" w14:textId="77777777" w:rsidR="00DB1147" w:rsidRPr="0009282C" w:rsidRDefault="00DB1147">
            <w:pPr>
              <w:pStyle w:val="TableText0"/>
            </w:pPr>
          </w:p>
        </w:tc>
        <w:tc>
          <w:tcPr>
            <w:tcW w:w="5103" w:type="dxa"/>
          </w:tcPr>
          <w:p w14:paraId="7B6FF923" w14:textId="018D8661" w:rsidR="00DB1147" w:rsidRPr="0009282C" w:rsidRDefault="00DB1147">
            <w:pPr>
              <w:pStyle w:val="TableText0"/>
            </w:pPr>
            <w:r w:rsidRPr="0009282C">
              <w:t xml:space="preserve">Hulton SA, Groothoff JW, Frishberg Y, et al. Randomized clinical trial on the long-term efficacy and safety of </w:t>
            </w:r>
            <w:proofErr w:type="spellStart"/>
            <w:r w:rsidRPr="0009282C">
              <w:t>lumasiran</w:t>
            </w:r>
            <w:proofErr w:type="spellEnd"/>
            <w:r w:rsidRPr="0009282C">
              <w:t xml:space="preserve"> in patients with primary hyperoxaluria type 1.</w:t>
            </w:r>
          </w:p>
        </w:tc>
        <w:tc>
          <w:tcPr>
            <w:tcW w:w="2643" w:type="dxa"/>
            <w:vAlign w:val="center"/>
          </w:tcPr>
          <w:p w14:paraId="11B5BB57" w14:textId="77777777" w:rsidR="00DB1147" w:rsidRPr="0009282C" w:rsidRDefault="00DB1147">
            <w:pPr>
              <w:pStyle w:val="TableText0"/>
              <w:rPr>
                <w:szCs w:val="18"/>
              </w:rPr>
            </w:pPr>
            <w:r w:rsidRPr="0009282C">
              <w:t xml:space="preserve">Full publication; </w:t>
            </w:r>
            <w:r w:rsidRPr="0009282C">
              <w:rPr>
                <w:szCs w:val="18"/>
              </w:rPr>
              <w:t>Kidney Int Rep. 2022;7(3):494-506.</w:t>
            </w:r>
          </w:p>
        </w:tc>
      </w:tr>
      <w:tr w:rsidR="00DB1147" w:rsidRPr="0009282C" w14:paraId="343BA80A" w14:textId="77777777" w:rsidTr="00784D16">
        <w:tc>
          <w:tcPr>
            <w:tcW w:w="1271" w:type="dxa"/>
            <w:vMerge/>
          </w:tcPr>
          <w:p w14:paraId="5BE9024D" w14:textId="77777777" w:rsidR="00DB1147" w:rsidRPr="0009282C" w:rsidRDefault="00DB1147">
            <w:pPr>
              <w:pStyle w:val="TableText0"/>
            </w:pPr>
          </w:p>
        </w:tc>
        <w:tc>
          <w:tcPr>
            <w:tcW w:w="5103" w:type="dxa"/>
          </w:tcPr>
          <w:p w14:paraId="150A2F0C" w14:textId="3A4E222C" w:rsidR="00DB1147" w:rsidRPr="0009282C" w:rsidRDefault="00DB1147">
            <w:pPr>
              <w:pStyle w:val="TableText0"/>
            </w:pPr>
            <w:proofErr w:type="spellStart"/>
            <w:r w:rsidRPr="0009282C">
              <w:t>Garrelfs</w:t>
            </w:r>
            <w:proofErr w:type="spellEnd"/>
            <w:r w:rsidRPr="0009282C">
              <w:t xml:space="preserve"> SF, Frishberg Y, Hulton S, et al. </w:t>
            </w:r>
            <w:proofErr w:type="spellStart"/>
            <w:r w:rsidRPr="0009282C">
              <w:t>Lumasiran</w:t>
            </w:r>
            <w:proofErr w:type="spellEnd"/>
            <w:r w:rsidRPr="0009282C">
              <w:t>, an RNAi therapeutic for primary hyperoxaluria type 1.</w:t>
            </w:r>
          </w:p>
        </w:tc>
        <w:tc>
          <w:tcPr>
            <w:tcW w:w="2643" w:type="dxa"/>
            <w:vAlign w:val="center"/>
          </w:tcPr>
          <w:p w14:paraId="42BBA87D" w14:textId="3494D458" w:rsidR="00DB1147" w:rsidRPr="0009282C" w:rsidRDefault="00DB1147">
            <w:pPr>
              <w:pStyle w:val="TableText0"/>
            </w:pPr>
            <w:r w:rsidRPr="0009282C">
              <w:t>Full publication; N Engl J Med. 2021;384:1216-1226.</w:t>
            </w:r>
          </w:p>
        </w:tc>
      </w:tr>
      <w:tr w:rsidR="00DB1147" w:rsidRPr="0009282C" w14:paraId="7616D460" w14:textId="77777777" w:rsidTr="00784D16">
        <w:tc>
          <w:tcPr>
            <w:tcW w:w="0" w:type="auto"/>
            <w:gridSpan w:val="3"/>
            <w:vAlign w:val="center"/>
          </w:tcPr>
          <w:p w14:paraId="6FAA5F4C" w14:textId="77777777" w:rsidR="00DB1147" w:rsidRPr="0009282C" w:rsidRDefault="00DB1147">
            <w:pPr>
              <w:pStyle w:val="TableText0"/>
              <w:rPr>
                <w:b/>
                <w:bCs w:val="0"/>
              </w:rPr>
            </w:pPr>
            <w:r w:rsidRPr="0009282C">
              <w:rPr>
                <w:b/>
                <w:bCs w:val="0"/>
              </w:rPr>
              <w:t>Non-randomised trials</w:t>
            </w:r>
          </w:p>
        </w:tc>
      </w:tr>
      <w:tr w:rsidR="00DB1147" w:rsidRPr="0009282C" w14:paraId="02BF06D7" w14:textId="77777777" w:rsidTr="00784D16">
        <w:tc>
          <w:tcPr>
            <w:tcW w:w="1271" w:type="dxa"/>
            <w:vMerge w:val="restart"/>
          </w:tcPr>
          <w:p w14:paraId="64DE6B1F" w14:textId="77777777" w:rsidR="00DB1147" w:rsidRPr="0009282C" w:rsidRDefault="00DB1147">
            <w:pPr>
              <w:pStyle w:val="TableText0"/>
            </w:pPr>
            <w:r w:rsidRPr="0009282C">
              <w:t>ILLUMINATE-B</w:t>
            </w:r>
          </w:p>
          <w:p w14:paraId="43C07507" w14:textId="77777777" w:rsidR="00DB1147" w:rsidRPr="0009282C" w:rsidRDefault="00DB1147">
            <w:pPr>
              <w:pStyle w:val="TableText0"/>
            </w:pPr>
            <w:r w:rsidRPr="0009282C">
              <w:t>ALN-GO1-004</w:t>
            </w:r>
          </w:p>
          <w:p w14:paraId="4956758B" w14:textId="77777777" w:rsidR="00DB1147" w:rsidRPr="0009282C" w:rsidRDefault="00DB1147">
            <w:pPr>
              <w:pStyle w:val="TableText0"/>
            </w:pPr>
            <w:r w:rsidRPr="0009282C">
              <w:t>NCT03905694</w:t>
            </w:r>
          </w:p>
        </w:tc>
        <w:tc>
          <w:tcPr>
            <w:tcW w:w="5103" w:type="dxa"/>
            <w:vAlign w:val="center"/>
          </w:tcPr>
          <w:p w14:paraId="14E833D5" w14:textId="77777777" w:rsidR="00DB1147" w:rsidRPr="0009282C" w:rsidRDefault="00DB1147">
            <w:pPr>
              <w:pStyle w:val="TableText0"/>
            </w:pPr>
            <w:r w:rsidRPr="0009282C">
              <w:rPr>
                <w:szCs w:val="18"/>
              </w:rPr>
              <w:t>Alnylam Pharmaceuticals. Data on File. ILLUMINATE-B (ALN-GO1-004) Clinical Study Report (CSR) 2.</w:t>
            </w:r>
          </w:p>
        </w:tc>
        <w:tc>
          <w:tcPr>
            <w:tcW w:w="2643" w:type="dxa"/>
            <w:vAlign w:val="center"/>
          </w:tcPr>
          <w:p w14:paraId="2B194028" w14:textId="77777777" w:rsidR="00DB1147" w:rsidRPr="0009282C" w:rsidRDefault="00DB1147">
            <w:pPr>
              <w:pStyle w:val="TableText0"/>
            </w:pPr>
            <w:r w:rsidRPr="0009282C">
              <w:rPr>
                <w:iCs/>
                <w:szCs w:val="18"/>
              </w:rPr>
              <w:t>CSR; 18 December 2020.</w:t>
            </w:r>
          </w:p>
        </w:tc>
      </w:tr>
      <w:tr w:rsidR="00DB1147" w:rsidRPr="0009282C" w14:paraId="58F30935" w14:textId="77777777" w:rsidTr="00784D16">
        <w:tc>
          <w:tcPr>
            <w:tcW w:w="1271" w:type="dxa"/>
            <w:vMerge/>
          </w:tcPr>
          <w:p w14:paraId="75762471" w14:textId="77777777" w:rsidR="00DB1147" w:rsidRPr="0009282C" w:rsidRDefault="00DB1147">
            <w:pPr>
              <w:pStyle w:val="TableText0"/>
            </w:pPr>
          </w:p>
        </w:tc>
        <w:tc>
          <w:tcPr>
            <w:tcW w:w="5103" w:type="dxa"/>
            <w:vAlign w:val="center"/>
          </w:tcPr>
          <w:p w14:paraId="5061080D" w14:textId="22830AC4" w:rsidR="00DB1147" w:rsidRPr="0009282C" w:rsidRDefault="00DB1147">
            <w:pPr>
              <w:pStyle w:val="TableText0"/>
            </w:pPr>
            <w:r w:rsidRPr="0009282C">
              <w:t xml:space="preserve">Hayes W, Sas DJ, Magen D, et al. Efficacy and safety of </w:t>
            </w:r>
            <w:proofErr w:type="spellStart"/>
            <w:r w:rsidRPr="0009282C">
              <w:t>lumasiran</w:t>
            </w:r>
            <w:proofErr w:type="spellEnd"/>
            <w:r w:rsidRPr="0009282C">
              <w:t xml:space="preserve"> for infants and young children with primary hyperoxaluria type 1: 12-month analysis of the phase 3 ILLUMINATE-B trial.</w:t>
            </w:r>
          </w:p>
        </w:tc>
        <w:tc>
          <w:tcPr>
            <w:tcW w:w="2643" w:type="dxa"/>
            <w:vAlign w:val="center"/>
          </w:tcPr>
          <w:p w14:paraId="357EB503" w14:textId="1EDFE61C" w:rsidR="00DB1147" w:rsidRPr="0009282C" w:rsidRDefault="00DB1147">
            <w:pPr>
              <w:pStyle w:val="TableText0"/>
              <w:rPr>
                <w:i/>
              </w:rPr>
            </w:pPr>
            <w:r w:rsidRPr="0009282C">
              <w:t xml:space="preserve">Full publication; </w:t>
            </w:r>
            <w:proofErr w:type="spellStart"/>
            <w:r w:rsidRPr="0009282C">
              <w:t>Pediatr</w:t>
            </w:r>
            <w:proofErr w:type="spellEnd"/>
            <w:r w:rsidRPr="0009282C">
              <w:t xml:space="preserve"> Nephrol. 2023;38(4):1075-1086.</w:t>
            </w:r>
          </w:p>
        </w:tc>
      </w:tr>
      <w:tr w:rsidR="00DB1147" w:rsidRPr="0009282C" w14:paraId="6C8E2F7F" w14:textId="77777777" w:rsidTr="00784D16">
        <w:tc>
          <w:tcPr>
            <w:tcW w:w="1271" w:type="dxa"/>
            <w:vMerge/>
          </w:tcPr>
          <w:p w14:paraId="7EB51D47" w14:textId="77777777" w:rsidR="00DB1147" w:rsidRPr="0009282C" w:rsidRDefault="00DB1147">
            <w:pPr>
              <w:pStyle w:val="TableText0"/>
            </w:pPr>
          </w:p>
        </w:tc>
        <w:tc>
          <w:tcPr>
            <w:tcW w:w="5103" w:type="dxa"/>
            <w:vAlign w:val="center"/>
          </w:tcPr>
          <w:p w14:paraId="053123A2" w14:textId="68DE259E" w:rsidR="00DB1147" w:rsidRPr="0009282C" w:rsidRDefault="00DB1147">
            <w:pPr>
              <w:pStyle w:val="TableText0"/>
            </w:pPr>
            <w:r w:rsidRPr="0009282C">
              <w:t xml:space="preserve">Sas DJ, Magen D, Hayes W, et al. Phase 3 trial of </w:t>
            </w:r>
            <w:proofErr w:type="spellStart"/>
            <w:r w:rsidRPr="0009282C">
              <w:t>lumasiran</w:t>
            </w:r>
            <w:proofErr w:type="spellEnd"/>
            <w:r w:rsidRPr="0009282C">
              <w:t xml:space="preserve"> for primary hyperoxaluria type 1: A new RNAi therapeutic in infants and young children.</w:t>
            </w:r>
          </w:p>
        </w:tc>
        <w:tc>
          <w:tcPr>
            <w:tcW w:w="2643" w:type="dxa"/>
            <w:vAlign w:val="center"/>
          </w:tcPr>
          <w:p w14:paraId="4930B4A0" w14:textId="77777777" w:rsidR="00DB1147" w:rsidRPr="0009282C" w:rsidRDefault="00DB1147">
            <w:pPr>
              <w:pStyle w:val="TableText0"/>
              <w:rPr>
                <w:szCs w:val="18"/>
              </w:rPr>
            </w:pPr>
            <w:r w:rsidRPr="0009282C">
              <w:t>Full publication; Genet Med. 2022;24(3):654-662.</w:t>
            </w:r>
          </w:p>
        </w:tc>
      </w:tr>
      <w:tr w:rsidR="00DB1147" w:rsidRPr="0009282C" w14:paraId="1D29F073" w14:textId="77777777" w:rsidTr="00784D16">
        <w:tc>
          <w:tcPr>
            <w:tcW w:w="1271" w:type="dxa"/>
            <w:vMerge/>
          </w:tcPr>
          <w:p w14:paraId="25C0FF05" w14:textId="77777777" w:rsidR="00DB1147" w:rsidRPr="0009282C" w:rsidRDefault="00DB1147">
            <w:pPr>
              <w:pStyle w:val="TableText0"/>
            </w:pPr>
          </w:p>
        </w:tc>
        <w:tc>
          <w:tcPr>
            <w:tcW w:w="5103" w:type="dxa"/>
            <w:vAlign w:val="center"/>
          </w:tcPr>
          <w:p w14:paraId="78041B3C" w14:textId="51199921" w:rsidR="00DB1147" w:rsidRPr="0009282C" w:rsidRDefault="00DB1147">
            <w:pPr>
              <w:pStyle w:val="TableText0"/>
            </w:pPr>
            <w:r w:rsidRPr="0009282C">
              <w:t>Michael M, Magen D, Hayes W, Shasha-</w:t>
            </w:r>
            <w:proofErr w:type="spellStart"/>
            <w:r w:rsidRPr="0009282C">
              <w:t>Lavsky</w:t>
            </w:r>
            <w:proofErr w:type="spellEnd"/>
            <w:r w:rsidRPr="0009282C">
              <w:t xml:space="preserve"> H, Sas D, Sellier-Leclerc AL, et al. Efficacy and safety of </w:t>
            </w:r>
            <w:proofErr w:type="spellStart"/>
            <w:r w:rsidRPr="0009282C">
              <w:t>Lumasiran</w:t>
            </w:r>
            <w:proofErr w:type="spellEnd"/>
            <w:r w:rsidRPr="0009282C">
              <w:t xml:space="preserve"> for infants and young children with primary hyperoxaluria Type 1: 30-month analysis of the Phase 3 ILLUMINATE-B trial.</w:t>
            </w:r>
          </w:p>
        </w:tc>
        <w:tc>
          <w:tcPr>
            <w:tcW w:w="2643" w:type="dxa"/>
            <w:vAlign w:val="center"/>
          </w:tcPr>
          <w:p w14:paraId="5095C462" w14:textId="77777777" w:rsidR="00DB1147" w:rsidRPr="005C634F" w:rsidRDefault="00DB1147">
            <w:pPr>
              <w:pStyle w:val="TableText0"/>
              <w:rPr>
                <w:szCs w:val="18"/>
                <w:lang w:val="de-DE"/>
              </w:rPr>
            </w:pPr>
            <w:r w:rsidRPr="005C634F">
              <w:rPr>
                <w:szCs w:val="18"/>
                <w:lang w:val="de-DE"/>
              </w:rPr>
              <w:t>Conference abstract;</w:t>
            </w:r>
          </w:p>
          <w:p w14:paraId="1C9BB98C" w14:textId="77777777" w:rsidR="00DB1147" w:rsidRPr="0009282C" w:rsidRDefault="00DB1147">
            <w:pPr>
              <w:pStyle w:val="TableText0"/>
              <w:rPr>
                <w:i/>
              </w:rPr>
            </w:pPr>
            <w:r w:rsidRPr="005C634F">
              <w:rPr>
                <w:szCs w:val="18"/>
                <w:lang w:val="de-DE"/>
              </w:rPr>
              <w:t xml:space="preserve">Nieren- und Hochdruckkrankheiten. </w:t>
            </w:r>
            <w:r w:rsidRPr="0009282C">
              <w:rPr>
                <w:szCs w:val="18"/>
              </w:rPr>
              <w:t>2024;53(2):90-1.</w:t>
            </w:r>
          </w:p>
        </w:tc>
      </w:tr>
      <w:tr w:rsidR="00DB1147" w:rsidRPr="0009282C" w14:paraId="547D76BF" w14:textId="77777777" w:rsidTr="00784D16">
        <w:tc>
          <w:tcPr>
            <w:tcW w:w="1271" w:type="dxa"/>
            <w:vMerge w:val="restart"/>
          </w:tcPr>
          <w:p w14:paraId="6CFA3548" w14:textId="77777777" w:rsidR="00DB1147" w:rsidRPr="0009282C" w:rsidRDefault="00DB1147">
            <w:pPr>
              <w:pStyle w:val="TableText0"/>
            </w:pPr>
            <w:r w:rsidRPr="0009282C">
              <w:t>ILLUMINATE-C</w:t>
            </w:r>
          </w:p>
          <w:p w14:paraId="55DAEC43" w14:textId="77777777" w:rsidR="00DB1147" w:rsidRPr="0009282C" w:rsidRDefault="00DB1147">
            <w:pPr>
              <w:pStyle w:val="TableText0"/>
            </w:pPr>
            <w:r w:rsidRPr="0009282C">
              <w:t>ALN-GO1-005</w:t>
            </w:r>
          </w:p>
          <w:p w14:paraId="4AA6AFC3" w14:textId="77777777" w:rsidR="00DB1147" w:rsidRPr="0009282C" w:rsidRDefault="00DB1147">
            <w:pPr>
              <w:pStyle w:val="TableText0"/>
            </w:pPr>
            <w:r w:rsidRPr="0009282C">
              <w:t>NCT04152200</w:t>
            </w:r>
          </w:p>
        </w:tc>
        <w:tc>
          <w:tcPr>
            <w:tcW w:w="5103" w:type="dxa"/>
          </w:tcPr>
          <w:p w14:paraId="77B1BB7B" w14:textId="77777777" w:rsidR="00DB1147" w:rsidRPr="0009282C" w:rsidRDefault="00DB1147">
            <w:pPr>
              <w:pStyle w:val="TableText0"/>
            </w:pPr>
            <w:r w:rsidRPr="0009282C">
              <w:t>Alnylam Pharmaceuticals. Data on File. ILLUMINATE-C (ALN-GO1-005) Clinical Study Report (CSR) 1.</w:t>
            </w:r>
          </w:p>
        </w:tc>
        <w:tc>
          <w:tcPr>
            <w:tcW w:w="2643" w:type="dxa"/>
            <w:vAlign w:val="center"/>
          </w:tcPr>
          <w:p w14:paraId="7872503F" w14:textId="77777777" w:rsidR="00DB1147" w:rsidRPr="0009282C" w:rsidRDefault="00DB1147">
            <w:pPr>
              <w:pStyle w:val="TableText0"/>
            </w:pPr>
            <w:r w:rsidRPr="0009282C">
              <w:t>CSR; 18 October 2021.</w:t>
            </w:r>
          </w:p>
        </w:tc>
      </w:tr>
      <w:tr w:rsidR="00DB1147" w:rsidRPr="0009282C" w14:paraId="60B32AC1" w14:textId="77777777" w:rsidTr="00784D16">
        <w:tc>
          <w:tcPr>
            <w:tcW w:w="1271" w:type="dxa"/>
            <w:vMerge/>
          </w:tcPr>
          <w:p w14:paraId="6C4172F2" w14:textId="77777777" w:rsidR="00DB1147" w:rsidRPr="0009282C" w:rsidRDefault="00DB1147">
            <w:pPr>
              <w:pStyle w:val="TableText0"/>
            </w:pPr>
          </w:p>
        </w:tc>
        <w:tc>
          <w:tcPr>
            <w:tcW w:w="5103" w:type="dxa"/>
          </w:tcPr>
          <w:p w14:paraId="25E3ADE5" w14:textId="34D3C5C4" w:rsidR="00DB1147" w:rsidRPr="0009282C" w:rsidRDefault="00DB1147">
            <w:pPr>
              <w:pStyle w:val="TableText0"/>
            </w:pPr>
            <w:r w:rsidRPr="0009282C">
              <w:t>Michael M, Groothoff JW, Shasha-</w:t>
            </w:r>
            <w:proofErr w:type="spellStart"/>
            <w:r w:rsidRPr="0009282C">
              <w:t>Lavsky</w:t>
            </w:r>
            <w:proofErr w:type="spellEnd"/>
            <w:r w:rsidRPr="0009282C">
              <w:t xml:space="preserve"> H, et al. </w:t>
            </w:r>
            <w:proofErr w:type="spellStart"/>
            <w:r w:rsidRPr="0009282C">
              <w:t>Lumasiran</w:t>
            </w:r>
            <w:proofErr w:type="spellEnd"/>
            <w:r w:rsidRPr="0009282C">
              <w:t xml:space="preserve"> for advanced primary hyperoxaluria type 1: Phase 3 ILLUMINATE-C trial.</w:t>
            </w:r>
          </w:p>
        </w:tc>
        <w:tc>
          <w:tcPr>
            <w:tcW w:w="2643" w:type="dxa"/>
            <w:vAlign w:val="center"/>
          </w:tcPr>
          <w:p w14:paraId="2A92E6F6" w14:textId="77777777" w:rsidR="00DB1147" w:rsidRPr="0009282C" w:rsidRDefault="00DB1147">
            <w:pPr>
              <w:pStyle w:val="TableText0"/>
            </w:pPr>
            <w:r w:rsidRPr="0009282C">
              <w:t>Full publication; Am J Kidney Dis. 2023;81(2):145-155.e141.</w:t>
            </w:r>
          </w:p>
        </w:tc>
      </w:tr>
      <w:tr w:rsidR="00DB1147" w:rsidRPr="0009282C" w14:paraId="48DF28B6" w14:textId="77777777" w:rsidTr="00784D16">
        <w:tc>
          <w:tcPr>
            <w:tcW w:w="1271" w:type="dxa"/>
            <w:vMerge/>
          </w:tcPr>
          <w:p w14:paraId="547C2194" w14:textId="77777777" w:rsidR="00DB1147" w:rsidRPr="0009282C" w:rsidRDefault="00DB1147">
            <w:pPr>
              <w:pStyle w:val="TableText0"/>
            </w:pPr>
          </w:p>
        </w:tc>
        <w:tc>
          <w:tcPr>
            <w:tcW w:w="5103" w:type="dxa"/>
          </w:tcPr>
          <w:p w14:paraId="39210115" w14:textId="37593ECB" w:rsidR="00DB1147" w:rsidRPr="0009282C" w:rsidRDefault="00DB1147">
            <w:pPr>
              <w:pStyle w:val="TableText0"/>
            </w:pPr>
            <w:r w:rsidRPr="0009282C">
              <w:t>Magen D, Sellier-Leclerc AL, Shasha-</w:t>
            </w:r>
            <w:proofErr w:type="spellStart"/>
            <w:r w:rsidRPr="0009282C">
              <w:t>Lavsky</w:t>
            </w:r>
            <w:proofErr w:type="spellEnd"/>
            <w:r w:rsidRPr="0009282C">
              <w:t xml:space="preserve"> H, </w:t>
            </w:r>
            <w:proofErr w:type="spellStart"/>
            <w:r w:rsidRPr="0009282C">
              <w:t>Simkova</w:t>
            </w:r>
            <w:proofErr w:type="spellEnd"/>
            <w:r w:rsidRPr="0009282C">
              <w:t xml:space="preserve"> E, </w:t>
            </w:r>
            <w:proofErr w:type="spellStart"/>
            <w:r w:rsidRPr="0009282C">
              <w:t>Devresse</w:t>
            </w:r>
            <w:proofErr w:type="spellEnd"/>
            <w:r w:rsidRPr="0009282C">
              <w:t xml:space="preserve"> A, Michael M, et al. </w:t>
            </w:r>
            <w:proofErr w:type="spellStart"/>
            <w:r w:rsidRPr="0009282C">
              <w:t>Lumasiran</w:t>
            </w:r>
            <w:proofErr w:type="spellEnd"/>
            <w:r w:rsidRPr="0009282C">
              <w:t xml:space="preserve"> for primary hyperoxaluria Type 1 and impaired kidney function: 24-month analysis of the Phase 3 ILLUMINATE-C trial.</w:t>
            </w:r>
          </w:p>
        </w:tc>
        <w:tc>
          <w:tcPr>
            <w:tcW w:w="2643" w:type="dxa"/>
            <w:vAlign w:val="center"/>
          </w:tcPr>
          <w:p w14:paraId="4233660F" w14:textId="77777777" w:rsidR="00DB1147" w:rsidRPr="0009282C" w:rsidRDefault="00DB1147">
            <w:pPr>
              <w:pStyle w:val="TableText0"/>
            </w:pPr>
            <w:r w:rsidRPr="005C634F">
              <w:rPr>
                <w:lang w:val="de-DE"/>
              </w:rPr>
              <w:t xml:space="preserve">Conference abstract; Nieren- und Hochdruckkrankheiten. </w:t>
            </w:r>
            <w:r w:rsidRPr="0009282C">
              <w:t>2024;53(2):91.</w:t>
            </w:r>
          </w:p>
        </w:tc>
      </w:tr>
      <w:tr w:rsidR="00DB1147" w:rsidRPr="0009282C" w14:paraId="6382241F" w14:textId="77777777" w:rsidTr="00784D16">
        <w:tc>
          <w:tcPr>
            <w:tcW w:w="1271" w:type="dxa"/>
            <w:vMerge/>
          </w:tcPr>
          <w:p w14:paraId="3429B119" w14:textId="77777777" w:rsidR="00DB1147" w:rsidRPr="0009282C" w:rsidRDefault="00DB1147">
            <w:pPr>
              <w:pStyle w:val="TableText0"/>
            </w:pPr>
          </w:p>
        </w:tc>
        <w:tc>
          <w:tcPr>
            <w:tcW w:w="5103" w:type="dxa"/>
          </w:tcPr>
          <w:p w14:paraId="3E7BE3E6" w14:textId="357F3D3C" w:rsidR="00DB1147" w:rsidRPr="0009282C" w:rsidRDefault="00DB1147">
            <w:pPr>
              <w:pStyle w:val="TableText0"/>
            </w:pPr>
            <w:r w:rsidRPr="0009282C">
              <w:t>Lieske JC, Magen D, Sellier-Leclerc ALA, Shasha-</w:t>
            </w:r>
            <w:proofErr w:type="spellStart"/>
            <w:r w:rsidRPr="0009282C">
              <w:t>Lavsky</w:t>
            </w:r>
            <w:proofErr w:type="spellEnd"/>
            <w:r w:rsidRPr="0009282C">
              <w:t xml:space="preserve"> H, </w:t>
            </w:r>
            <w:proofErr w:type="spellStart"/>
            <w:r w:rsidRPr="0009282C">
              <w:t>Simkova</w:t>
            </w:r>
            <w:proofErr w:type="spellEnd"/>
            <w:r w:rsidRPr="0009282C">
              <w:t xml:space="preserve"> E, </w:t>
            </w:r>
            <w:proofErr w:type="spellStart"/>
            <w:r w:rsidRPr="0009282C">
              <w:t>Devresse</w:t>
            </w:r>
            <w:proofErr w:type="spellEnd"/>
            <w:r w:rsidRPr="0009282C">
              <w:t xml:space="preserve"> A, et al. </w:t>
            </w:r>
            <w:proofErr w:type="spellStart"/>
            <w:r w:rsidRPr="0009282C">
              <w:t>Lumasiran</w:t>
            </w:r>
            <w:proofErr w:type="spellEnd"/>
            <w:r w:rsidRPr="0009282C">
              <w:t xml:space="preserve"> for Primary Hyperoxaluria Type 1 and Impaired Kidney Function: 24-Month Analysis of the Phase 3 ILLUMINATE-C Trial.</w:t>
            </w:r>
          </w:p>
        </w:tc>
        <w:tc>
          <w:tcPr>
            <w:tcW w:w="2643" w:type="dxa"/>
            <w:vAlign w:val="center"/>
          </w:tcPr>
          <w:p w14:paraId="31E2C3E6" w14:textId="75E4AB82" w:rsidR="00DB1147" w:rsidRPr="0009282C" w:rsidRDefault="00DB1147">
            <w:pPr>
              <w:pStyle w:val="TableText0"/>
            </w:pPr>
            <w:r w:rsidRPr="0009282C">
              <w:t>Conference abstract; Journal of the American Society of Nephrology. 2023;34:566.</w:t>
            </w:r>
          </w:p>
        </w:tc>
      </w:tr>
      <w:tr w:rsidR="00DB1147" w:rsidRPr="0009282C" w14:paraId="7927F81E" w14:textId="77777777" w:rsidTr="00784D16">
        <w:tc>
          <w:tcPr>
            <w:tcW w:w="1271" w:type="dxa"/>
            <w:vMerge/>
          </w:tcPr>
          <w:p w14:paraId="12B0A3BD" w14:textId="77777777" w:rsidR="00DB1147" w:rsidRPr="0009282C" w:rsidRDefault="00DB1147">
            <w:pPr>
              <w:pStyle w:val="TableText0"/>
            </w:pPr>
          </w:p>
        </w:tc>
        <w:tc>
          <w:tcPr>
            <w:tcW w:w="5103" w:type="dxa"/>
          </w:tcPr>
          <w:p w14:paraId="1D864169" w14:textId="3E9DF96B" w:rsidR="00DB1147" w:rsidRPr="0009282C" w:rsidRDefault="00DB1147">
            <w:pPr>
              <w:pStyle w:val="TableText0"/>
            </w:pPr>
            <w:r w:rsidRPr="0009282C">
              <w:t>Frishberg Y, Michael M, Groothoff J, Shasha-</w:t>
            </w:r>
            <w:proofErr w:type="spellStart"/>
            <w:r w:rsidRPr="0009282C">
              <w:t>Lavsky</w:t>
            </w:r>
            <w:proofErr w:type="spellEnd"/>
            <w:r w:rsidRPr="0009282C">
              <w:t xml:space="preserve"> H, Lieske JC, </w:t>
            </w:r>
            <w:proofErr w:type="spellStart"/>
            <w:r w:rsidRPr="0009282C">
              <w:t>Simkova</w:t>
            </w:r>
            <w:proofErr w:type="spellEnd"/>
            <w:r w:rsidRPr="0009282C">
              <w:t xml:space="preserve"> E, et al. </w:t>
            </w:r>
            <w:proofErr w:type="spellStart"/>
            <w:r w:rsidRPr="0009282C">
              <w:t>Lumasiran</w:t>
            </w:r>
            <w:proofErr w:type="spellEnd"/>
            <w:r w:rsidRPr="0009282C">
              <w:t xml:space="preserve"> for Patients With Primary Hyperoxaluria Type 1 and Impaired Kidney Function: 12-Month Analysis of the Phase 3 ILLUMINATE-C Trial.</w:t>
            </w:r>
          </w:p>
        </w:tc>
        <w:tc>
          <w:tcPr>
            <w:tcW w:w="2643" w:type="dxa"/>
            <w:vAlign w:val="center"/>
          </w:tcPr>
          <w:p w14:paraId="42881204" w14:textId="380A4109" w:rsidR="00DB1147" w:rsidRPr="0009282C" w:rsidRDefault="00DB1147">
            <w:pPr>
              <w:pStyle w:val="TableText0"/>
            </w:pPr>
            <w:r w:rsidRPr="0009282C">
              <w:t>Conference abstract; Journal of the American Society of Nephrology. 2022;33:416.</w:t>
            </w:r>
          </w:p>
        </w:tc>
      </w:tr>
      <w:tr w:rsidR="00DB1147" w:rsidRPr="0009282C" w14:paraId="3487C148" w14:textId="77777777" w:rsidTr="00784D16">
        <w:tc>
          <w:tcPr>
            <w:tcW w:w="1271" w:type="dxa"/>
            <w:vMerge w:val="restart"/>
          </w:tcPr>
          <w:p w14:paraId="0D66A0D8" w14:textId="77777777" w:rsidR="00DB1147" w:rsidRPr="0009282C" w:rsidRDefault="00DB1147">
            <w:pPr>
              <w:pStyle w:val="TableText0"/>
            </w:pPr>
            <w:r w:rsidRPr="0009282C">
              <w:t>Phase 1/2</w:t>
            </w:r>
          </w:p>
          <w:p w14:paraId="35354161" w14:textId="77777777" w:rsidR="00DB1147" w:rsidRPr="0009282C" w:rsidRDefault="00DB1147">
            <w:pPr>
              <w:pStyle w:val="TableText0"/>
            </w:pPr>
            <w:r w:rsidRPr="0009282C">
              <w:t>ALN-GO1-001</w:t>
            </w:r>
          </w:p>
          <w:p w14:paraId="571A07F2" w14:textId="77777777" w:rsidR="00DB1147" w:rsidRPr="0009282C" w:rsidRDefault="00DB1147">
            <w:pPr>
              <w:pStyle w:val="TableText0"/>
            </w:pPr>
            <w:r w:rsidRPr="0009282C">
              <w:t>NCT02706886</w:t>
            </w:r>
          </w:p>
        </w:tc>
        <w:tc>
          <w:tcPr>
            <w:tcW w:w="5103" w:type="dxa"/>
          </w:tcPr>
          <w:p w14:paraId="1CAFA35C" w14:textId="02BB2892" w:rsidR="00DB1147" w:rsidRPr="0009282C" w:rsidRDefault="00DB1147">
            <w:pPr>
              <w:pStyle w:val="TableText0"/>
            </w:pPr>
            <w:r w:rsidRPr="0009282C">
              <w:t xml:space="preserve">Alnylam Pharmaceuticals. Data on File. </w:t>
            </w:r>
            <w:proofErr w:type="spellStart"/>
            <w:r w:rsidRPr="0009282C">
              <w:t>Lumasiran</w:t>
            </w:r>
            <w:proofErr w:type="spellEnd"/>
            <w:r w:rsidRPr="0009282C">
              <w:t xml:space="preserve"> Phase 1/2 (ALN-GO1-001) Clinical Study Report (CSR).</w:t>
            </w:r>
          </w:p>
        </w:tc>
        <w:tc>
          <w:tcPr>
            <w:tcW w:w="2643" w:type="dxa"/>
            <w:vAlign w:val="center"/>
          </w:tcPr>
          <w:p w14:paraId="191ACF19" w14:textId="77777777" w:rsidR="00DB1147" w:rsidRPr="0009282C" w:rsidRDefault="00DB1147">
            <w:pPr>
              <w:pStyle w:val="TableText0"/>
            </w:pPr>
            <w:r w:rsidRPr="0009282C">
              <w:t>CSR; 18 July 2019.</w:t>
            </w:r>
          </w:p>
        </w:tc>
      </w:tr>
      <w:tr w:rsidR="00DB1147" w:rsidRPr="0009282C" w14:paraId="0C864820" w14:textId="77777777" w:rsidTr="00784D16">
        <w:trPr>
          <w:trHeight w:val="770"/>
        </w:trPr>
        <w:tc>
          <w:tcPr>
            <w:tcW w:w="1271" w:type="dxa"/>
            <w:vMerge/>
          </w:tcPr>
          <w:p w14:paraId="570EC0C5" w14:textId="77777777" w:rsidR="00DB1147" w:rsidRPr="0009282C" w:rsidRDefault="00DB1147">
            <w:pPr>
              <w:pStyle w:val="TableText0"/>
            </w:pPr>
          </w:p>
        </w:tc>
        <w:tc>
          <w:tcPr>
            <w:tcW w:w="5103" w:type="dxa"/>
          </w:tcPr>
          <w:p w14:paraId="6C0628B2" w14:textId="1C8C3EFF" w:rsidR="00DB1147" w:rsidRPr="0009282C" w:rsidRDefault="00DB1147">
            <w:pPr>
              <w:pStyle w:val="TableText0"/>
            </w:pPr>
            <w:r w:rsidRPr="0009282C">
              <w:t xml:space="preserve">Frishberg Y, Deschenes G, Groothoff JW, Hulton SA, Magen D, </w:t>
            </w:r>
            <w:proofErr w:type="spellStart"/>
            <w:r w:rsidRPr="0009282C">
              <w:t>Harambat</w:t>
            </w:r>
            <w:proofErr w:type="spellEnd"/>
            <w:r w:rsidRPr="0009282C">
              <w:t xml:space="preserve"> J, et al. Phase 1/2 study of </w:t>
            </w:r>
            <w:proofErr w:type="spellStart"/>
            <w:r w:rsidRPr="0009282C">
              <w:t>lumasiran</w:t>
            </w:r>
            <w:proofErr w:type="spellEnd"/>
            <w:r w:rsidRPr="0009282C">
              <w:t xml:space="preserve"> for treatment of primary hyperoxaluria type 1 a placebo-controlled randomized clinical trial.</w:t>
            </w:r>
          </w:p>
        </w:tc>
        <w:tc>
          <w:tcPr>
            <w:tcW w:w="2643" w:type="dxa"/>
            <w:vAlign w:val="center"/>
          </w:tcPr>
          <w:p w14:paraId="43541A6B" w14:textId="77777777" w:rsidR="00DB1147" w:rsidRPr="0009282C" w:rsidRDefault="00DB1147">
            <w:pPr>
              <w:pStyle w:val="TableText0"/>
            </w:pPr>
            <w:r w:rsidRPr="0009282C">
              <w:t>Full publication; Clinical Journal of the American Society of Nephrology. 2021;16(7):1025-36.</w:t>
            </w:r>
          </w:p>
        </w:tc>
      </w:tr>
      <w:tr w:rsidR="00DB1147" w:rsidRPr="0009282C" w14:paraId="4EB51412" w14:textId="77777777" w:rsidTr="00784D16">
        <w:tc>
          <w:tcPr>
            <w:tcW w:w="1271" w:type="dxa"/>
            <w:vMerge w:val="restart"/>
          </w:tcPr>
          <w:p w14:paraId="1689B185" w14:textId="77777777" w:rsidR="00DB1147" w:rsidRPr="0009282C" w:rsidRDefault="00DB1147">
            <w:pPr>
              <w:pStyle w:val="TableText0"/>
            </w:pPr>
            <w:r w:rsidRPr="0009282C">
              <w:t>Phase 2 OLE</w:t>
            </w:r>
          </w:p>
          <w:p w14:paraId="3B6BF024" w14:textId="77777777" w:rsidR="00DB1147" w:rsidRPr="0009282C" w:rsidRDefault="00DB1147">
            <w:pPr>
              <w:pStyle w:val="TableText0"/>
            </w:pPr>
            <w:r w:rsidRPr="0009282C">
              <w:t>ALN-GO1-002</w:t>
            </w:r>
          </w:p>
          <w:p w14:paraId="36E87117" w14:textId="77777777" w:rsidR="00DB1147" w:rsidRPr="0009282C" w:rsidRDefault="00DB1147">
            <w:pPr>
              <w:pStyle w:val="TableText0"/>
            </w:pPr>
            <w:r w:rsidRPr="0009282C">
              <w:t>NCT03350451</w:t>
            </w:r>
          </w:p>
        </w:tc>
        <w:tc>
          <w:tcPr>
            <w:tcW w:w="5103" w:type="dxa"/>
          </w:tcPr>
          <w:p w14:paraId="0E475B4C" w14:textId="4C9241F7" w:rsidR="00DB1147" w:rsidRPr="0009282C" w:rsidRDefault="00DB1147">
            <w:pPr>
              <w:pStyle w:val="TableText0"/>
            </w:pPr>
            <w:r w:rsidRPr="0009282C">
              <w:t xml:space="preserve">Alnylam Pharmaceuticals. Data on File. </w:t>
            </w:r>
            <w:proofErr w:type="spellStart"/>
            <w:r w:rsidRPr="0009282C">
              <w:t>Lumasiran</w:t>
            </w:r>
            <w:proofErr w:type="spellEnd"/>
            <w:r w:rsidRPr="0009282C">
              <w:t xml:space="preserve"> Phase 2 Open-label Extension (ALN-GO1-002) Clinical Study Report (CSR). </w:t>
            </w:r>
          </w:p>
        </w:tc>
        <w:tc>
          <w:tcPr>
            <w:tcW w:w="2643" w:type="dxa"/>
            <w:vAlign w:val="center"/>
          </w:tcPr>
          <w:p w14:paraId="62862137" w14:textId="77777777" w:rsidR="00DB1147" w:rsidRPr="0009282C" w:rsidRDefault="00DB1147">
            <w:pPr>
              <w:pStyle w:val="TableText0"/>
            </w:pPr>
            <w:r w:rsidRPr="0009282C">
              <w:t>CSR; 13 February 2020.</w:t>
            </w:r>
          </w:p>
        </w:tc>
      </w:tr>
      <w:tr w:rsidR="00DB1147" w:rsidRPr="0009282C" w14:paraId="2E826274" w14:textId="77777777" w:rsidTr="00784D16">
        <w:tc>
          <w:tcPr>
            <w:tcW w:w="1271" w:type="dxa"/>
            <w:vMerge/>
          </w:tcPr>
          <w:p w14:paraId="13CFCF42" w14:textId="77777777" w:rsidR="00DB1147" w:rsidRPr="0009282C" w:rsidRDefault="00DB1147">
            <w:pPr>
              <w:pStyle w:val="TableText0"/>
            </w:pPr>
          </w:p>
        </w:tc>
        <w:tc>
          <w:tcPr>
            <w:tcW w:w="5103" w:type="dxa"/>
          </w:tcPr>
          <w:p w14:paraId="264ECCDA" w14:textId="5DFB0503" w:rsidR="00DB1147" w:rsidRPr="0009282C" w:rsidRDefault="00DB1147">
            <w:pPr>
              <w:pStyle w:val="TableText0"/>
            </w:pPr>
            <w:r w:rsidRPr="0009282C">
              <w:t xml:space="preserve">Frishberg Y, Groothoff JW, Hulton SA, </w:t>
            </w:r>
            <w:proofErr w:type="spellStart"/>
            <w:r w:rsidRPr="0009282C">
              <w:t>Harambat</w:t>
            </w:r>
            <w:proofErr w:type="spellEnd"/>
            <w:r w:rsidRPr="0009282C">
              <w:t xml:space="preserve"> J, Hogan J, Anne-Laure SL, et al. Long-term treatment with </w:t>
            </w:r>
            <w:proofErr w:type="spellStart"/>
            <w:r w:rsidRPr="0009282C">
              <w:t>lumasiran</w:t>
            </w:r>
            <w:proofErr w:type="spellEnd"/>
            <w:r w:rsidRPr="0009282C">
              <w:t>: final results from the phase 2 open-label extension study.</w:t>
            </w:r>
          </w:p>
        </w:tc>
        <w:tc>
          <w:tcPr>
            <w:tcW w:w="2643" w:type="dxa"/>
            <w:vAlign w:val="center"/>
          </w:tcPr>
          <w:p w14:paraId="381591AD" w14:textId="6D4DDAED" w:rsidR="00DB1147" w:rsidRPr="0009282C" w:rsidRDefault="00DB1147">
            <w:pPr>
              <w:pStyle w:val="TableText0"/>
            </w:pPr>
            <w:r w:rsidRPr="0009282C">
              <w:t>Conference abstract; Nephrology Dialysis Transplantation. 2024;39:i2390-i2.</w:t>
            </w:r>
          </w:p>
        </w:tc>
      </w:tr>
      <w:tr w:rsidR="00DB1147" w:rsidRPr="0009282C" w14:paraId="6EDF1284" w14:textId="77777777" w:rsidTr="00784D16">
        <w:tc>
          <w:tcPr>
            <w:tcW w:w="1271" w:type="dxa"/>
            <w:vMerge/>
          </w:tcPr>
          <w:p w14:paraId="5B07D65A" w14:textId="77777777" w:rsidR="00DB1147" w:rsidRPr="0009282C" w:rsidRDefault="00DB1147">
            <w:pPr>
              <w:pStyle w:val="TableText0"/>
            </w:pPr>
          </w:p>
        </w:tc>
        <w:tc>
          <w:tcPr>
            <w:tcW w:w="5103" w:type="dxa"/>
          </w:tcPr>
          <w:p w14:paraId="56B72F35" w14:textId="2E7705E0" w:rsidR="00DB1147" w:rsidRPr="0009282C" w:rsidRDefault="00DB1147">
            <w:pPr>
              <w:pStyle w:val="TableText0"/>
            </w:pPr>
            <w:r w:rsidRPr="0009282C">
              <w:t xml:space="preserve">Magen D, Groothoff J, Hulton SA, </w:t>
            </w:r>
            <w:proofErr w:type="spellStart"/>
            <w:r w:rsidRPr="0009282C">
              <w:t>Harambat</w:t>
            </w:r>
            <w:proofErr w:type="spellEnd"/>
            <w:r w:rsidRPr="0009282C">
              <w:t xml:space="preserve"> J, Hogan J, Sellier-Leclerc AL, et al. POS-438 Long-term Treatment With </w:t>
            </w:r>
            <w:proofErr w:type="spellStart"/>
            <w:r w:rsidRPr="0009282C">
              <w:t>Lumasiran</w:t>
            </w:r>
            <w:proofErr w:type="spellEnd"/>
            <w:r w:rsidRPr="0009282C">
              <w:t>: Results From the Phase 2 Open-Label Extension Study.</w:t>
            </w:r>
          </w:p>
        </w:tc>
        <w:tc>
          <w:tcPr>
            <w:tcW w:w="2643" w:type="dxa"/>
            <w:vAlign w:val="center"/>
          </w:tcPr>
          <w:p w14:paraId="4C9AEF67" w14:textId="7F83D728" w:rsidR="00DB1147" w:rsidRPr="0009282C" w:rsidRDefault="00DB1147">
            <w:pPr>
              <w:pStyle w:val="TableText0"/>
            </w:pPr>
            <w:r w:rsidRPr="0009282C">
              <w:t>Conference abstract; Kidney International Reports. 2022;7(2):S195.</w:t>
            </w:r>
          </w:p>
        </w:tc>
      </w:tr>
    </w:tbl>
    <w:p w14:paraId="670CBD5B" w14:textId="1B7ACE82" w:rsidR="00B25463" w:rsidRPr="0009282C" w:rsidRDefault="00580660" w:rsidP="00B25463">
      <w:pPr>
        <w:pStyle w:val="FooterTableFigure"/>
      </w:pPr>
      <w:r w:rsidRPr="0009282C">
        <w:rPr>
          <w:bCs/>
        </w:rPr>
        <w:t>Abbreviations:</w:t>
      </w:r>
      <w:r w:rsidR="00B25463" w:rsidRPr="0009282C">
        <w:t xml:space="preserve"> CSR, clinical study report; OLE, open label extension</w:t>
      </w:r>
      <w:r w:rsidR="00B25463" w:rsidRPr="0009282C">
        <w:rPr>
          <w:b/>
          <w:bCs/>
        </w:rPr>
        <w:t xml:space="preserve"> </w:t>
      </w:r>
    </w:p>
    <w:p w14:paraId="01CD40A1" w14:textId="51510753" w:rsidR="0068288B" w:rsidRPr="0009282C" w:rsidRDefault="00580660" w:rsidP="00DB1147">
      <w:pPr>
        <w:pStyle w:val="FooterTableFigure"/>
      </w:pPr>
      <w:r w:rsidRPr="0009282C">
        <w:t>Source:</w:t>
      </w:r>
      <w:r w:rsidR="001936C3" w:rsidRPr="0009282C">
        <w:t xml:space="preserve"> Table 2.3, pp42-43 of the submission.</w:t>
      </w:r>
    </w:p>
    <w:p w14:paraId="1850FF06" w14:textId="732C39D2" w:rsidR="00F22BAA" w:rsidRPr="0009282C" w:rsidRDefault="009A63D1" w:rsidP="00EC48DC">
      <w:pPr>
        <w:pStyle w:val="3-BodyText"/>
      </w:pPr>
      <w:r w:rsidRPr="0009282C">
        <w:t>The</w:t>
      </w:r>
      <w:r w:rsidR="001C1F1C" w:rsidRPr="0009282C">
        <w:t xml:space="preserve"> submission</w:t>
      </w:r>
      <w:r w:rsidR="00302C6F" w:rsidRPr="0009282C">
        <w:t xml:space="preserve"> </w:t>
      </w:r>
      <w:r w:rsidR="00302C6F" w:rsidRPr="0009282C">
        <w:rPr>
          <w:iCs/>
        </w:rPr>
        <w:t>primarily</w:t>
      </w:r>
      <w:r w:rsidR="001C1F1C" w:rsidRPr="0009282C">
        <w:t xml:space="preserve"> focus</w:t>
      </w:r>
      <w:r w:rsidR="004351D5" w:rsidRPr="0009282C">
        <w:t>ed</w:t>
      </w:r>
      <w:r w:rsidR="001C1F1C" w:rsidRPr="0009282C">
        <w:t xml:space="preserve"> on ILLUMINATE-A, -B and -C</w:t>
      </w:r>
      <w:r w:rsidR="00474172" w:rsidRPr="0009282C">
        <w:t>.</w:t>
      </w:r>
      <w:r w:rsidRPr="0009282C">
        <w:t xml:space="preserve"> </w:t>
      </w:r>
      <w:r w:rsidR="004E5572" w:rsidRPr="0009282C">
        <w:t xml:space="preserve">The submission </w:t>
      </w:r>
      <w:r w:rsidR="001936C3" w:rsidRPr="0009282C">
        <w:t>noted</w:t>
      </w:r>
      <w:r w:rsidR="004E5572" w:rsidRPr="0009282C">
        <w:t xml:space="preserve"> that ALN-GO1-001 Part B and ALN-GO1-002</w:t>
      </w:r>
      <w:r w:rsidR="0068288B" w:rsidRPr="0009282C">
        <w:t xml:space="preserve"> were identified in the literature search and </w:t>
      </w:r>
      <w:r w:rsidR="009228AF" w:rsidRPr="0009282C">
        <w:t xml:space="preserve">were </w:t>
      </w:r>
      <w:r w:rsidR="00196001" w:rsidRPr="0009282C">
        <w:t>stated</w:t>
      </w:r>
      <w:r w:rsidR="00A86C6B" w:rsidRPr="0009282C">
        <w:t xml:space="preserve"> </w:t>
      </w:r>
      <w:r w:rsidR="0068288B" w:rsidRPr="0009282C">
        <w:t xml:space="preserve">to support the extended assessment of harms for </w:t>
      </w:r>
      <w:proofErr w:type="spellStart"/>
      <w:r w:rsidR="0068288B" w:rsidRPr="0009282C">
        <w:t>lumasiran</w:t>
      </w:r>
      <w:proofErr w:type="spellEnd"/>
      <w:r w:rsidR="00196001" w:rsidRPr="0009282C">
        <w:t>.</w:t>
      </w:r>
      <w:r w:rsidR="00CC7EA4" w:rsidRPr="0009282C">
        <w:t xml:space="preserve"> </w:t>
      </w:r>
      <w:r w:rsidR="009466B0" w:rsidRPr="0009282C">
        <w:t xml:space="preserve">An additional ongoing study </w:t>
      </w:r>
      <w:r w:rsidR="00D05FBE" w:rsidRPr="0009282C">
        <w:t>(BONAPH1DE)</w:t>
      </w:r>
      <w:r w:rsidR="009466B0" w:rsidRPr="0009282C">
        <w:t xml:space="preserve"> was </w:t>
      </w:r>
      <w:r w:rsidR="00465E28" w:rsidRPr="0009282C">
        <w:t xml:space="preserve">also </w:t>
      </w:r>
      <w:r w:rsidR="009466B0" w:rsidRPr="0009282C">
        <w:t>identified</w:t>
      </w:r>
      <w:r w:rsidR="00D05FBE" w:rsidRPr="0009282C">
        <w:t xml:space="preserve"> </w:t>
      </w:r>
      <w:r w:rsidR="003D16B3" w:rsidRPr="0009282C">
        <w:t>by</w:t>
      </w:r>
      <w:r w:rsidR="00D05FBE" w:rsidRPr="0009282C">
        <w:t xml:space="preserve"> the submission</w:t>
      </w:r>
      <w:r w:rsidR="003D16B3" w:rsidRPr="0009282C">
        <w:t>,</w:t>
      </w:r>
      <w:r w:rsidR="00D05FBE" w:rsidRPr="0009282C">
        <w:t xml:space="preserve"> however </w:t>
      </w:r>
      <w:r w:rsidR="00663F8E" w:rsidRPr="0009282C">
        <w:t xml:space="preserve">it was not discussed </w:t>
      </w:r>
      <w:r w:rsidR="009D2CDF" w:rsidRPr="0009282C">
        <w:t xml:space="preserve">or used in the submission. </w:t>
      </w:r>
      <w:r w:rsidR="007C408F" w:rsidRPr="0009282C">
        <w:t xml:space="preserve">Given these studies were not the </w:t>
      </w:r>
      <w:r w:rsidR="003D4107" w:rsidRPr="0009282C">
        <w:t>primary</w:t>
      </w:r>
      <w:r w:rsidR="007C408F" w:rsidRPr="0009282C">
        <w:t xml:space="preserve"> focus of the</w:t>
      </w:r>
      <w:r w:rsidR="00DE1C6D" w:rsidRPr="0009282C">
        <w:t xml:space="preserve"> submission</w:t>
      </w:r>
      <w:r w:rsidR="001878D9" w:rsidRPr="0009282C">
        <w:t xml:space="preserve">, </w:t>
      </w:r>
      <w:r w:rsidR="00F9360C" w:rsidRPr="0009282C">
        <w:t xml:space="preserve">detail on these studies </w:t>
      </w:r>
      <w:r w:rsidR="001C233B" w:rsidRPr="0009282C">
        <w:rPr>
          <w:iCs/>
        </w:rPr>
        <w:t>is no</w:t>
      </w:r>
      <w:r w:rsidR="00CA5E64" w:rsidRPr="0009282C">
        <w:rPr>
          <w:iCs/>
        </w:rPr>
        <w:t>t</w:t>
      </w:r>
      <w:r w:rsidR="001C233B" w:rsidRPr="0009282C">
        <w:rPr>
          <w:iCs/>
        </w:rPr>
        <w:t xml:space="preserve"> provided herein.</w:t>
      </w:r>
    </w:p>
    <w:p w14:paraId="517880D0" w14:textId="25967214" w:rsidR="00F456DA" w:rsidRPr="0009282C" w:rsidRDefault="008F120A" w:rsidP="00EC48DC">
      <w:pPr>
        <w:pStyle w:val="3-BodyText"/>
      </w:pPr>
      <w:r w:rsidRPr="0009282C">
        <w:t xml:space="preserve">The key features of the </w:t>
      </w:r>
      <w:r w:rsidR="00621ADA" w:rsidRPr="0009282C">
        <w:t xml:space="preserve">included </w:t>
      </w:r>
      <w:r w:rsidR="004E5384" w:rsidRPr="0009282C">
        <w:t>trials</w:t>
      </w:r>
      <w:r w:rsidRPr="0009282C">
        <w:t xml:space="preserve"> are summarised in</w:t>
      </w:r>
      <w:bookmarkStart w:id="25" w:name="_Ref185865641"/>
      <w:bookmarkStart w:id="26" w:name="_Ref185867244"/>
      <w:bookmarkStart w:id="27" w:name="_Ref185346387"/>
      <w:r w:rsidR="00F22BAA" w:rsidRPr="0009282C">
        <w:t xml:space="preserve"> </w:t>
      </w:r>
      <w:r w:rsidR="00F22BAA" w:rsidRPr="0009282C">
        <w:fldChar w:fldCharType="begin" w:fldLock="1"/>
      </w:r>
      <w:r w:rsidR="00F22BAA" w:rsidRPr="0009282C">
        <w:instrText xml:space="preserve"> REF _Ref190700386 \h </w:instrText>
      </w:r>
      <w:r w:rsidR="00F22BAA" w:rsidRPr="0009282C">
        <w:fldChar w:fldCharType="separate"/>
      </w:r>
      <w:r w:rsidR="00771DFF" w:rsidRPr="0009282C">
        <w:t xml:space="preserve">Table </w:t>
      </w:r>
      <w:r w:rsidR="00771DFF">
        <w:rPr>
          <w:noProof/>
        </w:rPr>
        <w:t>3</w:t>
      </w:r>
      <w:r w:rsidR="00F22BAA" w:rsidRPr="0009282C">
        <w:fldChar w:fldCharType="end"/>
      </w:r>
      <w:r w:rsidR="00F22BAA" w:rsidRPr="0009282C">
        <w:t>.</w:t>
      </w:r>
    </w:p>
    <w:p w14:paraId="7DE590B4" w14:textId="7EDE768C" w:rsidR="000812BD" w:rsidRPr="0009282C" w:rsidRDefault="000812BD" w:rsidP="00711840">
      <w:pPr>
        <w:pStyle w:val="Caption"/>
      </w:pPr>
      <w:bookmarkStart w:id="28" w:name="_Ref190700386"/>
      <w:r w:rsidRPr="0009282C">
        <w:t xml:space="preserve">Table </w:t>
      </w:r>
      <w:r w:rsidR="000D4330">
        <w:fldChar w:fldCharType="begin" w:fldLock="1"/>
      </w:r>
      <w:r w:rsidR="000D4330">
        <w:instrText xml:space="preserve"> SEQ Table \* ARABIC </w:instrText>
      </w:r>
      <w:r w:rsidR="000D4330">
        <w:fldChar w:fldCharType="separate"/>
      </w:r>
      <w:r w:rsidR="00771DFF">
        <w:rPr>
          <w:noProof/>
        </w:rPr>
        <w:t>3</w:t>
      </w:r>
      <w:r w:rsidR="000D4330">
        <w:rPr>
          <w:noProof/>
        </w:rPr>
        <w:fldChar w:fldCharType="end"/>
      </w:r>
      <w:bookmarkEnd w:id="25"/>
      <w:bookmarkEnd w:id="26"/>
      <w:bookmarkEnd w:id="28"/>
      <w:r w:rsidR="00AC09CB" w:rsidRPr="0009282C">
        <w:t xml:space="preserve">: </w:t>
      </w:r>
      <w:r w:rsidRPr="0009282C">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2"/>
        <w:gridCol w:w="239"/>
        <w:gridCol w:w="1086"/>
        <w:gridCol w:w="904"/>
        <w:gridCol w:w="1670"/>
        <w:gridCol w:w="2572"/>
        <w:gridCol w:w="1234"/>
      </w:tblGrid>
      <w:tr w:rsidR="000812BD" w:rsidRPr="0009282C" w14:paraId="1153A5A0" w14:textId="77777777" w:rsidTr="00043A9C">
        <w:trPr>
          <w:cantSplit/>
          <w:tblHeader/>
        </w:trPr>
        <w:tc>
          <w:tcPr>
            <w:tcW w:w="728" w:type="pct"/>
            <w:shd w:val="clear" w:color="auto" w:fill="auto"/>
            <w:vAlign w:val="center"/>
          </w:tcPr>
          <w:bookmarkEnd w:id="27"/>
          <w:p w14:paraId="6AED3476" w14:textId="77777777" w:rsidR="000812BD" w:rsidRPr="0009282C" w:rsidRDefault="000812BD" w:rsidP="00711840">
            <w:pPr>
              <w:pStyle w:val="TableText0"/>
              <w:keepNext/>
              <w:keepLines/>
              <w:rPr>
                <w:b/>
                <w:bCs w:val="0"/>
              </w:rPr>
            </w:pPr>
            <w:r w:rsidRPr="0009282C">
              <w:rPr>
                <w:b/>
                <w:bCs w:val="0"/>
              </w:rPr>
              <w:t>Trial</w:t>
            </w:r>
          </w:p>
        </w:tc>
        <w:tc>
          <w:tcPr>
            <w:tcW w:w="133" w:type="pct"/>
            <w:shd w:val="clear" w:color="auto" w:fill="auto"/>
            <w:vAlign w:val="center"/>
          </w:tcPr>
          <w:p w14:paraId="29028270" w14:textId="77777777" w:rsidR="000812BD" w:rsidRPr="0009282C" w:rsidRDefault="000812BD" w:rsidP="00711840">
            <w:pPr>
              <w:pStyle w:val="TableText0"/>
              <w:keepNext/>
              <w:keepLines/>
              <w:rPr>
                <w:b/>
                <w:bCs w:val="0"/>
              </w:rPr>
            </w:pPr>
            <w:r w:rsidRPr="0009282C">
              <w:rPr>
                <w:b/>
                <w:bCs w:val="0"/>
              </w:rPr>
              <w:t>N</w:t>
            </w:r>
          </w:p>
        </w:tc>
        <w:tc>
          <w:tcPr>
            <w:tcW w:w="602" w:type="pct"/>
            <w:shd w:val="clear" w:color="auto" w:fill="auto"/>
            <w:vAlign w:val="center"/>
          </w:tcPr>
          <w:p w14:paraId="6052C7FF" w14:textId="77777777" w:rsidR="000812BD" w:rsidRPr="0009282C" w:rsidRDefault="000812BD" w:rsidP="00711840">
            <w:pPr>
              <w:pStyle w:val="TableText0"/>
              <w:keepNext/>
              <w:keepLines/>
              <w:rPr>
                <w:b/>
                <w:bCs w:val="0"/>
              </w:rPr>
            </w:pPr>
            <w:r w:rsidRPr="0009282C">
              <w:rPr>
                <w:b/>
                <w:bCs w:val="0"/>
              </w:rPr>
              <w:t>Design/ duration</w:t>
            </w:r>
          </w:p>
        </w:tc>
        <w:tc>
          <w:tcPr>
            <w:tcW w:w="501" w:type="pct"/>
            <w:shd w:val="clear" w:color="auto" w:fill="auto"/>
            <w:vAlign w:val="center"/>
          </w:tcPr>
          <w:p w14:paraId="62CF5C26" w14:textId="0E09607F" w:rsidR="000812BD" w:rsidRPr="0009282C" w:rsidRDefault="000812BD" w:rsidP="00711840">
            <w:pPr>
              <w:pStyle w:val="TableText0"/>
              <w:keepNext/>
              <w:keepLines/>
              <w:rPr>
                <w:b/>
                <w:bCs w:val="0"/>
              </w:rPr>
            </w:pPr>
            <w:r w:rsidRPr="0009282C">
              <w:rPr>
                <w:b/>
                <w:bCs w:val="0"/>
              </w:rPr>
              <w:t>Risk of bias</w:t>
            </w:r>
          </w:p>
        </w:tc>
        <w:tc>
          <w:tcPr>
            <w:tcW w:w="926" w:type="pct"/>
            <w:shd w:val="clear" w:color="auto" w:fill="auto"/>
            <w:vAlign w:val="center"/>
          </w:tcPr>
          <w:p w14:paraId="480F07D4" w14:textId="77777777" w:rsidR="000812BD" w:rsidRPr="0009282C" w:rsidRDefault="000812BD" w:rsidP="00711840">
            <w:pPr>
              <w:pStyle w:val="TableText0"/>
              <w:keepNext/>
              <w:keepLines/>
              <w:rPr>
                <w:b/>
                <w:bCs w:val="0"/>
              </w:rPr>
            </w:pPr>
            <w:r w:rsidRPr="0009282C">
              <w:rPr>
                <w:b/>
                <w:bCs w:val="0"/>
              </w:rPr>
              <w:t>Patient population</w:t>
            </w:r>
          </w:p>
        </w:tc>
        <w:tc>
          <w:tcPr>
            <w:tcW w:w="1426" w:type="pct"/>
            <w:shd w:val="clear" w:color="auto" w:fill="auto"/>
            <w:vAlign w:val="center"/>
          </w:tcPr>
          <w:p w14:paraId="03AC2AAF" w14:textId="228DAA5B" w:rsidR="000812BD" w:rsidRPr="0009282C" w:rsidRDefault="008B4198" w:rsidP="00711840">
            <w:pPr>
              <w:pStyle w:val="TableText0"/>
              <w:keepNext/>
              <w:keepLines/>
              <w:rPr>
                <w:b/>
                <w:bCs w:val="0"/>
              </w:rPr>
            </w:pPr>
            <w:r w:rsidRPr="0009282C">
              <w:rPr>
                <w:b/>
                <w:bCs w:val="0"/>
              </w:rPr>
              <w:t>O</w:t>
            </w:r>
            <w:r w:rsidR="000812BD" w:rsidRPr="0009282C">
              <w:rPr>
                <w:b/>
                <w:bCs w:val="0"/>
              </w:rPr>
              <w:t>utcome(s)</w:t>
            </w:r>
          </w:p>
        </w:tc>
        <w:tc>
          <w:tcPr>
            <w:tcW w:w="686" w:type="pct"/>
            <w:shd w:val="clear" w:color="auto" w:fill="auto"/>
            <w:vAlign w:val="center"/>
          </w:tcPr>
          <w:p w14:paraId="7EEE26CE" w14:textId="62C42B5B" w:rsidR="000812BD" w:rsidRPr="0009282C" w:rsidRDefault="000812BD" w:rsidP="00711840">
            <w:pPr>
              <w:pStyle w:val="TableText0"/>
              <w:keepNext/>
              <w:keepLines/>
              <w:rPr>
                <w:b/>
                <w:bCs w:val="0"/>
              </w:rPr>
            </w:pPr>
            <w:r w:rsidRPr="0009282C">
              <w:rPr>
                <w:b/>
                <w:bCs w:val="0"/>
              </w:rPr>
              <w:t>Use in model</w:t>
            </w:r>
          </w:p>
        </w:tc>
      </w:tr>
      <w:tr w:rsidR="000812BD" w:rsidRPr="0009282C" w14:paraId="5E82D88C" w14:textId="77777777" w:rsidTr="00043A9C">
        <w:trPr>
          <w:cantSplit/>
        </w:trPr>
        <w:tc>
          <w:tcPr>
            <w:tcW w:w="5000" w:type="pct"/>
            <w:gridSpan w:val="7"/>
            <w:shd w:val="clear" w:color="auto" w:fill="auto"/>
            <w:vAlign w:val="center"/>
          </w:tcPr>
          <w:p w14:paraId="5105971B" w14:textId="45D9FFDE" w:rsidR="000812BD" w:rsidRPr="0009282C" w:rsidRDefault="000812BD" w:rsidP="00711840">
            <w:pPr>
              <w:pStyle w:val="TableText0"/>
              <w:keepNext/>
              <w:keepLines/>
              <w:rPr>
                <w:b/>
                <w:bCs w:val="0"/>
              </w:rPr>
            </w:pPr>
            <w:proofErr w:type="spellStart"/>
            <w:r w:rsidRPr="0009282C">
              <w:rPr>
                <w:b/>
                <w:bCs w:val="0"/>
              </w:rPr>
              <w:t>Lumasiran</w:t>
            </w:r>
            <w:proofErr w:type="spellEnd"/>
            <w:r w:rsidRPr="0009282C">
              <w:rPr>
                <w:b/>
                <w:bCs w:val="0"/>
              </w:rPr>
              <w:t xml:space="preserve"> vs placebo </w:t>
            </w:r>
          </w:p>
        </w:tc>
      </w:tr>
      <w:tr w:rsidR="000812BD" w:rsidRPr="0009282C" w14:paraId="1BC932B2" w14:textId="77777777" w:rsidTr="00043A9C">
        <w:trPr>
          <w:cantSplit/>
        </w:trPr>
        <w:tc>
          <w:tcPr>
            <w:tcW w:w="728" w:type="pct"/>
            <w:shd w:val="clear" w:color="auto" w:fill="auto"/>
            <w:vAlign w:val="center"/>
          </w:tcPr>
          <w:p w14:paraId="5CBA68B8" w14:textId="77777777" w:rsidR="000812BD" w:rsidRPr="0009282C" w:rsidRDefault="000812BD" w:rsidP="00711840">
            <w:pPr>
              <w:pStyle w:val="TableText0"/>
              <w:keepNext/>
              <w:keepLines/>
            </w:pPr>
            <w:r w:rsidRPr="0009282C">
              <w:t>ILLUMINATE-A</w:t>
            </w:r>
          </w:p>
        </w:tc>
        <w:tc>
          <w:tcPr>
            <w:tcW w:w="133" w:type="pct"/>
            <w:shd w:val="clear" w:color="auto" w:fill="auto"/>
            <w:vAlign w:val="center"/>
          </w:tcPr>
          <w:p w14:paraId="76505054" w14:textId="77777777" w:rsidR="000812BD" w:rsidRPr="0009282C" w:rsidRDefault="000812BD" w:rsidP="00711840">
            <w:pPr>
              <w:pStyle w:val="TableText0"/>
              <w:keepNext/>
              <w:keepLines/>
            </w:pPr>
            <w:r w:rsidRPr="0009282C">
              <w:t>39</w:t>
            </w:r>
          </w:p>
        </w:tc>
        <w:tc>
          <w:tcPr>
            <w:tcW w:w="602" w:type="pct"/>
            <w:shd w:val="clear" w:color="auto" w:fill="auto"/>
            <w:vAlign w:val="center"/>
          </w:tcPr>
          <w:p w14:paraId="02269F87" w14:textId="77777777" w:rsidR="000812BD" w:rsidRPr="0009282C" w:rsidRDefault="000812BD" w:rsidP="00711840">
            <w:pPr>
              <w:pStyle w:val="TableText0"/>
              <w:keepNext/>
              <w:keepLines/>
            </w:pPr>
            <w:r w:rsidRPr="0009282C">
              <w:t>R, DB, MC</w:t>
            </w:r>
          </w:p>
          <w:p w14:paraId="1EC2BF02" w14:textId="27794695" w:rsidR="000812BD" w:rsidRPr="0009282C" w:rsidRDefault="000812BD" w:rsidP="00711840">
            <w:pPr>
              <w:pStyle w:val="TableText0"/>
              <w:keepNext/>
              <w:keepLines/>
            </w:pPr>
            <w:r w:rsidRPr="0009282C">
              <w:t xml:space="preserve">6 </w:t>
            </w:r>
            <w:r w:rsidR="00EE08F5" w:rsidRPr="0009282C">
              <w:t>months</w:t>
            </w:r>
            <w:r w:rsidRPr="0009282C">
              <w:t xml:space="preserve"> + 54 </w:t>
            </w:r>
            <w:r w:rsidR="00EE08F5" w:rsidRPr="0009282C">
              <w:t xml:space="preserve">months </w:t>
            </w:r>
            <w:r w:rsidRPr="0009282C">
              <w:t xml:space="preserve">extension </w:t>
            </w:r>
          </w:p>
        </w:tc>
        <w:tc>
          <w:tcPr>
            <w:tcW w:w="501" w:type="pct"/>
            <w:shd w:val="clear" w:color="auto" w:fill="auto"/>
            <w:vAlign w:val="center"/>
          </w:tcPr>
          <w:p w14:paraId="302675B7" w14:textId="6BEB8652" w:rsidR="000812BD" w:rsidRPr="0009282C" w:rsidRDefault="000812BD" w:rsidP="00711840">
            <w:pPr>
              <w:pStyle w:val="TableText0"/>
              <w:keepNext/>
              <w:keepLines/>
            </w:pPr>
            <w:r w:rsidRPr="0009282C">
              <w:t>High</w:t>
            </w:r>
            <w:r w:rsidR="00D853FF" w:rsidRPr="0009282C">
              <w:t>, using criteria for RCT</w:t>
            </w:r>
          </w:p>
        </w:tc>
        <w:tc>
          <w:tcPr>
            <w:tcW w:w="926" w:type="pct"/>
            <w:shd w:val="clear" w:color="auto" w:fill="auto"/>
            <w:vAlign w:val="center"/>
          </w:tcPr>
          <w:p w14:paraId="4E7EAA9F" w14:textId="22DB6362" w:rsidR="000812BD" w:rsidRPr="0009282C" w:rsidRDefault="000812BD" w:rsidP="00711840">
            <w:pPr>
              <w:pStyle w:val="TableText0"/>
              <w:keepNext/>
              <w:keepLines/>
            </w:pPr>
            <w:r w:rsidRPr="0009282C">
              <w:t>Patients aged ≥6 years with PH1 and RPRF</w:t>
            </w:r>
            <w:r w:rsidR="006E3C07" w:rsidRPr="0009282C">
              <w:t xml:space="preserve"> </w:t>
            </w:r>
            <w:r w:rsidRPr="0009282C">
              <w:t>(eGFR ≥30 mL/min/1.73 m</w:t>
            </w:r>
            <w:r w:rsidRPr="0009282C">
              <w:rPr>
                <w:vertAlign w:val="superscript"/>
              </w:rPr>
              <w:t>2</w:t>
            </w:r>
            <w:r w:rsidRPr="0009282C">
              <w:t>)</w:t>
            </w:r>
          </w:p>
        </w:tc>
        <w:tc>
          <w:tcPr>
            <w:tcW w:w="1426" w:type="pct"/>
            <w:shd w:val="clear" w:color="auto" w:fill="auto"/>
            <w:vAlign w:val="center"/>
          </w:tcPr>
          <w:p w14:paraId="35FBCABA" w14:textId="423372BF" w:rsidR="000812BD" w:rsidRPr="0009282C" w:rsidRDefault="008B4198" w:rsidP="00711840">
            <w:pPr>
              <w:pStyle w:val="TableText0"/>
              <w:keepNext/>
              <w:keepLines/>
            </w:pPr>
            <w:r w:rsidRPr="0009282C">
              <w:t xml:space="preserve">Primary: </w:t>
            </w:r>
            <w:r w:rsidR="000812BD" w:rsidRPr="0009282C">
              <w:t>24-hour urinary oxalate (percent change)</w:t>
            </w:r>
          </w:p>
          <w:p w14:paraId="6C6477FE" w14:textId="60D14FE5" w:rsidR="009344A6" w:rsidRPr="0009282C" w:rsidRDefault="009344A6" w:rsidP="00711840">
            <w:pPr>
              <w:pStyle w:val="TableText0"/>
              <w:keepNext/>
              <w:keepLines/>
            </w:pPr>
            <w:r w:rsidRPr="0009282C">
              <w:t>Secondary</w:t>
            </w:r>
            <w:r w:rsidR="001658F4" w:rsidRPr="0009282C">
              <w:t xml:space="preserve">: </w:t>
            </w:r>
            <w:r w:rsidR="002F34CD" w:rsidRPr="0009282C">
              <w:t xml:space="preserve">24-hour urinary oxalate (absolute change), 24-hour urinary </w:t>
            </w:r>
            <w:proofErr w:type="spellStart"/>
            <w:r w:rsidR="002F34CD" w:rsidRPr="0009282C">
              <w:t>oxalate:creatinine</w:t>
            </w:r>
            <w:proofErr w:type="spellEnd"/>
            <w:r w:rsidR="002F34CD" w:rsidRPr="0009282C">
              <w:t xml:space="preserve"> ratio (percent change), Plasma oxalate (percent change), 24-hour urinary oxalate </w:t>
            </w:r>
            <w:r w:rsidR="00116D74" w:rsidRPr="0009282C">
              <w:t>≤</w:t>
            </w:r>
            <w:r w:rsidR="002F34CD" w:rsidRPr="0009282C">
              <w:t>1.5</w:t>
            </w:r>
            <w:r w:rsidR="00116D74" w:rsidRPr="0009282C">
              <w:t xml:space="preserve"> x </w:t>
            </w:r>
            <w:r w:rsidR="002F34CD" w:rsidRPr="0009282C">
              <w:t xml:space="preserve">ULN (proportion of patients), 24-hour urinary oxalate </w:t>
            </w:r>
            <w:r w:rsidR="00116D74" w:rsidRPr="0009282C">
              <w:t xml:space="preserve">≤ </w:t>
            </w:r>
            <w:r w:rsidR="002F34CD" w:rsidRPr="0009282C">
              <w:t>ULN (proportion of patients)</w:t>
            </w:r>
            <w:r w:rsidR="003F1FB9" w:rsidRPr="0009282C">
              <w:t xml:space="preserve">, </w:t>
            </w:r>
            <w:r w:rsidR="002F34CD" w:rsidRPr="0009282C">
              <w:t>Plasma oxalate (absolute change)</w:t>
            </w:r>
            <w:r w:rsidR="003F1FB9" w:rsidRPr="0009282C">
              <w:t xml:space="preserve">, </w:t>
            </w:r>
            <w:r w:rsidR="002F34CD" w:rsidRPr="0009282C">
              <w:t>eGFR (change from baseline)</w:t>
            </w:r>
          </w:p>
        </w:tc>
        <w:tc>
          <w:tcPr>
            <w:tcW w:w="686" w:type="pct"/>
            <w:shd w:val="clear" w:color="auto" w:fill="auto"/>
            <w:vAlign w:val="center"/>
          </w:tcPr>
          <w:p w14:paraId="022E53CD" w14:textId="77777777" w:rsidR="000812BD" w:rsidRPr="0009282C" w:rsidRDefault="00346116" w:rsidP="00711840">
            <w:pPr>
              <w:pStyle w:val="TableText0"/>
              <w:keepNext/>
              <w:keepLines/>
            </w:pPr>
            <w:r w:rsidRPr="0009282C">
              <w:t>Plasma oxalate</w:t>
            </w:r>
            <w:r w:rsidR="00FA2731" w:rsidRPr="0009282C">
              <w:t xml:space="preserve"> reduction</w:t>
            </w:r>
            <w:r w:rsidRPr="0009282C">
              <w:t xml:space="preserve"> at 6 </w:t>
            </w:r>
            <w:r w:rsidR="00FA2731" w:rsidRPr="0009282C">
              <w:t>months</w:t>
            </w:r>
            <w:r w:rsidR="00AC0EAE" w:rsidRPr="0009282C">
              <w:t>;</w:t>
            </w:r>
          </w:p>
          <w:p w14:paraId="655C2A21" w14:textId="40E08961" w:rsidR="000812BD" w:rsidRPr="0009282C" w:rsidRDefault="00077A21" w:rsidP="00711840">
            <w:pPr>
              <w:pStyle w:val="TableText0"/>
              <w:keepNext/>
              <w:keepLines/>
            </w:pPr>
            <w:r w:rsidRPr="0009282C">
              <w:t>renal stone events; treatment-related AEs</w:t>
            </w:r>
            <w:r w:rsidR="000A72FB" w:rsidRPr="0009282C">
              <w:t xml:space="preserve">; CKD1-3b </w:t>
            </w:r>
            <w:r w:rsidR="00073F25" w:rsidRPr="0009282C">
              <w:t>utility</w:t>
            </w:r>
            <w:r w:rsidR="004E6EBA" w:rsidRPr="0009282C">
              <w:t>; time on treatment.</w:t>
            </w:r>
          </w:p>
        </w:tc>
      </w:tr>
      <w:tr w:rsidR="004954C0" w:rsidRPr="0009282C" w14:paraId="48514A5F" w14:textId="77777777" w:rsidTr="00043A9C">
        <w:trPr>
          <w:cantSplit/>
        </w:trPr>
        <w:tc>
          <w:tcPr>
            <w:tcW w:w="5000" w:type="pct"/>
            <w:gridSpan w:val="7"/>
            <w:shd w:val="clear" w:color="auto" w:fill="auto"/>
            <w:vAlign w:val="center"/>
          </w:tcPr>
          <w:p w14:paraId="224B92F3" w14:textId="133EBD86" w:rsidR="004954C0" w:rsidRPr="0009282C" w:rsidRDefault="00A61A13" w:rsidP="00711840">
            <w:pPr>
              <w:pStyle w:val="TableText0"/>
              <w:keepNext/>
              <w:keepLines/>
              <w:rPr>
                <w:b/>
              </w:rPr>
            </w:pPr>
            <w:proofErr w:type="spellStart"/>
            <w:r w:rsidRPr="0009282C">
              <w:rPr>
                <w:b/>
              </w:rPr>
              <w:t>Lumasiran</w:t>
            </w:r>
            <w:proofErr w:type="spellEnd"/>
            <w:r w:rsidRPr="0009282C">
              <w:rPr>
                <w:b/>
              </w:rPr>
              <w:t xml:space="preserve"> (</w:t>
            </w:r>
            <w:r w:rsidR="00F663BB" w:rsidRPr="0009282C">
              <w:rPr>
                <w:b/>
              </w:rPr>
              <w:t>single arm</w:t>
            </w:r>
            <w:r w:rsidRPr="0009282C">
              <w:rPr>
                <w:b/>
              </w:rPr>
              <w:t>)</w:t>
            </w:r>
          </w:p>
        </w:tc>
      </w:tr>
      <w:tr w:rsidR="000812BD" w:rsidRPr="0009282C" w14:paraId="400AF08D" w14:textId="77777777" w:rsidTr="00043A9C">
        <w:trPr>
          <w:cantSplit/>
        </w:trPr>
        <w:tc>
          <w:tcPr>
            <w:tcW w:w="728" w:type="pct"/>
            <w:shd w:val="clear" w:color="auto" w:fill="auto"/>
            <w:vAlign w:val="center"/>
          </w:tcPr>
          <w:p w14:paraId="10AA9010" w14:textId="77777777" w:rsidR="000812BD" w:rsidRPr="0009282C" w:rsidRDefault="000812BD" w:rsidP="00711840">
            <w:pPr>
              <w:pStyle w:val="TableText0"/>
              <w:keepNext/>
              <w:keepLines/>
            </w:pPr>
            <w:r w:rsidRPr="0009282C">
              <w:t>ILLUMINATE-B</w:t>
            </w:r>
          </w:p>
        </w:tc>
        <w:tc>
          <w:tcPr>
            <w:tcW w:w="133" w:type="pct"/>
            <w:shd w:val="clear" w:color="auto" w:fill="auto"/>
            <w:vAlign w:val="center"/>
          </w:tcPr>
          <w:p w14:paraId="7A656E88" w14:textId="77777777" w:rsidR="000812BD" w:rsidRPr="0009282C" w:rsidRDefault="000812BD" w:rsidP="00711840">
            <w:pPr>
              <w:pStyle w:val="TableText0"/>
              <w:keepNext/>
              <w:keepLines/>
            </w:pPr>
            <w:r w:rsidRPr="0009282C">
              <w:t>18</w:t>
            </w:r>
          </w:p>
        </w:tc>
        <w:tc>
          <w:tcPr>
            <w:tcW w:w="602" w:type="pct"/>
            <w:shd w:val="clear" w:color="auto" w:fill="auto"/>
            <w:vAlign w:val="center"/>
          </w:tcPr>
          <w:p w14:paraId="204E4481" w14:textId="77777777" w:rsidR="000812BD" w:rsidRPr="0009282C" w:rsidRDefault="000812BD" w:rsidP="00711840">
            <w:pPr>
              <w:pStyle w:val="TableText0"/>
              <w:keepNext/>
              <w:keepLines/>
            </w:pPr>
            <w:r w:rsidRPr="0009282C">
              <w:t>OL, MC, SA</w:t>
            </w:r>
          </w:p>
          <w:p w14:paraId="75A6CE52" w14:textId="769501AD" w:rsidR="000812BD" w:rsidRPr="0009282C" w:rsidRDefault="000812BD" w:rsidP="00711840">
            <w:pPr>
              <w:pStyle w:val="TableText0"/>
              <w:keepNext/>
              <w:keepLines/>
            </w:pPr>
            <w:r w:rsidRPr="0009282C">
              <w:t xml:space="preserve">6 </w:t>
            </w:r>
            <w:r w:rsidR="00EE08F5" w:rsidRPr="0009282C">
              <w:t xml:space="preserve">months </w:t>
            </w:r>
            <w:r w:rsidRPr="0009282C">
              <w:t xml:space="preserve">+ 54 </w:t>
            </w:r>
            <w:r w:rsidR="00EE08F5" w:rsidRPr="0009282C">
              <w:t xml:space="preserve">months </w:t>
            </w:r>
            <w:r w:rsidRPr="0009282C">
              <w:t>extension</w:t>
            </w:r>
          </w:p>
        </w:tc>
        <w:tc>
          <w:tcPr>
            <w:tcW w:w="501" w:type="pct"/>
            <w:shd w:val="clear" w:color="auto" w:fill="auto"/>
            <w:vAlign w:val="center"/>
          </w:tcPr>
          <w:p w14:paraId="1B46083E" w14:textId="1AA5F8EA" w:rsidR="000812BD" w:rsidRPr="0009282C" w:rsidRDefault="00043A9C" w:rsidP="00711840">
            <w:pPr>
              <w:pStyle w:val="TableText0"/>
              <w:keepNext/>
              <w:keepLines/>
            </w:pPr>
            <w:r w:rsidRPr="0009282C">
              <w:t>Moderate</w:t>
            </w:r>
            <w:r w:rsidR="00D853FF" w:rsidRPr="0009282C">
              <w:t>, using criteria for non-RCT</w:t>
            </w:r>
          </w:p>
        </w:tc>
        <w:tc>
          <w:tcPr>
            <w:tcW w:w="926" w:type="pct"/>
            <w:shd w:val="clear" w:color="auto" w:fill="auto"/>
            <w:vAlign w:val="center"/>
          </w:tcPr>
          <w:p w14:paraId="68B6EE17" w14:textId="7271C45D" w:rsidR="000812BD" w:rsidRPr="0009282C" w:rsidRDefault="000812BD" w:rsidP="00711840">
            <w:pPr>
              <w:pStyle w:val="TableText0"/>
              <w:keepNext/>
              <w:keepLines/>
            </w:pPr>
            <w:r w:rsidRPr="0009282C">
              <w:t>Patients aged &lt;6 years with PH1 and RPRF</w:t>
            </w:r>
            <w:r w:rsidR="005F4414" w:rsidRPr="0009282C">
              <w:t xml:space="preserve"> </w:t>
            </w:r>
            <w:r w:rsidRPr="0009282C">
              <w:t>(eGFR ≥45 mL/min/1.73 m</w:t>
            </w:r>
            <w:r w:rsidRPr="0009282C">
              <w:rPr>
                <w:vertAlign w:val="superscript"/>
              </w:rPr>
              <w:t>2</w:t>
            </w:r>
            <w:r w:rsidRPr="0009282C">
              <w:t xml:space="preserve"> or normal serum creatinine if aged &lt;1 year)</w:t>
            </w:r>
          </w:p>
        </w:tc>
        <w:tc>
          <w:tcPr>
            <w:tcW w:w="1426" w:type="pct"/>
            <w:shd w:val="clear" w:color="auto" w:fill="auto"/>
            <w:vAlign w:val="center"/>
          </w:tcPr>
          <w:p w14:paraId="4CD8D1B4" w14:textId="5A061C38" w:rsidR="000812BD" w:rsidRPr="0009282C" w:rsidRDefault="003D2C40" w:rsidP="00711840">
            <w:pPr>
              <w:pStyle w:val="TableText0"/>
              <w:keepNext/>
              <w:keepLines/>
            </w:pPr>
            <w:r w:rsidRPr="0009282C">
              <w:t xml:space="preserve">Primary: </w:t>
            </w:r>
            <w:r w:rsidR="000812BD" w:rsidRPr="0009282C">
              <w:t xml:space="preserve">Spot urinary </w:t>
            </w:r>
            <w:proofErr w:type="spellStart"/>
            <w:r w:rsidR="000812BD" w:rsidRPr="0009282C">
              <w:t>oxalate:creatinine</w:t>
            </w:r>
            <w:proofErr w:type="spellEnd"/>
            <w:r w:rsidR="000812BD" w:rsidRPr="0009282C">
              <w:t xml:space="preserve"> ratio (percent change)</w:t>
            </w:r>
          </w:p>
          <w:p w14:paraId="34F1CF11" w14:textId="2B717AC9" w:rsidR="000812BD" w:rsidRPr="0009282C" w:rsidRDefault="00F26A11" w:rsidP="00711840">
            <w:pPr>
              <w:pStyle w:val="TableText0"/>
              <w:keepNext/>
              <w:keepLines/>
            </w:pPr>
            <w:r w:rsidRPr="0009282C">
              <w:t xml:space="preserve">Secondary: </w:t>
            </w:r>
            <w:r w:rsidR="00473C6F" w:rsidRPr="0009282C">
              <w:t>Urinary oxalate (absolute change)</w:t>
            </w:r>
            <w:r w:rsidR="00ED71A8" w:rsidRPr="0009282C">
              <w:t xml:space="preserve">, </w:t>
            </w:r>
            <w:r w:rsidR="00473C6F" w:rsidRPr="0009282C">
              <w:t xml:space="preserve">Urinary oxalate </w:t>
            </w:r>
            <w:r w:rsidR="00116D74" w:rsidRPr="0009282C">
              <w:t>≤</w:t>
            </w:r>
            <w:r w:rsidR="00473C6F" w:rsidRPr="0009282C">
              <w:t xml:space="preserve"> the ULN and </w:t>
            </w:r>
            <w:r w:rsidR="00116D74" w:rsidRPr="0009282C">
              <w:t xml:space="preserve">≤ </w:t>
            </w:r>
            <w:r w:rsidR="00473C6F" w:rsidRPr="0009282C">
              <w:t>1.5</w:t>
            </w:r>
            <w:r w:rsidR="00116D74" w:rsidRPr="0009282C">
              <w:t xml:space="preserve"> x </w:t>
            </w:r>
            <w:r w:rsidR="00473C6F" w:rsidRPr="0009282C">
              <w:t>ULN (proportion of patients)</w:t>
            </w:r>
            <w:r w:rsidR="00ED71A8" w:rsidRPr="0009282C">
              <w:t xml:space="preserve">, </w:t>
            </w:r>
            <w:r w:rsidR="00473C6F" w:rsidRPr="0009282C">
              <w:t>Plasma oxalate (per cent and absolute change)</w:t>
            </w:r>
            <w:r w:rsidR="00ED71A8" w:rsidRPr="0009282C">
              <w:t xml:space="preserve">, </w:t>
            </w:r>
            <w:r w:rsidR="00473C6F" w:rsidRPr="0009282C">
              <w:t>eGFR (change from baseline)</w:t>
            </w:r>
          </w:p>
        </w:tc>
        <w:tc>
          <w:tcPr>
            <w:tcW w:w="686" w:type="pct"/>
            <w:shd w:val="clear" w:color="auto" w:fill="auto"/>
            <w:vAlign w:val="center"/>
          </w:tcPr>
          <w:p w14:paraId="3BA18F80" w14:textId="6B9766F9" w:rsidR="000812BD" w:rsidRPr="0009282C" w:rsidRDefault="00FA2731" w:rsidP="00711840">
            <w:pPr>
              <w:pStyle w:val="TableText0"/>
              <w:keepNext/>
              <w:keepLines/>
            </w:pPr>
            <w:r w:rsidRPr="0009282C">
              <w:t>Plasma oxalate reduction at 6 months</w:t>
            </w:r>
            <w:r w:rsidR="00D9032C" w:rsidRPr="0009282C">
              <w:t>; renal stone events</w:t>
            </w:r>
            <w:r w:rsidR="00321BD0" w:rsidRPr="0009282C">
              <w:t>;</w:t>
            </w:r>
            <w:r w:rsidR="00D9032C" w:rsidRPr="0009282C">
              <w:t xml:space="preserve"> time on treatment.</w:t>
            </w:r>
          </w:p>
        </w:tc>
      </w:tr>
      <w:tr w:rsidR="000812BD" w:rsidRPr="0009282C" w14:paraId="102F26A6" w14:textId="77777777" w:rsidTr="00043A9C">
        <w:trPr>
          <w:cantSplit/>
        </w:trPr>
        <w:tc>
          <w:tcPr>
            <w:tcW w:w="728" w:type="pct"/>
            <w:shd w:val="clear" w:color="auto" w:fill="auto"/>
            <w:vAlign w:val="center"/>
          </w:tcPr>
          <w:p w14:paraId="7EBB1CE6" w14:textId="77777777" w:rsidR="000812BD" w:rsidRPr="0009282C" w:rsidRDefault="000812BD" w:rsidP="00711840">
            <w:pPr>
              <w:pStyle w:val="TableText0"/>
              <w:keepNext/>
              <w:keepLines/>
            </w:pPr>
            <w:r w:rsidRPr="0009282C">
              <w:t>ILLUMINATE-C</w:t>
            </w:r>
          </w:p>
        </w:tc>
        <w:tc>
          <w:tcPr>
            <w:tcW w:w="133" w:type="pct"/>
            <w:shd w:val="clear" w:color="auto" w:fill="auto"/>
            <w:vAlign w:val="center"/>
          </w:tcPr>
          <w:p w14:paraId="6B508EED" w14:textId="77777777" w:rsidR="000812BD" w:rsidRPr="0009282C" w:rsidRDefault="000812BD" w:rsidP="00711840">
            <w:pPr>
              <w:pStyle w:val="TableText0"/>
              <w:keepNext/>
              <w:keepLines/>
            </w:pPr>
            <w:r w:rsidRPr="0009282C">
              <w:t>21</w:t>
            </w:r>
          </w:p>
        </w:tc>
        <w:tc>
          <w:tcPr>
            <w:tcW w:w="602" w:type="pct"/>
            <w:shd w:val="clear" w:color="auto" w:fill="auto"/>
            <w:vAlign w:val="center"/>
          </w:tcPr>
          <w:p w14:paraId="0C87FF2E" w14:textId="77777777" w:rsidR="000812BD" w:rsidRPr="0009282C" w:rsidRDefault="000812BD" w:rsidP="00711840">
            <w:pPr>
              <w:pStyle w:val="TableText0"/>
              <w:keepNext/>
              <w:keepLines/>
            </w:pPr>
            <w:r w:rsidRPr="0009282C">
              <w:t>OL, MC, SA</w:t>
            </w:r>
          </w:p>
          <w:p w14:paraId="58553C89" w14:textId="6E5FC74E" w:rsidR="000812BD" w:rsidRPr="0009282C" w:rsidRDefault="000812BD" w:rsidP="00711840">
            <w:pPr>
              <w:pStyle w:val="TableText0"/>
              <w:keepNext/>
              <w:keepLines/>
            </w:pPr>
            <w:r w:rsidRPr="0009282C">
              <w:t xml:space="preserve">6 </w:t>
            </w:r>
            <w:r w:rsidR="00EE08F5" w:rsidRPr="0009282C">
              <w:t xml:space="preserve">months </w:t>
            </w:r>
            <w:r w:rsidRPr="0009282C">
              <w:t xml:space="preserve">+ 54 </w:t>
            </w:r>
            <w:r w:rsidR="00EE08F5" w:rsidRPr="0009282C">
              <w:t xml:space="preserve">months </w:t>
            </w:r>
            <w:r w:rsidRPr="0009282C">
              <w:t>extension</w:t>
            </w:r>
          </w:p>
          <w:p w14:paraId="59002FC8" w14:textId="77777777" w:rsidR="000812BD" w:rsidRPr="0009282C" w:rsidRDefault="000812BD" w:rsidP="00711840">
            <w:pPr>
              <w:pStyle w:val="TableText0"/>
              <w:keepNext/>
              <w:keepLines/>
            </w:pPr>
          </w:p>
        </w:tc>
        <w:tc>
          <w:tcPr>
            <w:tcW w:w="501" w:type="pct"/>
            <w:shd w:val="clear" w:color="auto" w:fill="auto"/>
            <w:vAlign w:val="center"/>
          </w:tcPr>
          <w:p w14:paraId="7735E797" w14:textId="3D35E11A" w:rsidR="000812BD" w:rsidRPr="0009282C" w:rsidRDefault="00043A9C" w:rsidP="00711840">
            <w:pPr>
              <w:pStyle w:val="TableText0"/>
              <w:keepNext/>
              <w:keepLines/>
            </w:pPr>
            <w:r w:rsidRPr="0009282C">
              <w:t>Moderate</w:t>
            </w:r>
            <w:r w:rsidR="00D853FF" w:rsidRPr="0009282C">
              <w:t>, using criteria for non-RCT</w:t>
            </w:r>
          </w:p>
        </w:tc>
        <w:tc>
          <w:tcPr>
            <w:tcW w:w="926" w:type="pct"/>
            <w:shd w:val="clear" w:color="auto" w:fill="auto"/>
            <w:vAlign w:val="center"/>
          </w:tcPr>
          <w:p w14:paraId="4017D78F" w14:textId="7406CFBE" w:rsidR="000812BD" w:rsidRPr="0009282C" w:rsidRDefault="000812BD" w:rsidP="00711840">
            <w:pPr>
              <w:pStyle w:val="TableText0"/>
              <w:keepNext/>
              <w:keepLines/>
            </w:pPr>
            <w:r w:rsidRPr="0009282C">
              <w:t>Patients with PH1 and advanced renal disease (eGFR ≤45 mL/min/1.73 m</w:t>
            </w:r>
            <w:r w:rsidRPr="0009282C">
              <w:rPr>
                <w:vertAlign w:val="superscript"/>
              </w:rPr>
              <w:t>2</w:t>
            </w:r>
            <w:r w:rsidRPr="0009282C">
              <w:t>)</w:t>
            </w:r>
          </w:p>
          <w:p w14:paraId="706B23DA" w14:textId="77777777" w:rsidR="0089404B" w:rsidRPr="0009282C" w:rsidRDefault="0089404B" w:rsidP="00711840">
            <w:pPr>
              <w:pStyle w:val="TableText0"/>
              <w:keepNext/>
              <w:keepLines/>
            </w:pPr>
          </w:p>
          <w:p w14:paraId="329814CA" w14:textId="381DC151" w:rsidR="007E749D" w:rsidRPr="0009282C" w:rsidRDefault="007E749D" w:rsidP="00711840">
            <w:pPr>
              <w:pStyle w:val="TableText0"/>
              <w:keepNext/>
              <w:keepLines/>
            </w:pPr>
            <w:r w:rsidRPr="0009282C">
              <w:t>Cohort A =</w:t>
            </w:r>
            <w:r w:rsidR="005F4414" w:rsidRPr="0009282C">
              <w:t xml:space="preserve"> </w:t>
            </w:r>
            <w:r w:rsidR="00CD24EE" w:rsidRPr="0009282C">
              <w:t xml:space="preserve">patients not on dialysis </w:t>
            </w:r>
          </w:p>
          <w:p w14:paraId="6A02872F" w14:textId="6863FF16" w:rsidR="000812BD" w:rsidRPr="0009282C" w:rsidRDefault="007E749D" w:rsidP="00711840">
            <w:pPr>
              <w:pStyle w:val="TableText0"/>
              <w:keepNext/>
              <w:keepLines/>
            </w:pPr>
            <w:r w:rsidRPr="0009282C">
              <w:t xml:space="preserve">Cohort B = </w:t>
            </w:r>
            <w:r w:rsidR="00CD24EE" w:rsidRPr="0009282C">
              <w:t xml:space="preserve">patients on dialysis </w:t>
            </w:r>
          </w:p>
        </w:tc>
        <w:tc>
          <w:tcPr>
            <w:tcW w:w="1426" w:type="pct"/>
            <w:shd w:val="clear" w:color="auto" w:fill="auto"/>
            <w:vAlign w:val="center"/>
          </w:tcPr>
          <w:p w14:paraId="4EFADB93" w14:textId="77777777" w:rsidR="000812BD" w:rsidRPr="0009282C" w:rsidRDefault="00F26A11" w:rsidP="00711840">
            <w:pPr>
              <w:pStyle w:val="TableText0"/>
              <w:keepNext/>
              <w:keepLines/>
            </w:pPr>
            <w:r w:rsidRPr="0009282C">
              <w:t xml:space="preserve">Primary: </w:t>
            </w:r>
            <w:r w:rsidR="000812BD" w:rsidRPr="0009282C">
              <w:t>Plasma oxalate (percent change)</w:t>
            </w:r>
          </w:p>
          <w:p w14:paraId="7E0915AC" w14:textId="29BA5586" w:rsidR="00F26A11" w:rsidRPr="0009282C" w:rsidRDefault="00F26A11" w:rsidP="00711840">
            <w:pPr>
              <w:pStyle w:val="TableText0"/>
              <w:keepNext/>
              <w:keepLines/>
            </w:pPr>
            <w:r w:rsidRPr="0009282C">
              <w:t xml:space="preserve">Secondary: </w:t>
            </w:r>
            <w:r w:rsidR="00816548" w:rsidRPr="0009282C">
              <w:t>Plasma oxalate AUC (per cent change)</w:t>
            </w:r>
            <w:r w:rsidR="00ED71A8" w:rsidRPr="0009282C">
              <w:t xml:space="preserve">, </w:t>
            </w:r>
            <w:r w:rsidR="00816548" w:rsidRPr="0009282C">
              <w:t>Plasma oxalate (per cent and absolute change)</w:t>
            </w:r>
            <w:r w:rsidR="00ED71A8" w:rsidRPr="0009282C">
              <w:t xml:space="preserve">, </w:t>
            </w:r>
            <w:r w:rsidR="00816548" w:rsidRPr="0009282C">
              <w:t>Nephrocalcinosis (change over time)</w:t>
            </w:r>
            <w:r w:rsidR="00ED71A8" w:rsidRPr="0009282C">
              <w:t xml:space="preserve">, </w:t>
            </w:r>
            <w:r w:rsidR="00816548" w:rsidRPr="0009282C">
              <w:t>Renal stone event (frequency)</w:t>
            </w:r>
            <w:r w:rsidR="00ED71A8" w:rsidRPr="0009282C">
              <w:t xml:space="preserve">, </w:t>
            </w:r>
            <w:r w:rsidR="00816548" w:rsidRPr="0009282C">
              <w:t>Urinary oxalate (change over time)</w:t>
            </w:r>
            <w:r w:rsidR="00ED71A8" w:rsidRPr="0009282C">
              <w:t xml:space="preserve">, </w:t>
            </w:r>
            <w:r w:rsidR="00816548" w:rsidRPr="0009282C">
              <w:t>Systemic oxalosis measures (change over time)</w:t>
            </w:r>
          </w:p>
        </w:tc>
        <w:tc>
          <w:tcPr>
            <w:tcW w:w="686" w:type="pct"/>
            <w:shd w:val="clear" w:color="auto" w:fill="auto"/>
            <w:vAlign w:val="center"/>
          </w:tcPr>
          <w:p w14:paraId="3D917480" w14:textId="50D01C9D" w:rsidR="000812BD" w:rsidRPr="0009282C" w:rsidRDefault="00FA2731" w:rsidP="00711840">
            <w:pPr>
              <w:pStyle w:val="TableText0"/>
              <w:keepNext/>
              <w:keepLines/>
            </w:pPr>
            <w:r w:rsidRPr="0009282C">
              <w:t xml:space="preserve">Plasma oxalate reduction at </w:t>
            </w:r>
            <w:r w:rsidR="00206928" w:rsidRPr="0009282C">
              <w:t>12</w:t>
            </w:r>
            <w:r w:rsidRPr="0009282C">
              <w:t xml:space="preserve"> months</w:t>
            </w:r>
            <w:r w:rsidR="00714F72" w:rsidRPr="0009282C">
              <w:t xml:space="preserve"> renal stone events</w:t>
            </w:r>
            <w:r w:rsidR="00321BD0" w:rsidRPr="0009282C">
              <w:t>.</w:t>
            </w:r>
          </w:p>
        </w:tc>
      </w:tr>
    </w:tbl>
    <w:p w14:paraId="0E403A27" w14:textId="0479248E" w:rsidR="00045017" w:rsidRPr="0009282C" w:rsidRDefault="00580660" w:rsidP="00711840">
      <w:pPr>
        <w:pStyle w:val="FooterTableFigure"/>
        <w:keepNext/>
        <w:keepLines/>
      </w:pPr>
      <w:r w:rsidRPr="0009282C">
        <w:rPr>
          <w:bCs/>
        </w:rPr>
        <w:t>Abbreviations:</w:t>
      </w:r>
      <w:r w:rsidR="77B9D38B" w:rsidRPr="0009282C">
        <w:t xml:space="preserve"> </w:t>
      </w:r>
      <w:r w:rsidR="00CE5474" w:rsidRPr="0009282C">
        <w:t>AUC</w:t>
      </w:r>
      <w:r w:rsidR="004743C9" w:rsidRPr="0009282C">
        <w:t xml:space="preserve">, area under the curve; </w:t>
      </w:r>
      <w:r w:rsidR="00435ED7" w:rsidRPr="0009282C">
        <w:t xml:space="preserve">CKD, chronic kidney disease; </w:t>
      </w:r>
      <w:r w:rsidR="77B9D38B" w:rsidRPr="0009282C">
        <w:t xml:space="preserve">DB, double blind; </w:t>
      </w:r>
      <w:r w:rsidR="00435ED7" w:rsidRPr="0009282C">
        <w:t xml:space="preserve">eGFR, </w:t>
      </w:r>
      <w:r w:rsidR="004743C9" w:rsidRPr="0009282C">
        <w:t xml:space="preserve">glomerular filtration rate; </w:t>
      </w:r>
      <w:r w:rsidR="77B9D38B" w:rsidRPr="0009282C">
        <w:t xml:space="preserve">MC, multi-centre; NA, not applicable; OL, open label; PH1, primary hyperoxaluria type 1; R, randomised; </w:t>
      </w:r>
      <w:r w:rsidR="00312DAA" w:rsidRPr="0009282C">
        <w:t xml:space="preserve">RCT, randomised controlled trial; </w:t>
      </w:r>
      <w:r w:rsidR="77B9D38B" w:rsidRPr="0009282C">
        <w:t>RPRF, relatively preserved renal function; SA, single arm</w:t>
      </w:r>
      <w:r w:rsidR="00B8218D" w:rsidRPr="0009282C">
        <w:t>; ULN, upper limit of normal</w:t>
      </w:r>
      <w:r w:rsidR="77B9D38B" w:rsidRPr="0009282C">
        <w:t xml:space="preserve">. </w:t>
      </w:r>
    </w:p>
    <w:p w14:paraId="299A14F7" w14:textId="3FABD34F" w:rsidR="005416FA" w:rsidRPr="0009282C" w:rsidRDefault="00580660" w:rsidP="00B079A6">
      <w:pPr>
        <w:pStyle w:val="FooterTableFigure"/>
      </w:pPr>
      <w:r w:rsidRPr="0009282C">
        <w:t>Source:</w:t>
      </w:r>
      <w:r w:rsidR="00045017" w:rsidRPr="0009282C">
        <w:t xml:space="preserve"> </w:t>
      </w:r>
      <w:r w:rsidR="003D1DF9" w:rsidRPr="0009282C">
        <w:t>Section 2.3,</w:t>
      </w:r>
      <w:r w:rsidR="00045017" w:rsidRPr="0009282C">
        <w:t xml:space="preserve"> </w:t>
      </w:r>
      <w:r w:rsidR="003D1DF9" w:rsidRPr="0009282C">
        <w:t>p</w:t>
      </w:r>
      <w:r w:rsidR="00767991" w:rsidRPr="0009282C">
        <w:t>p</w:t>
      </w:r>
      <w:r w:rsidR="003D1DF9" w:rsidRPr="0009282C">
        <w:t>45-</w:t>
      </w:r>
      <w:r w:rsidR="00DD4869" w:rsidRPr="0009282C">
        <w:t xml:space="preserve">50 of the submission. </w:t>
      </w:r>
    </w:p>
    <w:p w14:paraId="6871B727" w14:textId="2598BFD0" w:rsidR="004C1485" w:rsidRPr="0009282C" w:rsidRDefault="00BA2653" w:rsidP="00EC48DC">
      <w:pPr>
        <w:pStyle w:val="3-BodyText"/>
      </w:pPr>
      <w:r>
        <w:t>I</w:t>
      </w:r>
      <w:r w:rsidR="0047007B" w:rsidRPr="0009282C">
        <w:t xml:space="preserve">n ILLUMINATE-A </w:t>
      </w:r>
      <w:r w:rsidR="00B16CE9">
        <w:rPr>
          <w:iCs/>
        </w:rPr>
        <w:t>d</w:t>
      </w:r>
      <w:r w:rsidR="005801C1" w:rsidRPr="0009282C">
        <w:rPr>
          <w:iCs/>
        </w:rPr>
        <w:t>ifferen</w:t>
      </w:r>
      <w:r w:rsidR="00DA4D9E" w:rsidRPr="0009282C">
        <w:rPr>
          <w:iCs/>
        </w:rPr>
        <w:t>ce</w:t>
      </w:r>
      <w:r w:rsidR="005801C1" w:rsidRPr="0009282C">
        <w:rPr>
          <w:iCs/>
        </w:rPr>
        <w:t>s</w:t>
      </w:r>
      <w:r w:rsidR="00B163A8" w:rsidRPr="0009282C">
        <w:rPr>
          <w:iCs/>
        </w:rPr>
        <w:t xml:space="preserve"> between the </w:t>
      </w:r>
      <w:proofErr w:type="spellStart"/>
      <w:r w:rsidR="00B163A8" w:rsidRPr="0009282C">
        <w:rPr>
          <w:iCs/>
        </w:rPr>
        <w:t>lumasiran</w:t>
      </w:r>
      <w:proofErr w:type="spellEnd"/>
      <w:r w:rsidR="00B163A8" w:rsidRPr="0009282C">
        <w:rPr>
          <w:iCs/>
        </w:rPr>
        <w:t xml:space="preserve"> and placebo arms were observed for: a</w:t>
      </w:r>
      <w:r w:rsidR="0047007B" w:rsidRPr="0009282C">
        <w:rPr>
          <w:iCs/>
        </w:rPr>
        <w:t>ge</w:t>
      </w:r>
      <w:r w:rsidR="00DA4D9E" w:rsidRPr="0009282C">
        <w:rPr>
          <w:iCs/>
        </w:rPr>
        <w:t xml:space="preserve"> (</w:t>
      </w:r>
      <w:r w:rsidR="005B55C8" w:rsidRPr="0009282C">
        <w:rPr>
          <w:iCs/>
        </w:rPr>
        <w:t xml:space="preserve">mean age for </w:t>
      </w:r>
      <w:proofErr w:type="spellStart"/>
      <w:r w:rsidR="005B55C8" w:rsidRPr="0009282C">
        <w:rPr>
          <w:iCs/>
        </w:rPr>
        <w:t>lumasiran</w:t>
      </w:r>
      <w:proofErr w:type="spellEnd"/>
      <w:r w:rsidR="005B55C8" w:rsidRPr="0009282C">
        <w:rPr>
          <w:iCs/>
        </w:rPr>
        <w:t>: 9.6 years; placebo: 7.9 years)</w:t>
      </w:r>
      <w:r w:rsidR="0047007B" w:rsidRPr="0009282C">
        <w:rPr>
          <w:iCs/>
        </w:rPr>
        <w:t>, race</w:t>
      </w:r>
      <w:r w:rsidR="002B2426" w:rsidRPr="0009282C">
        <w:rPr>
          <w:iCs/>
        </w:rPr>
        <w:t xml:space="preserve"> (</w:t>
      </w:r>
      <w:proofErr w:type="spellStart"/>
      <w:r w:rsidR="00B21883" w:rsidRPr="0009282C">
        <w:rPr>
          <w:iCs/>
        </w:rPr>
        <w:t>lumasiran</w:t>
      </w:r>
      <w:proofErr w:type="spellEnd"/>
      <w:r w:rsidR="00B21883" w:rsidRPr="0009282C">
        <w:rPr>
          <w:iCs/>
        </w:rPr>
        <w:t xml:space="preserve">: 80.8% </w:t>
      </w:r>
      <w:r w:rsidR="00A12152" w:rsidRPr="0009282C">
        <w:rPr>
          <w:iCs/>
        </w:rPr>
        <w:t>Anglo-Saxon</w:t>
      </w:r>
      <w:r w:rsidR="00B21883" w:rsidRPr="0009282C">
        <w:rPr>
          <w:iCs/>
        </w:rPr>
        <w:t>; placebo: 69.</w:t>
      </w:r>
      <w:r w:rsidR="00A12152" w:rsidRPr="0009282C">
        <w:rPr>
          <w:iCs/>
        </w:rPr>
        <w:t>2% Anglo-Saxon)</w:t>
      </w:r>
      <w:r w:rsidR="0047007B" w:rsidRPr="0009282C">
        <w:rPr>
          <w:iCs/>
        </w:rPr>
        <w:t>, pyridoxine use</w:t>
      </w:r>
      <w:r w:rsidR="005801C1" w:rsidRPr="0009282C">
        <w:rPr>
          <w:iCs/>
        </w:rPr>
        <w:t xml:space="preserve"> at baseline</w:t>
      </w:r>
      <w:r w:rsidR="00A12152" w:rsidRPr="0009282C">
        <w:rPr>
          <w:iCs/>
        </w:rPr>
        <w:t xml:space="preserve"> (</w:t>
      </w:r>
      <w:proofErr w:type="spellStart"/>
      <w:r w:rsidR="00A12152" w:rsidRPr="0009282C">
        <w:rPr>
          <w:iCs/>
        </w:rPr>
        <w:t>lumasiran</w:t>
      </w:r>
      <w:proofErr w:type="spellEnd"/>
      <w:r w:rsidR="00A12152" w:rsidRPr="0009282C">
        <w:rPr>
          <w:iCs/>
        </w:rPr>
        <w:t>: 50.0%; placebo: 69.2%)</w:t>
      </w:r>
      <w:r w:rsidR="0047007B" w:rsidRPr="0009282C">
        <w:rPr>
          <w:iCs/>
        </w:rPr>
        <w:t xml:space="preserve">, and </w:t>
      </w:r>
      <w:r w:rsidR="005801C1" w:rsidRPr="0009282C">
        <w:rPr>
          <w:iCs/>
        </w:rPr>
        <w:t xml:space="preserve">the </w:t>
      </w:r>
      <w:r w:rsidR="0047007B" w:rsidRPr="0009282C">
        <w:rPr>
          <w:iCs/>
        </w:rPr>
        <w:t xml:space="preserve">number of renal stones </w:t>
      </w:r>
      <w:r w:rsidR="00005CB9" w:rsidRPr="0009282C">
        <w:rPr>
          <w:iCs/>
        </w:rPr>
        <w:t>12 months prior to consent</w:t>
      </w:r>
      <w:r w:rsidR="00BD2E7B" w:rsidRPr="0009282C">
        <w:rPr>
          <w:iCs/>
        </w:rPr>
        <w:t xml:space="preserve"> (</w:t>
      </w:r>
      <w:r w:rsidR="009F3E16" w:rsidRPr="0009282C">
        <w:rPr>
          <w:iCs/>
        </w:rPr>
        <w:t xml:space="preserve">≥1 renal stone for </w:t>
      </w:r>
      <w:proofErr w:type="spellStart"/>
      <w:r w:rsidR="00C37A6A" w:rsidRPr="0009282C">
        <w:rPr>
          <w:iCs/>
        </w:rPr>
        <w:t>lumasi</w:t>
      </w:r>
      <w:r w:rsidR="00C00584" w:rsidRPr="0009282C">
        <w:rPr>
          <w:iCs/>
        </w:rPr>
        <w:t>r</w:t>
      </w:r>
      <w:r w:rsidR="00C37A6A" w:rsidRPr="0009282C">
        <w:rPr>
          <w:iCs/>
        </w:rPr>
        <w:t>an</w:t>
      </w:r>
      <w:proofErr w:type="spellEnd"/>
      <w:r w:rsidR="00C37A6A" w:rsidRPr="0009282C">
        <w:rPr>
          <w:iCs/>
        </w:rPr>
        <w:t xml:space="preserve">: </w:t>
      </w:r>
      <w:r w:rsidR="00592A21" w:rsidRPr="0009282C">
        <w:rPr>
          <w:iCs/>
        </w:rPr>
        <w:t>42.3</w:t>
      </w:r>
      <w:r w:rsidR="00C37A6A" w:rsidRPr="0009282C">
        <w:rPr>
          <w:iCs/>
        </w:rPr>
        <w:t>%</w:t>
      </w:r>
      <w:r w:rsidR="00C00584" w:rsidRPr="0009282C">
        <w:rPr>
          <w:iCs/>
        </w:rPr>
        <w:t>; placebo:</w:t>
      </w:r>
      <w:r w:rsidR="00697B06" w:rsidRPr="0009282C">
        <w:rPr>
          <w:iCs/>
        </w:rPr>
        <w:t xml:space="preserve"> </w:t>
      </w:r>
      <w:r w:rsidR="00592A21" w:rsidRPr="0009282C">
        <w:rPr>
          <w:iCs/>
        </w:rPr>
        <w:t>30.8%</w:t>
      </w:r>
      <w:r w:rsidR="00C00584" w:rsidRPr="0009282C">
        <w:rPr>
          <w:iCs/>
        </w:rPr>
        <w:t>)</w:t>
      </w:r>
      <w:r w:rsidR="0047007B" w:rsidRPr="0009282C">
        <w:rPr>
          <w:iCs/>
        </w:rPr>
        <w:t xml:space="preserve">. </w:t>
      </w:r>
      <w:r w:rsidR="0047007B" w:rsidRPr="0009282C">
        <w:t xml:space="preserve">Whether or not these imbalances introduced biases to the result is unclear. </w:t>
      </w:r>
      <w:r w:rsidR="00D705D1">
        <w:t xml:space="preserve">The evaluation considered that </w:t>
      </w:r>
      <w:r w:rsidR="00D705D1">
        <w:rPr>
          <w:iCs/>
        </w:rPr>
        <w:t>d</w:t>
      </w:r>
      <w:r w:rsidR="00CE6188" w:rsidRPr="0009282C">
        <w:rPr>
          <w:iCs/>
        </w:rPr>
        <w:t>ue to the</w:t>
      </w:r>
      <w:r w:rsidR="0047007B" w:rsidRPr="0009282C">
        <w:t xml:space="preserve"> differences in the pyridoxine use</w:t>
      </w:r>
      <w:r w:rsidR="00B1165E" w:rsidRPr="0009282C">
        <w:t xml:space="preserve"> </w:t>
      </w:r>
      <w:r w:rsidR="00B1165E" w:rsidRPr="0009282C">
        <w:rPr>
          <w:iCs/>
        </w:rPr>
        <w:t>at baseline</w:t>
      </w:r>
      <w:r w:rsidR="0047007B" w:rsidRPr="0009282C">
        <w:t xml:space="preserve"> between treatment groups (which has also been shown to reduce urinary oxalate), it is unclear whether the pyridoxine had an additional impact on participant treatment effects.</w:t>
      </w:r>
      <w:r w:rsidR="00A20652" w:rsidRPr="0009282C">
        <w:t xml:space="preserve"> The ESC noted that different genotypes of PH1 respond differently to </w:t>
      </w:r>
      <w:r w:rsidR="00CF499D" w:rsidRPr="0009282C">
        <w:t>pyridoxine therapy</w:t>
      </w:r>
      <w:r w:rsidR="002A4656" w:rsidRPr="0009282C">
        <w:t>.</w:t>
      </w:r>
      <w:r w:rsidR="002222B3" w:rsidRPr="0009282C">
        <w:rPr>
          <w:rStyle w:val="FootnoteReference"/>
        </w:rPr>
        <w:footnoteReference w:id="8"/>
      </w:r>
      <w:r w:rsidR="002A4656" w:rsidRPr="0009282C">
        <w:t xml:space="preserve"> </w:t>
      </w:r>
      <w:r w:rsidR="00FC09CF" w:rsidRPr="0009282C">
        <w:t xml:space="preserve">The ESC </w:t>
      </w:r>
      <w:r w:rsidR="009A64BF" w:rsidRPr="0009282C">
        <w:t>also noted</w:t>
      </w:r>
      <w:r w:rsidR="00FC09CF" w:rsidRPr="0009282C">
        <w:t xml:space="preserve"> tha</w:t>
      </w:r>
      <w:r w:rsidR="000A2403" w:rsidRPr="0009282C">
        <w:t>t the percentage of patients carrying a pyridoxine responsive allele</w:t>
      </w:r>
      <w:r w:rsidR="00EF1F31" w:rsidRPr="0009282C">
        <w:t xml:space="preserve"> was similar across treatment arms</w:t>
      </w:r>
      <w:r w:rsidR="0034721F" w:rsidRPr="0009282C">
        <w:t xml:space="preserve">: </w:t>
      </w:r>
      <w:r w:rsidR="001B3326" w:rsidRPr="0009282C">
        <w:t xml:space="preserve">42% (11/26) of the </w:t>
      </w:r>
      <w:proofErr w:type="spellStart"/>
      <w:r w:rsidR="00656D67" w:rsidRPr="0009282C">
        <w:t>lumasiran</w:t>
      </w:r>
      <w:proofErr w:type="spellEnd"/>
      <w:r w:rsidR="001B3326" w:rsidRPr="0009282C">
        <w:t xml:space="preserve"> arm compared to 46% (6/13) in the placebo arm (p=0.89).</w:t>
      </w:r>
    </w:p>
    <w:p w14:paraId="27A4728D" w14:textId="4D6E56A9" w:rsidR="000812BD" w:rsidRPr="0009282C" w:rsidRDefault="000812BD" w:rsidP="00EC48DC">
      <w:pPr>
        <w:pStyle w:val="3-BodyText"/>
      </w:pPr>
      <w:bookmarkStart w:id="29" w:name="_Ref188258189"/>
      <w:r w:rsidRPr="0009282C">
        <w:t xml:space="preserve">For ILLUMINATE-A, the overall risk of bias as assessed </w:t>
      </w:r>
      <w:r w:rsidR="00BF4A61" w:rsidRPr="0009282C">
        <w:t>during</w:t>
      </w:r>
      <w:r w:rsidRPr="0009282C">
        <w:t xml:space="preserve"> </w:t>
      </w:r>
      <w:r w:rsidR="00A341EE" w:rsidRPr="0009282C">
        <w:t xml:space="preserve">the </w:t>
      </w:r>
      <w:r w:rsidR="00233B27" w:rsidRPr="0009282C">
        <w:t>e</w:t>
      </w:r>
      <w:r w:rsidRPr="0009282C">
        <w:t xml:space="preserve">valuation, was high. A high </w:t>
      </w:r>
      <w:r w:rsidR="0084615E" w:rsidRPr="0009282C">
        <w:t xml:space="preserve">risk of bias </w:t>
      </w:r>
      <w:r w:rsidRPr="0009282C">
        <w:t>was assigned due to</w:t>
      </w:r>
      <w:r w:rsidR="005E5C78" w:rsidRPr="0009282C">
        <w:t xml:space="preserve"> </w:t>
      </w:r>
      <w:r w:rsidRPr="0009282C">
        <w:t xml:space="preserve">issues </w:t>
      </w:r>
      <w:r w:rsidR="00557103" w:rsidRPr="0009282C">
        <w:rPr>
          <w:iCs/>
        </w:rPr>
        <w:t>related to</w:t>
      </w:r>
      <w:r w:rsidR="00557103" w:rsidRPr="0009282C">
        <w:t xml:space="preserve"> </w:t>
      </w:r>
      <w:r w:rsidRPr="0009282C">
        <w:t>the assessment of the plasma oxalate outcomes (percent and absolute)</w:t>
      </w:r>
      <w:r w:rsidR="004E3181" w:rsidRPr="0009282C">
        <w:t xml:space="preserve">. Firstly, </w:t>
      </w:r>
      <w:r w:rsidR="007E4FF7" w:rsidRPr="0009282C">
        <w:t xml:space="preserve">patients </w:t>
      </w:r>
      <w:r w:rsidR="009C01C3" w:rsidRPr="0009282C">
        <w:t>with baseline plasma oxalate levels near the</w:t>
      </w:r>
      <w:r w:rsidR="00285626" w:rsidRPr="0009282C">
        <w:t xml:space="preserve"> lower limit of quantitation (</w:t>
      </w:r>
      <w:r w:rsidR="009C01C3" w:rsidRPr="0009282C">
        <w:t>LLOQ</w:t>
      </w:r>
      <w:r w:rsidR="00285626" w:rsidRPr="0009282C">
        <w:t>)</w:t>
      </w:r>
      <w:r w:rsidR="009C01C3" w:rsidRPr="0009282C">
        <w:t xml:space="preserve"> (i.e., &lt;1.5×LLOQ) were excluded from the analysis. The clinical study report</w:t>
      </w:r>
      <w:r w:rsidR="00B27C5F" w:rsidRPr="0009282C">
        <w:t xml:space="preserve"> (CSR)</w:t>
      </w:r>
      <w:r w:rsidR="009C01C3" w:rsidRPr="0009282C">
        <w:t xml:space="preserve"> states that this was done to ensure that meaningful reductions in plasma oxalate could be evaluated for the study population.</w:t>
      </w:r>
      <w:r w:rsidR="00F267DF" w:rsidRPr="0009282C">
        <w:t xml:space="preserve"> The evaluation also noted </w:t>
      </w:r>
      <w:r w:rsidR="00293EEC" w:rsidRPr="0009282C">
        <w:t xml:space="preserve">missing </w:t>
      </w:r>
      <w:r w:rsidR="00540934" w:rsidRPr="0009282C">
        <w:t xml:space="preserve">outcome </w:t>
      </w:r>
      <w:r w:rsidR="00293EEC" w:rsidRPr="0009282C">
        <w:t xml:space="preserve">data at baseline and </w:t>
      </w:r>
      <w:r w:rsidR="00540934" w:rsidRPr="0009282C">
        <w:t xml:space="preserve">at </w:t>
      </w:r>
      <w:r w:rsidR="00144C25" w:rsidRPr="0009282C">
        <w:t>follow-up</w:t>
      </w:r>
      <w:r w:rsidR="00540934" w:rsidRPr="0009282C">
        <w:t xml:space="preserve"> </w:t>
      </w:r>
      <w:r w:rsidR="00293EEC" w:rsidRPr="0009282C">
        <w:t>timepoints</w:t>
      </w:r>
      <w:r w:rsidRPr="0009282C">
        <w:t>. All other outcomes were assessed as being of some concern due to imbalances in baseline characteristics</w:t>
      </w:r>
      <w:r w:rsidR="00DA7C9D" w:rsidRPr="0009282C">
        <w:t>.</w:t>
      </w:r>
      <w:bookmarkEnd w:id="29"/>
      <w:r w:rsidR="008B40CC" w:rsidRPr="0009282C">
        <w:t xml:space="preserve"> The PSCR argued that missing data for the primary and secondary endpoints were rare, with data for all 39 patients (100%) included in the full analysis set and contributing to the Mixed Model Repeated Measures (MMRM) analyses for the primary endpoint. The PSCR also noted it was necessary for the plasma oxalate endpoints to be analysed using patients with baseline plasma oxalate level </w:t>
      </w:r>
      <w:r w:rsidR="008B40CC" w:rsidRPr="0009282C">
        <w:rPr>
          <w:rFonts w:cstheme="minorHAnsi"/>
        </w:rPr>
        <w:t>≥</w:t>
      </w:r>
      <w:r w:rsidR="008B40CC" w:rsidRPr="0009282C">
        <w:t>1.5x LLOQ to ensure meaningful evaluation without confounding from floor effects.</w:t>
      </w:r>
    </w:p>
    <w:p w14:paraId="7C885A84" w14:textId="07E0F846" w:rsidR="0078710C" w:rsidRPr="0009282C" w:rsidRDefault="00017223" w:rsidP="00EC48DC">
      <w:pPr>
        <w:pStyle w:val="3-BodyText"/>
      </w:pPr>
      <w:bookmarkStart w:id="30" w:name="_Ref188258322"/>
      <w:r w:rsidRPr="0009282C">
        <w:t xml:space="preserve">As assessed during </w:t>
      </w:r>
      <w:r w:rsidR="00B41CC4" w:rsidRPr="0009282C">
        <w:t xml:space="preserve">the </w:t>
      </w:r>
      <w:r w:rsidRPr="0009282C">
        <w:t xml:space="preserve">evaluation, </w:t>
      </w:r>
      <w:r w:rsidR="0078710C" w:rsidRPr="0009282C">
        <w:t>ILLUMINATE-B and -C</w:t>
      </w:r>
      <w:r w:rsidR="00C20B43" w:rsidRPr="0009282C">
        <w:t xml:space="preserve"> </w:t>
      </w:r>
      <w:r w:rsidR="004223A2" w:rsidRPr="0009282C">
        <w:t xml:space="preserve">single arm studies </w:t>
      </w:r>
      <w:r w:rsidRPr="0009282C">
        <w:t>had a</w:t>
      </w:r>
      <w:r w:rsidR="00060E1A" w:rsidRPr="0009282C">
        <w:t xml:space="preserve"> moderate level of bias</w:t>
      </w:r>
      <w:r w:rsidRPr="0009282C">
        <w:t xml:space="preserve">. A moderate level of bias was assigned due to </w:t>
      </w:r>
      <w:r w:rsidR="00145144" w:rsidRPr="0009282C">
        <w:t>the lack of blinding</w:t>
      </w:r>
      <w:r w:rsidR="006838B3" w:rsidRPr="0009282C">
        <w:t>, along with in</w:t>
      </w:r>
      <w:r w:rsidR="005D16D9" w:rsidRPr="0009282C">
        <w:t>sufficient</w:t>
      </w:r>
      <w:r w:rsidR="006838B3" w:rsidRPr="0009282C">
        <w:t xml:space="preserve"> detail</w:t>
      </w:r>
      <w:r w:rsidR="005D16D9" w:rsidRPr="0009282C">
        <w:t>s</w:t>
      </w:r>
      <w:r w:rsidR="006838B3" w:rsidRPr="0009282C">
        <w:t xml:space="preserve"> o</w:t>
      </w:r>
      <w:r w:rsidR="005D16D9" w:rsidRPr="0009282C">
        <w:t>n</w:t>
      </w:r>
      <w:r w:rsidR="006838B3" w:rsidRPr="0009282C">
        <w:t xml:space="preserve"> </w:t>
      </w:r>
      <w:r w:rsidR="00FA1B55" w:rsidRPr="0009282C">
        <w:t xml:space="preserve">co-interventions (i.e. BSC), and </w:t>
      </w:r>
      <w:r w:rsidR="007A78AC" w:rsidRPr="0009282C">
        <w:t>participants entering the stud</w:t>
      </w:r>
      <w:r w:rsidR="0082686F" w:rsidRPr="0009282C">
        <w:t>ies</w:t>
      </w:r>
      <w:r w:rsidR="007A78AC" w:rsidRPr="0009282C">
        <w:t xml:space="preserve"> at different stages of PH1</w:t>
      </w:r>
      <w:r w:rsidR="0082686F" w:rsidRPr="0009282C">
        <w:t xml:space="preserve"> (e.g. those on dialysis vs not on dialysis)</w:t>
      </w:r>
      <w:r w:rsidR="007A78AC" w:rsidRPr="0009282C">
        <w:t>.</w:t>
      </w:r>
      <w:bookmarkEnd w:id="30"/>
    </w:p>
    <w:p w14:paraId="200A0FA1" w14:textId="243405EA" w:rsidR="00FB569B" w:rsidRPr="0009282C" w:rsidRDefault="002F2704" w:rsidP="00EC48DC">
      <w:pPr>
        <w:pStyle w:val="3-BodyText"/>
      </w:pPr>
      <w:r>
        <w:t xml:space="preserve">The long-term treatment effects of </w:t>
      </w:r>
      <w:proofErr w:type="spellStart"/>
      <w:r>
        <w:t>lumasiran</w:t>
      </w:r>
      <w:proofErr w:type="spellEnd"/>
      <w:r>
        <w:t xml:space="preserve"> </w:t>
      </w:r>
      <w:r w:rsidR="00B6748D">
        <w:t>compared to placebo could not be assessed in ILLUMINATE-A, given the</w:t>
      </w:r>
      <w:r w:rsidR="00097C6E">
        <w:t xml:space="preserve"> follow-up for the double-blind period was</w:t>
      </w:r>
      <w:r w:rsidR="00B6748D">
        <w:t xml:space="preserve"> 6 month</w:t>
      </w:r>
      <w:r w:rsidR="00097C6E">
        <w:t>s</w:t>
      </w:r>
      <w:r w:rsidR="00B6748D">
        <w:t>.</w:t>
      </w:r>
      <w:r w:rsidR="00511601" w:rsidRPr="0009282C">
        <w:t xml:space="preserve"> </w:t>
      </w:r>
    </w:p>
    <w:p w14:paraId="61B2AE36" w14:textId="42D28857" w:rsidR="00525B5C" w:rsidRPr="0009282C" w:rsidRDefault="00E76059" w:rsidP="00EC48DC">
      <w:pPr>
        <w:pStyle w:val="3-BodyText"/>
      </w:pPr>
      <w:bookmarkStart w:id="31" w:name="_Ref188258385"/>
      <w:r w:rsidRPr="0009282C">
        <w:t>The submission suggest</w:t>
      </w:r>
      <w:r w:rsidR="00525B5C" w:rsidRPr="0009282C">
        <w:t>ed</w:t>
      </w:r>
      <w:r w:rsidRPr="0009282C">
        <w:t xml:space="preserve"> ILLUMINATE-B and ILLUMINATE-C address</w:t>
      </w:r>
      <w:r w:rsidR="001107EF" w:rsidRPr="0009282C">
        <w:t>ed</w:t>
      </w:r>
      <w:r w:rsidRPr="0009282C">
        <w:t xml:space="preserve"> the applicability of </w:t>
      </w:r>
      <w:proofErr w:type="spellStart"/>
      <w:r w:rsidRPr="0009282C">
        <w:t>lumasiran</w:t>
      </w:r>
      <w:proofErr w:type="spellEnd"/>
      <w:r w:rsidRPr="0009282C">
        <w:t xml:space="preserve"> in patients for whom listing is sought, but who were not included in the pivotal RCT (ILLUMINATE-A). </w:t>
      </w:r>
    </w:p>
    <w:p w14:paraId="4A4FE085" w14:textId="1C5613CC" w:rsidR="00B60939" w:rsidRPr="0009282C" w:rsidRDefault="00B60939" w:rsidP="00E20026">
      <w:pPr>
        <w:pStyle w:val="4-SubsectionHeading"/>
        <w:keepNext w:val="0"/>
        <w:keepLines/>
      </w:pPr>
      <w:bookmarkStart w:id="32" w:name="_Toc22897641"/>
      <w:bookmarkStart w:id="33" w:name="_Toc188443837"/>
      <w:bookmarkEnd w:id="31"/>
      <w:r w:rsidRPr="0009282C">
        <w:t>Comparative effectiveness</w:t>
      </w:r>
      <w:bookmarkEnd w:id="32"/>
      <w:bookmarkEnd w:id="33"/>
    </w:p>
    <w:p w14:paraId="2754527B" w14:textId="03C6C122" w:rsidR="00EE6E91" w:rsidRPr="0009282C" w:rsidRDefault="00EE6E91" w:rsidP="00E20026">
      <w:pPr>
        <w:keepLines/>
        <w:rPr>
          <w:b/>
          <w:bCs/>
        </w:rPr>
      </w:pPr>
      <w:r w:rsidRPr="0009282C">
        <w:rPr>
          <w:b/>
          <w:bCs/>
        </w:rPr>
        <w:t xml:space="preserve">ILLUMINATE-A </w:t>
      </w:r>
      <w:r w:rsidR="00692614" w:rsidRPr="0009282C">
        <w:rPr>
          <w:rFonts w:cstheme="minorHAnsi"/>
          <w:b/>
          <w:bCs/>
        </w:rPr>
        <w:t>—</w:t>
      </w:r>
      <w:r w:rsidR="00A13D16" w:rsidRPr="0009282C">
        <w:rPr>
          <w:b/>
          <w:bCs/>
        </w:rPr>
        <w:t xml:space="preserve"> </w:t>
      </w:r>
      <w:r w:rsidR="004F348B" w:rsidRPr="0009282C">
        <w:rPr>
          <w:rFonts w:cstheme="minorHAnsi"/>
          <w:b/>
          <w:bCs/>
        </w:rPr>
        <w:t>≥</w:t>
      </w:r>
      <w:r w:rsidR="00A13D16" w:rsidRPr="0009282C">
        <w:rPr>
          <w:b/>
          <w:bCs/>
        </w:rPr>
        <w:t>6 years</w:t>
      </w:r>
      <w:r w:rsidR="00446615" w:rsidRPr="0009282C">
        <w:rPr>
          <w:b/>
          <w:bCs/>
        </w:rPr>
        <w:t xml:space="preserve"> of age</w:t>
      </w:r>
      <w:r w:rsidR="00A13D16" w:rsidRPr="0009282C">
        <w:rPr>
          <w:b/>
          <w:bCs/>
        </w:rPr>
        <w:t xml:space="preserve"> </w:t>
      </w:r>
    </w:p>
    <w:p w14:paraId="7DEFC198" w14:textId="501CE004" w:rsidR="00DC1C67" w:rsidRPr="0009282C" w:rsidRDefault="00EE6E91" w:rsidP="00E20026">
      <w:pPr>
        <w:pStyle w:val="3-BodyText"/>
        <w:keepLines/>
      </w:pPr>
      <w:r w:rsidRPr="0009282C">
        <w:t xml:space="preserve">A summary table presenting the clinical results for ILLUMINATE-A for both the double-blind period </w:t>
      </w:r>
      <w:r w:rsidR="00DC1C67" w:rsidRPr="0009282C">
        <w:t xml:space="preserve">(6 months) </w:t>
      </w:r>
      <w:r w:rsidRPr="0009282C">
        <w:t xml:space="preserve">and extension period </w:t>
      </w:r>
      <w:r w:rsidR="00DC1C67" w:rsidRPr="0009282C">
        <w:t xml:space="preserve">(60 months) </w:t>
      </w:r>
      <w:r w:rsidR="00A04571" w:rsidRPr="0009282C">
        <w:t>is</w:t>
      </w:r>
      <w:r w:rsidRPr="0009282C">
        <w:t xml:space="preserve"> provided below.</w:t>
      </w:r>
    </w:p>
    <w:p w14:paraId="685442B7" w14:textId="5F075AD9" w:rsidR="00EE6E91" w:rsidRPr="0009282C" w:rsidRDefault="000D2056" w:rsidP="00E20026">
      <w:pPr>
        <w:pStyle w:val="Caption"/>
      </w:pPr>
      <w:bookmarkStart w:id="34" w:name="_Ref193713028"/>
      <w:r w:rsidRPr="0009282C">
        <w:t xml:space="preserve">Table </w:t>
      </w:r>
      <w:r w:rsidR="000D4330">
        <w:fldChar w:fldCharType="begin" w:fldLock="1"/>
      </w:r>
      <w:r w:rsidR="000D4330">
        <w:instrText xml:space="preserve"> SEQ Table \* ARABIC </w:instrText>
      </w:r>
      <w:r w:rsidR="000D4330">
        <w:fldChar w:fldCharType="separate"/>
      </w:r>
      <w:r w:rsidR="00771DFF">
        <w:rPr>
          <w:noProof/>
        </w:rPr>
        <w:t>4</w:t>
      </w:r>
      <w:r w:rsidR="000D4330">
        <w:rPr>
          <w:noProof/>
        </w:rPr>
        <w:fldChar w:fldCharType="end"/>
      </w:r>
      <w:bookmarkEnd w:id="34"/>
      <w:r w:rsidR="00E54A6C" w:rsidRPr="0009282C">
        <w:t xml:space="preserve">: </w:t>
      </w:r>
      <w:r w:rsidRPr="0009282C">
        <w:t>Primary and secondary outcomes reported in ILLUMINATE-A to 6</w:t>
      </w:r>
      <w:r w:rsidR="00DC1C67" w:rsidRPr="0009282C">
        <w:t xml:space="preserve"> months and 60 months</w:t>
      </w:r>
    </w:p>
    <w:tbl>
      <w:tblPr>
        <w:tblStyle w:val="TableGrid"/>
        <w:tblW w:w="9067" w:type="dxa"/>
        <w:tblLayout w:type="fixed"/>
        <w:tblLook w:val="04A0" w:firstRow="1" w:lastRow="0" w:firstColumn="1" w:lastColumn="0" w:noHBand="0" w:noVBand="1"/>
      </w:tblPr>
      <w:tblGrid>
        <w:gridCol w:w="3397"/>
        <w:gridCol w:w="1985"/>
        <w:gridCol w:w="1843"/>
        <w:gridCol w:w="1842"/>
      </w:tblGrid>
      <w:tr w:rsidR="00EE6E91" w:rsidRPr="0009282C" w14:paraId="5164CB6C" w14:textId="77777777" w:rsidTr="00E20026">
        <w:trPr>
          <w:trHeight w:val="20"/>
        </w:trPr>
        <w:tc>
          <w:tcPr>
            <w:tcW w:w="9067" w:type="dxa"/>
            <w:gridSpan w:val="4"/>
            <w:vAlign w:val="center"/>
          </w:tcPr>
          <w:p w14:paraId="0390499D" w14:textId="77777777" w:rsidR="00EE6E91" w:rsidRPr="0009282C" w:rsidRDefault="00EE6E91" w:rsidP="00E20026">
            <w:pPr>
              <w:pStyle w:val="TableText0"/>
              <w:keepNext/>
              <w:keepLines/>
              <w:rPr>
                <w:rFonts w:eastAsia="MS Gothic" w:cs="Times New Roman"/>
                <w:b/>
                <w:szCs w:val="20"/>
              </w:rPr>
            </w:pPr>
            <w:r w:rsidRPr="0009282C">
              <w:rPr>
                <w:b/>
                <w:szCs w:val="20"/>
              </w:rPr>
              <w:t>ILLUMINATE-A (double-blind period to 6 months)</w:t>
            </w:r>
          </w:p>
        </w:tc>
      </w:tr>
      <w:tr w:rsidR="00B25463" w:rsidRPr="0009282C" w14:paraId="19D30369" w14:textId="77777777" w:rsidTr="00E20026">
        <w:trPr>
          <w:trHeight w:val="20"/>
        </w:trPr>
        <w:tc>
          <w:tcPr>
            <w:tcW w:w="3397" w:type="dxa"/>
            <w:vMerge w:val="restart"/>
            <w:vAlign w:val="center"/>
          </w:tcPr>
          <w:p w14:paraId="22DCE1B3" w14:textId="5B094D7A" w:rsidR="00B25463" w:rsidRPr="0009282C" w:rsidRDefault="00B25463" w:rsidP="00E20026">
            <w:pPr>
              <w:pStyle w:val="TableText0"/>
              <w:keepNext/>
              <w:keepLines/>
              <w:rPr>
                <w:b/>
                <w:szCs w:val="20"/>
              </w:rPr>
            </w:pPr>
            <w:r w:rsidRPr="0009282C">
              <w:rPr>
                <w:b/>
                <w:szCs w:val="20"/>
              </w:rPr>
              <w:t>Outcomes</w:t>
            </w:r>
          </w:p>
        </w:tc>
        <w:tc>
          <w:tcPr>
            <w:tcW w:w="1985" w:type="dxa"/>
            <w:vAlign w:val="center"/>
          </w:tcPr>
          <w:p w14:paraId="0ECB6659" w14:textId="77777777" w:rsidR="00B25463" w:rsidRPr="0009282C" w:rsidRDefault="00B25463" w:rsidP="00E20026">
            <w:pPr>
              <w:pStyle w:val="TableText0"/>
              <w:keepNext/>
              <w:keepLines/>
              <w:jc w:val="center"/>
              <w:rPr>
                <w:rFonts w:eastAsia="MS Gothic" w:cs="Times New Roman"/>
                <w:b/>
                <w:szCs w:val="20"/>
              </w:rPr>
            </w:pPr>
            <w:r w:rsidRPr="0009282C">
              <w:rPr>
                <w:b/>
                <w:szCs w:val="20"/>
              </w:rPr>
              <w:t>Mean change</w:t>
            </w:r>
          </w:p>
        </w:tc>
        <w:tc>
          <w:tcPr>
            <w:tcW w:w="1843" w:type="dxa"/>
            <w:vAlign w:val="center"/>
          </w:tcPr>
          <w:p w14:paraId="2C222166" w14:textId="77777777" w:rsidR="00B25463" w:rsidRPr="0009282C" w:rsidRDefault="00B25463" w:rsidP="00E20026">
            <w:pPr>
              <w:pStyle w:val="TableText0"/>
              <w:keepNext/>
              <w:keepLines/>
              <w:jc w:val="center"/>
              <w:rPr>
                <w:rFonts w:eastAsia="MS Gothic" w:cs="Times New Roman"/>
                <w:b/>
                <w:szCs w:val="20"/>
              </w:rPr>
            </w:pPr>
            <w:r w:rsidRPr="0009282C">
              <w:rPr>
                <w:b/>
                <w:szCs w:val="20"/>
              </w:rPr>
              <w:t>Mean change</w:t>
            </w:r>
          </w:p>
        </w:tc>
        <w:tc>
          <w:tcPr>
            <w:tcW w:w="1842" w:type="dxa"/>
            <w:vMerge w:val="restart"/>
            <w:vAlign w:val="center"/>
          </w:tcPr>
          <w:p w14:paraId="34682152" w14:textId="77777777" w:rsidR="00B25463" w:rsidRPr="0009282C" w:rsidRDefault="00B25463" w:rsidP="00E20026">
            <w:pPr>
              <w:pStyle w:val="TableText0"/>
              <w:keepNext/>
              <w:keepLines/>
              <w:jc w:val="center"/>
              <w:rPr>
                <w:rFonts w:eastAsia="MS Gothic" w:cs="Times New Roman"/>
                <w:b/>
                <w:szCs w:val="20"/>
              </w:rPr>
            </w:pPr>
            <w:r w:rsidRPr="0009282C">
              <w:rPr>
                <w:b/>
                <w:szCs w:val="20"/>
              </w:rPr>
              <w:t>Effect size (95% CI)</w:t>
            </w:r>
          </w:p>
        </w:tc>
      </w:tr>
      <w:tr w:rsidR="00B25463" w:rsidRPr="0009282C" w14:paraId="1471384A" w14:textId="77777777" w:rsidTr="00E20026">
        <w:trPr>
          <w:trHeight w:val="20"/>
        </w:trPr>
        <w:tc>
          <w:tcPr>
            <w:tcW w:w="3397" w:type="dxa"/>
            <w:vMerge/>
            <w:vAlign w:val="center"/>
          </w:tcPr>
          <w:p w14:paraId="4F368499" w14:textId="4181EEA9" w:rsidR="00B25463" w:rsidRPr="0009282C" w:rsidRDefault="00B25463" w:rsidP="00E20026">
            <w:pPr>
              <w:pStyle w:val="TableText0"/>
              <w:keepNext/>
              <w:keepLines/>
              <w:rPr>
                <w:rFonts w:eastAsia="MS Gothic" w:cs="Times New Roman"/>
                <w:b/>
                <w:szCs w:val="20"/>
              </w:rPr>
            </w:pPr>
          </w:p>
        </w:tc>
        <w:tc>
          <w:tcPr>
            <w:tcW w:w="1985" w:type="dxa"/>
            <w:vAlign w:val="center"/>
          </w:tcPr>
          <w:p w14:paraId="7989B6EC" w14:textId="38569FCB" w:rsidR="00B25463" w:rsidRPr="0009282C" w:rsidRDefault="00B25463" w:rsidP="00E20026">
            <w:pPr>
              <w:pStyle w:val="TableText0"/>
              <w:keepNext/>
              <w:keepLines/>
              <w:jc w:val="center"/>
              <w:rPr>
                <w:rFonts w:eastAsia="MS Gothic" w:cs="Times New Roman"/>
                <w:b/>
              </w:rPr>
            </w:pPr>
            <w:proofErr w:type="spellStart"/>
            <w:r w:rsidRPr="0009282C">
              <w:rPr>
                <w:b/>
              </w:rPr>
              <w:t>Lumasiran</w:t>
            </w:r>
            <w:proofErr w:type="spellEnd"/>
            <w:r w:rsidRPr="0009282C">
              <w:rPr>
                <w:b/>
              </w:rPr>
              <w:t xml:space="preserve"> (n=26)</w:t>
            </w:r>
          </w:p>
        </w:tc>
        <w:tc>
          <w:tcPr>
            <w:tcW w:w="1843" w:type="dxa"/>
            <w:vAlign w:val="center"/>
          </w:tcPr>
          <w:p w14:paraId="333B77AB" w14:textId="77777777" w:rsidR="00B25463" w:rsidRPr="0009282C" w:rsidRDefault="00B25463" w:rsidP="00E20026">
            <w:pPr>
              <w:pStyle w:val="TableText0"/>
              <w:keepNext/>
              <w:keepLines/>
              <w:jc w:val="center"/>
              <w:rPr>
                <w:rFonts w:eastAsia="MS Gothic" w:cs="Times New Roman"/>
                <w:b/>
                <w:szCs w:val="20"/>
              </w:rPr>
            </w:pPr>
            <w:r w:rsidRPr="0009282C">
              <w:rPr>
                <w:b/>
                <w:szCs w:val="20"/>
              </w:rPr>
              <w:t>Placebo (n=13)</w:t>
            </w:r>
          </w:p>
        </w:tc>
        <w:tc>
          <w:tcPr>
            <w:tcW w:w="1842" w:type="dxa"/>
            <w:vMerge/>
            <w:vAlign w:val="center"/>
          </w:tcPr>
          <w:p w14:paraId="0B6A9F62" w14:textId="77777777" w:rsidR="00B25463" w:rsidRPr="0009282C" w:rsidRDefault="00B25463" w:rsidP="00E20026">
            <w:pPr>
              <w:pStyle w:val="TableText0"/>
              <w:keepNext/>
              <w:keepLines/>
              <w:jc w:val="center"/>
              <w:rPr>
                <w:b/>
                <w:szCs w:val="20"/>
              </w:rPr>
            </w:pPr>
          </w:p>
        </w:tc>
      </w:tr>
      <w:tr w:rsidR="00EE6E91" w:rsidRPr="0009282C" w14:paraId="6FD99D5C" w14:textId="77777777" w:rsidTr="00E20026">
        <w:trPr>
          <w:trHeight w:val="20"/>
        </w:trPr>
        <w:tc>
          <w:tcPr>
            <w:tcW w:w="3397" w:type="dxa"/>
            <w:vAlign w:val="center"/>
          </w:tcPr>
          <w:p w14:paraId="56891F83" w14:textId="77777777" w:rsidR="00EE6E91" w:rsidRPr="0009282C" w:rsidRDefault="00EE6E91" w:rsidP="00E20026">
            <w:pPr>
              <w:pStyle w:val="TableText0"/>
              <w:keepNext/>
              <w:keepLines/>
              <w:rPr>
                <w:rFonts w:eastAsia="MS Gothic" w:cs="Times New Roman"/>
                <w:szCs w:val="20"/>
              </w:rPr>
            </w:pPr>
            <w:r w:rsidRPr="0009282C">
              <w:rPr>
                <w:szCs w:val="20"/>
              </w:rPr>
              <w:t>Percent change in 24-h urinary oxalate excretion from baseline to Mon</w:t>
            </w:r>
            <w:r w:rsidRPr="0009282C">
              <w:rPr>
                <w:rFonts w:eastAsia="MS Gothic" w:cs="Times New Roman"/>
                <w:szCs w:val="20"/>
              </w:rPr>
              <w:t>th 6, %, LSM</w:t>
            </w:r>
            <w:r w:rsidRPr="0009282C">
              <w:rPr>
                <w:rFonts w:eastAsia="MS Gothic"/>
                <w:szCs w:val="20"/>
              </w:rPr>
              <w:t xml:space="preserve"> (95% CI)</w:t>
            </w:r>
          </w:p>
        </w:tc>
        <w:tc>
          <w:tcPr>
            <w:tcW w:w="1985" w:type="dxa"/>
            <w:vAlign w:val="center"/>
          </w:tcPr>
          <w:p w14:paraId="658ABA02" w14:textId="12B5A431"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65.39</w:t>
            </w:r>
          </w:p>
          <w:p w14:paraId="160EBB44" w14:textId="105D27DC"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71.3, </w:t>
            </w:r>
            <w:r w:rsidR="000004E5" w:rsidRPr="0009282C">
              <w:rPr>
                <w:szCs w:val="20"/>
              </w:rPr>
              <w:t>-</w:t>
            </w:r>
            <w:r w:rsidRPr="0009282C">
              <w:rPr>
                <w:szCs w:val="20"/>
              </w:rPr>
              <w:t>59.5)</w:t>
            </w:r>
          </w:p>
        </w:tc>
        <w:tc>
          <w:tcPr>
            <w:tcW w:w="1843" w:type="dxa"/>
            <w:vAlign w:val="center"/>
          </w:tcPr>
          <w:p w14:paraId="4E32DFB1" w14:textId="60CECDA1"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11.84</w:t>
            </w:r>
          </w:p>
          <w:p w14:paraId="10BC67CA" w14:textId="1A6FCBC1"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19.5, </w:t>
            </w:r>
            <w:r w:rsidR="000004E5" w:rsidRPr="0009282C">
              <w:rPr>
                <w:szCs w:val="20"/>
              </w:rPr>
              <w:t>-</w:t>
            </w:r>
            <w:r w:rsidRPr="0009282C">
              <w:rPr>
                <w:szCs w:val="20"/>
              </w:rPr>
              <w:t>4.1)</w:t>
            </w:r>
          </w:p>
        </w:tc>
        <w:tc>
          <w:tcPr>
            <w:tcW w:w="1842" w:type="dxa"/>
            <w:vAlign w:val="center"/>
          </w:tcPr>
          <w:p w14:paraId="6D44F98F" w14:textId="77777777" w:rsidR="00DE4D92" w:rsidRPr="0009282C" w:rsidRDefault="000004E5" w:rsidP="00E20026">
            <w:pPr>
              <w:pStyle w:val="TableText0"/>
              <w:keepNext/>
              <w:keepLines/>
              <w:jc w:val="center"/>
              <w:rPr>
                <w:b/>
                <w:szCs w:val="20"/>
              </w:rPr>
            </w:pPr>
            <w:r w:rsidRPr="0009282C">
              <w:rPr>
                <w:b/>
                <w:szCs w:val="20"/>
              </w:rPr>
              <w:t>-</w:t>
            </w:r>
            <w:r w:rsidR="00EE6E91" w:rsidRPr="0009282C">
              <w:rPr>
                <w:b/>
                <w:szCs w:val="20"/>
              </w:rPr>
              <w:t xml:space="preserve">53.55 </w:t>
            </w:r>
          </w:p>
          <w:p w14:paraId="26E665BC" w14:textId="13185969" w:rsidR="00EE6E91" w:rsidRPr="0009282C" w:rsidRDefault="00EE6E91" w:rsidP="00E20026">
            <w:pPr>
              <w:pStyle w:val="TableText0"/>
              <w:keepNext/>
              <w:keepLines/>
              <w:jc w:val="center"/>
              <w:rPr>
                <w:rFonts w:eastAsia="MS Gothic" w:cs="Times New Roman"/>
                <w:b/>
              </w:rPr>
            </w:pPr>
            <w:r w:rsidRPr="0009282C">
              <w:rPr>
                <w:b/>
              </w:rPr>
              <w:t>(</w:t>
            </w:r>
            <w:r w:rsidR="000004E5" w:rsidRPr="0009282C">
              <w:rPr>
                <w:b/>
              </w:rPr>
              <w:t>-</w:t>
            </w:r>
            <w:r w:rsidRPr="0009282C">
              <w:rPr>
                <w:b/>
              </w:rPr>
              <w:t xml:space="preserve">62.3, </w:t>
            </w:r>
            <w:r w:rsidR="000004E5" w:rsidRPr="0009282C">
              <w:rPr>
                <w:b/>
              </w:rPr>
              <w:t>-</w:t>
            </w:r>
            <w:r w:rsidRPr="0009282C">
              <w:rPr>
                <w:b/>
              </w:rPr>
              <w:t>44.8)**</w:t>
            </w:r>
          </w:p>
        </w:tc>
      </w:tr>
      <w:tr w:rsidR="00EE6E91" w:rsidRPr="0009282C" w14:paraId="168C288C" w14:textId="77777777" w:rsidTr="00E20026">
        <w:trPr>
          <w:trHeight w:val="20"/>
        </w:trPr>
        <w:tc>
          <w:tcPr>
            <w:tcW w:w="3397" w:type="dxa"/>
            <w:vAlign w:val="center"/>
          </w:tcPr>
          <w:p w14:paraId="0A76B7E1" w14:textId="77777777" w:rsidR="00EE6E91" w:rsidRPr="0009282C" w:rsidRDefault="00EE6E91" w:rsidP="00E20026">
            <w:pPr>
              <w:pStyle w:val="TableText0"/>
              <w:keepNext/>
              <w:keepLines/>
              <w:rPr>
                <w:rFonts w:eastAsia="MS Gothic" w:cs="Times New Roman"/>
                <w:szCs w:val="20"/>
              </w:rPr>
            </w:pPr>
            <w:r w:rsidRPr="0009282C">
              <w:rPr>
                <w:szCs w:val="20"/>
              </w:rPr>
              <w:t>Absolute change in 24-h urinary oxalate from baseline to Month 6, mmol/24</w:t>
            </w:r>
            <w:r w:rsidRPr="0009282C">
              <w:rPr>
                <w:rFonts w:ascii="Arial" w:hAnsi="Arial"/>
                <w:szCs w:val="20"/>
              </w:rPr>
              <w:t> </w:t>
            </w:r>
            <w:r w:rsidRPr="0009282C">
              <w:rPr>
                <w:rFonts w:eastAsia="MS Gothic" w:cs="Times New Roman"/>
                <w:szCs w:val="20"/>
              </w:rPr>
              <w:t>h/ 1.73</w:t>
            </w:r>
            <w:r w:rsidRPr="0009282C">
              <w:rPr>
                <w:rFonts w:ascii="Arial" w:hAnsi="Arial"/>
                <w:szCs w:val="20"/>
              </w:rPr>
              <w:t> </w:t>
            </w:r>
            <w:r w:rsidRPr="0009282C">
              <w:rPr>
                <w:rFonts w:eastAsia="MS Gothic" w:cs="Times New Roman"/>
                <w:szCs w:val="20"/>
              </w:rPr>
              <w:t>m</w:t>
            </w:r>
            <w:r w:rsidRPr="0009282C">
              <w:rPr>
                <w:rFonts w:eastAsia="MS Gothic" w:cs="Times New Roman"/>
                <w:szCs w:val="20"/>
                <w:vertAlign w:val="superscript"/>
              </w:rPr>
              <w:t>2</w:t>
            </w:r>
            <w:r w:rsidRPr="0009282C">
              <w:rPr>
                <w:rFonts w:eastAsia="MS Gothic" w:cs="Times New Roman"/>
                <w:szCs w:val="20"/>
              </w:rPr>
              <w:t>, LSM</w:t>
            </w:r>
            <w:r w:rsidRPr="0009282C">
              <w:rPr>
                <w:rFonts w:eastAsia="MS Gothic"/>
                <w:szCs w:val="20"/>
              </w:rPr>
              <w:t xml:space="preserve"> (95% CI)</w:t>
            </w:r>
          </w:p>
        </w:tc>
        <w:tc>
          <w:tcPr>
            <w:tcW w:w="1985" w:type="dxa"/>
            <w:vAlign w:val="center"/>
          </w:tcPr>
          <w:p w14:paraId="11416BEC" w14:textId="77777777" w:rsidR="00DE4D92" w:rsidRPr="0009282C" w:rsidRDefault="000004E5" w:rsidP="00E20026">
            <w:pPr>
              <w:pStyle w:val="TableText0"/>
              <w:keepNext/>
              <w:keepLines/>
              <w:jc w:val="center"/>
              <w:rPr>
                <w:szCs w:val="20"/>
              </w:rPr>
            </w:pPr>
            <w:r w:rsidRPr="0009282C">
              <w:rPr>
                <w:szCs w:val="20"/>
              </w:rPr>
              <w:t>-</w:t>
            </w:r>
            <w:r w:rsidR="00EE6E91" w:rsidRPr="0009282C">
              <w:rPr>
                <w:szCs w:val="20"/>
              </w:rPr>
              <w:t xml:space="preserve">1.24 </w:t>
            </w:r>
          </w:p>
          <w:p w14:paraId="0778E41F" w14:textId="7852883C"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1.37, </w:t>
            </w:r>
            <w:r w:rsidR="000004E5" w:rsidRPr="0009282C">
              <w:rPr>
                <w:szCs w:val="20"/>
              </w:rPr>
              <w:t>-</w:t>
            </w:r>
            <w:r w:rsidRPr="0009282C">
              <w:rPr>
                <w:szCs w:val="20"/>
              </w:rPr>
              <w:t>1.12)</w:t>
            </w:r>
          </w:p>
        </w:tc>
        <w:tc>
          <w:tcPr>
            <w:tcW w:w="1843" w:type="dxa"/>
            <w:vAlign w:val="center"/>
          </w:tcPr>
          <w:p w14:paraId="43D42146" w14:textId="17D720DC"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0.27</w:t>
            </w:r>
          </w:p>
          <w:p w14:paraId="3C0D541F" w14:textId="2F8B97F9"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0.44, </w:t>
            </w:r>
            <w:r w:rsidR="000004E5" w:rsidRPr="0009282C">
              <w:rPr>
                <w:szCs w:val="20"/>
              </w:rPr>
              <w:t>-</w:t>
            </w:r>
            <w:r w:rsidRPr="0009282C">
              <w:rPr>
                <w:szCs w:val="20"/>
              </w:rPr>
              <w:t>0.10)</w:t>
            </w:r>
          </w:p>
        </w:tc>
        <w:tc>
          <w:tcPr>
            <w:tcW w:w="1842" w:type="dxa"/>
            <w:vAlign w:val="center"/>
          </w:tcPr>
          <w:p w14:paraId="6660ECFF" w14:textId="1952036D" w:rsidR="00EE6E91" w:rsidRPr="0009282C" w:rsidRDefault="000004E5" w:rsidP="00E20026">
            <w:pPr>
              <w:pStyle w:val="TableText0"/>
              <w:keepNext/>
              <w:keepLines/>
              <w:jc w:val="center"/>
              <w:rPr>
                <w:rFonts w:eastAsia="MS Gothic" w:cs="Times New Roman"/>
                <w:b/>
                <w:szCs w:val="20"/>
              </w:rPr>
            </w:pPr>
            <w:r w:rsidRPr="0009282C">
              <w:rPr>
                <w:b/>
                <w:szCs w:val="20"/>
              </w:rPr>
              <w:t>-</w:t>
            </w:r>
            <w:r w:rsidR="00EE6E91" w:rsidRPr="0009282C">
              <w:rPr>
                <w:b/>
                <w:szCs w:val="20"/>
              </w:rPr>
              <w:t>0.98</w:t>
            </w:r>
          </w:p>
          <w:p w14:paraId="2F70D445" w14:textId="285DCBDB" w:rsidR="00EE6E91" w:rsidRPr="0009282C" w:rsidRDefault="00EE6E91" w:rsidP="00E20026">
            <w:pPr>
              <w:pStyle w:val="TableText0"/>
              <w:keepNext/>
              <w:keepLines/>
              <w:jc w:val="center"/>
              <w:rPr>
                <w:rFonts w:eastAsia="MS Gothic" w:cs="Times New Roman"/>
              </w:rPr>
            </w:pPr>
            <w:r w:rsidRPr="0009282C">
              <w:rPr>
                <w:b/>
              </w:rPr>
              <w:t>(</w:t>
            </w:r>
            <w:r w:rsidR="000004E5" w:rsidRPr="0009282C">
              <w:rPr>
                <w:b/>
              </w:rPr>
              <w:t>-</w:t>
            </w:r>
            <w:r w:rsidRPr="0009282C">
              <w:rPr>
                <w:b/>
              </w:rPr>
              <w:t xml:space="preserve">1.18, </w:t>
            </w:r>
            <w:r w:rsidR="000004E5" w:rsidRPr="0009282C">
              <w:rPr>
                <w:b/>
              </w:rPr>
              <w:t>-</w:t>
            </w:r>
            <w:r w:rsidRPr="0009282C">
              <w:rPr>
                <w:b/>
              </w:rPr>
              <w:t>0.77)**</w:t>
            </w:r>
          </w:p>
        </w:tc>
      </w:tr>
      <w:tr w:rsidR="00EE6E91" w:rsidRPr="0009282C" w14:paraId="14D158D8" w14:textId="77777777" w:rsidTr="00E20026">
        <w:trPr>
          <w:trHeight w:val="20"/>
        </w:trPr>
        <w:tc>
          <w:tcPr>
            <w:tcW w:w="3397" w:type="dxa"/>
            <w:vAlign w:val="center"/>
          </w:tcPr>
          <w:p w14:paraId="19FC2F4B" w14:textId="4F3F28C7" w:rsidR="00EE6E91" w:rsidRPr="0009282C" w:rsidRDefault="00EE6E91" w:rsidP="00E20026">
            <w:pPr>
              <w:pStyle w:val="TableText0"/>
              <w:keepNext/>
              <w:keepLines/>
              <w:rPr>
                <w:rFonts w:eastAsia="MS Gothic" w:cs="Times New Roman"/>
              </w:rPr>
            </w:pPr>
            <w:r w:rsidRPr="0009282C">
              <w:t>P</w:t>
            </w:r>
            <w:r w:rsidRPr="0009282C">
              <w:rPr>
                <w:rFonts w:eastAsia="MS Gothic" w:cs="Times New Roman"/>
              </w:rPr>
              <w:t xml:space="preserve">ercent change in 24-h urinary </w:t>
            </w:r>
            <w:proofErr w:type="spellStart"/>
            <w:r w:rsidRPr="0009282C">
              <w:rPr>
                <w:rFonts w:eastAsia="MS Gothic" w:cs="Times New Roman"/>
              </w:rPr>
              <w:t>oxalate:creatinine</w:t>
            </w:r>
            <w:proofErr w:type="spellEnd"/>
            <w:r w:rsidRPr="0009282C">
              <w:rPr>
                <w:rFonts w:eastAsia="MS Gothic" w:cs="Times New Roman"/>
              </w:rPr>
              <w:t xml:space="preserve"> ratio from</w:t>
            </w:r>
            <w:r w:rsidRPr="0009282C">
              <w:br/>
            </w:r>
            <w:r w:rsidRPr="0009282C">
              <w:rPr>
                <w:rFonts w:eastAsia="MS Gothic" w:cs="Times New Roman"/>
              </w:rPr>
              <w:t>baseline to Month 6, %, LSM</w:t>
            </w:r>
            <w:r w:rsidRPr="0009282C">
              <w:rPr>
                <w:rFonts w:eastAsia="MS Gothic"/>
              </w:rPr>
              <w:t xml:space="preserve"> (95% CI)</w:t>
            </w:r>
          </w:p>
        </w:tc>
        <w:tc>
          <w:tcPr>
            <w:tcW w:w="1985" w:type="dxa"/>
            <w:vAlign w:val="center"/>
          </w:tcPr>
          <w:p w14:paraId="7AAF1F11" w14:textId="041AE105"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62.55</w:t>
            </w:r>
          </w:p>
          <w:p w14:paraId="2B47D2AD" w14:textId="5DDD0392"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70.71, </w:t>
            </w:r>
            <w:r w:rsidR="000004E5" w:rsidRPr="0009282C">
              <w:rPr>
                <w:szCs w:val="20"/>
              </w:rPr>
              <w:t>-</w:t>
            </w:r>
            <w:r w:rsidRPr="0009282C">
              <w:rPr>
                <w:szCs w:val="20"/>
              </w:rPr>
              <w:t>54.39)</w:t>
            </w:r>
          </w:p>
        </w:tc>
        <w:tc>
          <w:tcPr>
            <w:tcW w:w="1843" w:type="dxa"/>
            <w:vAlign w:val="center"/>
          </w:tcPr>
          <w:p w14:paraId="7D6A084B" w14:textId="02DEF2B3"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10.78</w:t>
            </w:r>
          </w:p>
          <w:p w14:paraId="67CD1017" w14:textId="3E117DC4"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21.58, 0.03)</w:t>
            </w:r>
          </w:p>
        </w:tc>
        <w:tc>
          <w:tcPr>
            <w:tcW w:w="1842" w:type="dxa"/>
            <w:vAlign w:val="center"/>
          </w:tcPr>
          <w:p w14:paraId="40EF4375" w14:textId="40129FA6" w:rsidR="00EE6E91" w:rsidRPr="0009282C" w:rsidRDefault="000004E5" w:rsidP="00E20026">
            <w:pPr>
              <w:pStyle w:val="TableText0"/>
              <w:keepNext/>
              <w:keepLines/>
              <w:jc w:val="center"/>
              <w:rPr>
                <w:rFonts w:eastAsia="MS Gothic" w:cs="Times New Roman"/>
                <w:b/>
                <w:szCs w:val="20"/>
              </w:rPr>
            </w:pPr>
            <w:r w:rsidRPr="0009282C">
              <w:rPr>
                <w:b/>
                <w:szCs w:val="20"/>
              </w:rPr>
              <w:t>-</w:t>
            </w:r>
            <w:r w:rsidR="00EE6E91" w:rsidRPr="0009282C">
              <w:rPr>
                <w:b/>
                <w:szCs w:val="20"/>
              </w:rPr>
              <w:t>51.77</w:t>
            </w:r>
          </w:p>
          <w:p w14:paraId="35FBB812" w14:textId="101E115B" w:rsidR="00EE6E91" w:rsidRPr="0009282C" w:rsidRDefault="00EE6E91" w:rsidP="00E20026">
            <w:pPr>
              <w:pStyle w:val="TableText0"/>
              <w:keepNext/>
              <w:keepLines/>
              <w:jc w:val="center"/>
              <w:rPr>
                <w:rFonts w:eastAsia="MS Gothic" w:cs="Times New Roman"/>
              </w:rPr>
            </w:pPr>
            <w:r w:rsidRPr="0009282C">
              <w:rPr>
                <w:b/>
              </w:rPr>
              <w:t>(</w:t>
            </w:r>
            <w:r w:rsidR="000004E5" w:rsidRPr="0009282C">
              <w:rPr>
                <w:b/>
              </w:rPr>
              <w:t>-</w:t>
            </w:r>
            <w:r w:rsidRPr="0009282C">
              <w:rPr>
                <w:b/>
              </w:rPr>
              <w:t xml:space="preserve">64.27, </w:t>
            </w:r>
            <w:r w:rsidR="000004E5" w:rsidRPr="0009282C">
              <w:rPr>
                <w:b/>
              </w:rPr>
              <w:t>-</w:t>
            </w:r>
            <w:r w:rsidRPr="0009282C">
              <w:rPr>
                <w:b/>
              </w:rPr>
              <w:t>39.28)**</w:t>
            </w:r>
          </w:p>
        </w:tc>
      </w:tr>
      <w:tr w:rsidR="00EE6E91" w:rsidRPr="0009282C" w14:paraId="3DBE0DEF" w14:textId="77777777" w:rsidTr="00E20026">
        <w:trPr>
          <w:trHeight w:val="20"/>
        </w:trPr>
        <w:tc>
          <w:tcPr>
            <w:tcW w:w="3397" w:type="dxa"/>
            <w:vAlign w:val="center"/>
          </w:tcPr>
          <w:p w14:paraId="3E4A02D4" w14:textId="0D1AF3C3" w:rsidR="00EE6E91" w:rsidRPr="0009282C" w:rsidRDefault="00EE6E91" w:rsidP="00E20026">
            <w:pPr>
              <w:pStyle w:val="TableText0"/>
              <w:keepNext/>
              <w:keepLines/>
              <w:rPr>
                <w:rFonts w:eastAsia="MS Gothic" w:cs="Times New Roman"/>
                <w:szCs w:val="20"/>
              </w:rPr>
            </w:pPr>
            <w:r w:rsidRPr="0009282C">
              <w:rPr>
                <w:szCs w:val="20"/>
              </w:rPr>
              <w:t>Proportion of patients with 24-h urinary oxalate ≤1.5×ULN at Month 6</w:t>
            </w:r>
            <w:r w:rsidRPr="0009282C">
              <w:rPr>
                <w:rFonts w:eastAsia="MS Gothic" w:cs="Times New Roman"/>
                <w:szCs w:val="20"/>
                <w:vertAlign w:val="superscript"/>
              </w:rPr>
              <w:t>a</w:t>
            </w:r>
            <w:r w:rsidRPr="0009282C">
              <w:rPr>
                <w:rFonts w:eastAsia="MS Gothic"/>
                <w:szCs w:val="20"/>
                <w:vertAlign w:val="superscript"/>
              </w:rPr>
              <w:t xml:space="preserve"> </w:t>
            </w:r>
            <w:r w:rsidRPr="0009282C">
              <w:rPr>
                <w:rFonts w:eastAsia="MS Gothic"/>
                <w:szCs w:val="20"/>
              </w:rPr>
              <w:t>(95% CI)</w:t>
            </w:r>
          </w:p>
        </w:tc>
        <w:tc>
          <w:tcPr>
            <w:tcW w:w="1985" w:type="dxa"/>
            <w:vAlign w:val="center"/>
          </w:tcPr>
          <w:p w14:paraId="2CC23181" w14:textId="77777777" w:rsidR="00DE4D92" w:rsidRPr="0009282C" w:rsidRDefault="008258CB" w:rsidP="00E20026">
            <w:pPr>
              <w:pStyle w:val="TableText0"/>
              <w:keepNext/>
              <w:keepLines/>
              <w:jc w:val="center"/>
              <w:rPr>
                <w:rFonts w:eastAsia="MS Gothic" w:cs="Times New Roman"/>
                <w:szCs w:val="20"/>
              </w:rPr>
            </w:pPr>
            <w:r w:rsidRPr="0009282C">
              <w:rPr>
                <w:szCs w:val="20"/>
              </w:rPr>
              <w:t>0.</w:t>
            </w:r>
            <w:r w:rsidR="00EE6E91" w:rsidRPr="0009282C">
              <w:rPr>
                <w:szCs w:val="20"/>
              </w:rPr>
              <w:t>84</w:t>
            </w:r>
            <w:r w:rsidR="00EE6E91" w:rsidRPr="0009282C">
              <w:rPr>
                <w:rFonts w:eastAsia="MS Gothic" w:cs="Times New Roman"/>
                <w:szCs w:val="20"/>
              </w:rPr>
              <w:t xml:space="preserve"> </w:t>
            </w:r>
          </w:p>
          <w:p w14:paraId="385B46DF" w14:textId="1E8699AD" w:rsidR="00EE6E91" w:rsidRPr="0009282C" w:rsidRDefault="00EE6E91" w:rsidP="00E20026">
            <w:pPr>
              <w:pStyle w:val="TableText0"/>
              <w:keepNext/>
              <w:keepLines/>
              <w:jc w:val="center"/>
              <w:rPr>
                <w:rFonts w:eastAsia="MS Gothic" w:cs="Times New Roman"/>
                <w:szCs w:val="20"/>
              </w:rPr>
            </w:pPr>
            <w:r w:rsidRPr="0009282C">
              <w:rPr>
                <w:rFonts w:eastAsia="MS Gothic" w:cs="Times New Roman"/>
                <w:szCs w:val="20"/>
              </w:rPr>
              <w:t>(0.64, 0.95)</w:t>
            </w:r>
          </w:p>
        </w:tc>
        <w:tc>
          <w:tcPr>
            <w:tcW w:w="1843" w:type="dxa"/>
            <w:vAlign w:val="center"/>
          </w:tcPr>
          <w:p w14:paraId="20BABA45" w14:textId="77777777" w:rsidR="00EE6E91" w:rsidRPr="0009282C" w:rsidRDefault="00EE6E91" w:rsidP="00E20026">
            <w:pPr>
              <w:pStyle w:val="TableText0"/>
              <w:keepNext/>
              <w:keepLines/>
              <w:jc w:val="center"/>
              <w:rPr>
                <w:rFonts w:eastAsia="MS Gothic" w:cs="Times New Roman"/>
                <w:szCs w:val="20"/>
              </w:rPr>
            </w:pPr>
            <w:r w:rsidRPr="0009282C">
              <w:rPr>
                <w:szCs w:val="20"/>
              </w:rPr>
              <w:t>0.00</w:t>
            </w:r>
          </w:p>
          <w:p w14:paraId="3688BA11" w14:textId="77777777" w:rsidR="00EE6E91" w:rsidRPr="0009282C" w:rsidRDefault="00EE6E91" w:rsidP="00E20026">
            <w:pPr>
              <w:pStyle w:val="TableText0"/>
              <w:keepNext/>
              <w:keepLines/>
              <w:jc w:val="center"/>
              <w:rPr>
                <w:rFonts w:eastAsia="MS Gothic" w:cs="Times New Roman"/>
                <w:szCs w:val="20"/>
              </w:rPr>
            </w:pPr>
            <w:r w:rsidRPr="0009282C">
              <w:rPr>
                <w:szCs w:val="20"/>
              </w:rPr>
              <w:t>(0.</w:t>
            </w:r>
            <w:r w:rsidRPr="0009282C">
              <w:rPr>
                <w:rFonts w:eastAsia="MS Gothic" w:cs="Times New Roman"/>
                <w:szCs w:val="20"/>
              </w:rPr>
              <w:t>00, 0.25)</w:t>
            </w:r>
          </w:p>
        </w:tc>
        <w:tc>
          <w:tcPr>
            <w:tcW w:w="1842" w:type="dxa"/>
            <w:vAlign w:val="center"/>
          </w:tcPr>
          <w:p w14:paraId="53E13064" w14:textId="77777777" w:rsidR="00A3122C" w:rsidRPr="0009282C" w:rsidRDefault="00EE6E91" w:rsidP="00E20026">
            <w:pPr>
              <w:pStyle w:val="TableText0"/>
              <w:keepNext/>
              <w:keepLines/>
              <w:jc w:val="center"/>
              <w:rPr>
                <w:b/>
                <w:szCs w:val="20"/>
              </w:rPr>
            </w:pPr>
            <w:r w:rsidRPr="0009282C">
              <w:rPr>
                <w:b/>
                <w:szCs w:val="20"/>
              </w:rPr>
              <w:t xml:space="preserve">0.84 </w:t>
            </w:r>
          </w:p>
          <w:p w14:paraId="3656DF37" w14:textId="606E79FD" w:rsidR="00EE6E91" w:rsidRPr="0009282C" w:rsidRDefault="00EE6E91" w:rsidP="00E20026">
            <w:pPr>
              <w:pStyle w:val="TableText0"/>
              <w:keepNext/>
              <w:keepLines/>
              <w:jc w:val="center"/>
              <w:rPr>
                <w:rFonts w:eastAsia="MS Gothic" w:cs="Times New Roman"/>
                <w:b/>
              </w:rPr>
            </w:pPr>
            <w:r w:rsidRPr="0009282C">
              <w:rPr>
                <w:b/>
              </w:rPr>
              <w:t>(0.55, 0.94)**</w:t>
            </w:r>
          </w:p>
        </w:tc>
      </w:tr>
      <w:tr w:rsidR="00EE6E91" w:rsidRPr="0009282C" w14:paraId="0A140D84" w14:textId="77777777" w:rsidTr="00E20026">
        <w:trPr>
          <w:trHeight w:val="20"/>
        </w:trPr>
        <w:tc>
          <w:tcPr>
            <w:tcW w:w="3397" w:type="dxa"/>
            <w:vAlign w:val="center"/>
          </w:tcPr>
          <w:p w14:paraId="3F295235" w14:textId="61C6B3B2" w:rsidR="00EE6E91" w:rsidRPr="0009282C" w:rsidRDefault="00EE6E91" w:rsidP="00E20026">
            <w:pPr>
              <w:pStyle w:val="TableText0"/>
              <w:keepNext/>
              <w:keepLines/>
              <w:rPr>
                <w:rFonts w:eastAsia="MS Gothic" w:cs="Times New Roman"/>
              </w:rPr>
            </w:pPr>
            <w:r w:rsidRPr="0009282C">
              <w:t>Proportion of patients with 24-h urinary oxalate ≤ULN at Month 6</w:t>
            </w:r>
            <w:r w:rsidRPr="0009282C">
              <w:rPr>
                <w:rFonts w:eastAsia="MS Gothic" w:cs="Times New Roman"/>
                <w:vertAlign w:val="superscript"/>
              </w:rPr>
              <w:t>a</w:t>
            </w:r>
            <w:r w:rsidR="001E345C" w:rsidRPr="0009282C">
              <w:rPr>
                <w:rFonts w:eastAsia="MS Gothic" w:cs="Times New Roman"/>
                <w:vertAlign w:val="superscript"/>
              </w:rPr>
              <w:t xml:space="preserve"> </w:t>
            </w:r>
            <w:r w:rsidRPr="0009282C">
              <w:rPr>
                <w:rFonts w:eastAsia="MS Gothic"/>
              </w:rPr>
              <w:t>(95% CI)</w:t>
            </w:r>
          </w:p>
        </w:tc>
        <w:tc>
          <w:tcPr>
            <w:tcW w:w="1985" w:type="dxa"/>
            <w:vAlign w:val="center"/>
          </w:tcPr>
          <w:p w14:paraId="734AF2FE" w14:textId="77777777" w:rsidR="00DE4D92" w:rsidRPr="0009282C" w:rsidRDefault="00EE6E91" w:rsidP="00E20026">
            <w:pPr>
              <w:pStyle w:val="TableText0"/>
              <w:keepNext/>
              <w:keepLines/>
              <w:jc w:val="center"/>
              <w:rPr>
                <w:rFonts w:eastAsia="MS Gothic" w:cs="Times New Roman"/>
                <w:szCs w:val="20"/>
              </w:rPr>
            </w:pPr>
            <w:r w:rsidRPr="0009282C">
              <w:rPr>
                <w:szCs w:val="20"/>
              </w:rPr>
              <w:t>0</w:t>
            </w:r>
            <w:r w:rsidRPr="0009282C">
              <w:rPr>
                <w:rFonts w:eastAsia="MS Gothic"/>
                <w:szCs w:val="20"/>
              </w:rPr>
              <w:t>.</w:t>
            </w:r>
            <w:r w:rsidRPr="0009282C">
              <w:rPr>
                <w:rFonts w:eastAsia="MS Gothic" w:cs="Times New Roman"/>
                <w:szCs w:val="20"/>
              </w:rPr>
              <w:t xml:space="preserve">52 </w:t>
            </w:r>
          </w:p>
          <w:p w14:paraId="2F438090" w14:textId="2FF55F04" w:rsidR="00EE6E91" w:rsidRPr="0009282C" w:rsidRDefault="00EE6E91" w:rsidP="00E20026">
            <w:pPr>
              <w:pStyle w:val="TableText0"/>
              <w:keepNext/>
              <w:keepLines/>
              <w:jc w:val="center"/>
              <w:rPr>
                <w:rFonts w:eastAsia="MS Gothic" w:cs="Times New Roman"/>
                <w:szCs w:val="20"/>
              </w:rPr>
            </w:pPr>
            <w:r w:rsidRPr="0009282C">
              <w:rPr>
                <w:rFonts w:eastAsia="MS Gothic" w:cs="Times New Roman"/>
                <w:szCs w:val="20"/>
              </w:rPr>
              <w:t>(0.31, 0.72)</w:t>
            </w:r>
          </w:p>
        </w:tc>
        <w:tc>
          <w:tcPr>
            <w:tcW w:w="1843" w:type="dxa"/>
            <w:vAlign w:val="center"/>
          </w:tcPr>
          <w:p w14:paraId="09DF25D4" w14:textId="77777777" w:rsidR="00A75E75" w:rsidRPr="0009282C" w:rsidRDefault="00EE6E91" w:rsidP="00E20026">
            <w:pPr>
              <w:pStyle w:val="TableText0"/>
              <w:keepNext/>
              <w:keepLines/>
              <w:jc w:val="center"/>
              <w:rPr>
                <w:szCs w:val="20"/>
              </w:rPr>
            </w:pPr>
            <w:r w:rsidRPr="0009282C">
              <w:rPr>
                <w:szCs w:val="20"/>
              </w:rPr>
              <w:t xml:space="preserve">0.00 </w:t>
            </w:r>
          </w:p>
          <w:p w14:paraId="4BA7EED3" w14:textId="0641156A" w:rsidR="00EE6E91" w:rsidRPr="0009282C" w:rsidRDefault="00EE6E91" w:rsidP="00E20026">
            <w:pPr>
              <w:pStyle w:val="TableText0"/>
              <w:keepNext/>
              <w:keepLines/>
              <w:jc w:val="center"/>
              <w:rPr>
                <w:rFonts w:eastAsia="MS Gothic" w:cs="Times New Roman"/>
                <w:szCs w:val="20"/>
              </w:rPr>
            </w:pPr>
            <w:r w:rsidRPr="0009282C">
              <w:rPr>
                <w:szCs w:val="20"/>
              </w:rPr>
              <w:t>(0.00, 0.25)</w:t>
            </w:r>
          </w:p>
        </w:tc>
        <w:tc>
          <w:tcPr>
            <w:tcW w:w="1842" w:type="dxa"/>
            <w:vAlign w:val="center"/>
          </w:tcPr>
          <w:p w14:paraId="6CA87982" w14:textId="77777777" w:rsidR="00A3122C" w:rsidRPr="0009282C" w:rsidRDefault="00EE6E91" w:rsidP="00E20026">
            <w:pPr>
              <w:pStyle w:val="TableText0"/>
              <w:keepNext/>
              <w:keepLines/>
              <w:jc w:val="center"/>
              <w:rPr>
                <w:b/>
                <w:szCs w:val="20"/>
              </w:rPr>
            </w:pPr>
            <w:r w:rsidRPr="0009282C">
              <w:rPr>
                <w:b/>
                <w:szCs w:val="20"/>
              </w:rPr>
              <w:t xml:space="preserve">0.52 </w:t>
            </w:r>
          </w:p>
          <w:p w14:paraId="0481FEAE" w14:textId="7933448F" w:rsidR="00EE6E91" w:rsidRPr="0009282C" w:rsidRDefault="00EE6E91" w:rsidP="00E20026">
            <w:pPr>
              <w:pStyle w:val="TableText0"/>
              <w:keepNext/>
              <w:keepLines/>
              <w:jc w:val="center"/>
              <w:rPr>
                <w:rFonts w:eastAsia="MS Gothic" w:cs="Times New Roman"/>
                <w:b/>
              </w:rPr>
            </w:pPr>
            <w:r w:rsidRPr="0009282C">
              <w:rPr>
                <w:b/>
              </w:rPr>
              <w:t>(0.23, 0.70)**</w:t>
            </w:r>
          </w:p>
        </w:tc>
      </w:tr>
      <w:tr w:rsidR="00EE6E91" w:rsidRPr="0009282C" w14:paraId="74891EE3" w14:textId="77777777" w:rsidTr="00E20026">
        <w:trPr>
          <w:trHeight w:val="20"/>
        </w:trPr>
        <w:tc>
          <w:tcPr>
            <w:tcW w:w="3397" w:type="dxa"/>
            <w:vAlign w:val="center"/>
          </w:tcPr>
          <w:p w14:paraId="3E572C30" w14:textId="23D82D40" w:rsidR="00EE6E91" w:rsidRPr="0009282C" w:rsidRDefault="00EE6E91" w:rsidP="00E20026">
            <w:pPr>
              <w:pStyle w:val="TableText0"/>
              <w:keepNext/>
              <w:keepLines/>
              <w:rPr>
                <w:rFonts w:eastAsia="MS Gothic" w:cs="Times New Roman"/>
              </w:rPr>
            </w:pPr>
            <w:r w:rsidRPr="0009282C">
              <w:t xml:space="preserve">Percent change in plasma oxalate from baseline to Month 6, %, </w:t>
            </w:r>
            <w:proofErr w:type="spellStart"/>
            <w:r w:rsidRPr="0009282C">
              <w:t>LSM</w:t>
            </w:r>
            <w:r w:rsidRPr="0009282C">
              <w:rPr>
                <w:rFonts w:eastAsia="MS Gothic" w:cs="Times New Roman"/>
                <w:vertAlign w:val="superscript"/>
              </w:rPr>
              <w:t>b</w:t>
            </w:r>
            <w:proofErr w:type="spellEnd"/>
            <w:r w:rsidRPr="0009282C">
              <w:rPr>
                <w:rFonts w:eastAsia="MS Gothic"/>
                <w:vertAlign w:val="superscript"/>
              </w:rPr>
              <w:t xml:space="preserve"> </w:t>
            </w:r>
            <w:r w:rsidRPr="0009282C">
              <w:rPr>
                <w:rFonts w:eastAsia="MS Gothic"/>
              </w:rPr>
              <w:t>(95% CI)</w:t>
            </w:r>
          </w:p>
        </w:tc>
        <w:tc>
          <w:tcPr>
            <w:tcW w:w="1985" w:type="dxa"/>
            <w:vAlign w:val="center"/>
          </w:tcPr>
          <w:p w14:paraId="3146FFDC" w14:textId="750F02A7"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39.80</w:t>
            </w:r>
          </w:p>
          <w:p w14:paraId="0BD26D46" w14:textId="157E9B48"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45.81, </w:t>
            </w:r>
            <w:r w:rsidR="000004E5" w:rsidRPr="0009282C">
              <w:rPr>
                <w:szCs w:val="20"/>
              </w:rPr>
              <w:t>-</w:t>
            </w:r>
            <w:r w:rsidRPr="0009282C">
              <w:rPr>
                <w:szCs w:val="20"/>
              </w:rPr>
              <w:t>33.80)</w:t>
            </w:r>
          </w:p>
        </w:tc>
        <w:tc>
          <w:tcPr>
            <w:tcW w:w="1843" w:type="dxa"/>
            <w:vAlign w:val="center"/>
          </w:tcPr>
          <w:p w14:paraId="22B6BB72" w14:textId="3517E0A4"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0.32</w:t>
            </w:r>
          </w:p>
          <w:p w14:paraId="5741D3E9" w14:textId="7011B1FE"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9.12, 8.48)</w:t>
            </w:r>
          </w:p>
        </w:tc>
        <w:tc>
          <w:tcPr>
            <w:tcW w:w="1842" w:type="dxa"/>
            <w:vAlign w:val="center"/>
          </w:tcPr>
          <w:p w14:paraId="136B8723" w14:textId="71E642E0" w:rsidR="00EE6E91" w:rsidRPr="0009282C" w:rsidRDefault="000004E5" w:rsidP="00E20026">
            <w:pPr>
              <w:pStyle w:val="TableText0"/>
              <w:keepNext/>
              <w:keepLines/>
              <w:jc w:val="center"/>
              <w:rPr>
                <w:rFonts w:eastAsia="MS Gothic" w:cs="Times New Roman"/>
                <w:b/>
                <w:szCs w:val="20"/>
              </w:rPr>
            </w:pPr>
            <w:r w:rsidRPr="0009282C">
              <w:rPr>
                <w:b/>
                <w:szCs w:val="20"/>
              </w:rPr>
              <w:t>-</w:t>
            </w:r>
            <w:r w:rsidR="00EE6E91" w:rsidRPr="0009282C">
              <w:rPr>
                <w:b/>
                <w:szCs w:val="20"/>
              </w:rPr>
              <w:t>39.48</w:t>
            </w:r>
          </w:p>
          <w:p w14:paraId="1F2BF600" w14:textId="059BFC16" w:rsidR="00EE6E91" w:rsidRPr="0009282C" w:rsidRDefault="00EE6E91" w:rsidP="00E20026">
            <w:pPr>
              <w:pStyle w:val="TableText0"/>
              <w:keepNext/>
              <w:keepLines/>
              <w:jc w:val="center"/>
              <w:rPr>
                <w:rFonts w:eastAsia="MS Gothic" w:cs="Times New Roman"/>
                <w:b/>
              </w:rPr>
            </w:pPr>
            <w:r w:rsidRPr="0009282C">
              <w:rPr>
                <w:b/>
              </w:rPr>
              <w:t>(</w:t>
            </w:r>
            <w:r w:rsidR="000004E5" w:rsidRPr="0009282C">
              <w:rPr>
                <w:b/>
              </w:rPr>
              <w:t>-</w:t>
            </w:r>
            <w:r w:rsidRPr="0009282C">
              <w:rPr>
                <w:b/>
              </w:rPr>
              <w:t xml:space="preserve">50.10, </w:t>
            </w:r>
            <w:r w:rsidR="000004E5" w:rsidRPr="0009282C">
              <w:rPr>
                <w:b/>
              </w:rPr>
              <w:t>-</w:t>
            </w:r>
            <w:r w:rsidRPr="0009282C">
              <w:rPr>
                <w:b/>
              </w:rPr>
              <w:t>28.87)**</w:t>
            </w:r>
          </w:p>
        </w:tc>
      </w:tr>
      <w:tr w:rsidR="00EE6E91" w:rsidRPr="0009282C" w14:paraId="66CFD367" w14:textId="77777777" w:rsidTr="00E20026">
        <w:trPr>
          <w:trHeight w:val="20"/>
        </w:trPr>
        <w:tc>
          <w:tcPr>
            <w:tcW w:w="3397" w:type="dxa"/>
            <w:vAlign w:val="center"/>
          </w:tcPr>
          <w:p w14:paraId="4B72CFD8" w14:textId="539C9FAE" w:rsidR="00EE6E91" w:rsidRPr="0009282C" w:rsidRDefault="00EE6E91" w:rsidP="00E20026">
            <w:pPr>
              <w:pStyle w:val="TableText0"/>
              <w:keepNext/>
              <w:keepLines/>
              <w:rPr>
                <w:rFonts w:eastAsia="MS Gothic" w:cs="Times New Roman"/>
              </w:rPr>
            </w:pPr>
            <w:r w:rsidRPr="0009282C">
              <w:t xml:space="preserve">Absolute change in plasma oxalate from baseline to Month 6, </w:t>
            </w:r>
            <w:proofErr w:type="spellStart"/>
            <w:r w:rsidRPr="0009282C">
              <w:t>μmol</w:t>
            </w:r>
            <w:proofErr w:type="spellEnd"/>
            <w:r w:rsidRPr="0009282C">
              <w:t xml:space="preserve">/L, </w:t>
            </w:r>
            <w:proofErr w:type="spellStart"/>
            <w:r w:rsidRPr="0009282C">
              <w:t>LSM</w:t>
            </w:r>
            <w:r w:rsidRPr="0009282C">
              <w:rPr>
                <w:rFonts w:eastAsia="MS Gothic" w:cs="Times New Roman"/>
                <w:vertAlign w:val="superscript"/>
              </w:rPr>
              <w:t>b</w:t>
            </w:r>
            <w:proofErr w:type="spellEnd"/>
            <w:r w:rsidRPr="0009282C">
              <w:rPr>
                <w:rFonts w:eastAsia="MS Gothic" w:cs="Times New Roman"/>
                <w:vertAlign w:val="superscript"/>
              </w:rPr>
              <w:t xml:space="preserve"> </w:t>
            </w:r>
            <w:r w:rsidRPr="0009282C">
              <w:rPr>
                <w:rFonts w:eastAsia="MS Gothic"/>
              </w:rPr>
              <w:t>(95% CI)</w:t>
            </w:r>
          </w:p>
        </w:tc>
        <w:tc>
          <w:tcPr>
            <w:tcW w:w="1985" w:type="dxa"/>
            <w:vAlign w:val="center"/>
          </w:tcPr>
          <w:p w14:paraId="4D575911" w14:textId="77777777" w:rsidR="00DE4D92" w:rsidRPr="0009282C" w:rsidRDefault="000004E5" w:rsidP="00E20026">
            <w:pPr>
              <w:pStyle w:val="TableText0"/>
              <w:keepNext/>
              <w:keepLines/>
              <w:jc w:val="center"/>
              <w:rPr>
                <w:szCs w:val="20"/>
              </w:rPr>
            </w:pPr>
            <w:r w:rsidRPr="0009282C">
              <w:rPr>
                <w:szCs w:val="20"/>
              </w:rPr>
              <w:t>-</w:t>
            </w:r>
            <w:r w:rsidR="00EE6E91" w:rsidRPr="0009282C">
              <w:rPr>
                <w:szCs w:val="20"/>
              </w:rPr>
              <w:t xml:space="preserve">7.46 </w:t>
            </w:r>
          </w:p>
          <w:p w14:paraId="0E9C622B" w14:textId="6686682C"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 xml:space="preserve">9.03, </w:t>
            </w:r>
            <w:r w:rsidR="000004E5" w:rsidRPr="0009282C">
              <w:rPr>
                <w:szCs w:val="20"/>
              </w:rPr>
              <w:t>-</w:t>
            </w:r>
            <w:r w:rsidRPr="0009282C">
              <w:rPr>
                <w:szCs w:val="20"/>
              </w:rPr>
              <w:t>5.90)</w:t>
            </w:r>
          </w:p>
        </w:tc>
        <w:tc>
          <w:tcPr>
            <w:tcW w:w="1843" w:type="dxa"/>
            <w:vAlign w:val="center"/>
          </w:tcPr>
          <w:p w14:paraId="0C3FE13B" w14:textId="77777777" w:rsidR="00DE4D92" w:rsidRPr="0009282C" w:rsidRDefault="00EE6E91" w:rsidP="00E20026">
            <w:pPr>
              <w:pStyle w:val="TableText0"/>
              <w:keepNext/>
              <w:keepLines/>
              <w:jc w:val="center"/>
              <w:rPr>
                <w:szCs w:val="20"/>
              </w:rPr>
            </w:pPr>
            <w:r w:rsidRPr="0009282C">
              <w:rPr>
                <w:szCs w:val="20"/>
              </w:rPr>
              <w:t xml:space="preserve">1.25 </w:t>
            </w:r>
          </w:p>
          <w:p w14:paraId="206ED727" w14:textId="5C92F14C" w:rsidR="00EE6E91" w:rsidRPr="0009282C" w:rsidRDefault="00EE6E91" w:rsidP="00E20026">
            <w:pPr>
              <w:pStyle w:val="TableText0"/>
              <w:keepNext/>
              <w:keepLines/>
              <w:jc w:val="center"/>
              <w:rPr>
                <w:rFonts w:eastAsia="MS Gothic" w:cs="Times New Roman"/>
                <w:szCs w:val="20"/>
              </w:rPr>
            </w:pPr>
            <w:r w:rsidRPr="0009282C">
              <w:rPr>
                <w:szCs w:val="20"/>
              </w:rPr>
              <w:t>(</w:t>
            </w:r>
            <w:r w:rsidR="000004E5" w:rsidRPr="0009282C">
              <w:rPr>
                <w:szCs w:val="20"/>
              </w:rPr>
              <w:t>-</w:t>
            </w:r>
            <w:r w:rsidRPr="0009282C">
              <w:rPr>
                <w:szCs w:val="20"/>
              </w:rPr>
              <w:t>1.04, 3.54)</w:t>
            </w:r>
          </w:p>
        </w:tc>
        <w:tc>
          <w:tcPr>
            <w:tcW w:w="1842" w:type="dxa"/>
            <w:vAlign w:val="center"/>
          </w:tcPr>
          <w:p w14:paraId="4B65A0F4" w14:textId="4157F59E" w:rsidR="00A3122C" w:rsidRPr="0009282C" w:rsidRDefault="000004E5" w:rsidP="00E20026">
            <w:pPr>
              <w:pStyle w:val="TableText0"/>
              <w:keepNext/>
              <w:keepLines/>
              <w:jc w:val="center"/>
              <w:rPr>
                <w:b/>
                <w:szCs w:val="20"/>
              </w:rPr>
            </w:pPr>
            <w:r w:rsidRPr="0009282C">
              <w:rPr>
                <w:b/>
                <w:szCs w:val="20"/>
              </w:rPr>
              <w:t>-</w:t>
            </w:r>
            <w:r w:rsidR="00EE6E91" w:rsidRPr="0009282C">
              <w:rPr>
                <w:b/>
                <w:szCs w:val="20"/>
              </w:rPr>
              <w:t xml:space="preserve">8.71 </w:t>
            </w:r>
          </w:p>
          <w:p w14:paraId="5740AA3D" w14:textId="17F88F6A" w:rsidR="00EE6E91" w:rsidRPr="0009282C" w:rsidRDefault="00EE6E91" w:rsidP="00E20026">
            <w:pPr>
              <w:pStyle w:val="TableText0"/>
              <w:keepNext/>
              <w:keepLines/>
              <w:jc w:val="center"/>
              <w:rPr>
                <w:rFonts w:eastAsia="MS Gothic" w:cs="Times New Roman"/>
                <w:b/>
              </w:rPr>
            </w:pPr>
            <w:r w:rsidRPr="0009282C">
              <w:rPr>
                <w:b/>
              </w:rPr>
              <w:t>(</w:t>
            </w:r>
            <w:r w:rsidR="000004E5" w:rsidRPr="0009282C">
              <w:rPr>
                <w:b/>
              </w:rPr>
              <w:t>-</w:t>
            </w:r>
            <w:r w:rsidRPr="0009282C">
              <w:rPr>
                <w:b/>
              </w:rPr>
              <w:t xml:space="preserve">11.45, </w:t>
            </w:r>
            <w:r w:rsidR="000004E5" w:rsidRPr="0009282C">
              <w:rPr>
                <w:b/>
              </w:rPr>
              <w:t>-</w:t>
            </w:r>
            <w:r w:rsidRPr="0009282C">
              <w:rPr>
                <w:b/>
              </w:rPr>
              <w:t>5.98)**</w:t>
            </w:r>
          </w:p>
        </w:tc>
      </w:tr>
      <w:tr w:rsidR="00EE6E91" w:rsidRPr="0009282C" w14:paraId="40EF6E8E" w14:textId="77777777" w:rsidTr="00E20026">
        <w:trPr>
          <w:trHeight w:val="20"/>
        </w:trPr>
        <w:tc>
          <w:tcPr>
            <w:tcW w:w="9067" w:type="dxa"/>
            <w:gridSpan w:val="4"/>
            <w:vAlign w:val="center"/>
          </w:tcPr>
          <w:p w14:paraId="4DEE102D" w14:textId="77777777" w:rsidR="00EE6E91" w:rsidRPr="0009282C" w:rsidRDefault="00EE6E91" w:rsidP="00E20026">
            <w:pPr>
              <w:pStyle w:val="TableText0"/>
              <w:keepNext/>
              <w:keepLines/>
              <w:rPr>
                <w:rFonts w:eastAsia="MS Gothic" w:cs="Times New Roman"/>
                <w:b/>
                <w:szCs w:val="20"/>
              </w:rPr>
            </w:pPr>
            <w:r w:rsidRPr="0009282C">
              <w:rPr>
                <w:b/>
                <w:szCs w:val="20"/>
              </w:rPr>
              <w:t>ILLUMINATE-A – Extension peri</w:t>
            </w:r>
            <w:r w:rsidRPr="0009282C">
              <w:rPr>
                <w:rFonts w:eastAsia="MS Gothic"/>
                <w:b/>
                <w:szCs w:val="20"/>
              </w:rPr>
              <w:t>od (to 60 months)</w:t>
            </w:r>
          </w:p>
        </w:tc>
      </w:tr>
      <w:tr w:rsidR="00EE6E91" w:rsidRPr="0009282C" w14:paraId="46AF0210" w14:textId="77777777" w:rsidTr="00E20026">
        <w:trPr>
          <w:trHeight w:val="20"/>
        </w:trPr>
        <w:tc>
          <w:tcPr>
            <w:tcW w:w="3397" w:type="dxa"/>
            <w:vAlign w:val="center"/>
          </w:tcPr>
          <w:p w14:paraId="3C71201E" w14:textId="77777777" w:rsidR="00EE6E91" w:rsidRPr="0009282C" w:rsidRDefault="00EE6E91" w:rsidP="00E20026">
            <w:pPr>
              <w:pStyle w:val="TableText0"/>
              <w:keepNext/>
              <w:keepLines/>
              <w:rPr>
                <w:rFonts w:eastAsia="MS Gothic" w:cs="Times New Roman"/>
                <w:b/>
                <w:szCs w:val="20"/>
              </w:rPr>
            </w:pPr>
            <w:r w:rsidRPr="0009282C">
              <w:rPr>
                <w:b/>
                <w:szCs w:val="20"/>
              </w:rPr>
              <w:t>Out</w:t>
            </w:r>
            <w:r w:rsidRPr="0009282C">
              <w:rPr>
                <w:rFonts w:eastAsia="MS Gothic"/>
                <w:b/>
                <w:szCs w:val="20"/>
              </w:rPr>
              <w:t>comes</w:t>
            </w:r>
          </w:p>
        </w:tc>
        <w:tc>
          <w:tcPr>
            <w:tcW w:w="1985" w:type="dxa"/>
            <w:vAlign w:val="center"/>
          </w:tcPr>
          <w:p w14:paraId="5AE9F344" w14:textId="5D68FB95" w:rsidR="00EE6E91" w:rsidRPr="0009282C" w:rsidRDefault="00EE6E91" w:rsidP="00E20026">
            <w:pPr>
              <w:pStyle w:val="TableText0"/>
              <w:keepNext/>
              <w:keepLines/>
              <w:jc w:val="center"/>
              <w:rPr>
                <w:b/>
              </w:rPr>
            </w:pPr>
            <w:proofErr w:type="spellStart"/>
            <w:r w:rsidRPr="0009282C">
              <w:rPr>
                <w:b/>
              </w:rPr>
              <w:t>Lumasiran</w:t>
            </w:r>
            <w:proofErr w:type="spellEnd"/>
            <w:r w:rsidRPr="0009282C">
              <w:rPr>
                <w:b/>
              </w:rPr>
              <w:t>/</w:t>
            </w:r>
            <w:proofErr w:type="spellStart"/>
            <w:r w:rsidRPr="0009282C">
              <w:rPr>
                <w:b/>
              </w:rPr>
              <w:t>lumasiran</w:t>
            </w:r>
            <w:proofErr w:type="spellEnd"/>
          </w:p>
          <w:p w14:paraId="5C2665C5" w14:textId="77777777" w:rsidR="00EE6E91" w:rsidRPr="0009282C" w:rsidRDefault="00EE6E91" w:rsidP="00E20026">
            <w:pPr>
              <w:pStyle w:val="TableText0"/>
              <w:keepNext/>
              <w:keepLines/>
              <w:jc w:val="center"/>
              <w:rPr>
                <w:rFonts w:eastAsia="MS Gothic" w:cs="Times New Roman"/>
                <w:b/>
                <w:szCs w:val="20"/>
              </w:rPr>
            </w:pPr>
            <w:r w:rsidRPr="0009282C">
              <w:rPr>
                <w:b/>
                <w:szCs w:val="20"/>
              </w:rPr>
              <w:t>(n=26)</w:t>
            </w:r>
          </w:p>
        </w:tc>
        <w:tc>
          <w:tcPr>
            <w:tcW w:w="1843" w:type="dxa"/>
            <w:vAlign w:val="center"/>
          </w:tcPr>
          <w:p w14:paraId="481B3040" w14:textId="3FE0B563" w:rsidR="00EE6E91" w:rsidRPr="0009282C" w:rsidRDefault="00EE6E91" w:rsidP="00E20026">
            <w:pPr>
              <w:pStyle w:val="TableText0"/>
              <w:keepNext/>
              <w:keepLines/>
              <w:jc w:val="center"/>
              <w:rPr>
                <w:rFonts w:eastAsia="MS Gothic" w:cs="Times New Roman"/>
                <w:b/>
              </w:rPr>
            </w:pPr>
            <w:r w:rsidRPr="0009282C">
              <w:rPr>
                <w:b/>
              </w:rPr>
              <w:t>Placebo/</w:t>
            </w:r>
            <w:proofErr w:type="spellStart"/>
            <w:r w:rsidRPr="0009282C">
              <w:rPr>
                <w:b/>
              </w:rPr>
              <w:t>lumasiran</w:t>
            </w:r>
            <w:proofErr w:type="spellEnd"/>
            <w:r w:rsidRPr="0009282C">
              <w:rPr>
                <w:b/>
              </w:rPr>
              <w:t xml:space="preserve"> (n=13)</w:t>
            </w:r>
          </w:p>
        </w:tc>
        <w:tc>
          <w:tcPr>
            <w:tcW w:w="1842" w:type="dxa"/>
            <w:vAlign w:val="center"/>
          </w:tcPr>
          <w:p w14:paraId="5616E07D" w14:textId="77777777" w:rsidR="00EE6E91" w:rsidRPr="0009282C" w:rsidRDefault="00EE6E91" w:rsidP="00E20026">
            <w:pPr>
              <w:pStyle w:val="TableText0"/>
              <w:keepNext/>
              <w:keepLines/>
              <w:jc w:val="center"/>
              <w:rPr>
                <w:rFonts w:eastAsia="MS Gothic" w:cs="Times New Roman"/>
                <w:b/>
                <w:szCs w:val="20"/>
              </w:rPr>
            </w:pPr>
            <w:r w:rsidRPr="0009282C">
              <w:rPr>
                <w:b/>
                <w:szCs w:val="20"/>
              </w:rPr>
              <w:t>Effect size (95% CI)</w:t>
            </w:r>
          </w:p>
        </w:tc>
      </w:tr>
      <w:tr w:rsidR="00EE6E91" w:rsidRPr="0009282C" w14:paraId="173EB242" w14:textId="77777777" w:rsidTr="00E20026">
        <w:trPr>
          <w:trHeight w:val="20"/>
        </w:trPr>
        <w:tc>
          <w:tcPr>
            <w:tcW w:w="3397" w:type="dxa"/>
            <w:vAlign w:val="center"/>
          </w:tcPr>
          <w:p w14:paraId="42EEF3CF" w14:textId="6849416B" w:rsidR="00EE6E91" w:rsidRPr="0009282C" w:rsidRDefault="00EE6E91" w:rsidP="00E20026">
            <w:pPr>
              <w:pStyle w:val="TableText0"/>
              <w:keepNext/>
              <w:keepLines/>
              <w:rPr>
                <w:rFonts w:eastAsia="MS Gothic" w:cs="Times New Roman"/>
                <w:szCs w:val="20"/>
              </w:rPr>
            </w:pPr>
            <w:r w:rsidRPr="0009282C">
              <w:rPr>
                <w:szCs w:val="20"/>
              </w:rPr>
              <w:t>Percent change in 24-h urinary oxalate excretion, %</w:t>
            </w:r>
            <w:r w:rsidRPr="0009282C">
              <w:rPr>
                <w:szCs w:val="20"/>
                <w:vertAlign w:val="superscript"/>
              </w:rPr>
              <w:t xml:space="preserve">c </w:t>
            </w:r>
            <w:r w:rsidRPr="0009282C">
              <w:rPr>
                <w:szCs w:val="20"/>
              </w:rPr>
              <w:t>(SEM)</w:t>
            </w:r>
          </w:p>
        </w:tc>
        <w:tc>
          <w:tcPr>
            <w:tcW w:w="1985" w:type="dxa"/>
            <w:vAlign w:val="center"/>
          </w:tcPr>
          <w:p w14:paraId="640C176D" w14:textId="63F278DF"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53.98 (NR)</w:t>
            </w:r>
          </w:p>
        </w:tc>
        <w:tc>
          <w:tcPr>
            <w:tcW w:w="1843" w:type="dxa"/>
            <w:vAlign w:val="center"/>
          </w:tcPr>
          <w:p w14:paraId="3EEB9886" w14:textId="5FC6E970"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55.57 (NR)</w:t>
            </w:r>
          </w:p>
        </w:tc>
        <w:tc>
          <w:tcPr>
            <w:tcW w:w="1842" w:type="dxa"/>
            <w:vAlign w:val="center"/>
          </w:tcPr>
          <w:p w14:paraId="6F47240B" w14:textId="4E6639D8" w:rsidR="00EE6E91" w:rsidRPr="0009282C" w:rsidRDefault="005A5770" w:rsidP="00E20026">
            <w:pPr>
              <w:pStyle w:val="TableText0"/>
              <w:keepNext/>
              <w:keepLines/>
              <w:jc w:val="center"/>
              <w:rPr>
                <w:rFonts w:eastAsia="MS Gothic" w:cs="Times New Roman"/>
                <w:szCs w:val="20"/>
              </w:rPr>
            </w:pPr>
            <w:r w:rsidRPr="0009282C">
              <w:rPr>
                <w:szCs w:val="20"/>
              </w:rPr>
              <w:t>NA</w:t>
            </w:r>
          </w:p>
        </w:tc>
      </w:tr>
      <w:tr w:rsidR="00EE6E91" w:rsidRPr="0009282C" w14:paraId="011EED83" w14:textId="77777777" w:rsidTr="00E20026">
        <w:trPr>
          <w:trHeight w:val="20"/>
        </w:trPr>
        <w:tc>
          <w:tcPr>
            <w:tcW w:w="3397" w:type="dxa"/>
            <w:vAlign w:val="center"/>
          </w:tcPr>
          <w:p w14:paraId="5B4955FB" w14:textId="316F88F6" w:rsidR="00EE6E91" w:rsidRPr="0009282C" w:rsidRDefault="00EE6E91" w:rsidP="00E20026">
            <w:pPr>
              <w:pStyle w:val="TableText0"/>
              <w:keepNext/>
              <w:keepLines/>
              <w:rPr>
                <w:rFonts w:eastAsia="MS Gothic" w:cs="Times New Roman"/>
                <w:szCs w:val="20"/>
              </w:rPr>
            </w:pPr>
            <w:r w:rsidRPr="0009282C">
              <w:rPr>
                <w:szCs w:val="20"/>
              </w:rPr>
              <w:t>Absolute change in 24-h urinary oxalate, mmol/24</w:t>
            </w:r>
            <w:r w:rsidRPr="0009282C">
              <w:rPr>
                <w:rFonts w:ascii="Arial" w:hAnsi="Arial"/>
                <w:szCs w:val="20"/>
              </w:rPr>
              <w:t> </w:t>
            </w:r>
            <w:r w:rsidRPr="0009282C">
              <w:rPr>
                <w:szCs w:val="20"/>
              </w:rPr>
              <w:t>h/1.73</w:t>
            </w:r>
            <w:r w:rsidRPr="0009282C">
              <w:rPr>
                <w:rFonts w:ascii="Arial" w:hAnsi="Arial"/>
                <w:szCs w:val="20"/>
              </w:rPr>
              <w:t> </w:t>
            </w:r>
            <w:r w:rsidRPr="0009282C">
              <w:rPr>
                <w:szCs w:val="20"/>
              </w:rPr>
              <w:t>m</w:t>
            </w:r>
            <w:r w:rsidRPr="0009282C">
              <w:rPr>
                <w:szCs w:val="20"/>
                <w:vertAlign w:val="superscript"/>
              </w:rPr>
              <w:t xml:space="preserve">2c </w:t>
            </w:r>
            <w:r w:rsidRPr="0009282C">
              <w:rPr>
                <w:szCs w:val="20"/>
              </w:rPr>
              <w:t>(SEM)</w:t>
            </w:r>
          </w:p>
        </w:tc>
        <w:tc>
          <w:tcPr>
            <w:tcW w:w="1985" w:type="dxa"/>
            <w:vAlign w:val="center"/>
          </w:tcPr>
          <w:p w14:paraId="27746D61" w14:textId="6D51DFAB" w:rsidR="00EE6E91" w:rsidRPr="0009282C" w:rsidRDefault="000004E5" w:rsidP="00E20026">
            <w:pPr>
              <w:pStyle w:val="TableText0"/>
              <w:keepNext/>
              <w:keepLines/>
              <w:jc w:val="center"/>
              <w:rPr>
                <w:rFonts w:eastAsia="MS Gothic" w:cs="Times New Roman"/>
                <w:szCs w:val="20"/>
              </w:rPr>
            </w:pPr>
            <w:r w:rsidRPr="0009282C">
              <w:rPr>
                <w:rFonts w:cs="Aptos"/>
                <w:szCs w:val="20"/>
              </w:rPr>
              <w:t>-</w:t>
            </w:r>
            <w:r w:rsidR="00EE6E91" w:rsidRPr="0009282C">
              <w:rPr>
                <w:szCs w:val="20"/>
              </w:rPr>
              <w:t>1.13 (0.17)</w:t>
            </w:r>
          </w:p>
        </w:tc>
        <w:tc>
          <w:tcPr>
            <w:tcW w:w="1843" w:type="dxa"/>
            <w:vAlign w:val="center"/>
          </w:tcPr>
          <w:p w14:paraId="3894EAFF" w14:textId="78FE9695" w:rsidR="00EE6E91" w:rsidRPr="0009282C" w:rsidRDefault="000004E5" w:rsidP="00E20026">
            <w:pPr>
              <w:pStyle w:val="TableText0"/>
              <w:keepNext/>
              <w:keepLines/>
              <w:jc w:val="center"/>
              <w:rPr>
                <w:rFonts w:eastAsia="MS Gothic" w:cs="Times New Roman"/>
                <w:szCs w:val="20"/>
              </w:rPr>
            </w:pPr>
            <w:r w:rsidRPr="0009282C">
              <w:rPr>
                <w:rFonts w:cs="Aptos"/>
                <w:szCs w:val="20"/>
              </w:rPr>
              <w:t>-</w:t>
            </w:r>
            <w:r w:rsidR="00EE6E91" w:rsidRPr="0009282C">
              <w:rPr>
                <w:szCs w:val="20"/>
              </w:rPr>
              <w:t>0.95 (0.25)</w:t>
            </w:r>
          </w:p>
        </w:tc>
        <w:tc>
          <w:tcPr>
            <w:tcW w:w="1842" w:type="dxa"/>
            <w:vAlign w:val="center"/>
          </w:tcPr>
          <w:p w14:paraId="4407FA6D" w14:textId="42C5F327" w:rsidR="00EE6E91" w:rsidRPr="0009282C" w:rsidRDefault="005A5770" w:rsidP="00E20026">
            <w:pPr>
              <w:pStyle w:val="TableText0"/>
              <w:keepNext/>
              <w:keepLines/>
              <w:jc w:val="center"/>
              <w:rPr>
                <w:rFonts w:eastAsia="MS Gothic" w:cs="Times New Roman"/>
                <w:szCs w:val="20"/>
              </w:rPr>
            </w:pPr>
            <w:r w:rsidRPr="0009282C">
              <w:rPr>
                <w:szCs w:val="20"/>
              </w:rPr>
              <w:t>NA</w:t>
            </w:r>
          </w:p>
        </w:tc>
      </w:tr>
      <w:tr w:rsidR="00EE6E91" w:rsidRPr="0009282C" w14:paraId="7B3412DB" w14:textId="77777777" w:rsidTr="00E20026">
        <w:trPr>
          <w:trHeight w:val="20"/>
        </w:trPr>
        <w:tc>
          <w:tcPr>
            <w:tcW w:w="3397" w:type="dxa"/>
            <w:vAlign w:val="center"/>
          </w:tcPr>
          <w:p w14:paraId="1A8A59C3" w14:textId="797C71A2" w:rsidR="00EE6E91" w:rsidRPr="0009282C" w:rsidRDefault="00EE6E91" w:rsidP="00E20026">
            <w:pPr>
              <w:pStyle w:val="TableText0"/>
              <w:keepNext/>
              <w:keepLines/>
              <w:rPr>
                <w:rFonts w:eastAsia="MS Gothic" w:cs="Times New Roman"/>
              </w:rPr>
            </w:pPr>
            <w:r w:rsidRPr="0009282C">
              <w:t xml:space="preserve">Percent change in 24-h urinary </w:t>
            </w:r>
            <w:proofErr w:type="spellStart"/>
            <w:r w:rsidRPr="0009282C">
              <w:t>oxalate:creatinine</w:t>
            </w:r>
            <w:proofErr w:type="spellEnd"/>
            <w:r w:rsidRPr="0009282C">
              <w:t xml:space="preserve"> ratio, %, LSM (SEM)</w:t>
            </w:r>
          </w:p>
        </w:tc>
        <w:tc>
          <w:tcPr>
            <w:tcW w:w="1985" w:type="dxa"/>
            <w:vAlign w:val="center"/>
          </w:tcPr>
          <w:p w14:paraId="48A256E5" w14:textId="3AA6BDD6"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55.74 (7.01)</w:t>
            </w:r>
          </w:p>
        </w:tc>
        <w:tc>
          <w:tcPr>
            <w:tcW w:w="1843" w:type="dxa"/>
            <w:vAlign w:val="center"/>
          </w:tcPr>
          <w:p w14:paraId="16EC785B" w14:textId="6C78D652"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57.19 (10.55)</w:t>
            </w:r>
          </w:p>
        </w:tc>
        <w:tc>
          <w:tcPr>
            <w:tcW w:w="1842" w:type="dxa"/>
            <w:vAlign w:val="center"/>
          </w:tcPr>
          <w:p w14:paraId="08D1FF19" w14:textId="3F0DF749" w:rsidR="00EE6E91" w:rsidRPr="0009282C" w:rsidRDefault="005A5770" w:rsidP="00E20026">
            <w:pPr>
              <w:pStyle w:val="TableText0"/>
              <w:keepNext/>
              <w:keepLines/>
              <w:jc w:val="center"/>
              <w:rPr>
                <w:rFonts w:eastAsia="MS Gothic" w:cs="Times New Roman"/>
                <w:szCs w:val="20"/>
              </w:rPr>
            </w:pPr>
            <w:r w:rsidRPr="0009282C">
              <w:rPr>
                <w:szCs w:val="20"/>
              </w:rPr>
              <w:t>NA</w:t>
            </w:r>
          </w:p>
        </w:tc>
      </w:tr>
      <w:tr w:rsidR="00EE6E91" w:rsidRPr="0009282C" w14:paraId="7AD2263D" w14:textId="77777777" w:rsidTr="00E20026">
        <w:trPr>
          <w:trHeight w:val="20"/>
        </w:trPr>
        <w:tc>
          <w:tcPr>
            <w:tcW w:w="3397" w:type="dxa"/>
            <w:vAlign w:val="center"/>
          </w:tcPr>
          <w:p w14:paraId="17C46548" w14:textId="72C2EB5E" w:rsidR="00EE6E91" w:rsidRPr="0009282C" w:rsidRDefault="00EE6E91" w:rsidP="00E20026">
            <w:pPr>
              <w:pStyle w:val="TableText0"/>
              <w:keepNext/>
              <w:keepLines/>
              <w:rPr>
                <w:rFonts w:eastAsia="MS Gothic" w:cs="Times New Roman"/>
                <w:szCs w:val="20"/>
              </w:rPr>
            </w:pPr>
            <w:r w:rsidRPr="0009282C" w:rsidDel="00166C15">
              <w:rPr>
                <w:szCs w:val="20"/>
              </w:rPr>
              <w:t xml:space="preserve">Proportion </w:t>
            </w:r>
            <w:r w:rsidRPr="0009282C">
              <w:rPr>
                <w:szCs w:val="20"/>
              </w:rPr>
              <w:t>of patients with 24-h urinary oxalate ≤1.5×ULN, %</w:t>
            </w:r>
            <w:r w:rsidRPr="0009282C">
              <w:rPr>
                <w:szCs w:val="20"/>
                <w:vertAlign w:val="superscript"/>
              </w:rPr>
              <w:t xml:space="preserve">a </w:t>
            </w:r>
            <w:r w:rsidRPr="0009282C">
              <w:rPr>
                <w:szCs w:val="20"/>
              </w:rPr>
              <w:t>(SEM)</w:t>
            </w:r>
          </w:p>
        </w:tc>
        <w:tc>
          <w:tcPr>
            <w:tcW w:w="1985" w:type="dxa"/>
            <w:vAlign w:val="center"/>
          </w:tcPr>
          <w:p w14:paraId="646E293C" w14:textId="4D4F3704" w:rsidR="00EE6E91" w:rsidRPr="0009282C" w:rsidRDefault="00F548DA" w:rsidP="00E20026">
            <w:pPr>
              <w:pStyle w:val="TableText0"/>
              <w:keepNext/>
              <w:keepLines/>
              <w:jc w:val="center"/>
              <w:rPr>
                <w:rFonts w:eastAsia="MS Gothic" w:cs="Times New Roman"/>
                <w:szCs w:val="20"/>
              </w:rPr>
            </w:pPr>
            <w:r w:rsidRPr="0009282C">
              <w:rPr>
                <w:szCs w:val="20"/>
              </w:rPr>
              <w:t>0.632</w:t>
            </w:r>
            <w:r w:rsidR="00EE6E91" w:rsidRPr="0009282C">
              <w:rPr>
                <w:szCs w:val="20"/>
              </w:rPr>
              <w:t xml:space="preserve"> (NR)</w:t>
            </w:r>
          </w:p>
        </w:tc>
        <w:tc>
          <w:tcPr>
            <w:tcW w:w="1843" w:type="dxa"/>
            <w:vAlign w:val="center"/>
          </w:tcPr>
          <w:p w14:paraId="7130D7D5" w14:textId="26166234" w:rsidR="00EE6E91" w:rsidRPr="0009282C" w:rsidRDefault="00A86017" w:rsidP="00E20026">
            <w:pPr>
              <w:pStyle w:val="TableText0"/>
              <w:keepNext/>
              <w:keepLines/>
              <w:jc w:val="center"/>
              <w:rPr>
                <w:rFonts w:eastAsia="MS Gothic" w:cs="Times New Roman"/>
                <w:szCs w:val="20"/>
              </w:rPr>
            </w:pPr>
            <w:r w:rsidRPr="0009282C">
              <w:rPr>
                <w:szCs w:val="20"/>
              </w:rPr>
              <w:t>0.667</w:t>
            </w:r>
            <w:r w:rsidR="00EE6E91" w:rsidRPr="0009282C">
              <w:rPr>
                <w:szCs w:val="20"/>
              </w:rPr>
              <w:t xml:space="preserve"> (NR)</w:t>
            </w:r>
          </w:p>
        </w:tc>
        <w:tc>
          <w:tcPr>
            <w:tcW w:w="1842" w:type="dxa"/>
            <w:vAlign w:val="center"/>
          </w:tcPr>
          <w:p w14:paraId="79D4FBF0" w14:textId="15D47660" w:rsidR="00EE6E91" w:rsidRPr="0009282C" w:rsidRDefault="005A5770" w:rsidP="00E20026">
            <w:pPr>
              <w:pStyle w:val="TableText0"/>
              <w:keepNext/>
              <w:keepLines/>
              <w:jc w:val="center"/>
              <w:rPr>
                <w:rFonts w:eastAsia="MS Gothic" w:cs="Times New Roman"/>
                <w:szCs w:val="20"/>
              </w:rPr>
            </w:pPr>
            <w:r w:rsidRPr="0009282C">
              <w:rPr>
                <w:szCs w:val="20"/>
              </w:rPr>
              <w:t>NA</w:t>
            </w:r>
          </w:p>
        </w:tc>
      </w:tr>
      <w:tr w:rsidR="00EE6E91" w:rsidRPr="0009282C" w14:paraId="4979FB3B" w14:textId="77777777" w:rsidTr="00E20026">
        <w:trPr>
          <w:trHeight w:val="20"/>
        </w:trPr>
        <w:tc>
          <w:tcPr>
            <w:tcW w:w="3397" w:type="dxa"/>
            <w:vAlign w:val="center"/>
          </w:tcPr>
          <w:p w14:paraId="6B11DC55" w14:textId="271F7E76" w:rsidR="00EE6E91" w:rsidRPr="0009282C" w:rsidRDefault="00EE6E91" w:rsidP="00E20026">
            <w:pPr>
              <w:pStyle w:val="TableText0"/>
              <w:keepNext/>
              <w:keepLines/>
              <w:rPr>
                <w:rFonts w:eastAsia="MS Gothic" w:cs="Times New Roman"/>
              </w:rPr>
            </w:pPr>
            <w:r w:rsidRPr="0009282C">
              <w:t xml:space="preserve">Percent change in plasma oxalate, %, </w:t>
            </w:r>
            <w:proofErr w:type="spellStart"/>
            <w:r w:rsidRPr="0009282C">
              <w:t>LSM</w:t>
            </w:r>
            <w:r w:rsidRPr="0009282C">
              <w:rPr>
                <w:vertAlign w:val="superscript"/>
              </w:rPr>
              <w:t>b</w:t>
            </w:r>
            <w:proofErr w:type="spellEnd"/>
            <w:r w:rsidRPr="0009282C">
              <w:rPr>
                <w:vertAlign w:val="superscript"/>
              </w:rPr>
              <w:t xml:space="preserve"> </w:t>
            </w:r>
            <w:r w:rsidRPr="0009282C">
              <w:t>(SEM)</w:t>
            </w:r>
          </w:p>
        </w:tc>
        <w:tc>
          <w:tcPr>
            <w:tcW w:w="1985" w:type="dxa"/>
            <w:vAlign w:val="center"/>
          </w:tcPr>
          <w:p w14:paraId="273E918E" w14:textId="29CD9C9A"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37.13 (6.19)</w:t>
            </w:r>
          </w:p>
        </w:tc>
        <w:tc>
          <w:tcPr>
            <w:tcW w:w="1843" w:type="dxa"/>
            <w:vAlign w:val="center"/>
          </w:tcPr>
          <w:p w14:paraId="2662C4FC" w14:textId="5D6B0CCC" w:rsidR="00EE6E91" w:rsidRPr="0009282C" w:rsidRDefault="000004E5" w:rsidP="00E20026">
            <w:pPr>
              <w:pStyle w:val="TableText0"/>
              <w:keepNext/>
              <w:keepLines/>
              <w:jc w:val="center"/>
              <w:rPr>
                <w:rFonts w:eastAsia="MS Gothic" w:cs="Times New Roman"/>
              </w:rPr>
            </w:pPr>
            <w:r w:rsidRPr="0009282C">
              <w:t>-</w:t>
            </w:r>
            <w:r w:rsidR="00EE6E91" w:rsidRPr="0009282C">
              <w:t>49.8 (6.40)</w:t>
            </w:r>
            <w:r w:rsidR="00EE6E91" w:rsidRPr="0009282C">
              <w:rPr>
                <w:vertAlign w:val="superscript"/>
              </w:rPr>
              <w:t>c</w:t>
            </w:r>
          </w:p>
        </w:tc>
        <w:tc>
          <w:tcPr>
            <w:tcW w:w="1842" w:type="dxa"/>
            <w:vAlign w:val="center"/>
          </w:tcPr>
          <w:p w14:paraId="362BCD91" w14:textId="12CE05F6" w:rsidR="00EE6E91" w:rsidRPr="0009282C" w:rsidRDefault="005A5770" w:rsidP="00E20026">
            <w:pPr>
              <w:pStyle w:val="TableText0"/>
              <w:keepNext/>
              <w:keepLines/>
              <w:jc w:val="center"/>
              <w:rPr>
                <w:rFonts w:eastAsia="MS Gothic" w:cs="Times New Roman"/>
                <w:szCs w:val="20"/>
              </w:rPr>
            </w:pPr>
            <w:r w:rsidRPr="0009282C">
              <w:rPr>
                <w:szCs w:val="20"/>
              </w:rPr>
              <w:t>NA</w:t>
            </w:r>
          </w:p>
        </w:tc>
      </w:tr>
      <w:tr w:rsidR="00EE6E91" w:rsidRPr="0009282C" w14:paraId="3787A309" w14:textId="77777777" w:rsidTr="00E20026">
        <w:trPr>
          <w:trHeight w:val="20"/>
        </w:trPr>
        <w:tc>
          <w:tcPr>
            <w:tcW w:w="3397" w:type="dxa"/>
            <w:vAlign w:val="center"/>
          </w:tcPr>
          <w:p w14:paraId="67A7F22E" w14:textId="36F8B0A9" w:rsidR="00EE6E91" w:rsidRPr="0009282C" w:rsidRDefault="00EE6E91" w:rsidP="00E20026">
            <w:pPr>
              <w:pStyle w:val="TableText0"/>
              <w:keepNext/>
              <w:keepLines/>
              <w:rPr>
                <w:rFonts w:eastAsia="MS Gothic" w:cs="Times New Roman"/>
              </w:rPr>
            </w:pPr>
            <w:r w:rsidRPr="0009282C">
              <w:t xml:space="preserve">Absolute change in plasma oxalate, </w:t>
            </w:r>
            <w:proofErr w:type="spellStart"/>
            <w:r w:rsidRPr="0009282C">
              <w:t>μmol</w:t>
            </w:r>
            <w:proofErr w:type="spellEnd"/>
            <w:r w:rsidRPr="0009282C">
              <w:t>/L</w:t>
            </w:r>
            <w:r w:rsidRPr="0009282C">
              <w:rPr>
                <w:vertAlign w:val="superscript"/>
              </w:rPr>
              <w:t xml:space="preserve">b </w:t>
            </w:r>
            <w:r w:rsidRPr="0009282C">
              <w:t>(SEM)</w:t>
            </w:r>
          </w:p>
        </w:tc>
        <w:tc>
          <w:tcPr>
            <w:tcW w:w="1985" w:type="dxa"/>
            <w:vAlign w:val="center"/>
          </w:tcPr>
          <w:p w14:paraId="3102B032" w14:textId="6607D0D9"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7.25 (1.73)</w:t>
            </w:r>
          </w:p>
        </w:tc>
        <w:tc>
          <w:tcPr>
            <w:tcW w:w="1843" w:type="dxa"/>
            <w:vAlign w:val="center"/>
          </w:tcPr>
          <w:p w14:paraId="4F2E2DB4" w14:textId="54E40380" w:rsidR="00EE6E91" w:rsidRPr="0009282C" w:rsidRDefault="000004E5" w:rsidP="00E20026">
            <w:pPr>
              <w:pStyle w:val="TableText0"/>
              <w:keepNext/>
              <w:keepLines/>
              <w:jc w:val="center"/>
              <w:rPr>
                <w:rFonts w:eastAsia="MS Gothic" w:cs="Times New Roman"/>
                <w:szCs w:val="20"/>
              </w:rPr>
            </w:pPr>
            <w:r w:rsidRPr="0009282C">
              <w:rPr>
                <w:szCs w:val="20"/>
              </w:rPr>
              <w:t>-</w:t>
            </w:r>
            <w:r w:rsidR="00EE6E91" w:rsidRPr="0009282C">
              <w:rPr>
                <w:szCs w:val="20"/>
              </w:rPr>
              <w:t>9.71</w:t>
            </w:r>
            <w:r w:rsidR="00EE6E91" w:rsidRPr="0009282C">
              <w:rPr>
                <w:rFonts w:ascii="Arial" w:hAnsi="Arial"/>
                <w:szCs w:val="20"/>
              </w:rPr>
              <w:t> </w:t>
            </w:r>
            <w:r w:rsidR="00EE6E91" w:rsidRPr="0009282C">
              <w:rPr>
                <w:szCs w:val="20"/>
              </w:rPr>
              <w:t>(3.06)</w:t>
            </w:r>
          </w:p>
        </w:tc>
        <w:tc>
          <w:tcPr>
            <w:tcW w:w="1842" w:type="dxa"/>
            <w:vAlign w:val="center"/>
          </w:tcPr>
          <w:p w14:paraId="399C2D6E" w14:textId="04C773FB" w:rsidR="00EE6E91" w:rsidRPr="0009282C" w:rsidRDefault="005A5770" w:rsidP="00E20026">
            <w:pPr>
              <w:pStyle w:val="TableText0"/>
              <w:keepNext/>
              <w:keepLines/>
              <w:jc w:val="center"/>
              <w:rPr>
                <w:rFonts w:eastAsia="MS Gothic"/>
                <w:szCs w:val="20"/>
              </w:rPr>
            </w:pPr>
            <w:r w:rsidRPr="0009282C">
              <w:rPr>
                <w:szCs w:val="20"/>
              </w:rPr>
              <w:t>NA</w:t>
            </w:r>
          </w:p>
        </w:tc>
      </w:tr>
    </w:tbl>
    <w:p w14:paraId="7AFA3615" w14:textId="63F3C733" w:rsidR="00EE6E91" w:rsidRPr="0009282C" w:rsidRDefault="00580660" w:rsidP="00E20026">
      <w:pPr>
        <w:pStyle w:val="TableFigureFooter"/>
        <w:keepNext/>
      </w:pPr>
      <w:r w:rsidRPr="0009282C">
        <w:t>Abbreviations:</w:t>
      </w:r>
      <w:r w:rsidR="06604C48" w:rsidRPr="0009282C">
        <w:t xml:space="preserve"> CI, confidence interval; LLOQ, lower limit of quantification; LSM, least squares mean; NA, not applicable; NR, not reported; SEM, standard error of the mean; ULN, upper limit of normal. </w:t>
      </w:r>
    </w:p>
    <w:p w14:paraId="51560E61" w14:textId="0064967A" w:rsidR="00EE6E91" w:rsidRPr="0009282C" w:rsidRDefault="00580660" w:rsidP="00E20026">
      <w:pPr>
        <w:pStyle w:val="TableFigureFooter"/>
        <w:keepNext/>
      </w:pPr>
      <w:r w:rsidRPr="0009282C">
        <w:t>Notes:</w:t>
      </w:r>
      <w:r w:rsidR="00EE6E91" w:rsidRPr="0009282C">
        <w:br/>
      </w:r>
      <w:r w:rsidR="06604C48" w:rsidRPr="0009282C">
        <w:t xml:space="preserve">Patients in the placebo group switched to </w:t>
      </w:r>
      <w:proofErr w:type="spellStart"/>
      <w:r w:rsidR="06604C48" w:rsidRPr="0009282C">
        <w:t>lumasiran</w:t>
      </w:r>
      <w:proofErr w:type="spellEnd"/>
      <w:r w:rsidR="06604C48" w:rsidRPr="0009282C">
        <w:t xml:space="preserve"> after the 6-month double-blind period, with patients in the </w:t>
      </w:r>
      <w:proofErr w:type="spellStart"/>
      <w:r w:rsidR="06604C48" w:rsidRPr="0009282C">
        <w:t>lumasiran</w:t>
      </w:r>
      <w:proofErr w:type="spellEnd"/>
      <w:r w:rsidR="06604C48" w:rsidRPr="0009282C">
        <w:t xml:space="preserve"> group remaining on </w:t>
      </w:r>
      <w:proofErr w:type="spellStart"/>
      <w:r w:rsidR="06604C48" w:rsidRPr="0009282C">
        <w:t>lumasiran</w:t>
      </w:r>
      <w:proofErr w:type="spellEnd"/>
      <w:r w:rsidR="06604C48" w:rsidRPr="0009282C">
        <w:t xml:space="preserve"> for the extension period (54 months).</w:t>
      </w:r>
    </w:p>
    <w:p w14:paraId="1053E2B1" w14:textId="3E8F965A" w:rsidR="00EE6E91" w:rsidRPr="0009282C" w:rsidRDefault="06604C48" w:rsidP="00E20026">
      <w:pPr>
        <w:pStyle w:val="TableFigureFooter"/>
        <w:keepNext/>
      </w:pPr>
      <w:r w:rsidRPr="0009282C">
        <w:t xml:space="preserve">Outcomes for the </w:t>
      </w:r>
      <w:proofErr w:type="spellStart"/>
      <w:r w:rsidRPr="0009282C">
        <w:t>lumasiran</w:t>
      </w:r>
      <w:proofErr w:type="spellEnd"/>
      <w:r w:rsidRPr="0009282C">
        <w:t>/</w:t>
      </w:r>
      <w:proofErr w:type="spellStart"/>
      <w:r w:rsidRPr="0009282C">
        <w:t>lumasiran</w:t>
      </w:r>
      <w:proofErr w:type="spellEnd"/>
      <w:r w:rsidRPr="0009282C">
        <w:t xml:space="preserve"> group is baseline to 60 months, for the placebo/</w:t>
      </w:r>
      <w:proofErr w:type="spellStart"/>
      <w:r w:rsidRPr="0009282C">
        <w:t>lumasiran</w:t>
      </w:r>
      <w:proofErr w:type="spellEnd"/>
      <w:r w:rsidRPr="0009282C">
        <w:t xml:space="preserve"> it is 6 months (first dose of </w:t>
      </w:r>
      <w:proofErr w:type="spellStart"/>
      <w:r w:rsidRPr="0009282C">
        <w:t>lumasiran</w:t>
      </w:r>
      <w:proofErr w:type="spellEnd"/>
      <w:r w:rsidRPr="0009282C">
        <w:t>) to 60 months.</w:t>
      </w:r>
    </w:p>
    <w:p w14:paraId="3FA2167F" w14:textId="77777777" w:rsidR="00EE6E91" w:rsidRPr="0009282C" w:rsidRDefault="06604C48" w:rsidP="00E20026">
      <w:pPr>
        <w:pStyle w:val="TableFigureFooter"/>
        <w:keepNext/>
      </w:pPr>
      <w:r w:rsidRPr="0009282C">
        <w:t xml:space="preserve">** P-value of &lt;0.05 = statistically significant </w:t>
      </w:r>
    </w:p>
    <w:p w14:paraId="4A33DF7D" w14:textId="28B4EB53" w:rsidR="00EE6E91" w:rsidRPr="0009282C" w:rsidRDefault="06604C48" w:rsidP="00E20026">
      <w:pPr>
        <w:pStyle w:val="TableFigureFooter"/>
        <w:keepNext/>
      </w:pPr>
      <w:r w:rsidRPr="0009282C">
        <w:rPr>
          <w:vertAlign w:val="superscript"/>
        </w:rPr>
        <w:t>a</w:t>
      </w:r>
      <w:r w:rsidRPr="0009282C">
        <w:t xml:space="preserve"> ULN=0.514 mmol/24hr/1.73m</w:t>
      </w:r>
      <w:r w:rsidRPr="0009282C">
        <w:rPr>
          <w:vertAlign w:val="superscript"/>
        </w:rPr>
        <w:t>2</w:t>
      </w:r>
      <w:r w:rsidRPr="0009282C">
        <w:t xml:space="preserve"> for 24-hour urinary oxalate corrected for </w:t>
      </w:r>
      <w:r w:rsidR="001E345C" w:rsidRPr="0009282C">
        <w:t>body surface area (</w:t>
      </w:r>
      <w:r w:rsidRPr="0009282C">
        <w:t>BSA</w:t>
      </w:r>
      <w:r w:rsidR="001E345C" w:rsidRPr="0009282C">
        <w:t>)</w:t>
      </w:r>
    </w:p>
    <w:p w14:paraId="7E03B858" w14:textId="3B1C9C76" w:rsidR="00EE6E91" w:rsidRPr="0009282C" w:rsidRDefault="06604C48" w:rsidP="00E20026">
      <w:pPr>
        <w:pStyle w:val="TableFigureFooter"/>
        <w:keepNext/>
      </w:pPr>
      <w:r w:rsidRPr="0009282C">
        <w:rPr>
          <w:vertAlign w:val="superscript"/>
        </w:rPr>
        <w:t>b</w:t>
      </w:r>
      <w:r w:rsidRPr="0009282C">
        <w:t xml:space="preserve"> Plasma oxalate outcomes were analysed in the Plasma Oxalate Analysis Set, defined as those patients who received any amount of study drug and had baseline plasma oxalate level ≥1.5×LLOQ. LLOQ is 5.55 </w:t>
      </w:r>
      <w:proofErr w:type="spellStart"/>
      <w:r w:rsidRPr="0009282C">
        <w:t>μmol</w:t>
      </w:r>
      <w:proofErr w:type="spellEnd"/>
      <w:r w:rsidRPr="0009282C">
        <w:t xml:space="preserve">/L. This included 23 patients in the </w:t>
      </w:r>
      <w:proofErr w:type="spellStart"/>
      <w:r w:rsidRPr="0009282C">
        <w:t>lumasiran</w:t>
      </w:r>
      <w:proofErr w:type="spellEnd"/>
      <w:r w:rsidRPr="0009282C">
        <w:t xml:space="preserve"> arm and 10 patients in the placebo arm.</w:t>
      </w:r>
    </w:p>
    <w:p w14:paraId="7BB756BA" w14:textId="075CC7BD" w:rsidR="00EE6E91" w:rsidRPr="0009282C" w:rsidRDefault="06604C48" w:rsidP="00E20026">
      <w:pPr>
        <w:pStyle w:val="TableFigureFooter"/>
        <w:keepNext/>
      </w:pPr>
      <w:r w:rsidRPr="0009282C">
        <w:rPr>
          <w:vertAlign w:val="superscript"/>
        </w:rPr>
        <w:t>c</w:t>
      </w:r>
      <w:r w:rsidRPr="0009282C">
        <w:t xml:space="preserve"> LSM has not been used </w:t>
      </w:r>
    </w:p>
    <w:p w14:paraId="2237506A" w14:textId="1CFB523D" w:rsidR="00EE6E91" w:rsidRPr="0009282C" w:rsidRDefault="00580660" w:rsidP="00E20026">
      <w:pPr>
        <w:pStyle w:val="TableFigureFooter"/>
      </w:pPr>
      <w:r w:rsidRPr="0009282C">
        <w:t>Source:</w:t>
      </w:r>
      <w:r w:rsidR="00D26833" w:rsidRPr="0009282C">
        <w:t xml:space="preserve"> </w:t>
      </w:r>
      <w:r w:rsidR="009B431E" w:rsidRPr="0009282C">
        <w:t>Section 2.5.1</w:t>
      </w:r>
      <w:r w:rsidR="00C6455D" w:rsidRPr="0009282C">
        <w:t>,</w:t>
      </w:r>
      <w:r w:rsidR="009B431E" w:rsidRPr="0009282C">
        <w:t xml:space="preserve"> p</w:t>
      </w:r>
      <w:r w:rsidR="0000647C" w:rsidRPr="0009282C">
        <w:t>p</w:t>
      </w:r>
      <w:r w:rsidR="009B431E" w:rsidRPr="0009282C">
        <w:t xml:space="preserve">62-77 of the submission, </w:t>
      </w:r>
      <w:r w:rsidR="00D26833" w:rsidRPr="0009282C">
        <w:t xml:space="preserve">ILLUMINATE-A Clinical Study Report 1 </w:t>
      </w:r>
      <w:r w:rsidR="0004102B" w:rsidRPr="0009282C">
        <w:rPr>
          <w:noProof/>
        </w:rPr>
        <w:t>(Alnylam Pharmaceuticals Inc. 2020b)</w:t>
      </w:r>
      <w:r w:rsidR="00971A30" w:rsidRPr="0009282C">
        <w:t xml:space="preserve"> </w:t>
      </w:r>
      <w:r w:rsidR="00D26833" w:rsidRPr="0009282C">
        <w:t>ILLUMINATE-A Clinical Study Report 2</w:t>
      </w:r>
      <w:r w:rsidR="00971A30" w:rsidRPr="0009282C">
        <w:t xml:space="preserve"> </w:t>
      </w:r>
      <w:r w:rsidR="0004102B" w:rsidRPr="0009282C">
        <w:rPr>
          <w:noProof/>
        </w:rPr>
        <w:t>(Alnylam Pharmaceuticals Inc. 2024)</w:t>
      </w:r>
      <w:r w:rsidR="00536C89" w:rsidRPr="0009282C">
        <w:t>.</w:t>
      </w:r>
    </w:p>
    <w:p w14:paraId="694583DF" w14:textId="23BDD04D" w:rsidR="00306A00" w:rsidRPr="0009282C" w:rsidRDefault="00EE6E91" w:rsidP="00EC48DC">
      <w:pPr>
        <w:pStyle w:val="3-BodyText"/>
      </w:pPr>
      <w:r w:rsidRPr="0009282C">
        <w:t xml:space="preserve">The submission </w:t>
      </w:r>
      <w:r w:rsidR="002C7566" w:rsidRPr="0009282C">
        <w:t>reported</w:t>
      </w:r>
      <w:r w:rsidRPr="0009282C">
        <w:t xml:space="preserve"> a statistically significant decrease in 24-hour urinary oxalate in the </w:t>
      </w:r>
      <w:proofErr w:type="spellStart"/>
      <w:r w:rsidRPr="0009282C">
        <w:t>lumasiran</w:t>
      </w:r>
      <w:proofErr w:type="spellEnd"/>
      <w:r w:rsidRPr="0009282C">
        <w:t xml:space="preserve"> group compared to the placebo group (</w:t>
      </w:r>
      <w:r w:rsidR="006C04B2" w:rsidRPr="0009282C">
        <w:t xml:space="preserve">least square mean </w:t>
      </w:r>
      <w:r w:rsidR="0008331B" w:rsidRPr="0009282C">
        <w:t>[</w:t>
      </w:r>
      <w:r w:rsidRPr="0009282C">
        <w:t>LSM</w:t>
      </w:r>
      <w:r w:rsidR="0008331B" w:rsidRPr="0009282C">
        <w:t>]</w:t>
      </w:r>
      <w:r w:rsidRPr="0009282C">
        <w:t xml:space="preserve"> [95%</w:t>
      </w:r>
      <w:r w:rsidR="00555F82" w:rsidRPr="0009282C">
        <w:t xml:space="preserve"> confidence interval</w:t>
      </w:r>
      <w:r w:rsidRPr="0009282C">
        <w:t xml:space="preserve"> </w:t>
      </w:r>
      <w:r w:rsidR="00555F82" w:rsidRPr="0009282C">
        <w:t>[</w:t>
      </w:r>
      <w:r w:rsidRPr="0009282C">
        <w:t>CI</w:t>
      </w:r>
      <w:r w:rsidR="00555F82" w:rsidRPr="0009282C">
        <w:t>]</w:t>
      </w:r>
      <w:r w:rsidRPr="0009282C">
        <w:t>] difference: −53.</w:t>
      </w:r>
      <w:r w:rsidR="00FE6046" w:rsidRPr="0009282C">
        <w:t>6</w:t>
      </w:r>
      <w:r w:rsidRPr="0009282C">
        <w:t>% [−62.3%, −44.8%]; p</w:t>
      </w:r>
      <w:r w:rsidR="00E47CE6" w:rsidRPr="0009282C">
        <w:t>&lt;0.001</w:t>
      </w:r>
      <w:r w:rsidRPr="0009282C">
        <w:t xml:space="preserve">) from baseline to 6 months. Patients who remained </w:t>
      </w:r>
      <w:r w:rsidR="006C04B2" w:rsidRPr="0009282C">
        <w:t xml:space="preserve">on </w:t>
      </w:r>
      <w:proofErr w:type="spellStart"/>
      <w:r w:rsidR="006C04B2" w:rsidRPr="0009282C">
        <w:t>l</w:t>
      </w:r>
      <w:r w:rsidRPr="0009282C">
        <w:t>umasiran</w:t>
      </w:r>
      <w:proofErr w:type="spellEnd"/>
      <w:r w:rsidR="006950E0" w:rsidRPr="0009282C">
        <w:t xml:space="preserve"> (</w:t>
      </w:r>
      <w:proofErr w:type="spellStart"/>
      <w:r w:rsidR="006950E0" w:rsidRPr="0009282C">
        <w:t>lumasiran</w:t>
      </w:r>
      <w:proofErr w:type="spellEnd"/>
      <w:r w:rsidR="006950E0" w:rsidRPr="0009282C">
        <w:t>/</w:t>
      </w:r>
      <w:proofErr w:type="spellStart"/>
      <w:r w:rsidR="006950E0" w:rsidRPr="0009282C">
        <w:t>lumasiran</w:t>
      </w:r>
      <w:proofErr w:type="spellEnd"/>
      <w:r w:rsidR="006950E0" w:rsidRPr="0009282C">
        <w:t>)</w:t>
      </w:r>
      <w:r w:rsidRPr="0009282C">
        <w:t xml:space="preserve"> demonstrated a sustained reduction </w:t>
      </w:r>
      <w:r w:rsidR="006C04B2" w:rsidRPr="0009282C">
        <w:t xml:space="preserve">to </w:t>
      </w:r>
      <w:r w:rsidRPr="0009282C">
        <w:t xml:space="preserve">60 months, while patients switching from placebo to </w:t>
      </w:r>
      <w:proofErr w:type="spellStart"/>
      <w:r w:rsidRPr="0009282C">
        <w:t>lumasiran</w:t>
      </w:r>
      <w:proofErr w:type="spellEnd"/>
      <w:r w:rsidR="006950E0" w:rsidRPr="0009282C">
        <w:t xml:space="preserve"> (placebo/</w:t>
      </w:r>
      <w:proofErr w:type="spellStart"/>
      <w:r w:rsidR="006950E0" w:rsidRPr="0009282C">
        <w:t>lumasiran</w:t>
      </w:r>
      <w:proofErr w:type="spellEnd"/>
      <w:r w:rsidR="006950E0" w:rsidRPr="0009282C">
        <w:t>)</w:t>
      </w:r>
      <w:r w:rsidRPr="0009282C">
        <w:t xml:space="preserve"> achieved a reduction in 24-hour urinary oxalate of 5</w:t>
      </w:r>
      <w:r w:rsidR="00B1149F" w:rsidRPr="0009282C">
        <w:t>5</w:t>
      </w:r>
      <w:r w:rsidR="00C33BAB" w:rsidRPr="0009282C">
        <w:t>.6</w:t>
      </w:r>
      <w:r w:rsidRPr="0009282C">
        <w:t>% after 54 months of treatment. The submission reported a statistically significant reduction in absolute</w:t>
      </w:r>
      <w:r w:rsidR="00E0236B" w:rsidRPr="0009282C">
        <w:t xml:space="preserve"> change in</w:t>
      </w:r>
      <w:r w:rsidRPr="0009282C">
        <w:t xml:space="preserve"> 24-hour urinary oxalate levels between </w:t>
      </w:r>
      <w:proofErr w:type="spellStart"/>
      <w:r w:rsidRPr="0009282C">
        <w:t>lumasiran</w:t>
      </w:r>
      <w:proofErr w:type="spellEnd"/>
      <w:r w:rsidRPr="0009282C">
        <w:t xml:space="preserve"> and placebo from baseline to 6 months (LSM [95% CI] difference: −0.98 [−1.18, −0.77 mmol/24 h/1.73 m</w:t>
      </w:r>
      <w:r w:rsidRPr="0009282C">
        <w:rPr>
          <w:vertAlign w:val="superscript"/>
        </w:rPr>
        <w:t>2</w:t>
      </w:r>
      <w:r w:rsidRPr="0009282C">
        <w:t xml:space="preserve">]; </w:t>
      </w:r>
      <w:r w:rsidR="00AA1444" w:rsidRPr="0009282C">
        <w:t>p&lt;</w:t>
      </w:r>
      <w:r w:rsidR="00417EE0" w:rsidRPr="0009282C">
        <w:t>0</w:t>
      </w:r>
      <w:r w:rsidR="00AA1444" w:rsidRPr="0009282C">
        <w:t>.001</w:t>
      </w:r>
      <w:r w:rsidRPr="0009282C">
        <w:t>). These reductions were sustained through</w:t>
      </w:r>
      <w:r w:rsidR="00D1587E" w:rsidRPr="0009282C">
        <w:t>out</w:t>
      </w:r>
      <w:r w:rsidRPr="0009282C">
        <w:t xml:space="preserve"> the extension period for both </w:t>
      </w:r>
      <w:r w:rsidR="00496D70" w:rsidRPr="0009282C">
        <w:t xml:space="preserve">the </w:t>
      </w:r>
      <w:proofErr w:type="spellStart"/>
      <w:r w:rsidR="00496D70" w:rsidRPr="0009282C">
        <w:t>lumasiran</w:t>
      </w:r>
      <w:proofErr w:type="spellEnd"/>
      <w:r w:rsidR="00496D70" w:rsidRPr="0009282C">
        <w:t>/</w:t>
      </w:r>
      <w:proofErr w:type="spellStart"/>
      <w:r w:rsidR="00496D70" w:rsidRPr="0009282C">
        <w:t>lumasiran</w:t>
      </w:r>
      <w:proofErr w:type="spellEnd"/>
      <w:r w:rsidR="00496D70" w:rsidRPr="0009282C">
        <w:t xml:space="preserve"> and placebo/</w:t>
      </w:r>
      <w:proofErr w:type="spellStart"/>
      <w:r w:rsidR="00496D70" w:rsidRPr="0009282C">
        <w:t>lumasiran</w:t>
      </w:r>
      <w:proofErr w:type="spellEnd"/>
      <w:r w:rsidR="00496D70" w:rsidRPr="0009282C">
        <w:t xml:space="preserve"> treatment groups</w:t>
      </w:r>
      <w:r w:rsidRPr="0009282C">
        <w:t xml:space="preserve">. </w:t>
      </w:r>
      <w:r w:rsidR="00AE6EF5" w:rsidRPr="0009282C">
        <w:rPr>
          <w:iCs/>
        </w:rPr>
        <w:t xml:space="preserve">The submission </w:t>
      </w:r>
      <w:r w:rsidR="00960AFC" w:rsidRPr="0009282C">
        <w:rPr>
          <w:iCs/>
        </w:rPr>
        <w:t xml:space="preserve">considered the </w:t>
      </w:r>
      <w:r w:rsidR="000770D4" w:rsidRPr="0009282C">
        <w:rPr>
          <w:iCs/>
        </w:rPr>
        <w:t xml:space="preserve">percent and absolute reductions in 24-hour urinary oxalate </w:t>
      </w:r>
      <w:r w:rsidR="000170D0" w:rsidRPr="0009282C">
        <w:rPr>
          <w:iCs/>
        </w:rPr>
        <w:t>to be clinically meaningful</w:t>
      </w:r>
      <w:r w:rsidR="00306A00" w:rsidRPr="0009282C">
        <w:rPr>
          <w:iCs/>
        </w:rPr>
        <w:t>.</w:t>
      </w:r>
    </w:p>
    <w:p w14:paraId="3EB64D6E" w14:textId="03D7233D" w:rsidR="00EE6E91" w:rsidRPr="0009282C" w:rsidRDefault="00EE6E91" w:rsidP="00EC48DC">
      <w:pPr>
        <w:pStyle w:val="3-BodyText"/>
      </w:pPr>
      <w:proofErr w:type="spellStart"/>
      <w:r w:rsidRPr="0009282C">
        <w:t>Lumasiran</w:t>
      </w:r>
      <w:proofErr w:type="spellEnd"/>
      <w:r w:rsidRPr="0009282C">
        <w:t xml:space="preserve"> treatment demonstrated a statistically significant reduction </w:t>
      </w:r>
      <w:r w:rsidR="00537E05" w:rsidRPr="0009282C">
        <w:t xml:space="preserve">in </w:t>
      </w:r>
      <w:r w:rsidR="00787153" w:rsidRPr="0009282C">
        <w:t>percent change in</w:t>
      </w:r>
      <w:r w:rsidR="006950E0" w:rsidRPr="0009282C">
        <w:t xml:space="preserve"> 24-hour </w:t>
      </w:r>
      <w:r w:rsidR="003A20FE" w:rsidRPr="0009282C">
        <w:t xml:space="preserve">urinary </w:t>
      </w:r>
      <w:proofErr w:type="spellStart"/>
      <w:r w:rsidR="00AA1444" w:rsidRPr="0009282C">
        <w:t>oxalate:creatinine</w:t>
      </w:r>
      <w:proofErr w:type="spellEnd"/>
      <w:r w:rsidR="00AA1444" w:rsidRPr="0009282C">
        <w:t xml:space="preserve"> (</w:t>
      </w:r>
      <w:r w:rsidRPr="0009282C">
        <w:t>O:C</w:t>
      </w:r>
      <w:r w:rsidR="00AA1444" w:rsidRPr="0009282C">
        <w:t>)</w:t>
      </w:r>
      <w:r w:rsidRPr="0009282C">
        <w:t xml:space="preserve"> ratio compared to placebo from baseline to 6 months (LSM [95% CI] difference: −51.8% [−64.3%, −39.3%]; </w:t>
      </w:r>
      <w:r w:rsidR="00AA1444" w:rsidRPr="0009282C">
        <w:t>p&lt;</w:t>
      </w:r>
      <w:r w:rsidR="00417EE0" w:rsidRPr="0009282C">
        <w:t>0</w:t>
      </w:r>
      <w:r w:rsidR="00AA1444" w:rsidRPr="0009282C">
        <w:t>.001</w:t>
      </w:r>
      <w:r w:rsidRPr="0009282C">
        <w:t xml:space="preserve">). These reductions were maintained in the </w:t>
      </w:r>
      <w:proofErr w:type="spellStart"/>
      <w:r w:rsidRPr="0009282C">
        <w:t>lumasiran</w:t>
      </w:r>
      <w:proofErr w:type="spellEnd"/>
      <w:r w:rsidRPr="0009282C">
        <w:t>/</w:t>
      </w:r>
      <w:proofErr w:type="spellStart"/>
      <w:r w:rsidRPr="0009282C">
        <w:t>lumasiran</w:t>
      </w:r>
      <w:proofErr w:type="spellEnd"/>
      <w:r w:rsidRPr="0009282C">
        <w:t xml:space="preserve"> group (LSM [</w:t>
      </w:r>
      <w:r w:rsidR="00187B19" w:rsidRPr="0009282C">
        <w:t xml:space="preserve">standard error of the mean; </w:t>
      </w:r>
      <w:r w:rsidRPr="0009282C">
        <w:t>SEM] percent change: −55.7% [7.0%]) and crossover patients in the placebo/</w:t>
      </w:r>
      <w:proofErr w:type="spellStart"/>
      <w:r w:rsidRPr="0009282C">
        <w:t>lumasiran</w:t>
      </w:r>
      <w:proofErr w:type="spellEnd"/>
      <w:r w:rsidRPr="0009282C">
        <w:t xml:space="preserve"> group (LSM [SEM] percent change: −57.</w:t>
      </w:r>
      <w:r w:rsidR="0006351F" w:rsidRPr="0009282C">
        <w:t>2</w:t>
      </w:r>
      <w:r w:rsidRPr="0009282C">
        <w:t>% [10.</w:t>
      </w:r>
      <w:r w:rsidR="0006351F" w:rsidRPr="0009282C">
        <w:t>6</w:t>
      </w:r>
      <w:r w:rsidRPr="0009282C">
        <w:t>%]) exhibited sustained decreases in 24-h</w:t>
      </w:r>
      <w:r w:rsidR="00A012D9" w:rsidRPr="0009282C">
        <w:t>our</w:t>
      </w:r>
      <w:r w:rsidRPr="0009282C">
        <w:t xml:space="preserve"> urinary O:C ratio at 60 months. </w:t>
      </w:r>
      <w:r w:rsidR="00427663" w:rsidRPr="0009282C">
        <w:rPr>
          <w:iCs/>
        </w:rPr>
        <w:t xml:space="preserve">The submission considered </w:t>
      </w:r>
      <w:r w:rsidR="005B7033" w:rsidRPr="0009282C">
        <w:rPr>
          <w:iCs/>
        </w:rPr>
        <w:t>the reduction in urinary O:C ratio from baseline to 6 months</w:t>
      </w:r>
      <w:r w:rsidR="00427663" w:rsidRPr="0009282C">
        <w:rPr>
          <w:iCs/>
        </w:rPr>
        <w:t xml:space="preserve"> to be clinically meaningful.</w:t>
      </w:r>
    </w:p>
    <w:p w14:paraId="72C542E2" w14:textId="27D39CF7" w:rsidR="00EE6E91" w:rsidRPr="0009282C" w:rsidRDefault="00EE6E91" w:rsidP="00EC48DC">
      <w:pPr>
        <w:pStyle w:val="3-BodyText"/>
      </w:pPr>
      <w:r w:rsidRPr="0009282C">
        <w:t xml:space="preserve">A higher proportion of patients in the </w:t>
      </w:r>
      <w:proofErr w:type="spellStart"/>
      <w:r w:rsidR="001F5442" w:rsidRPr="0009282C">
        <w:t>l</w:t>
      </w:r>
      <w:r w:rsidRPr="0009282C">
        <w:t>umasiran</w:t>
      </w:r>
      <w:proofErr w:type="spellEnd"/>
      <w:r w:rsidRPr="0009282C">
        <w:t xml:space="preserve"> group achieved oxalate level normalisation (≤ULN) or near-normalisation (≤1.5xULN) from baseline to 6 months, with no patients in the placebo group achieving </w:t>
      </w:r>
      <w:r w:rsidR="001F5442" w:rsidRPr="0009282C">
        <w:t>either</w:t>
      </w:r>
      <w:r w:rsidRPr="0009282C">
        <w:t xml:space="preserve">. These findings were statistically </w:t>
      </w:r>
      <w:r w:rsidR="003C6E2B" w:rsidRPr="0009282C">
        <w:t>significant,</w:t>
      </w:r>
      <w:r w:rsidRPr="0009282C">
        <w:t xml:space="preserve"> and </w:t>
      </w:r>
      <w:r w:rsidR="00634D57" w:rsidRPr="0009282C">
        <w:rPr>
          <w:iCs/>
        </w:rPr>
        <w:t xml:space="preserve">the submission considered </w:t>
      </w:r>
      <w:r w:rsidR="00E07604" w:rsidRPr="0009282C">
        <w:rPr>
          <w:iCs/>
        </w:rPr>
        <w:t>the oxalate level normalisation or near-normalisation</w:t>
      </w:r>
      <w:r w:rsidR="00634D57" w:rsidRPr="0009282C">
        <w:rPr>
          <w:iCs/>
        </w:rPr>
        <w:t xml:space="preserve"> to be clinically meaningful</w:t>
      </w:r>
      <w:r w:rsidR="003C6E2B" w:rsidRPr="0009282C">
        <w:rPr>
          <w:iCs/>
        </w:rPr>
        <w:t xml:space="preserve"> from baseline to 6 months</w:t>
      </w:r>
      <w:r w:rsidRPr="0009282C">
        <w:rPr>
          <w:iCs/>
        </w:rPr>
        <w:t>.</w:t>
      </w:r>
      <w:r w:rsidR="00715078" w:rsidRPr="0009282C">
        <w:rPr>
          <w:iCs/>
        </w:rPr>
        <w:t xml:space="preserve"> </w:t>
      </w:r>
      <w:r w:rsidR="00446EE5" w:rsidRPr="0009282C">
        <w:t>In the extension period, these levels</w:t>
      </w:r>
      <w:r w:rsidRPr="0009282C">
        <w:t xml:space="preserve"> remained stable in the </w:t>
      </w:r>
      <w:proofErr w:type="spellStart"/>
      <w:r w:rsidR="00446EE5" w:rsidRPr="0009282C">
        <w:t>l</w:t>
      </w:r>
      <w:r w:rsidRPr="0009282C">
        <w:t>umasiran</w:t>
      </w:r>
      <w:proofErr w:type="spellEnd"/>
      <w:r w:rsidRPr="0009282C">
        <w:t>/</w:t>
      </w:r>
      <w:proofErr w:type="spellStart"/>
      <w:r w:rsidR="00446EE5" w:rsidRPr="0009282C">
        <w:t>l</w:t>
      </w:r>
      <w:r w:rsidRPr="0009282C">
        <w:t>umasiran</w:t>
      </w:r>
      <w:proofErr w:type="spellEnd"/>
      <w:r w:rsidRPr="0009282C">
        <w:t xml:space="preserve"> group</w:t>
      </w:r>
      <w:r w:rsidR="00446EE5" w:rsidRPr="0009282C">
        <w:t>.</w:t>
      </w:r>
      <w:r w:rsidRPr="0009282C">
        <w:t xml:space="preserve"> In patients who crossed over to placebo/</w:t>
      </w:r>
      <w:proofErr w:type="spellStart"/>
      <w:r w:rsidRPr="0009282C">
        <w:t>lumasiran</w:t>
      </w:r>
      <w:proofErr w:type="spellEnd"/>
      <w:r w:rsidRPr="0009282C">
        <w:t>, 66.7% achieved normalisation or near-normalisation at 60 months (compared to 0% prior to crossover).</w:t>
      </w:r>
      <w:r w:rsidR="00427663" w:rsidRPr="0009282C">
        <w:t xml:space="preserve"> </w:t>
      </w:r>
    </w:p>
    <w:p w14:paraId="6B2CCDFE" w14:textId="1CFF5D73" w:rsidR="005571E4" w:rsidRPr="0009282C" w:rsidRDefault="00427663" w:rsidP="00EC48DC">
      <w:pPr>
        <w:pStyle w:val="3-BodyText"/>
      </w:pPr>
      <w:bookmarkStart w:id="35" w:name="_Ref188258342"/>
      <w:r w:rsidRPr="0009282C">
        <w:t>For the urinary oxalate outcomes presented in ILLUMINATE-A</w:t>
      </w:r>
      <w:r w:rsidR="00444188" w:rsidRPr="0009282C">
        <w:t xml:space="preserve"> the submission considered the findings to be clinically meaningful</w:t>
      </w:r>
      <w:r w:rsidR="001E7E73" w:rsidRPr="0009282C">
        <w:t xml:space="preserve"> </w:t>
      </w:r>
      <w:r w:rsidR="0054130C" w:rsidRPr="0009282C">
        <w:rPr>
          <w:iCs/>
        </w:rPr>
        <w:t>given</w:t>
      </w:r>
      <w:r w:rsidR="001E7E73" w:rsidRPr="0009282C">
        <w:rPr>
          <w:iCs/>
        </w:rPr>
        <w:t xml:space="preserve"> </w:t>
      </w:r>
      <w:r w:rsidR="0054130C" w:rsidRPr="0009282C">
        <w:rPr>
          <w:iCs/>
        </w:rPr>
        <w:t>that</w:t>
      </w:r>
      <w:r w:rsidR="00C74C0B" w:rsidRPr="0009282C">
        <w:t xml:space="preserve"> </w:t>
      </w:r>
      <w:r w:rsidR="00BB2900" w:rsidRPr="0009282C">
        <w:t xml:space="preserve">the risk of disease complications increase continuously as oxalate levels rise, </w:t>
      </w:r>
      <w:r w:rsidR="00C74C0B" w:rsidRPr="0009282C">
        <w:t xml:space="preserve">any sustained lowering of hepatic oxalate production </w:t>
      </w:r>
      <w:r w:rsidR="006E5727" w:rsidRPr="0009282C">
        <w:t xml:space="preserve">would </w:t>
      </w:r>
      <w:r w:rsidR="00C74C0B" w:rsidRPr="0009282C">
        <w:t>be beneficial to PH1 patients and considered clinically meaningful</w:t>
      </w:r>
      <w:r w:rsidR="00444188" w:rsidRPr="0009282C">
        <w:t xml:space="preserve">. </w:t>
      </w:r>
      <w:r w:rsidR="00444188" w:rsidRPr="0009282C">
        <w:rPr>
          <w:iCs/>
        </w:rPr>
        <w:t>However</w:t>
      </w:r>
      <w:r w:rsidR="005571E4" w:rsidRPr="0009282C">
        <w:rPr>
          <w:iCs/>
        </w:rPr>
        <w:t xml:space="preserve">, the </w:t>
      </w:r>
      <w:r w:rsidR="003A4BCE" w:rsidRPr="0009282C">
        <w:rPr>
          <w:iCs/>
        </w:rPr>
        <w:t>submission</w:t>
      </w:r>
      <w:r w:rsidR="005571E4" w:rsidRPr="0009282C">
        <w:rPr>
          <w:iCs/>
        </w:rPr>
        <w:t xml:space="preserve"> did not nominate a minimally clinical important difference (MCID), nor could an MCID be identified </w:t>
      </w:r>
      <w:r w:rsidR="00AC79B7" w:rsidRPr="0009282C">
        <w:rPr>
          <w:iCs/>
        </w:rPr>
        <w:t xml:space="preserve">(via published literature) </w:t>
      </w:r>
      <w:r w:rsidR="005571E4" w:rsidRPr="0009282C">
        <w:rPr>
          <w:iCs/>
        </w:rPr>
        <w:t xml:space="preserve">during the evaluation to </w:t>
      </w:r>
      <w:r w:rsidR="00F64605" w:rsidRPr="0009282C">
        <w:rPr>
          <w:iCs/>
        </w:rPr>
        <w:t>quantify what constituted a clinically meaningful difference in urinary oxalate reduction to translate into a clinically meaningful benefit to PH1 patients.</w:t>
      </w:r>
      <w:r w:rsidR="005571E4" w:rsidRPr="0009282C">
        <w:rPr>
          <w:iCs/>
        </w:rPr>
        <w:t xml:space="preserve"> </w:t>
      </w:r>
      <w:bookmarkEnd w:id="35"/>
      <w:r w:rsidR="0025221C" w:rsidRPr="0009282C">
        <w:t xml:space="preserve">The PSCR noted that the primary outcome results of the ILLUMINATE-A trial exceeded the minimum expected differences in the statistical analysis plan. The </w:t>
      </w:r>
      <w:r w:rsidR="00700890" w:rsidRPr="0009282C">
        <w:t xml:space="preserve">PSCR </w:t>
      </w:r>
      <w:r w:rsidR="00377755" w:rsidRPr="0009282C">
        <w:t>reiterated</w:t>
      </w:r>
      <w:r w:rsidR="00700890" w:rsidRPr="0009282C">
        <w:t xml:space="preserve"> that </w:t>
      </w:r>
      <w:r w:rsidR="0025221C" w:rsidRPr="0009282C">
        <w:t xml:space="preserve">the risk of disease complications increases continuously as oxalate levels rise, </w:t>
      </w:r>
      <w:r w:rsidR="002F508A" w:rsidRPr="0009282C">
        <w:t xml:space="preserve">and therefore </w:t>
      </w:r>
      <w:r w:rsidR="0025221C" w:rsidRPr="0009282C">
        <w:t xml:space="preserve">any sustained lowering of hepatic oxalate production </w:t>
      </w:r>
      <w:r w:rsidR="002F508A" w:rsidRPr="0009282C">
        <w:t>would</w:t>
      </w:r>
      <w:r w:rsidR="0025221C" w:rsidRPr="0009282C">
        <w:t xml:space="preserve"> be beneficial to PH1 patients</w:t>
      </w:r>
      <w:r w:rsidR="00162AB2" w:rsidRPr="0009282C">
        <w:rPr>
          <w:rStyle w:val="FootnoteReference"/>
        </w:rPr>
        <w:footnoteReference w:id="9"/>
      </w:r>
      <w:r w:rsidR="00162AB2" w:rsidRPr="0009282C">
        <w:rPr>
          <w:vertAlign w:val="superscript"/>
        </w:rPr>
        <w:t>,</w:t>
      </w:r>
      <w:r w:rsidR="00162AB2" w:rsidRPr="0009282C">
        <w:rPr>
          <w:rStyle w:val="FootnoteReference"/>
        </w:rPr>
        <w:footnoteReference w:id="10"/>
      </w:r>
      <w:r w:rsidR="0025221C" w:rsidRPr="0009282C">
        <w:t xml:space="preserve">. The </w:t>
      </w:r>
      <w:r w:rsidR="00557FD1" w:rsidRPr="0009282C">
        <w:t xml:space="preserve">PSCR argued that the </w:t>
      </w:r>
      <w:r w:rsidR="0025221C" w:rsidRPr="0009282C">
        <w:t xml:space="preserve">oxalate-lowering efficacy of </w:t>
      </w:r>
      <w:proofErr w:type="spellStart"/>
      <w:r w:rsidR="0025221C" w:rsidRPr="0009282C">
        <w:t>lumasiran</w:t>
      </w:r>
      <w:proofErr w:type="spellEnd"/>
      <w:r w:rsidR="0025221C" w:rsidRPr="0009282C">
        <w:t xml:space="preserve"> was also shown to translate to patient-relevant outcomes, including, preservation and maintenance of renal function (eGFR), reduction of renal stone events and reversal or stabilisation of nephrocalcinosis</w:t>
      </w:r>
      <w:r w:rsidR="00557FD1" w:rsidRPr="0009282C">
        <w:t>, and therefore</w:t>
      </w:r>
      <w:r w:rsidR="0025221C" w:rsidRPr="0009282C">
        <w:t xml:space="preserve"> it is reasonable to conclude that the magnitude of effect for oxalate reduction observed is clinically meaningful.</w:t>
      </w:r>
    </w:p>
    <w:p w14:paraId="14A3D4B6" w14:textId="78BB0656" w:rsidR="00EE6E91" w:rsidRPr="0009282C" w:rsidRDefault="00F270AD" w:rsidP="00EC48DC">
      <w:pPr>
        <w:pStyle w:val="3-BodyText"/>
      </w:pPr>
      <w:proofErr w:type="spellStart"/>
      <w:r w:rsidRPr="0009282C">
        <w:t>L</w:t>
      </w:r>
      <w:r w:rsidR="00EE6E91" w:rsidRPr="0009282C">
        <w:t>umasiran</w:t>
      </w:r>
      <w:proofErr w:type="spellEnd"/>
      <w:r w:rsidR="00EE6E91" w:rsidRPr="0009282C">
        <w:t xml:space="preserve"> demonstrated statistically significant reductions in both percentage change (LS</w:t>
      </w:r>
      <w:r w:rsidR="002E7D93" w:rsidRPr="0009282C">
        <w:t>M</w:t>
      </w:r>
      <w:r w:rsidR="00EE6E91" w:rsidRPr="0009282C">
        <w:t xml:space="preserve"> difference [95% CI]: -39.5% [-50.1, -28.</w:t>
      </w:r>
      <w:r w:rsidR="007C14F4" w:rsidRPr="0009282C">
        <w:t>9</w:t>
      </w:r>
      <w:r w:rsidR="00EE6E91" w:rsidRPr="0009282C">
        <w:t xml:space="preserve">]; </w:t>
      </w:r>
      <w:r w:rsidR="00AA1444" w:rsidRPr="0009282C">
        <w:t>p&lt;</w:t>
      </w:r>
      <w:r w:rsidR="00417EE0" w:rsidRPr="0009282C">
        <w:t>0</w:t>
      </w:r>
      <w:r w:rsidR="00AA1444" w:rsidRPr="0009282C">
        <w:t>.001</w:t>
      </w:r>
      <w:r w:rsidR="00EE6E91" w:rsidRPr="0009282C">
        <w:t>) and absolute change (LS</w:t>
      </w:r>
      <w:r w:rsidR="002E7D93" w:rsidRPr="0009282C">
        <w:t>M</w:t>
      </w:r>
      <w:r w:rsidR="00EE6E91" w:rsidRPr="0009282C">
        <w:t xml:space="preserve"> difference [95% CI]: -8.7 </w:t>
      </w:r>
      <w:proofErr w:type="spellStart"/>
      <w:r w:rsidR="00EE6E91" w:rsidRPr="0009282C">
        <w:t>μmol</w:t>
      </w:r>
      <w:proofErr w:type="spellEnd"/>
      <w:r w:rsidR="00EE6E91" w:rsidRPr="0009282C">
        <w:t>/L [-11.5, -</w:t>
      </w:r>
      <w:r w:rsidR="00EF008D" w:rsidRPr="0009282C">
        <w:t>6.0</w:t>
      </w:r>
      <w:r w:rsidR="00EE6E91" w:rsidRPr="0009282C">
        <w:t xml:space="preserve">]; </w:t>
      </w:r>
      <w:r w:rsidR="00AA1444" w:rsidRPr="0009282C">
        <w:t>p&lt;</w:t>
      </w:r>
      <w:r w:rsidR="00417EE0" w:rsidRPr="0009282C">
        <w:t>0</w:t>
      </w:r>
      <w:r w:rsidR="00AA1444" w:rsidRPr="0009282C">
        <w:t>.001</w:t>
      </w:r>
      <w:r w:rsidR="00EE6E91" w:rsidRPr="0009282C">
        <w:t xml:space="preserve">) in plasma oxalate levels when compared to placebo from baseline to 6 months. These reductions were maintained through the extension period for patients in the </w:t>
      </w:r>
      <w:proofErr w:type="spellStart"/>
      <w:r w:rsidR="002E7D93" w:rsidRPr="0009282C">
        <w:t>l</w:t>
      </w:r>
      <w:r w:rsidR="00EE6E91" w:rsidRPr="0009282C">
        <w:t>umasiran</w:t>
      </w:r>
      <w:proofErr w:type="spellEnd"/>
      <w:r w:rsidR="00EE6E91" w:rsidRPr="0009282C">
        <w:t>/</w:t>
      </w:r>
      <w:proofErr w:type="spellStart"/>
      <w:r w:rsidR="002E7D93" w:rsidRPr="0009282C">
        <w:t>l</w:t>
      </w:r>
      <w:r w:rsidR="00EE6E91" w:rsidRPr="0009282C">
        <w:t>umasiran</w:t>
      </w:r>
      <w:proofErr w:type="spellEnd"/>
      <w:r w:rsidR="00EE6E91" w:rsidRPr="0009282C">
        <w:t xml:space="preserve"> group and the placebo/</w:t>
      </w:r>
      <w:proofErr w:type="spellStart"/>
      <w:r w:rsidR="00EE6E91" w:rsidRPr="0009282C">
        <w:t>lumasiran</w:t>
      </w:r>
      <w:proofErr w:type="spellEnd"/>
      <w:r w:rsidR="00EE6E91" w:rsidRPr="0009282C">
        <w:t xml:space="preserve"> </w:t>
      </w:r>
      <w:r w:rsidR="002E7D93" w:rsidRPr="0009282C">
        <w:t xml:space="preserve">treatment </w:t>
      </w:r>
      <w:r w:rsidR="00EE6E91" w:rsidRPr="0009282C">
        <w:t>group</w:t>
      </w:r>
      <w:r w:rsidR="002E7D93" w:rsidRPr="0009282C">
        <w:t xml:space="preserve"> had a rapid and sustained decrease in plasma oxalate (percent and absolute) after switching to </w:t>
      </w:r>
      <w:proofErr w:type="spellStart"/>
      <w:r w:rsidR="002E7D93" w:rsidRPr="0009282C">
        <w:t>lumasiran</w:t>
      </w:r>
      <w:proofErr w:type="spellEnd"/>
      <w:r w:rsidR="002E7D93" w:rsidRPr="0009282C">
        <w:t>.</w:t>
      </w:r>
    </w:p>
    <w:p w14:paraId="636C6246" w14:textId="5727BDCE" w:rsidR="008C2882" w:rsidRPr="0009282C" w:rsidRDefault="00EE6E91" w:rsidP="00EC48DC">
      <w:pPr>
        <w:pStyle w:val="3-BodyText"/>
      </w:pPr>
      <w:r w:rsidRPr="0009282C">
        <w:t xml:space="preserve">eGFR remained stable from baseline to 6 months across both the </w:t>
      </w:r>
      <w:proofErr w:type="spellStart"/>
      <w:r w:rsidRPr="0009282C">
        <w:t>lumasiran</w:t>
      </w:r>
      <w:proofErr w:type="spellEnd"/>
      <w:r w:rsidRPr="0009282C">
        <w:t xml:space="preserve"> and placebo groups. During the extension period </w:t>
      </w:r>
      <w:r w:rsidR="00874C80" w:rsidRPr="0009282C">
        <w:t xml:space="preserve">the </w:t>
      </w:r>
      <w:r w:rsidRPr="0009282C">
        <w:t xml:space="preserve">eGFR remained stable in all patients from baseline to 60 months. </w:t>
      </w:r>
    </w:p>
    <w:p w14:paraId="75C61182" w14:textId="3CBD08DA" w:rsidR="00F01925" w:rsidRPr="0009282C" w:rsidRDefault="00EE6E91" w:rsidP="00EC48DC">
      <w:pPr>
        <w:pStyle w:val="3-BodyText"/>
        <w:rPr>
          <w:sz w:val="22"/>
        </w:rPr>
      </w:pPr>
      <w:r w:rsidRPr="0009282C">
        <w:t xml:space="preserve">A summary table presenting the </w:t>
      </w:r>
      <w:r w:rsidR="0084203C" w:rsidRPr="0009282C">
        <w:t>exploratory</w:t>
      </w:r>
      <w:r w:rsidR="009F1E05" w:rsidRPr="0009282C">
        <w:t xml:space="preserve"> </w:t>
      </w:r>
      <w:r w:rsidRPr="0009282C">
        <w:t>patient reported outcome measures (PROMS)</w:t>
      </w:r>
      <w:r w:rsidR="00F01925" w:rsidRPr="0009282C">
        <w:t xml:space="preserve"> of health-related quality of life (</w:t>
      </w:r>
      <w:proofErr w:type="spellStart"/>
      <w:r w:rsidR="00F01925" w:rsidRPr="0009282C">
        <w:t>HRQoL</w:t>
      </w:r>
      <w:proofErr w:type="spellEnd"/>
      <w:r w:rsidR="00F01925" w:rsidRPr="0009282C">
        <w:t>)</w:t>
      </w:r>
      <w:r w:rsidRPr="0009282C">
        <w:t xml:space="preserve"> from ILLUMINATE-A </w:t>
      </w:r>
      <w:r w:rsidR="00F01925" w:rsidRPr="0009282C">
        <w:t xml:space="preserve">using EuroQol-5 dimension (EQ-5D) </w:t>
      </w:r>
      <w:r w:rsidRPr="0009282C">
        <w:t xml:space="preserve">for both the double-blind period and extension period </w:t>
      </w:r>
      <w:r w:rsidR="00082A0C" w:rsidRPr="0009282C">
        <w:t>is</w:t>
      </w:r>
      <w:r w:rsidRPr="0009282C">
        <w:t xml:space="preserve"> provided </w:t>
      </w:r>
      <w:r w:rsidR="00F01925" w:rsidRPr="0009282C">
        <w:t xml:space="preserve">in </w:t>
      </w:r>
      <w:r w:rsidR="00F01925" w:rsidRPr="0009282C">
        <w:fldChar w:fldCharType="begin" w:fldLock="1"/>
      </w:r>
      <w:r w:rsidR="00F01925" w:rsidRPr="0009282C">
        <w:instrText xml:space="preserve"> REF _Ref185842699 \h  \* MERGEFORMAT </w:instrText>
      </w:r>
      <w:r w:rsidR="00F01925" w:rsidRPr="0009282C">
        <w:fldChar w:fldCharType="separate"/>
      </w:r>
      <w:r w:rsidR="00771DFF" w:rsidRPr="0009282C">
        <w:t xml:space="preserve">Table </w:t>
      </w:r>
      <w:r w:rsidR="00771DFF">
        <w:t>5</w:t>
      </w:r>
      <w:r w:rsidR="00F01925" w:rsidRPr="0009282C">
        <w:fldChar w:fldCharType="end"/>
      </w:r>
      <w:r w:rsidRPr="0009282C">
        <w:t xml:space="preserve">. </w:t>
      </w:r>
    </w:p>
    <w:p w14:paraId="13392381" w14:textId="118DA1BC" w:rsidR="00EE6E91" w:rsidRPr="0009282C" w:rsidRDefault="00EE6E91" w:rsidP="00F01925">
      <w:pPr>
        <w:pStyle w:val="TableFigureCaption"/>
      </w:pPr>
      <w:bookmarkStart w:id="36" w:name="_Ref185842699"/>
      <w:r w:rsidRPr="0009282C">
        <w:t xml:space="preserve">Table </w:t>
      </w:r>
      <w:r w:rsidR="000D4330">
        <w:fldChar w:fldCharType="begin" w:fldLock="1"/>
      </w:r>
      <w:r w:rsidR="000D4330">
        <w:instrText xml:space="preserve"> SEQ Table \* ARABIC </w:instrText>
      </w:r>
      <w:r w:rsidR="000D4330">
        <w:fldChar w:fldCharType="separate"/>
      </w:r>
      <w:r w:rsidR="00771DFF">
        <w:rPr>
          <w:noProof/>
        </w:rPr>
        <w:t>5</w:t>
      </w:r>
      <w:r w:rsidR="000D4330">
        <w:rPr>
          <w:noProof/>
        </w:rPr>
        <w:fldChar w:fldCharType="end"/>
      </w:r>
      <w:bookmarkEnd w:id="36"/>
      <w:r w:rsidR="002424FF" w:rsidRPr="0009282C">
        <w:rPr>
          <w:noProof/>
        </w:rPr>
        <w:t>:</w:t>
      </w:r>
      <w:r w:rsidR="002424FF" w:rsidRPr="0009282C">
        <w:t xml:space="preserve"> </w:t>
      </w:r>
      <w:r w:rsidR="00F01925" w:rsidRPr="0009282C">
        <w:t>Patient-reported outcomes reported in ILLUMINATE-A to 6 months and 54 months</w:t>
      </w:r>
    </w:p>
    <w:tbl>
      <w:tblPr>
        <w:tblStyle w:val="TableGrid"/>
        <w:tblW w:w="9067" w:type="dxa"/>
        <w:tblLook w:val="04A0" w:firstRow="1" w:lastRow="0" w:firstColumn="1" w:lastColumn="0" w:noHBand="0" w:noVBand="1"/>
      </w:tblPr>
      <w:tblGrid>
        <w:gridCol w:w="3811"/>
        <w:gridCol w:w="2563"/>
        <w:gridCol w:w="2693"/>
      </w:tblGrid>
      <w:tr w:rsidR="00EE6E91" w:rsidRPr="0009282C" w14:paraId="1DC51A12" w14:textId="77777777" w:rsidTr="00784D16">
        <w:trPr>
          <w:trHeight w:val="20"/>
        </w:trPr>
        <w:tc>
          <w:tcPr>
            <w:tcW w:w="9067" w:type="dxa"/>
            <w:gridSpan w:val="3"/>
          </w:tcPr>
          <w:p w14:paraId="1213D452" w14:textId="77777777" w:rsidR="00EE6E91" w:rsidRPr="0009282C" w:rsidRDefault="00EE6E91" w:rsidP="00E45768">
            <w:pPr>
              <w:pStyle w:val="TableText0"/>
              <w:contextualSpacing/>
              <w:rPr>
                <w:b/>
                <w:bCs w:val="0"/>
              </w:rPr>
            </w:pPr>
            <w:r w:rsidRPr="0009282C">
              <w:rPr>
                <w:b/>
                <w:bCs w:val="0"/>
              </w:rPr>
              <w:t>ILLUMINATE-A – Patient-reported outcomes (double-blind period to 6 months)</w:t>
            </w:r>
          </w:p>
        </w:tc>
      </w:tr>
      <w:tr w:rsidR="00EE6E91" w:rsidRPr="0009282C" w14:paraId="52BB150B" w14:textId="77777777" w:rsidTr="00784D16">
        <w:trPr>
          <w:trHeight w:val="20"/>
        </w:trPr>
        <w:tc>
          <w:tcPr>
            <w:tcW w:w="3811" w:type="dxa"/>
            <w:vAlign w:val="center"/>
          </w:tcPr>
          <w:p w14:paraId="2D85D492" w14:textId="77777777" w:rsidR="00EE6E91" w:rsidRPr="0009282C" w:rsidRDefault="00EE6E91" w:rsidP="00E45768">
            <w:pPr>
              <w:pStyle w:val="TableText0"/>
              <w:contextualSpacing/>
            </w:pPr>
          </w:p>
        </w:tc>
        <w:tc>
          <w:tcPr>
            <w:tcW w:w="5256" w:type="dxa"/>
            <w:gridSpan w:val="2"/>
            <w:vAlign w:val="center"/>
          </w:tcPr>
          <w:p w14:paraId="0238A914" w14:textId="77777777" w:rsidR="00EE6E91" w:rsidRPr="0009282C" w:rsidRDefault="00EE6E91" w:rsidP="00E45768">
            <w:pPr>
              <w:pStyle w:val="TableText0"/>
              <w:contextualSpacing/>
              <w:jc w:val="center"/>
              <w:rPr>
                <w:b/>
                <w:bCs w:val="0"/>
              </w:rPr>
            </w:pPr>
            <w:r w:rsidRPr="0009282C">
              <w:rPr>
                <w:b/>
                <w:bCs w:val="0"/>
              </w:rPr>
              <w:t>Mean change (SD)</w:t>
            </w:r>
          </w:p>
        </w:tc>
      </w:tr>
      <w:tr w:rsidR="00EE6E91" w:rsidRPr="0009282C" w14:paraId="6832D5F6" w14:textId="77777777" w:rsidTr="00784D16">
        <w:trPr>
          <w:trHeight w:val="20"/>
        </w:trPr>
        <w:tc>
          <w:tcPr>
            <w:tcW w:w="3811" w:type="dxa"/>
            <w:vAlign w:val="center"/>
          </w:tcPr>
          <w:p w14:paraId="6E232A5A" w14:textId="77777777" w:rsidR="00EE6E91" w:rsidRPr="0009282C" w:rsidRDefault="00EE6E91" w:rsidP="00E45768">
            <w:pPr>
              <w:pStyle w:val="TableText0"/>
              <w:contextualSpacing/>
            </w:pPr>
            <w:r w:rsidRPr="0009282C">
              <w:t>Outcomes</w:t>
            </w:r>
          </w:p>
        </w:tc>
        <w:tc>
          <w:tcPr>
            <w:tcW w:w="2563" w:type="dxa"/>
            <w:vAlign w:val="center"/>
          </w:tcPr>
          <w:p w14:paraId="561CA9FE" w14:textId="0CEDC2A2" w:rsidR="00EE6E91" w:rsidRPr="0009282C" w:rsidRDefault="00EE6E91" w:rsidP="00E45768">
            <w:pPr>
              <w:pStyle w:val="TableText0"/>
              <w:contextualSpacing/>
              <w:jc w:val="center"/>
              <w:rPr>
                <w:vertAlign w:val="superscript"/>
              </w:rPr>
            </w:pPr>
            <w:proofErr w:type="spellStart"/>
            <w:r w:rsidRPr="0009282C">
              <w:t>Lumasiran</w:t>
            </w:r>
            <w:proofErr w:type="spellEnd"/>
            <w:r w:rsidRPr="0009282C">
              <w:t xml:space="preserve"> (n=22)</w:t>
            </w:r>
            <w:r w:rsidR="006449D9" w:rsidRPr="0009282C">
              <w:rPr>
                <w:vertAlign w:val="superscript"/>
              </w:rPr>
              <w:t>a</w:t>
            </w:r>
          </w:p>
        </w:tc>
        <w:tc>
          <w:tcPr>
            <w:tcW w:w="2693" w:type="dxa"/>
            <w:vAlign w:val="center"/>
          </w:tcPr>
          <w:p w14:paraId="24B2534F" w14:textId="18506FD6" w:rsidR="00EE6E91" w:rsidRPr="0009282C" w:rsidRDefault="00EE6E91" w:rsidP="00E45768">
            <w:pPr>
              <w:pStyle w:val="TableText0"/>
              <w:contextualSpacing/>
              <w:jc w:val="center"/>
            </w:pPr>
            <w:r w:rsidRPr="0009282C">
              <w:t>Placebo (n=6)</w:t>
            </w:r>
            <w:r w:rsidR="006449D9" w:rsidRPr="0009282C">
              <w:rPr>
                <w:vertAlign w:val="superscript"/>
              </w:rPr>
              <w:t>a</w:t>
            </w:r>
          </w:p>
        </w:tc>
      </w:tr>
      <w:tr w:rsidR="00EE6E91" w:rsidRPr="0009282C" w14:paraId="419D2D1D" w14:textId="77777777" w:rsidTr="00784D16">
        <w:trPr>
          <w:trHeight w:val="20"/>
        </w:trPr>
        <w:tc>
          <w:tcPr>
            <w:tcW w:w="3811" w:type="dxa"/>
            <w:vAlign w:val="center"/>
          </w:tcPr>
          <w:p w14:paraId="01473D86" w14:textId="77777777" w:rsidR="00EE6E91" w:rsidRPr="0009282C" w:rsidRDefault="00EE6E91" w:rsidP="00E45768">
            <w:pPr>
              <w:pStyle w:val="TableText0"/>
              <w:contextualSpacing/>
            </w:pPr>
            <w:r w:rsidRPr="0009282C">
              <w:t>EQ-5D VAS, baseline to 6 months</w:t>
            </w:r>
          </w:p>
        </w:tc>
        <w:tc>
          <w:tcPr>
            <w:tcW w:w="2563" w:type="dxa"/>
            <w:vAlign w:val="center"/>
          </w:tcPr>
          <w:p w14:paraId="250FFA86" w14:textId="39EEFAD1" w:rsidR="00EE6E91" w:rsidRPr="0009282C" w:rsidRDefault="00EE6E91" w:rsidP="00E45768">
            <w:pPr>
              <w:pStyle w:val="TableText0"/>
              <w:contextualSpacing/>
              <w:jc w:val="center"/>
            </w:pPr>
            <w:r w:rsidRPr="0009282C">
              <w:t>3.8 (18.</w:t>
            </w:r>
            <w:r w:rsidR="00CF5C10" w:rsidRPr="0009282C">
              <w:t>2</w:t>
            </w:r>
            <w:r w:rsidRPr="0009282C">
              <w:t>)</w:t>
            </w:r>
          </w:p>
        </w:tc>
        <w:tc>
          <w:tcPr>
            <w:tcW w:w="2693" w:type="dxa"/>
            <w:vAlign w:val="center"/>
          </w:tcPr>
          <w:p w14:paraId="710AAD09" w14:textId="2018FB38" w:rsidR="00EE6E91" w:rsidRPr="0009282C" w:rsidRDefault="00EE6E91" w:rsidP="00E45768">
            <w:pPr>
              <w:pStyle w:val="TableText0"/>
              <w:contextualSpacing/>
              <w:jc w:val="center"/>
            </w:pPr>
            <w:r w:rsidRPr="0009282C">
              <w:t>−2.0 (8.9)</w:t>
            </w:r>
          </w:p>
        </w:tc>
      </w:tr>
      <w:tr w:rsidR="00EE6E91" w:rsidRPr="0009282C" w14:paraId="21225FA2" w14:textId="77777777" w:rsidTr="00784D16">
        <w:trPr>
          <w:trHeight w:val="20"/>
        </w:trPr>
        <w:tc>
          <w:tcPr>
            <w:tcW w:w="9067" w:type="dxa"/>
            <w:gridSpan w:val="3"/>
          </w:tcPr>
          <w:p w14:paraId="45D896EA" w14:textId="77777777" w:rsidR="00EE6E91" w:rsidRPr="0009282C" w:rsidRDefault="00EE6E91" w:rsidP="00E45768">
            <w:pPr>
              <w:pStyle w:val="TableText0"/>
              <w:contextualSpacing/>
              <w:rPr>
                <w:b/>
                <w:bCs w:val="0"/>
              </w:rPr>
            </w:pPr>
            <w:r w:rsidRPr="0009282C">
              <w:rPr>
                <w:b/>
                <w:bCs w:val="0"/>
              </w:rPr>
              <w:t>ILLUMINATE-A – Patient-reported outcomes (to 54 months)</w:t>
            </w:r>
          </w:p>
        </w:tc>
      </w:tr>
      <w:tr w:rsidR="00EE6E91" w:rsidRPr="0009282C" w14:paraId="5EF346E6" w14:textId="77777777" w:rsidTr="00784D16">
        <w:trPr>
          <w:trHeight w:val="20"/>
        </w:trPr>
        <w:tc>
          <w:tcPr>
            <w:tcW w:w="3811" w:type="dxa"/>
            <w:vAlign w:val="center"/>
          </w:tcPr>
          <w:p w14:paraId="3EBB8E69" w14:textId="77777777" w:rsidR="00EE6E91" w:rsidRPr="0009282C" w:rsidRDefault="00EE6E91" w:rsidP="00E45768">
            <w:pPr>
              <w:pStyle w:val="TableText0"/>
              <w:contextualSpacing/>
            </w:pPr>
          </w:p>
        </w:tc>
        <w:tc>
          <w:tcPr>
            <w:tcW w:w="5256" w:type="dxa"/>
            <w:gridSpan w:val="2"/>
            <w:vAlign w:val="center"/>
          </w:tcPr>
          <w:p w14:paraId="3C5333B4" w14:textId="77777777" w:rsidR="00EE6E91" w:rsidRPr="0009282C" w:rsidRDefault="00EE6E91" w:rsidP="00E45768">
            <w:pPr>
              <w:pStyle w:val="TableText0"/>
              <w:contextualSpacing/>
              <w:jc w:val="center"/>
              <w:rPr>
                <w:b/>
                <w:bCs w:val="0"/>
              </w:rPr>
            </w:pPr>
            <w:r w:rsidRPr="0009282C">
              <w:rPr>
                <w:b/>
                <w:bCs w:val="0"/>
              </w:rPr>
              <w:t>Mean change (SD)</w:t>
            </w:r>
          </w:p>
        </w:tc>
      </w:tr>
      <w:tr w:rsidR="00EE6E91" w:rsidRPr="0009282C" w14:paraId="4D15A8AA" w14:textId="77777777" w:rsidTr="00784D16">
        <w:trPr>
          <w:trHeight w:val="20"/>
        </w:trPr>
        <w:tc>
          <w:tcPr>
            <w:tcW w:w="3811" w:type="dxa"/>
            <w:vAlign w:val="center"/>
          </w:tcPr>
          <w:p w14:paraId="35F3BC79" w14:textId="77777777" w:rsidR="00EE6E91" w:rsidRPr="0009282C" w:rsidRDefault="00EE6E91" w:rsidP="00E45768">
            <w:pPr>
              <w:pStyle w:val="TableText0"/>
              <w:contextualSpacing/>
            </w:pPr>
            <w:r w:rsidRPr="0009282C">
              <w:t>Outcomes</w:t>
            </w:r>
          </w:p>
        </w:tc>
        <w:tc>
          <w:tcPr>
            <w:tcW w:w="2563" w:type="dxa"/>
            <w:vAlign w:val="center"/>
          </w:tcPr>
          <w:p w14:paraId="62923C68" w14:textId="690D1563" w:rsidR="00EE6E91" w:rsidRPr="0009282C" w:rsidRDefault="00EE6E91" w:rsidP="00E45768">
            <w:pPr>
              <w:pStyle w:val="TableText0"/>
              <w:contextualSpacing/>
              <w:jc w:val="center"/>
            </w:pPr>
            <w:proofErr w:type="spellStart"/>
            <w:r w:rsidRPr="0009282C">
              <w:t>Lumasiran</w:t>
            </w:r>
            <w:proofErr w:type="spellEnd"/>
            <w:r w:rsidR="00FA1571" w:rsidRPr="0009282C">
              <w:t>/</w:t>
            </w:r>
            <w:proofErr w:type="spellStart"/>
            <w:r w:rsidR="00FA1571" w:rsidRPr="0009282C">
              <w:t>Lum</w:t>
            </w:r>
            <w:r w:rsidR="004E6144" w:rsidRPr="0009282C">
              <w:t>a</w:t>
            </w:r>
            <w:r w:rsidR="00FA1571" w:rsidRPr="0009282C">
              <w:t>siran</w:t>
            </w:r>
            <w:proofErr w:type="spellEnd"/>
            <w:r w:rsidRPr="0009282C">
              <w:t xml:space="preserve"> (n=22</w:t>
            </w:r>
            <w:r w:rsidR="006449D9" w:rsidRPr="0009282C">
              <w:t>)</w:t>
            </w:r>
            <w:r w:rsidR="006449D9" w:rsidRPr="0009282C">
              <w:rPr>
                <w:vertAlign w:val="superscript"/>
              </w:rPr>
              <w:t>a</w:t>
            </w:r>
          </w:p>
        </w:tc>
        <w:tc>
          <w:tcPr>
            <w:tcW w:w="2693" w:type="dxa"/>
            <w:vAlign w:val="center"/>
          </w:tcPr>
          <w:p w14:paraId="1F244271" w14:textId="5F9E9922" w:rsidR="00EE6E91" w:rsidRPr="0009282C" w:rsidRDefault="00EE6E91" w:rsidP="00E45768">
            <w:pPr>
              <w:pStyle w:val="TableText0"/>
              <w:contextualSpacing/>
              <w:jc w:val="center"/>
            </w:pPr>
            <w:r w:rsidRPr="0009282C">
              <w:t>Placebo</w:t>
            </w:r>
            <w:r w:rsidR="004E6144" w:rsidRPr="0009282C">
              <w:t>/</w:t>
            </w:r>
            <w:proofErr w:type="spellStart"/>
            <w:r w:rsidR="004E6144" w:rsidRPr="0009282C">
              <w:t>Lumasiran</w:t>
            </w:r>
            <w:proofErr w:type="spellEnd"/>
            <w:r w:rsidRPr="0009282C">
              <w:t xml:space="preserve"> (n=6</w:t>
            </w:r>
            <w:r w:rsidR="006449D9" w:rsidRPr="0009282C">
              <w:t>)</w:t>
            </w:r>
            <w:r w:rsidR="006449D9" w:rsidRPr="0009282C">
              <w:rPr>
                <w:vertAlign w:val="superscript"/>
              </w:rPr>
              <w:t>a</w:t>
            </w:r>
          </w:p>
        </w:tc>
      </w:tr>
      <w:tr w:rsidR="00EE6E91" w:rsidRPr="0009282C" w14:paraId="6F1BB3B0" w14:textId="77777777" w:rsidTr="00784D16">
        <w:trPr>
          <w:trHeight w:val="20"/>
        </w:trPr>
        <w:tc>
          <w:tcPr>
            <w:tcW w:w="3811" w:type="dxa"/>
            <w:vAlign w:val="center"/>
          </w:tcPr>
          <w:p w14:paraId="52F463C3" w14:textId="77777777" w:rsidR="00EE6E91" w:rsidRPr="0009282C" w:rsidRDefault="00EE6E91" w:rsidP="00E45768">
            <w:pPr>
              <w:pStyle w:val="TableText0"/>
              <w:contextualSpacing/>
            </w:pPr>
            <w:r w:rsidRPr="0009282C">
              <w:t>EQ-5D VAS, baseline to 54 months</w:t>
            </w:r>
          </w:p>
        </w:tc>
        <w:tc>
          <w:tcPr>
            <w:tcW w:w="2563" w:type="dxa"/>
            <w:vAlign w:val="center"/>
          </w:tcPr>
          <w:p w14:paraId="04A42029" w14:textId="796A5E45" w:rsidR="00EE6E91" w:rsidRPr="0009282C" w:rsidRDefault="00EE6E91" w:rsidP="00E45768">
            <w:pPr>
              <w:pStyle w:val="TableText0"/>
              <w:contextualSpacing/>
              <w:jc w:val="center"/>
            </w:pPr>
            <w:r w:rsidRPr="0009282C">
              <w:t>6.3 (13.</w:t>
            </w:r>
            <w:r w:rsidR="00CF5C10" w:rsidRPr="0009282C">
              <w:t>5</w:t>
            </w:r>
            <w:r w:rsidRPr="0009282C">
              <w:t>)</w:t>
            </w:r>
          </w:p>
        </w:tc>
        <w:tc>
          <w:tcPr>
            <w:tcW w:w="2693" w:type="dxa"/>
            <w:vAlign w:val="center"/>
          </w:tcPr>
          <w:p w14:paraId="27728316" w14:textId="00AF6F7C" w:rsidR="00EE6E91" w:rsidRPr="0009282C" w:rsidRDefault="00EE6E91" w:rsidP="00E45768">
            <w:pPr>
              <w:pStyle w:val="TableText0"/>
              <w:contextualSpacing/>
              <w:jc w:val="center"/>
            </w:pPr>
            <w:r w:rsidRPr="0009282C">
              <w:t>10.5 (12.1)</w:t>
            </w:r>
          </w:p>
        </w:tc>
      </w:tr>
    </w:tbl>
    <w:p w14:paraId="06C1D0AB" w14:textId="0E886888" w:rsidR="00EE6E91" w:rsidRPr="0009282C" w:rsidRDefault="00580660" w:rsidP="001E6A64">
      <w:pPr>
        <w:pStyle w:val="TableFigureFooter"/>
      </w:pPr>
      <w:r w:rsidRPr="0009282C">
        <w:t>Abbreviations:</w:t>
      </w:r>
      <w:r w:rsidR="08C2D6EA" w:rsidRPr="0009282C">
        <w:t xml:space="preserve"> EQ-5D, </w:t>
      </w:r>
      <w:proofErr w:type="spellStart"/>
      <w:r w:rsidR="08C2D6EA" w:rsidRPr="0009282C">
        <w:t>EuroQol</w:t>
      </w:r>
      <w:proofErr w:type="spellEnd"/>
      <w:r w:rsidR="08C2D6EA" w:rsidRPr="0009282C">
        <w:t>-Five Dimension; SD, standard deviation; VAS, visual analogue scale.</w:t>
      </w:r>
    </w:p>
    <w:p w14:paraId="02A0B36E" w14:textId="77C6490F" w:rsidR="00EE6E91" w:rsidRPr="0009282C" w:rsidRDefault="006449D9" w:rsidP="001E6A64">
      <w:pPr>
        <w:pStyle w:val="TableFigureFooter"/>
      </w:pPr>
      <w:r w:rsidRPr="0009282C">
        <w:rPr>
          <w:vertAlign w:val="superscript"/>
        </w:rPr>
        <w:t>a</w:t>
      </w:r>
      <w:r w:rsidRPr="0009282C">
        <w:t xml:space="preserve"> </w:t>
      </w:r>
      <w:r w:rsidR="08C2D6EA" w:rsidRPr="0009282C">
        <w:t>Patient numbers at 6-month, 54-month and 60-month timepoint as reported in ILLUMINATE-A Clinical Study Report 2, Table 11.</w:t>
      </w:r>
      <w:r w:rsidR="08C2D6EA" w:rsidRPr="0009282C">
        <w:rPr>
          <w:b/>
        </w:rPr>
        <w:t xml:space="preserve"> </w:t>
      </w:r>
    </w:p>
    <w:p w14:paraId="05C04F9D" w14:textId="29E6EC3F" w:rsidR="00EE6E91" w:rsidRPr="0009282C" w:rsidRDefault="00580660" w:rsidP="001E6A64">
      <w:pPr>
        <w:pStyle w:val="TableFigureFooter"/>
      </w:pPr>
      <w:r w:rsidRPr="0009282C">
        <w:t>Source:</w:t>
      </w:r>
      <w:r w:rsidR="00EE6E91" w:rsidRPr="0009282C">
        <w:t xml:space="preserve"> </w:t>
      </w:r>
      <w:r w:rsidR="0043091D" w:rsidRPr="0009282C">
        <w:t xml:space="preserve">Section </w:t>
      </w:r>
      <w:r w:rsidR="00BB58D0" w:rsidRPr="0009282C">
        <w:t>2.5.4, p92 of the submission</w:t>
      </w:r>
    </w:p>
    <w:p w14:paraId="3DBAF634" w14:textId="4F89A7B3" w:rsidR="00EE6E91" w:rsidRPr="0009282C" w:rsidRDefault="00EE6E91" w:rsidP="00EC48DC">
      <w:pPr>
        <w:pStyle w:val="3-BodyText"/>
      </w:pPr>
      <w:r w:rsidRPr="0009282C">
        <w:t xml:space="preserve">The EQ-5D visual analogue scale (VAS) was used to assess overall patient-reported </w:t>
      </w:r>
      <w:proofErr w:type="spellStart"/>
      <w:r w:rsidRPr="0009282C">
        <w:t>HRQoL</w:t>
      </w:r>
      <w:proofErr w:type="spellEnd"/>
      <w:r w:rsidRPr="0009282C">
        <w:t xml:space="preserve">, with higher scores indicating better </w:t>
      </w:r>
      <w:r w:rsidR="003C53AC" w:rsidRPr="0009282C">
        <w:t>quality of life (</w:t>
      </w:r>
      <w:r w:rsidR="005C70E0" w:rsidRPr="0009282C">
        <w:t>QoL</w:t>
      </w:r>
      <w:r w:rsidR="003C53AC" w:rsidRPr="0009282C">
        <w:t>)</w:t>
      </w:r>
      <w:r w:rsidRPr="0009282C">
        <w:t>. Mean (</w:t>
      </w:r>
      <w:r w:rsidR="00CC6EC9" w:rsidRPr="0009282C">
        <w:t xml:space="preserve">standard deviation; </w:t>
      </w:r>
      <w:r w:rsidRPr="0009282C">
        <w:t>SD) change was 3.8 (18.</w:t>
      </w:r>
      <w:r w:rsidR="00CF5C10" w:rsidRPr="0009282C">
        <w:t>2</w:t>
      </w:r>
      <w:r w:rsidRPr="0009282C">
        <w:t xml:space="preserve">) in the </w:t>
      </w:r>
      <w:proofErr w:type="spellStart"/>
      <w:r w:rsidRPr="0009282C">
        <w:t>lumasiran</w:t>
      </w:r>
      <w:proofErr w:type="spellEnd"/>
      <w:r w:rsidRPr="0009282C">
        <w:t xml:space="preserve"> group and -2.0 (8.9) in the placebo group from baseline to 6 months. In the extension period, mean (SD) change was 6.3 (13.</w:t>
      </w:r>
      <w:r w:rsidR="00CF5C10" w:rsidRPr="0009282C">
        <w:t>5</w:t>
      </w:r>
      <w:r w:rsidRPr="0009282C">
        <w:t xml:space="preserve">) in the </w:t>
      </w:r>
      <w:proofErr w:type="spellStart"/>
      <w:r w:rsidRPr="0009282C">
        <w:t>lumasiran</w:t>
      </w:r>
      <w:proofErr w:type="spellEnd"/>
      <w:r w:rsidRPr="0009282C">
        <w:t>/</w:t>
      </w:r>
      <w:proofErr w:type="spellStart"/>
      <w:r w:rsidRPr="0009282C">
        <w:t>lumasiran</w:t>
      </w:r>
      <w:proofErr w:type="spellEnd"/>
      <w:r w:rsidRPr="0009282C">
        <w:t xml:space="preserve"> treatment group and 10.5 (12.1) in the placebo/</w:t>
      </w:r>
      <w:proofErr w:type="spellStart"/>
      <w:r w:rsidRPr="0009282C">
        <w:t>lumasiran</w:t>
      </w:r>
      <w:proofErr w:type="spellEnd"/>
      <w:r w:rsidRPr="0009282C">
        <w:t xml:space="preserve"> treatment group from baseline to 54 months. </w:t>
      </w:r>
    </w:p>
    <w:p w14:paraId="37A76E2E" w14:textId="01C4CE4F" w:rsidR="00AD666C" w:rsidRPr="0009282C" w:rsidRDefault="00EE6E91" w:rsidP="00D52244">
      <w:pPr>
        <w:pStyle w:val="3-BodyText"/>
      </w:pPr>
      <w:proofErr w:type="spellStart"/>
      <w:r w:rsidRPr="0009282C">
        <w:t>HRQoL</w:t>
      </w:r>
      <w:proofErr w:type="spellEnd"/>
      <w:r w:rsidRPr="0009282C">
        <w:t xml:space="preserve"> was also assessed using </w:t>
      </w:r>
      <w:r w:rsidR="00C049BC" w:rsidRPr="0009282C">
        <w:t>Kidney Disease Quality of Life Questionnaire-36 (</w:t>
      </w:r>
      <w:r w:rsidRPr="0009282C">
        <w:t>KDQOL-36</w:t>
      </w:r>
      <w:r w:rsidR="00C049BC" w:rsidRPr="0009282C">
        <w:t>)</w:t>
      </w:r>
      <w:r w:rsidRPr="0009282C">
        <w:t xml:space="preserve"> in participants aged ≥18 years and </w:t>
      </w:r>
      <w:proofErr w:type="spellStart"/>
      <w:r w:rsidR="00C049BC" w:rsidRPr="0009282C">
        <w:t>Pediatric</w:t>
      </w:r>
      <w:proofErr w:type="spellEnd"/>
      <w:r w:rsidR="00C049BC" w:rsidRPr="0009282C">
        <w:t xml:space="preserve"> Quality of Life Inventory (</w:t>
      </w:r>
      <w:proofErr w:type="spellStart"/>
      <w:r w:rsidRPr="0009282C">
        <w:t>PedsQL</w:t>
      </w:r>
      <w:proofErr w:type="spellEnd"/>
      <w:r w:rsidR="00C049BC" w:rsidRPr="0009282C">
        <w:t>)</w:t>
      </w:r>
      <w:r w:rsidRPr="0009282C">
        <w:t xml:space="preserve"> in participants aged &lt;18 years; with higher scores indicating better </w:t>
      </w:r>
      <w:r w:rsidR="003C53AC" w:rsidRPr="0009282C">
        <w:t xml:space="preserve">QoL </w:t>
      </w:r>
      <w:r w:rsidRPr="0009282C">
        <w:t xml:space="preserve">status. The submission </w:t>
      </w:r>
      <w:r w:rsidR="000A591F" w:rsidRPr="0009282C">
        <w:t xml:space="preserve">stated </w:t>
      </w:r>
      <w:r w:rsidRPr="0009282C">
        <w:t>that no clinically meaningful differences between treatment groups were expected during the 6-month double-blind period. In the extension period, both groups demonstrated a trend toward improve</w:t>
      </w:r>
      <w:r w:rsidR="00256E69" w:rsidRPr="0009282C">
        <w:t>d</w:t>
      </w:r>
      <w:r w:rsidRPr="0009282C">
        <w:t xml:space="preserve"> scores and a maintenance of QoL as measured by the </w:t>
      </w:r>
      <w:r w:rsidR="007C6F5B" w:rsidRPr="0009282C">
        <w:t xml:space="preserve">12-Item </w:t>
      </w:r>
      <w:r w:rsidR="00617939" w:rsidRPr="0009282C">
        <w:t>short form</w:t>
      </w:r>
      <w:r w:rsidR="007C6F5B" w:rsidRPr="0009282C">
        <w:t xml:space="preserve"> survey (</w:t>
      </w:r>
      <w:r w:rsidRPr="0009282C">
        <w:t>SF-12</w:t>
      </w:r>
      <w:r w:rsidR="007C6F5B" w:rsidRPr="0009282C">
        <w:t>)</w:t>
      </w:r>
      <w:r w:rsidRPr="0009282C">
        <w:t xml:space="preserve"> physical and mental components of the KDQOL-36 instrument. </w:t>
      </w:r>
    </w:p>
    <w:p w14:paraId="4A365C81" w14:textId="0BB0C645" w:rsidR="00EE6E91" w:rsidRPr="0009282C" w:rsidRDefault="00EE6E91" w:rsidP="00C24340">
      <w:pPr>
        <w:rPr>
          <w:b/>
          <w:bCs/>
        </w:rPr>
      </w:pPr>
      <w:r w:rsidRPr="0009282C">
        <w:rPr>
          <w:b/>
          <w:bCs/>
        </w:rPr>
        <w:t xml:space="preserve">ILLUMINATE-B </w:t>
      </w:r>
      <w:r w:rsidR="00483287" w:rsidRPr="0009282C">
        <w:rPr>
          <w:rFonts w:cstheme="minorHAnsi"/>
          <w:b/>
          <w:bCs/>
        </w:rPr>
        <w:t>—</w:t>
      </w:r>
      <w:r w:rsidR="00692614" w:rsidRPr="0009282C">
        <w:rPr>
          <w:b/>
          <w:bCs/>
        </w:rPr>
        <w:t xml:space="preserve"> 37 weeks </w:t>
      </w:r>
      <w:r w:rsidR="00E31E07" w:rsidRPr="0009282C">
        <w:rPr>
          <w:b/>
          <w:bCs/>
        </w:rPr>
        <w:t>gestational age</w:t>
      </w:r>
      <w:r w:rsidR="00692614" w:rsidRPr="0009282C">
        <w:rPr>
          <w:b/>
          <w:bCs/>
        </w:rPr>
        <w:t xml:space="preserve"> to &lt;6</w:t>
      </w:r>
      <w:r w:rsidR="00446615" w:rsidRPr="0009282C">
        <w:rPr>
          <w:b/>
          <w:bCs/>
        </w:rPr>
        <w:t xml:space="preserve"> </w:t>
      </w:r>
      <w:r w:rsidR="00692614" w:rsidRPr="0009282C">
        <w:rPr>
          <w:b/>
          <w:bCs/>
        </w:rPr>
        <w:t>years</w:t>
      </w:r>
      <w:r w:rsidR="00446615" w:rsidRPr="0009282C">
        <w:rPr>
          <w:b/>
          <w:bCs/>
        </w:rPr>
        <w:t xml:space="preserve"> of age</w:t>
      </w:r>
    </w:p>
    <w:p w14:paraId="3CB1B494" w14:textId="223C89DC" w:rsidR="00EE6E91" w:rsidRPr="0009282C" w:rsidRDefault="00EE6E91" w:rsidP="00EC48DC">
      <w:pPr>
        <w:pStyle w:val="3-BodyText"/>
      </w:pPr>
      <w:r w:rsidRPr="0009282C">
        <w:t xml:space="preserve">A summary </w:t>
      </w:r>
      <w:r w:rsidR="00BF763E" w:rsidRPr="0009282C">
        <w:t>of</w:t>
      </w:r>
      <w:r w:rsidRPr="0009282C">
        <w:t xml:space="preserve"> the </w:t>
      </w:r>
      <w:r w:rsidR="00607300" w:rsidRPr="0009282C">
        <w:t xml:space="preserve">clinical </w:t>
      </w:r>
      <w:r w:rsidRPr="0009282C">
        <w:t xml:space="preserve">results for ILLUMINATE-B for both the primary analysis period </w:t>
      </w:r>
      <w:r w:rsidR="00607300" w:rsidRPr="0009282C">
        <w:t xml:space="preserve">(6 months) </w:t>
      </w:r>
      <w:r w:rsidRPr="0009282C">
        <w:t xml:space="preserve">and extension period </w:t>
      </w:r>
      <w:r w:rsidR="00607300" w:rsidRPr="0009282C">
        <w:t>(</w:t>
      </w:r>
      <w:r w:rsidR="00907C72" w:rsidRPr="0009282C">
        <w:t>30</w:t>
      </w:r>
      <w:r w:rsidR="00607300" w:rsidRPr="0009282C">
        <w:t xml:space="preserve"> months) </w:t>
      </w:r>
      <w:r w:rsidR="00CE1AD7" w:rsidRPr="0009282C">
        <w:t>is</w:t>
      </w:r>
      <w:r w:rsidR="00607300" w:rsidRPr="0009282C">
        <w:t xml:space="preserve"> provided </w:t>
      </w:r>
      <w:r w:rsidR="000004E5" w:rsidRPr="0009282C">
        <w:t xml:space="preserve">in </w:t>
      </w:r>
      <w:r w:rsidR="008157D0" w:rsidRPr="0009282C">
        <w:fldChar w:fldCharType="begin" w:fldLock="1"/>
      </w:r>
      <w:r w:rsidR="008157D0" w:rsidRPr="0009282C">
        <w:instrText xml:space="preserve"> REF _Ref185851556 \h </w:instrText>
      </w:r>
      <w:r w:rsidR="008157D0" w:rsidRPr="0009282C">
        <w:fldChar w:fldCharType="separate"/>
      </w:r>
      <w:r w:rsidR="00771DFF" w:rsidRPr="0009282C">
        <w:t xml:space="preserve">Table </w:t>
      </w:r>
      <w:r w:rsidR="00771DFF">
        <w:rPr>
          <w:noProof/>
        </w:rPr>
        <w:t>6</w:t>
      </w:r>
      <w:r w:rsidR="008157D0" w:rsidRPr="0009282C">
        <w:fldChar w:fldCharType="end"/>
      </w:r>
      <w:r w:rsidR="00607300" w:rsidRPr="0009282C">
        <w:t>.</w:t>
      </w:r>
    </w:p>
    <w:p w14:paraId="67C7ADEE" w14:textId="78DC2871" w:rsidR="008157D0" w:rsidRPr="0009282C" w:rsidRDefault="008157D0" w:rsidP="008157D0">
      <w:pPr>
        <w:pStyle w:val="Caption"/>
      </w:pPr>
      <w:bookmarkStart w:id="37" w:name="_Ref185851556"/>
      <w:r w:rsidRPr="0009282C">
        <w:t xml:space="preserve">Table </w:t>
      </w:r>
      <w:r w:rsidR="000D4330">
        <w:fldChar w:fldCharType="begin" w:fldLock="1"/>
      </w:r>
      <w:r w:rsidR="000D4330">
        <w:instrText xml:space="preserve"> SEQ Table \* ARABIC </w:instrText>
      </w:r>
      <w:r w:rsidR="000D4330">
        <w:fldChar w:fldCharType="separate"/>
      </w:r>
      <w:r w:rsidR="00771DFF">
        <w:rPr>
          <w:noProof/>
        </w:rPr>
        <w:t>6</w:t>
      </w:r>
      <w:r w:rsidR="000D4330">
        <w:rPr>
          <w:noProof/>
        </w:rPr>
        <w:fldChar w:fldCharType="end"/>
      </w:r>
      <w:bookmarkEnd w:id="37"/>
      <w:r w:rsidR="000004E5" w:rsidRPr="0009282C">
        <w:t xml:space="preserve">: </w:t>
      </w:r>
      <w:r w:rsidRPr="0009282C">
        <w:t>Primary and secondary outcomes reported in ILLUMINATE-B to 6 months and 30 months</w:t>
      </w:r>
    </w:p>
    <w:tbl>
      <w:tblPr>
        <w:tblStyle w:val="TableGrid"/>
        <w:tblW w:w="8926" w:type="dxa"/>
        <w:tblLook w:val="04A0" w:firstRow="1" w:lastRow="0" w:firstColumn="1" w:lastColumn="0" w:noHBand="0" w:noVBand="1"/>
      </w:tblPr>
      <w:tblGrid>
        <w:gridCol w:w="6941"/>
        <w:gridCol w:w="1985"/>
      </w:tblGrid>
      <w:tr w:rsidR="005A013E" w:rsidRPr="0009282C" w14:paraId="617EDE9B" w14:textId="77777777" w:rsidTr="005A013E">
        <w:trPr>
          <w:trHeight w:val="167"/>
        </w:trPr>
        <w:tc>
          <w:tcPr>
            <w:tcW w:w="6941" w:type="dxa"/>
            <w:vAlign w:val="center"/>
          </w:tcPr>
          <w:p w14:paraId="20D62A67" w14:textId="5FE900AA" w:rsidR="005A013E" w:rsidRPr="0009282C" w:rsidRDefault="005A013E" w:rsidP="008157D0">
            <w:pPr>
              <w:pStyle w:val="TableText0"/>
            </w:pPr>
            <w:r w:rsidRPr="0009282C">
              <w:rPr>
                <w:b/>
                <w:bCs w:val="0"/>
              </w:rPr>
              <w:t>ILLUMINATE-B (primary analysis period to 6 months)</w:t>
            </w:r>
          </w:p>
        </w:tc>
        <w:tc>
          <w:tcPr>
            <w:tcW w:w="1985" w:type="dxa"/>
            <w:vAlign w:val="center"/>
          </w:tcPr>
          <w:p w14:paraId="5325857D" w14:textId="2A9FDC8F" w:rsidR="005A013E" w:rsidRPr="0009282C" w:rsidRDefault="005A013E" w:rsidP="00CC2380">
            <w:pPr>
              <w:pStyle w:val="TableText0"/>
              <w:jc w:val="center"/>
              <w:rPr>
                <w:b/>
                <w:bCs w:val="0"/>
              </w:rPr>
            </w:pPr>
            <w:proofErr w:type="spellStart"/>
            <w:r w:rsidRPr="0009282C">
              <w:rPr>
                <w:b/>
                <w:bCs w:val="0"/>
              </w:rPr>
              <w:t>Lumasiran</w:t>
            </w:r>
            <w:proofErr w:type="spellEnd"/>
            <w:r w:rsidRPr="0009282C">
              <w:rPr>
                <w:b/>
                <w:bCs w:val="0"/>
              </w:rPr>
              <w:t xml:space="preserve"> (n=18)</w:t>
            </w:r>
          </w:p>
        </w:tc>
      </w:tr>
      <w:tr w:rsidR="00EE6E91" w:rsidRPr="0009282C" w14:paraId="6146F4BD" w14:textId="77777777" w:rsidTr="00784D16">
        <w:trPr>
          <w:trHeight w:val="183"/>
        </w:trPr>
        <w:tc>
          <w:tcPr>
            <w:tcW w:w="6941" w:type="dxa"/>
          </w:tcPr>
          <w:p w14:paraId="0B7C3950" w14:textId="23647C9C" w:rsidR="00EE6E91" w:rsidRPr="0009282C" w:rsidRDefault="00702E23" w:rsidP="008157D0">
            <w:pPr>
              <w:pStyle w:val="TableText0"/>
            </w:pPr>
            <w:r w:rsidRPr="0009282C">
              <w:t>Percent</w:t>
            </w:r>
            <w:r w:rsidR="00EE6E91" w:rsidRPr="0009282C">
              <w:t xml:space="preserve"> change in spot urinary </w:t>
            </w:r>
            <w:proofErr w:type="spellStart"/>
            <w:r w:rsidR="00EE6E91" w:rsidRPr="0009282C">
              <w:t>oxalate:creatinine</w:t>
            </w:r>
            <w:proofErr w:type="spellEnd"/>
            <w:r w:rsidR="00EE6E91" w:rsidRPr="0009282C">
              <w:t xml:space="preserve"> ratio from baseline to </w:t>
            </w:r>
            <w:r w:rsidRPr="0009282C">
              <w:t>month</w:t>
            </w:r>
            <w:r w:rsidR="00EE6E91" w:rsidRPr="0009282C">
              <w:t xml:space="preserve"> 6, </w:t>
            </w:r>
            <w:r w:rsidRPr="0009282C">
              <w:t xml:space="preserve">%, </w:t>
            </w:r>
            <w:r w:rsidR="00EE6E91" w:rsidRPr="0009282C">
              <w:t>LSM</w:t>
            </w:r>
            <w:r w:rsidR="006E190A" w:rsidRPr="0009282C">
              <w:t xml:space="preserve"> (95% CI)</w:t>
            </w:r>
          </w:p>
        </w:tc>
        <w:tc>
          <w:tcPr>
            <w:tcW w:w="1985" w:type="dxa"/>
            <w:vAlign w:val="center"/>
          </w:tcPr>
          <w:p w14:paraId="37AF75CC" w14:textId="73FF6787" w:rsidR="00EE6E91" w:rsidRPr="0009282C" w:rsidRDefault="00EE6E91" w:rsidP="00CC2380">
            <w:pPr>
              <w:pStyle w:val="TableText0"/>
              <w:jc w:val="center"/>
              <w:rPr>
                <w:rFonts w:eastAsia="MS Gothic" w:cs="Times New Roman"/>
                <w:b/>
                <w:sz w:val="22"/>
                <w:szCs w:val="22"/>
              </w:rPr>
            </w:pPr>
            <w:r w:rsidRPr="0009282C">
              <w:rPr>
                <w:b/>
              </w:rPr>
              <w:t>-72</w:t>
            </w:r>
            <w:r w:rsidR="00B87F58" w:rsidRPr="0009282C">
              <w:rPr>
                <w:b/>
              </w:rPr>
              <w:t>.0</w:t>
            </w:r>
            <w:r w:rsidRPr="0009282C">
              <w:rPr>
                <w:b/>
              </w:rPr>
              <w:t xml:space="preserve"> (</w:t>
            </w:r>
            <w:r w:rsidR="000004E5" w:rsidRPr="0009282C">
              <w:rPr>
                <w:b/>
              </w:rPr>
              <w:t>-</w:t>
            </w:r>
            <w:r w:rsidRPr="0009282C">
              <w:rPr>
                <w:b/>
              </w:rPr>
              <w:t xml:space="preserve">77.5, </w:t>
            </w:r>
            <w:r w:rsidR="000004E5" w:rsidRPr="0009282C">
              <w:rPr>
                <w:b/>
              </w:rPr>
              <w:t>-</w:t>
            </w:r>
            <w:r w:rsidRPr="0009282C">
              <w:rPr>
                <w:b/>
              </w:rPr>
              <w:t>66.4)**</w:t>
            </w:r>
          </w:p>
        </w:tc>
      </w:tr>
      <w:tr w:rsidR="00EE6E91" w:rsidRPr="0009282C" w14:paraId="2CF74983" w14:textId="77777777" w:rsidTr="00784D16">
        <w:trPr>
          <w:trHeight w:val="88"/>
        </w:trPr>
        <w:tc>
          <w:tcPr>
            <w:tcW w:w="6941" w:type="dxa"/>
          </w:tcPr>
          <w:p w14:paraId="7A27EA7F" w14:textId="7C01A0C4" w:rsidR="00EE6E91" w:rsidRPr="0009282C" w:rsidRDefault="00EE6E91" w:rsidP="008157D0">
            <w:pPr>
              <w:pStyle w:val="TableText0"/>
            </w:pPr>
            <w:r w:rsidRPr="0009282C">
              <w:t xml:space="preserve">Absolute change in spot urinary </w:t>
            </w:r>
            <w:proofErr w:type="spellStart"/>
            <w:r w:rsidRPr="0009282C">
              <w:t>oxalate:creatinine</w:t>
            </w:r>
            <w:proofErr w:type="spellEnd"/>
            <w:r w:rsidRPr="0009282C">
              <w:t xml:space="preserve"> ratio from baseline to </w:t>
            </w:r>
            <w:r w:rsidR="00702E23" w:rsidRPr="0009282C">
              <w:t>month</w:t>
            </w:r>
            <w:r w:rsidR="00702E23" w:rsidRPr="0009282C">
              <w:rPr>
                <w:rFonts w:ascii="Arial" w:hAnsi="Arial" w:cs="Arial"/>
              </w:rPr>
              <w:t> </w:t>
            </w:r>
            <w:r w:rsidR="00702E23" w:rsidRPr="0009282C">
              <w:t>6, mmol/mmol</w:t>
            </w:r>
            <w:r w:rsidRPr="0009282C">
              <w:t>, LSM</w:t>
            </w:r>
            <w:r w:rsidR="006E190A" w:rsidRPr="0009282C">
              <w:t xml:space="preserve"> (95% CI)</w:t>
            </w:r>
          </w:p>
        </w:tc>
        <w:tc>
          <w:tcPr>
            <w:tcW w:w="1985" w:type="dxa"/>
            <w:vAlign w:val="center"/>
          </w:tcPr>
          <w:p w14:paraId="685C034B" w14:textId="626D3060" w:rsidR="00EE6E91" w:rsidRPr="0009282C" w:rsidRDefault="00EE6E91" w:rsidP="00CC2380">
            <w:pPr>
              <w:pStyle w:val="TableText0"/>
              <w:jc w:val="center"/>
              <w:rPr>
                <w:rFonts w:eastAsia="MS Gothic" w:cs="Times New Roman"/>
                <w:sz w:val="22"/>
                <w:szCs w:val="22"/>
              </w:rPr>
            </w:pPr>
            <w:r w:rsidRPr="0009282C">
              <w:t>-0.49 (</w:t>
            </w:r>
            <w:r w:rsidR="000004E5" w:rsidRPr="0009282C">
              <w:t>-</w:t>
            </w:r>
            <w:r w:rsidRPr="0009282C">
              <w:t xml:space="preserve">0.52, </w:t>
            </w:r>
            <w:r w:rsidR="000004E5" w:rsidRPr="0009282C">
              <w:t>-</w:t>
            </w:r>
            <w:r w:rsidRPr="0009282C">
              <w:t>0.46)</w:t>
            </w:r>
          </w:p>
        </w:tc>
      </w:tr>
      <w:tr w:rsidR="00EE6E91" w:rsidRPr="0009282C" w14:paraId="0E3EFC3F" w14:textId="77777777" w:rsidTr="00784D16">
        <w:trPr>
          <w:trHeight w:val="88"/>
        </w:trPr>
        <w:tc>
          <w:tcPr>
            <w:tcW w:w="6941" w:type="dxa"/>
          </w:tcPr>
          <w:p w14:paraId="25CBE455" w14:textId="6EF3638D" w:rsidR="00EE6E91" w:rsidRPr="0009282C" w:rsidRDefault="00EE6E91" w:rsidP="008157D0">
            <w:pPr>
              <w:pStyle w:val="TableText0"/>
              <w:rPr>
                <w:vertAlign w:val="superscript"/>
              </w:rPr>
            </w:pPr>
            <w:r w:rsidRPr="0009282C">
              <w:t xml:space="preserve">Proportion of patients with spot urinary oxalate excretion ≤ULN at </w:t>
            </w:r>
            <w:r w:rsidR="00702E23" w:rsidRPr="0009282C">
              <w:t>month</w:t>
            </w:r>
            <w:r w:rsidRPr="0009282C">
              <w:t xml:space="preserve"> 6</w:t>
            </w:r>
            <w:r w:rsidR="009E01C1" w:rsidRPr="0009282C">
              <w:rPr>
                <w:vertAlign w:val="superscript"/>
              </w:rPr>
              <w:t>a</w:t>
            </w:r>
          </w:p>
        </w:tc>
        <w:tc>
          <w:tcPr>
            <w:tcW w:w="1985" w:type="dxa"/>
            <w:vAlign w:val="center"/>
          </w:tcPr>
          <w:p w14:paraId="1A035E22" w14:textId="0A3F1D26" w:rsidR="00EE6E91" w:rsidRPr="0009282C" w:rsidRDefault="00B270DC" w:rsidP="00CC2380">
            <w:pPr>
              <w:pStyle w:val="TableText0"/>
              <w:jc w:val="center"/>
              <w:rPr>
                <w:rFonts w:eastAsia="MS Gothic" w:cs="Times New Roman"/>
                <w:sz w:val="22"/>
                <w:szCs w:val="22"/>
              </w:rPr>
            </w:pPr>
            <w:r w:rsidRPr="0009282C">
              <w:t>0.0</w:t>
            </w:r>
            <w:r w:rsidR="00EE6E91" w:rsidRPr="0009282C">
              <w:t>6</w:t>
            </w:r>
          </w:p>
        </w:tc>
      </w:tr>
      <w:tr w:rsidR="00EE6E91" w:rsidRPr="0009282C" w14:paraId="568120ED" w14:textId="77777777" w:rsidTr="00784D16">
        <w:trPr>
          <w:trHeight w:val="88"/>
        </w:trPr>
        <w:tc>
          <w:tcPr>
            <w:tcW w:w="6941" w:type="dxa"/>
          </w:tcPr>
          <w:p w14:paraId="215FB1B7" w14:textId="324DF746" w:rsidR="00EE6E91" w:rsidRPr="0009282C" w:rsidRDefault="00EE6E91" w:rsidP="008157D0">
            <w:pPr>
              <w:pStyle w:val="TableText0"/>
            </w:pPr>
            <w:r w:rsidRPr="0009282C">
              <w:t xml:space="preserve">Proportion of patients with spot urinary oxalate excretion ≤1.5×ULN at </w:t>
            </w:r>
            <w:r w:rsidR="00702E23" w:rsidRPr="0009282C">
              <w:t>month</w:t>
            </w:r>
            <w:r w:rsidRPr="0009282C">
              <w:t xml:space="preserve"> 6</w:t>
            </w:r>
            <w:r w:rsidR="009E01C1" w:rsidRPr="0009282C">
              <w:rPr>
                <w:vertAlign w:val="superscript"/>
              </w:rPr>
              <w:t>a</w:t>
            </w:r>
          </w:p>
        </w:tc>
        <w:tc>
          <w:tcPr>
            <w:tcW w:w="1985" w:type="dxa"/>
            <w:vAlign w:val="center"/>
          </w:tcPr>
          <w:p w14:paraId="6F316F20" w14:textId="7414024E" w:rsidR="00EE6E91" w:rsidRPr="0009282C" w:rsidRDefault="00AD29BB" w:rsidP="00CC2380">
            <w:pPr>
              <w:pStyle w:val="TableText0"/>
              <w:jc w:val="center"/>
              <w:rPr>
                <w:rFonts w:eastAsia="MS Gothic" w:cs="Times New Roman"/>
                <w:sz w:val="22"/>
                <w:szCs w:val="22"/>
              </w:rPr>
            </w:pPr>
            <w:r w:rsidRPr="0009282C">
              <w:t>0.</w:t>
            </w:r>
            <w:r w:rsidR="00EE6E91" w:rsidRPr="0009282C">
              <w:t>50</w:t>
            </w:r>
          </w:p>
        </w:tc>
      </w:tr>
      <w:tr w:rsidR="00EE6E91" w:rsidRPr="0009282C" w14:paraId="0A23A550" w14:textId="77777777" w:rsidTr="00784D16">
        <w:trPr>
          <w:trHeight w:val="133"/>
        </w:trPr>
        <w:tc>
          <w:tcPr>
            <w:tcW w:w="6941" w:type="dxa"/>
          </w:tcPr>
          <w:p w14:paraId="32D8F924" w14:textId="3EA96E49" w:rsidR="00EE6E91" w:rsidRPr="0009282C" w:rsidRDefault="00EE6E91" w:rsidP="008157D0">
            <w:pPr>
              <w:pStyle w:val="TableText0"/>
              <w:rPr>
                <w:vertAlign w:val="superscript"/>
              </w:rPr>
            </w:pPr>
            <w:r w:rsidRPr="0009282C">
              <w:t xml:space="preserve">Absolute change in plasma oxalate from baseline to </w:t>
            </w:r>
            <w:r w:rsidR="00702E23" w:rsidRPr="0009282C">
              <w:t>month</w:t>
            </w:r>
            <w:r w:rsidRPr="0009282C">
              <w:t xml:space="preserve"> 6, </w:t>
            </w:r>
            <w:proofErr w:type="spellStart"/>
            <w:r w:rsidR="00702E23" w:rsidRPr="0009282C">
              <w:t>μmol</w:t>
            </w:r>
            <w:proofErr w:type="spellEnd"/>
            <w:r w:rsidR="00702E23" w:rsidRPr="0009282C">
              <w:t xml:space="preserve">/L, </w:t>
            </w:r>
            <w:proofErr w:type="spellStart"/>
            <w:r w:rsidRPr="0009282C">
              <w:t>LSM</w:t>
            </w:r>
            <w:r w:rsidR="009E01C1" w:rsidRPr="0009282C">
              <w:rPr>
                <w:vertAlign w:val="superscript"/>
              </w:rPr>
              <w:t>b</w:t>
            </w:r>
            <w:proofErr w:type="spellEnd"/>
            <w:r w:rsidR="006E190A" w:rsidRPr="0009282C">
              <w:rPr>
                <w:vertAlign w:val="superscript"/>
              </w:rPr>
              <w:t xml:space="preserve"> </w:t>
            </w:r>
            <w:r w:rsidR="006E190A" w:rsidRPr="0009282C">
              <w:t>(95% CI)</w:t>
            </w:r>
          </w:p>
        </w:tc>
        <w:tc>
          <w:tcPr>
            <w:tcW w:w="1985" w:type="dxa"/>
            <w:vAlign w:val="center"/>
          </w:tcPr>
          <w:p w14:paraId="48DABA23" w14:textId="77777777" w:rsidR="00EE6E91" w:rsidRPr="0009282C" w:rsidRDefault="00EE6E91" w:rsidP="00CC2380">
            <w:pPr>
              <w:pStyle w:val="TableText0"/>
              <w:jc w:val="center"/>
              <w:rPr>
                <w:rFonts w:eastAsia="MS Gothic" w:cs="Times New Roman"/>
                <w:sz w:val="22"/>
                <w:szCs w:val="22"/>
              </w:rPr>
            </w:pPr>
            <w:r w:rsidRPr="0009282C">
              <w:t>-5.2 (-6.2, -4.2)</w:t>
            </w:r>
          </w:p>
        </w:tc>
      </w:tr>
      <w:tr w:rsidR="00EE6E91" w:rsidRPr="0009282C" w14:paraId="3A4A922E" w14:textId="77777777" w:rsidTr="00784D16">
        <w:trPr>
          <w:trHeight w:val="180"/>
        </w:trPr>
        <w:tc>
          <w:tcPr>
            <w:tcW w:w="6941" w:type="dxa"/>
          </w:tcPr>
          <w:p w14:paraId="1489A450" w14:textId="04F8BB6B" w:rsidR="00EE6E91" w:rsidRPr="0009282C" w:rsidRDefault="00702E23" w:rsidP="008157D0">
            <w:pPr>
              <w:pStyle w:val="TableText0"/>
              <w:rPr>
                <w:vertAlign w:val="superscript"/>
              </w:rPr>
            </w:pPr>
            <w:r w:rsidRPr="0009282C">
              <w:t>Percent</w:t>
            </w:r>
            <w:r w:rsidR="00EE6E91" w:rsidRPr="0009282C">
              <w:t xml:space="preserve"> change in plasma oxalate from baseline to </w:t>
            </w:r>
            <w:r w:rsidRPr="0009282C">
              <w:t>month</w:t>
            </w:r>
            <w:r w:rsidR="00EE6E91" w:rsidRPr="0009282C">
              <w:t xml:space="preserve"> 6, </w:t>
            </w:r>
            <w:r w:rsidRPr="0009282C">
              <w:t xml:space="preserve">%, </w:t>
            </w:r>
            <w:proofErr w:type="spellStart"/>
            <w:r w:rsidR="00EE6E91" w:rsidRPr="0009282C">
              <w:t>LSM</w:t>
            </w:r>
            <w:r w:rsidR="009E01C1" w:rsidRPr="0009282C">
              <w:rPr>
                <w:vertAlign w:val="superscript"/>
              </w:rPr>
              <w:t>b</w:t>
            </w:r>
            <w:proofErr w:type="spellEnd"/>
            <w:r w:rsidR="006E190A" w:rsidRPr="0009282C">
              <w:rPr>
                <w:vertAlign w:val="superscript"/>
              </w:rPr>
              <w:t xml:space="preserve"> </w:t>
            </w:r>
            <w:r w:rsidR="006E190A" w:rsidRPr="0009282C">
              <w:t>(95% CI)</w:t>
            </w:r>
          </w:p>
        </w:tc>
        <w:tc>
          <w:tcPr>
            <w:tcW w:w="1985" w:type="dxa"/>
            <w:vAlign w:val="center"/>
          </w:tcPr>
          <w:p w14:paraId="7F715804" w14:textId="77777777" w:rsidR="00EE6E91" w:rsidRPr="0009282C" w:rsidRDefault="00EE6E91" w:rsidP="00CC2380">
            <w:pPr>
              <w:pStyle w:val="TableText0"/>
              <w:jc w:val="center"/>
              <w:rPr>
                <w:rFonts w:eastAsia="MS Gothic" w:cs="Times New Roman"/>
                <w:sz w:val="22"/>
                <w:szCs w:val="22"/>
              </w:rPr>
            </w:pPr>
            <w:r w:rsidRPr="0009282C">
              <w:t>-31.7 (-39.5, -23.9)</w:t>
            </w:r>
          </w:p>
        </w:tc>
      </w:tr>
      <w:tr w:rsidR="00EE6E91" w:rsidRPr="0009282C" w14:paraId="1C885916" w14:textId="77777777" w:rsidTr="00784D16">
        <w:trPr>
          <w:trHeight w:val="46"/>
        </w:trPr>
        <w:tc>
          <w:tcPr>
            <w:tcW w:w="6941" w:type="dxa"/>
          </w:tcPr>
          <w:p w14:paraId="59D6CAF2" w14:textId="47783004" w:rsidR="00EE6E91" w:rsidRPr="0009282C" w:rsidRDefault="00EE6E91" w:rsidP="008157D0">
            <w:pPr>
              <w:pStyle w:val="TableText0"/>
            </w:pPr>
            <w:r w:rsidRPr="0009282C">
              <w:t xml:space="preserve">Change from baseline in eGFR at 6 months, </w:t>
            </w:r>
            <w:r w:rsidR="00B15B2C" w:rsidRPr="0009282C">
              <w:t>mL/min/1.73m</w:t>
            </w:r>
            <w:r w:rsidR="00B15B2C" w:rsidRPr="0009282C">
              <w:rPr>
                <w:vertAlign w:val="superscript"/>
              </w:rPr>
              <w:t>2</w:t>
            </w:r>
            <w:r w:rsidR="00B15B2C" w:rsidRPr="0009282C">
              <w:t xml:space="preserve">, </w:t>
            </w:r>
            <w:r w:rsidRPr="0009282C">
              <w:t>mean (SD)</w:t>
            </w:r>
          </w:p>
        </w:tc>
        <w:tc>
          <w:tcPr>
            <w:tcW w:w="1985" w:type="dxa"/>
            <w:vAlign w:val="center"/>
          </w:tcPr>
          <w:p w14:paraId="203496C2" w14:textId="77777777" w:rsidR="00EE6E91" w:rsidRPr="0009282C" w:rsidRDefault="00EE6E91" w:rsidP="00CC2380">
            <w:pPr>
              <w:pStyle w:val="TableText0"/>
              <w:jc w:val="center"/>
              <w:rPr>
                <w:rFonts w:eastAsia="MS Gothic" w:cs="Times New Roman"/>
                <w:sz w:val="22"/>
                <w:szCs w:val="22"/>
              </w:rPr>
            </w:pPr>
            <w:r w:rsidRPr="0009282C">
              <w:t>-0.3 (15)</w:t>
            </w:r>
          </w:p>
        </w:tc>
      </w:tr>
      <w:tr w:rsidR="00EE6E91" w:rsidRPr="0009282C" w14:paraId="4799B09E" w14:textId="77777777" w:rsidTr="00784D16">
        <w:trPr>
          <w:trHeight w:val="46"/>
        </w:trPr>
        <w:tc>
          <w:tcPr>
            <w:tcW w:w="8926" w:type="dxa"/>
            <w:gridSpan w:val="2"/>
            <w:vAlign w:val="center"/>
          </w:tcPr>
          <w:p w14:paraId="35CE54D8" w14:textId="15145A5B" w:rsidR="00EE6E91" w:rsidRPr="0009282C" w:rsidRDefault="00EE6E91" w:rsidP="008157D0">
            <w:pPr>
              <w:pStyle w:val="TableText0"/>
              <w:rPr>
                <w:b/>
                <w:bCs w:val="0"/>
              </w:rPr>
            </w:pPr>
          </w:p>
        </w:tc>
      </w:tr>
      <w:tr w:rsidR="00EE6E91" w:rsidRPr="0009282C" w14:paraId="3DE7C196" w14:textId="77777777" w:rsidTr="00784D16">
        <w:trPr>
          <w:trHeight w:val="46"/>
        </w:trPr>
        <w:tc>
          <w:tcPr>
            <w:tcW w:w="6941" w:type="dxa"/>
            <w:vAlign w:val="center"/>
          </w:tcPr>
          <w:p w14:paraId="6E19888B" w14:textId="48DB0709" w:rsidR="00EE6E91" w:rsidRPr="0009282C" w:rsidRDefault="005A013E" w:rsidP="008157D0">
            <w:pPr>
              <w:pStyle w:val="TableText0"/>
              <w:rPr>
                <w:b/>
                <w:sz w:val="22"/>
                <w:szCs w:val="22"/>
              </w:rPr>
            </w:pPr>
            <w:r w:rsidRPr="0009282C">
              <w:rPr>
                <w:b/>
                <w:bCs w:val="0"/>
              </w:rPr>
              <w:t xml:space="preserve"> ILLUMINATE-B – Extension period (to 30 months</w:t>
            </w:r>
            <w:r w:rsidR="001C5D66" w:rsidRPr="0009282C">
              <w:rPr>
                <w:b/>
                <w:bCs w:val="0"/>
              </w:rPr>
              <w:t>)</w:t>
            </w:r>
          </w:p>
        </w:tc>
        <w:tc>
          <w:tcPr>
            <w:tcW w:w="1985" w:type="dxa"/>
            <w:vAlign w:val="center"/>
          </w:tcPr>
          <w:p w14:paraId="649832F5" w14:textId="5D3EB7CF" w:rsidR="00EE6E91" w:rsidRPr="0009282C" w:rsidRDefault="00EE6E91" w:rsidP="00CC2380">
            <w:pPr>
              <w:pStyle w:val="TableText0"/>
              <w:jc w:val="center"/>
              <w:rPr>
                <w:b/>
                <w:bCs w:val="0"/>
              </w:rPr>
            </w:pPr>
            <w:proofErr w:type="spellStart"/>
            <w:r w:rsidRPr="0009282C">
              <w:rPr>
                <w:b/>
                <w:bCs w:val="0"/>
              </w:rPr>
              <w:t>Lumasiran</w:t>
            </w:r>
            <w:proofErr w:type="spellEnd"/>
            <w:r w:rsidRPr="0009282C">
              <w:rPr>
                <w:b/>
                <w:bCs w:val="0"/>
              </w:rPr>
              <w:t xml:space="preserve"> (n=18)</w:t>
            </w:r>
          </w:p>
        </w:tc>
      </w:tr>
      <w:tr w:rsidR="00EE6E91" w:rsidRPr="0009282C" w14:paraId="5E88D424" w14:textId="77777777" w:rsidTr="00784D16">
        <w:trPr>
          <w:trHeight w:val="46"/>
        </w:trPr>
        <w:tc>
          <w:tcPr>
            <w:tcW w:w="6941" w:type="dxa"/>
            <w:vAlign w:val="center"/>
          </w:tcPr>
          <w:p w14:paraId="7EFA767F" w14:textId="15A9C408" w:rsidR="00EE6E91" w:rsidRPr="0009282C" w:rsidRDefault="00702E23" w:rsidP="008157D0">
            <w:pPr>
              <w:pStyle w:val="TableText0"/>
            </w:pPr>
            <w:r w:rsidRPr="0009282C">
              <w:t>Percent</w:t>
            </w:r>
            <w:r w:rsidR="00EE6E91" w:rsidRPr="0009282C">
              <w:t xml:space="preserve"> change in spot urinary oxalate: creatinine ratio from baseline to </w:t>
            </w:r>
            <w:r w:rsidRPr="0009282C">
              <w:t>month</w:t>
            </w:r>
            <w:r w:rsidR="00EE6E91" w:rsidRPr="0009282C">
              <w:t xml:space="preserve"> 30, %</w:t>
            </w:r>
            <w:r w:rsidR="009E01C1" w:rsidRPr="0009282C">
              <w:rPr>
                <w:vertAlign w:val="superscript"/>
              </w:rPr>
              <w:t>b</w:t>
            </w:r>
          </w:p>
        </w:tc>
        <w:tc>
          <w:tcPr>
            <w:tcW w:w="1985" w:type="dxa"/>
            <w:vAlign w:val="center"/>
          </w:tcPr>
          <w:p w14:paraId="69A0F2A0" w14:textId="3D5C5BC4" w:rsidR="00EE6E91" w:rsidRPr="0009282C" w:rsidRDefault="00EE6E91" w:rsidP="00CC2380">
            <w:pPr>
              <w:pStyle w:val="TableText0"/>
              <w:jc w:val="center"/>
              <w:rPr>
                <w:rFonts w:eastAsia="MS Gothic" w:cs="Times New Roman"/>
                <w:sz w:val="22"/>
                <w:szCs w:val="22"/>
              </w:rPr>
            </w:pPr>
            <w:r w:rsidRPr="0009282C">
              <w:t>-76</w:t>
            </w:r>
            <w:r w:rsidR="003507D6" w:rsidRPr="0009282C">
              <w:t>.0</w:t>
            </w:r>
            <w:r w:rsidRPr="0009282C">
              <w:t xml:space="preserve"> (NR)</w:t>
            </w:r>
          </w:p>
        </w:tc>
      </w:tr>
      <w:tr w:rsidR="00EE6E91" w:rsidRPr="0009282C" w14:paraId="7A13A571" w14:textId="77777777" w:rsidTr="00784D16">
        <w:trPr>
          <w:trHeight w:val="46"/>
        </w:trPr>
        <w:tc>
          <w:tcPr>
            <w:tcW w:w="6941" w:type="dxa"/>
            <w:vAlign w:val="center"/>
          </w:tcPr>
          <w:p w14:paraId="423F581F" w14:textId="2CD21FA1" w:rsidR="00EE6E91" w:rsidRPr="0009282C" w:rsidRDefault="00EE6E91" w:rsidP="008157D0">
            <w:pPr>
              <w:pStyle w:val="TableText0"/>
            </w:pPr>
            <w:r w:rsidRPr="0009282C">
              <w:t xml:space="preserve">Absolute change in spot urinary </w:t>
            </w:r>
            <w:proofErr w:type="spellStart"/>
            <w:r w:rsidRPr="0009282C">
              <w:t>oxalate:creatinine</w:t>
            </w:r>
            <w:proofErr w:type="spellEnd"/>
            <w:r w:rsidRPr="0009282C">
              <w:t xml:space="preserve"> ratio from baseline to </w:t>
            </w:r>
            <w:r w:rsidR="00702E23" w:rsidRPr="0009282C">
              <w:t>Month</w:t>
            </w:r>
            <w:r w:rsidR="00702E23" w:rsidRPr="0009282C">
              <w:rPr>
                <w:rFonts w:ascii="Arial" w:hAnsi="Arial" w:cs="Arial"/>
              </w:rPr>
              <w:t> </w:t>
            </w:r>
            <w:r w:rsidR="00702E23" w:rsidRPr="0009282C">
              <w:t>30, mmol/</w:t>
            </w:r>
            <w:proofErr w:type="spellStart"/>
            <w:r w:rsidR="00702E23" w:rsidRPr="0009282C">
              <w:t>mmol</w:t>
            </w:r>
            <w:r w:rsidR="009E01C1" w:rsidRPr="0009282C">
              <w:rPr>
                <w:vertAlign w:val="superscript"/>
              </w:rPr>
              <w:t>b</w:t>
            </w:r>
            <w:proofErr w:type="spellEnd"/>
            <w:r w:rsidRPr="0009282C">
              <w:rPr>
                <w:vertAlign w:val="superscript"/>
              </w:rPr>
              <w:t xml:space="preserve"> </w:t>
            </w:r>
            <w:r w:rsidRPr="0009282C">
              <w:t>(95% CI)</w:t>
            </w:r>
          </w:p>
        </w:tc>
        <w:tc>
          <w:tcPr>
            <w:tcW w:w="1985" w:type="dxa"/>
            <w:vAlign w:val="center"/>
          </w:tcPr>
          <w:p w14:paraId="13247E72" w14:textId="119553BC" w:rsidR="00EE6E91" w:rsidRPr="0009282C" w:rsidRDefault="00EE6E91" w:rsidP="00CC2380">
            <w:pPr>
              <w:pStyle w:val="TableText0"/>
              <w:jc w:val="center"/>
              <w:rPr>
                <w:rFonts w:eastAsia="MS Gothic"/>
                <w:sz w:val="22"/>
                <w:szCs w:val="22"/>
              </w:rPr>
            </w:pPr>
            <w:r w:rsidRPr="0009282C">
              <w:t>-0.52</w:t>
            </w:r>
            <w:r w:rsidR="000004E5" w:rsidRPr="0009282C">
              <w:t xml:space="preserve"> </w:t>
            </w:r>
            <w:r w:rsidRPr="0009282C">
              <w:t>(NR)</w:t>
            </w:r>
          </w:p>
        </w:tc>
      </w:tr>
      <w:tr w:rsidR="00EE6E91" w:rsidRPr="0009282C" w14:paraId="56DA52F5" w14:textId="77777777" w:rsidTr="00784D16">
        <w:trPr>
          <w:trHeight w:val="46"/>
        </w:trPr>
        <w:tc>
          <w:tcPr>
            <w:tcW w:w="6941" w:type="dxa"/>
            <w:vAlign w:val="center"/>
          </w:tcPr>
          <w:p w14:paraId="5EBECB92" w14:textId="14142A39" w:rsidR="00EE6E91" w:rsidRPr="0009282C" w:rsidRDefault="00EE6E91" w:rsidP="008157D0">
            <w:pPr>
              <w:pStyle w:val="TableText0"/>
            </w:pPr>
            <w:r w:rsidRPr="0009282C">
              <w:rPr>
                <w:rStyle w:val="normaltextrun"/>
              </w:rPr>
              <w:t xml:space="preserve">Proportion of patients with spot urinary oxalate excretion ≤ULN at </w:t>
            </w:r>
            <w:r w:rsidR="00702E23" w:rsidRPr="0009282C">
              <w:rPr>
                <w:rStyle w:val="normaltextrun"/>
              </w:rPr>
              <w:t>month</w:t>
            </w:r>
            <w:r w:rsidRPr="0009282C">
              <w:rPr>
                <w:rStyle w:val="normaltextrun"/>
              </w:rPr>
              <w:t xml:space="preserve"> 30</w:t>
            </w:r>
            <w:r w:rsidR="009E01C1" w:rsidRPr="0009282C">
              <w:rPr>
                <w:rStyle w:val="normaltextrun"/>
                <w:vertAlign w:val="superscript"/>
              </w:rPr>
              <w:t>a</w:t>
            </w:r>
          </w:p>
        </w:tc>
        <w:tc>
          <w:tcPr>
            <w:tcW w:w="1985" w:type="dxa"/>
            <w:vAlign w:val="center"/>
          </w:tcPr>
          <w:p w14:paraId="5894930E" w14:textId="64A4922A" w:rsidR="00EE6E91" w:rsidRPr="0009282C" w:rsidRDefault="00AD29BB" w:rsidP="00CC2380">
            <w:pPr>
              <w:pStyle w:val="TableText0"/>
              <w:jc w:val="center"/>
              <w:rPr>
                <w:rFonts w:eastAsia="MS Gothic" w:cs="Times New Roman"/>
                <w:sz w:val="22"/>
                <w:szCs w:val="22"/>
              </w:rPr>
            </w:pPr>
            <w:r w:rsidRPr="0009282C">
              <w:t>0.</w:t>
            </w:r>
            <w:r w:rsidR="00EE6E91" w:rsidRPr="0009282C">
              <w:t>39</w:t>
            </w:r>
          </w:p>
        </w:tc>
      </w:tr>
      <w:tr w:rsidR="00EE6E91" w:rsidRPr="0009282C" w14:paraId="26500260" w14:textId="77777777" w:rsidTr="00784D16">
        <w:trPr>
          <w:trHeight w:val="46"/>
        </w:trPr>
        <w:tc>
          <w:tcPr>
            <w:tcW w:w="6941" w:type="dxa"/>
            <w:vAlign w:val="center"/>
          </w:tcPr>
          <w:p w14:paraId="10AD56CD" w14:textId="18883DB6" w:rsidR="00EE6E91" w:rsidRPr="0009282C" w:rsidRDefault="00EE6E91" w:rsidP="008157D0">
            <w:pPr>
              <w:pStyle w:val="TableText0"/>
            </w:pPr>
            <w:r w:rsidRPr="0009282C">
              <w:rPr>
                <w:rStyle w:val="normaltextrun"/>
              </w:rPr>
              <w:t xml:space="preserve">Proportion of patients with spot urinary oxalate excretion ≤1.5×ULN at </w:t>
            </w:r>
            <w:r w:rsidR="00702E23" w:rsidRPr="0009282C">
              <w:rPr>
                <w:rStyle w:val="normaltextrun"/>
              </w:rPr>
              <w:t>month</w:t>
            </w:r>
            <w:r w:rsidRPr="0009282C">
              <w:rPr>
                <w:rStyle w:val="normaltextrun"/>
              </w:rPr>
              <w:t xml:space="preserve"> </w:t>
            </w:r>
            <w:r w:rsidR="00F1680E" w:rsidRPr="0009282C">
              <w:rPr>
                <w:rStyle w:val="normaltextrun"/>
              </w:rPr>
              <w:t>30</w:t>
            </w:r>
            <w:r w:rsidR="009E01C1" w:rsidRPr="0009282C">
              <w:rPr>
                <w:rStyle w:val="normaltextrun"/>
                <w:vertAlign w:val="superscript"/>
              </w:rPr>
              <w:t>a</w:t>
            </w:r>
          </w:p>
        </w:tc>
        <w:tc>
          <w:tcPr>
            <w:tcW w:w="1985" w:type="dxa"/>
            <w:vAlign w:val="center"/>
          </w:tcPr>
          <w:p w14:paraId="64E7A91F" w14:textId="3DB42A89" w:rsidR="00EE6E91" w:rsidRPr="0009282C" w:rsidRDefault="00AD29BB" w:rsidP="00CC2380">
            <w:pPr>
              <w:pStyle w:val="TableText0"/>
              <w:jc w:val="center"/>
              <w:rPr>
                <w:rFonts w:eastAsia="MS Gothic" w:cs="Times New Roman"/>
                <w:sz w:val="22"/>
                <w:szCs w:val="22"/>
              </w:rPr>
            </w:pPr>
            <w:r w:rsidRPr="0009282C">
              <w:t>0.</w:t>
            </w:r>
            <w:r w:rsidR="00EE6E91" w:rsidRPr="0009282C">
              <w:t>72</w:t>
            </w:r>
          </w:p>
        </w:tc>
      </w:tr>
      <w:tr w:rsidR="00EE6E91" w:rsidRPr="0009282C" w14:paraId="6DCD9206" w14:textId="77777777" w:rsidTr="00784D16">
        <w:trPr>
          <w:trHeight w:val="46"/>
        </w:trPr>
        <w:tc>
          <w:tcPr>
            <w:tcW w:w="6941" w:type="dxa"/>
            <w:vAlign w:val="center"/>
          </w:tcPr>
          <w:p w14:paraId="6677D6DE" w14:textId="365DC6A1" w:rsidR="00EE6E91" w:rsidRPr="0009282C" w:rsidRDefault="00EE6E91" w:rsidP="008157D0">
            <w:pPr>
              <w:pStyle w:val="TableText0"/>
            </w:pPr>
            <w:r w:rsidRPr="0009282C">
              <w:rPr>
                <w:rStyle w:val="normaltextrun"/>
              </w:rPr>
              <w:t xml:space="preserve">Absolute change in plasma oxalate from baseline to </w:t>
            </w:r>
            <w:r w:rsidR="00702E23" w:rsidRPr="0009282C">
              <w:rPr>
                <w:rStyle w:val="normaltextrun"/>
              </w:rPr>
              <w:t xml:space="preserve">month 30, </w:t>
            </w:r>
            <w:proofErr w:type="spellStart"/>
            <w:r w:rsidR="00702E23" w:rsidRPr="0009282C">
              <w:t>μmol</w:t>
            </w:r>
            <w:proofErr w:type="spellEnd"/>
            <w:r w:rsidR="00702E23" w:rsidRPr="0009282C">
              <w:t>/</w:t>
            </w:r>
            <w:proofErr w:type="spellStart"/>
            <w:r w:rsidR="00702E23" w:rsidRPr="0009282C">
              <w:t>L</w:t>
            </w:r>
            <w:r w:rsidR="009E01C1" w:rsidRPr="0009282C">
              <w:rPr>
                <w:vertAlign w:val="superscript"/>
              </w:rPr>
              <w:t>b</w:t>
            </w:r>
            <w:r w:rsidRPr="0009282C">
              <w:rPr>
                <w:vertAlign w:val="superscript"/>
              </w:rPr>
              <w:t>,</w:t>
            </w:r>
            <w:r w:rsidR="009E01C1" w:rsidRPr="0009282C">
              <w:rPr>
                <w:vertAlign w:val="superscript"/>
              </w:rPr>
              <w:t>c</w:t>
            </w:r>
            <w:proofErr w:type="spellEnd"/>
            <w:r w:rsidR="006E190A" w:rsidRPr="0009282C">
              <w:t xml:space="preserve"> </w:t>
            </w:r>
            <w:r w:rsidR="00A319D0" w:rsidRPr="0009282C">
              <w:t>(SEM)</w:t>
            </w:r>
          </w:p>
        </w:tc>
        <w:tc>
          <w:tcPr>
            <w:tcW w:w="1985" w:type="dxa"/>
            <w:vAlign w:val="center"/>
          </w:tcPr>
          <w:p w14:paraId="1E7AF31E" w14:textId="77777777" w:rsidR="00EE6E91" w:rsidRPr="0009282C" w:rsidRDefault="00EE6E91" w:rsidP="00CC2380">
            <w:pPr>
              <w:pStyle w:val="TableText0"/>
              <w:jc w:val="center"/>
              <w:rPr>
                <w:rFonts w:eastAsia="MS Gothic" w:cs="Times New Roman"/>
                <w:sz w:val="22"/>
                <w:szCs w:val="22"/>
              </w:rPr>
            </w:pPr>
            <w:r w:rsidRPr="0009282C">
              <w:t>-6.94 (1.57)</w:t>
            </w:r>
          </w:p>
        </w:tc>
      </w:tr>
      <w:tr w:rsidR="00EE6E91" w:rsidRPr="0009282C" w14:paraId="49398D0F" w14:textId="77777777" w:rsidTr="00784D16">
        <w:trPr>
          <w:trHeight w:val="46"/>
        </w:trPr>
        <w:tc>
          <w:tcPr>
            <w:tcW w:w="6941" w:type="dxa"/>
            <w:vAlign w:val="center"/>
          </w:tcPr>
          <w:p w14:paraId="0267DF01" w14:textId="17E8E1E8" w:rsidR="00EE6E91" w:rsidRPr="0009282C" w:rsidRDefault="00702E23" w:rsidP="008157D0">
            <w:pPr>
              <w:pStyle w:val="TableText0"/>
            </w:pPr>
            <w:r w:rsidRPr="0009282C">
              <w:rPr>
                <w:rStyle w:val="normaltextrun"/>
              </w:rPr>
              <w:t>Percent</w:t>
            </w:r>
            <w:r w:rsidR="00EE6E91" w:rsidRPr="0009282C">
              <w:rPr>
                <w:rStyle w:val="normaltextrun"/>
              </w:rPr>
              <w:t xml:space="preserve"> change in plasma oxalate from baseline to </w:t>
            </w:r>
            <w:r w:rsidRPr="0009282C">
              <w:rPr>
                <w:rStyle w:val="normaltextrun"/>
              </w:rPr>
              <w:t>month 30, %</w:t>
            </w:r>
            <w:proofErr w:type="spellStart"/>
            <w:r w:rsidR="009E01C1" w:rsidRPr="0009282C">
              <w:rPr>
                <w:vertAlign w:val="superscript"/>
              </w:rPr>
              <w:t>b</w:t>
            </w:r>
            <w:r w:rsidR="00EE6E91" w:rsidRPr="0009282C">
              <w:rPr>
                <w:vertAlign w:val="superscript"/>
              </w:rPr>
              <w:t>,</w:t>
            </w:r>
            <w:r w:rsidR="009E01C1" w:rsidRPr="0009282C">
              <w:rPr>
                <w:vertAlign w:val="superscript"/>
              </w:rPr>
              <w:t>c</w:t>
            </w:r>
            <w:proofErr w:type="spellEnd"/>
            <w:r w:rsidR="006E190A" w:rsidRPr="0009282C">
              <w:t xml:space="preserve"> </w:t>
            </w:r>
            <w:r w:rsidR="00A319D0" w:rsidRPr="0009282C">
              <w:t>(SEM)</w:t>
            </w:r>
          </w:p>
        </w:tc>
        <w:tc>
          <w:tcPr>
            <w:tcW w:w="1985" w:type="dxa"/>
            <w:vAlign w:val="center"/>
          </w:tcPr>
          <w:p w14:paraId="65E2CF5A" w14:textId="77777777" w:rsidR="00EE6E91" w:rsidRPr="0009282C" w:rsidRDefault="00EE6E91" w:rsidP="00CC2380">
            <w:pPr>
              <w:pStyle w:val="TableText0"/>
              <w:jc w:val="center"/>
              <w:rPr>
                <w:rFonts w:eastAsia="MS Gothic" w:cs="Times New Roman"/>
                <w:sz w:val="22"/>
                <w:szCs w:val="22"/>
              </w:rPr>
            </w:pPr>
            <w:r w:rsidRPr="0009282C">
              <w:t>-42.48 (6.01)</w:t>
            </w:r>
          </w:p>
        </w:tc>
      </w:tr>
      <w:tr w:rsidR="00EE6E91" w:rsidRPr="0009282C" w14:paraId="591EA93D" w14:textId="77777777" w:rsidTr="00784D16">
        <w:trPr>
          <w:trHeight w:val="46"/>
        </w:trPr>
        <w:tc>
          <w:tcPr>
            <w:tcW w:w="6941" w:type="dxa"/>
            <w:vAlign w:val="center"/>
          </w:tcPr>
          <w:p w14:paraId="3FE54F5E" w14:textId="2A5D4194" w:rsidR="00EE6E91" w:rsidRPr="0009282C" w:rsidRDefault="00EE6E91" w:rsidP="008157D0">
            <w:pPr>
              <w:pStyle w:val="TableText0"/>
            </w:pPr>
            <w:r w:rsidRPr="0009282C">
              <w:rPr>
                <w:rStyle w:val="normaltextrun"/>
              </w:rPr>
              <w:t>Change from baseline in eGFR</w:t>
            </w:r>
            <w:r w:rsidR="009350FE">
              <w:rPr>
                <w:rStyle w:val="normaltextrun"/>
              </w:rPr>
              <w:t xml:space="preserve"> </w:t>
            </w:r>
            <w:r w:rsidRPr="0009282C">
              <w:rPr>
                <w:rStyle w:val="normaltextrun"/>
              </w:rPr>
              <w:t xml:space="preserve">at 30 months, </w:t>
            </w:r>
            <w:r w:rsidR="0048032C" w:rsidRPr="0009282C">
              <w:rPr>
                <w:rStyle w:val="normaltextrun"/>
              </w:rPr>
              <w:t>mL/min/1.73m</w:t>
            </w:r>
            <w:r w:rsidR="0048032C" w:rsidRPr="0009282C">
              <w:rPr>
                <w:rStyle w:val="normaltextrun"/>
                <w:vertAlign w:val="superscript"/>
              </w:rPr>
              <w:t>2</w:t>
            </w:r>
            <w:r w:rsidR="0048032C" w:rsidRPr="0009282C">
              <w:rPr>
                <w:rStyle w:val="normaltextrun"/>
              </w:rPr>
              <w:t xml:space="preserve">, </w:t>
            </w:r>
            <w:r w:rsidRPr="0009282C">
              <w:rPr>
                <w:rStyle w:val="normaltextrun"/>
              </w:rPr>
              <w:t>mean (SD)</w:t>
            </w:r>
          </w:p>
        </w:tc>
        <w:tc>
          <w:tcPr>
            <w:tcW w:w="1985" w:type="dxa"/>
            <w:vAlign w:val="center"/>
          </w:tcPr>
          <w:p w14:paraId="5B229799" w14:textId="77777777" w:rsidR="00EE6E91" w:rsidRPr="0009282C" w:rsidRDefault="00EE6E91" w:rsidP="00CC2380">
            <w:pPr>
              <w:pStyle w:val="TableText0"/>
              <w:jc w:val="center"/>
              <w:rPr>
                <w:sz w:val="22"/>
                <w:szCs w:val="22"/>
              </w:rPr>
            </w:pPr>
            <w:r w:rsidRPr="0009282C">
              <w:t>NR</w:t>
            </w:r>
          </w:p>
        </w:tc>
      </w:tr>
    </w:tbl>
    <w:p w14:paraId="09FFB328" w14:textId="7B145F53" w:rsidR="00EE6E91" w:rsidRPr="0009282C" w:rsidRDefault="00580660" w:rsidP="001E6A64">
      <w:pPr>
        <w:pStyle w:val="TableFigureFooter"/>
      </w:pPr>
      <w:r w:rsidRPr="0009282C">
        <w:t>Abbreviations:</w:t>
      </w:r>
      <w:r w:rsidR="656B3B02" w:rsidRPr="0009282C">
        <w:t xml:space="preserve"> CI, confidence interval; eGFR; estimated glomerular filtration rate; LLOQ, lower limit of quantification; LSM, least squares mean; NR, not reported; SD, standard deviation; SEM, standard error of the mean; ULN, upper limit of normal. </w:t>
      </w:r>
    </w:p>
    <w:p w14:paraId="7B88AB2D" w14:textId="77777777" w:rsidR="00EE6E91" w:rsidRPr="0009282C" w:rsidRDefault="656B3B02" w:rsidP="001E6A64">
      <w:pPr>
        <w:pStyle w:val="TableFigureFooter"/>
      </w:pPr>
      <w:r w:rsidRPr="0009282C">
        <w:t>** P value of &lt;0.05 = statistically significant</w:t>
      </w:r>
    </w:p>
    <w:p w14:paraId="0D085077" w14:textId="087EFFEB" w:rsidR="009E01C1" w:rsidRPr="0009282C" w:rsidRDefault="009E01C1" w:rsidP="001E6A64">
      <w:pPr>
        <w:pStyle w:val="TableFigureFooter"/>
      </w:pPr>
      <w:r w:rsidRPr="0009282C">
        <w:rPr>
          <w:vertAlign w:val="superscript"/>
        </w:rPr>
        <w:t>a</w:t>
      </w:r>
      <w:r w:rsidRPr="0009282C">
        <w:t xml:space="preserve"> Proportion of patients at 6 months with normal or near normal spot (≤1.5xULN, ULN=0.514 mmol/24hr/1.73m2 for 24-hour urinary oxalate corrected for BSA) urinary oxalate excretion but is not a mean change  </w:t>
      </w:r>
    </w:p>
    <w:p w14:paraId="3866017C" w14:textId="56A999D0" w:rsidR="00EE6E91" w:rsidRPr="0009282C" w:rsidRDefault="009E01C1" w:rsidP="001E6A64">
      <w:pPr>
        <w:pStyle w:val="TableFigureFooter"/>
      </w:pPr>
      <w:r w:rsidRPr="0009282C">
        <w:rPr>
          <w:vertAlign w:val="superscript"/>
        </w:rPr>
        <w:t>b</w:t>
      </w:r>
      <w:r w:rsidR="656B3B02" w:rsidRPr="0009282C">
        <w:rPr>
          <w:vertAlign w:val="superscript"/>
        </w:rPr>
        <w:t xml:space="preserve"> </w:t>
      </w:r>
      <w:r w:rsidR="656B3B02" w:rsidRPr="0009282C">
        <w:t xml:space="preserve">Plasma oxalate outcomes were analysed in the Plasma Oxalate Analysis Set, defined as those patients who received any amount of study drug and had baseline plasma oxalate level ≥1.5×LLOQ. LLOQ is 5.55 </w:t>
      </w:r>
      <w:proofErr w:type="spellStart"/>
      <w:r w:rsidR="656B3B02" w:rsidRPr="0009282C">
        <w:t>μmol</w:t>
      </w:r>
      <w:proofErr w:type="spellEnd"/>
      <w:r w:rsidR="656B3B02" w:rsidRPr="0009282C">
        <w:t xml:space="preserve">/L. This included 13 patients in the </w:t>
      </w:r>
      <w:proofErr w:type="spellStart"/>
      <w:r w:rsidR="656B3B02" w:rsidRPr="0009282C">
        <w:t>lumasiran</w:t>
      </w:r>
      <w:proofErr w:type="spellEnd"/>
      <w:r w:rsidR="656B3B02" w:rsidRPr="0009282C">
        <w:t xml:space="preserve"> arm.</w:t>
      </w:r>
    </w:p>
    <w:p w14:paraId="62439FC8" w14:textId="087FEC66" w:rsidR="00EE6E91" w:rsidRPr="0009282C" w:rsidRDefault="009E01C1" w:rsidP="001E6A64">
      <w:pPr>
        <w:pStyle w:val="TableFigureFooter"/>
      </w:pPr>
      <w:r w:rsidRPr="0009282C">
        <w:rPr>
          <w:vertAlign w:val="superscript"/>
        </w:rPr>
        <w:t>c</w:t>
      </w:r>
      <w:r w:rsidR="656B3B02" w:rsidRPr="0009282C">
        <w:t xml:space="preserve"> LSM was not used</w:t>
      </w:r>
      <w:r w:rsidR="656B3B02" w:rsidRPr="0009282C">
        <w:rPr>
          <w:b/>
        </w:rPr>
        <w:t xml:space="preserve"> </w:t>
      </w:r>
    </w:p>
    <w:p w14:paraId="07EBBA07" w14:textId="2E9CC9EA" w:rsidR="00EE6E91" w:rsidRPr="0009282C" w:rsidRDefault="00580660" w:rsidP="001E6A64">
      <w:pPr>
        <w:pStyle w:val="TableFigureFooter"/>
      </w:pPr>
      <w:r w:rsidRPr="0009282C">
        <w:t>Source:</w:t>
      </w:r>
      <w:r w:rsidR="00EE6E91" w:rsidRPr="0009282C">
        <w:rPr>
          <w:b/>
        </w:rPr>
        <w:t xml:space="preserve"> </w:t>
      </w:r>
      <w:r w:rsidR="009B431E" w:rsidRPr="0009282C">
        <w:t>Section 2.5.2</w:t>
      </w:r>
      <w:r w:rsidR="000A04E4" w:rsidRPr="0009282C">
        <w:t>, p</w:t>
      </w:r>
      <w:r w:rsidR="0000647C" w:rsidRPr="0009282C">
        <w:t>p</w:t>
      </w:r>
      <w:r w:rsidR="000A04E4" w:rsidRPr="0009282C">
        <w:t>77-86 of the submission</w:t>
      </w:r>
      <w:r w:rsidR="009B431E" w:rsidRPr="0009282C">
        <w:t>,</w:t>
      </w:r>
      <w:r w:rsidR="00A50278" w:rsidRPr="0009282C">
        <w:t xml:space="preserve"> </w:t>
      </w:r>
      <w:r w:rsidR="009B431E" w:rsidRPr="0009282C">
        <w:t>I</w:t>
      </w:r>
      <w:r w:rsidR="00B265C3" w:rsidRPr="0009282C">
        <w:t>LLUMINATE-B Clinical Study Report 2</w:t>
      </w:r>
      <w:r w:rsidR="008D1034" w:rsidRPr="0009282C">
        <w:t xml:space="preserve"> </w:t>
      </w:r>
      <w:r w:rsidR="0004102B" w:rsidRPr="0009282C">
        <w:rPr>
          <w:noProof/>
        </w:rPr>
        <w:t>(Alnylam Pharmaceuticals Inc. 2020c)</w:t>
      </w:r>
    </w:p>
    <w:p w14:paraId="0911EE08" w14:textId="17B2EF1B" w:rsidR="00C86E07" w:rsidRPr="0009282C" w:rsidRDefault="00D11FD4" w:rsidP="00EC48DC">
      <w:pPr>
        <w:pStyle w:val="3-BodyText"/>
        <w:rPr>
          <w:iCs/>
        </w:rPr>
      </w:pPr>
      <w:r w:rsidRPr="0009282C">
        <w:t xml:space="preserve">In ILLUMINATE-B, </w:t>
      </w:r>
      <w:proofErr w:type="spellStart"/>
      <w:r w:rsidR="00E410AE" w:rsidRPr="0009282C">
        <w:t>l</w:t>
      </w:r>
      <w:r w:rsidR="00EE6E91" w:rsidRPr="0009282C">
        <w:t>umasiran</w:t>
      </w:r>
      <w:proofErr w:type="spellEnd"/>
      <w:r w:rsidR="00EE6E91" w:rsidRPr="0009282C">
        <w:t xml:space="preserve"> treatment resulted in a statistically significant reduction in spot urinary O:C ratio from baseline to 6 months (LS</w:t>
      </w:r>
      <w:r w:rsidR="00985F95" w:rsidRPr="0009282C">
        <w:t>M</w:t>
      </w:r>
      <w:r w:rsidR="00EE6E91" w:rsidRPr="0009282C">
        <w:t xml:space="preserve"> </w:t>
      </w:r>
      <w:r w:rsidR="00A778EA" w:rsidRPr="0009282C">
        <w:t>percent</w:t>
      </w:r>
      <w:r w:rsidR="00EE6E91" w:rsidRPr="0009282C">
        <w:t xml:space="preserve"> change: -72.0%; 95% CI: -77.5, -66.4; </w:t>
      </w:r>
      <w:r w:rsidR="008A13AB" w:rsidRPr="0009282C">
        <w:t>p&lt;</w:t>
      </w:r>
      <w:r w:rsidR="00417EE0" w:rsidRPr="0009282C">
        <w:t>0</w:t>
      </w:r>
      <w:r w:rsidR="008A13AB" w:rsidRPr="0009282C">
        <w:t>.001</w:t>
      </w:r>
      <w:r w:rsidR="00EE6E91" w:rsidRPr="0009282C">
        <w:t xml:space="preserve">). Patients continued to demonstrate a sustained reduction in urinary O:C ratio through 30 months of </w:t>
      </w:r>
      <w:proofErr w:type="spellStart"/>
      <w:r w:rsidR="00EE6E91" w:rsidRPr="0009282C">
        <w:t>lumasiran</w:t>
      </w:r>
      <w:proofErr w:type="spellEnd"/>
      <w:r w:rsidR="00EE6E91" w:rsidRPr="0009282C">
        <w:t xml:space="preserve"> treatment.</w:t>
      </w:r>
      <w:r w:rsidR="00BC2E61" w:rsidRPr="0009282C">
        <w:t xml:space="preserve"> </w:t>
      </w:r>
      <w:r w:rsidR="00BC2E61" w:rsidRPr="0009282C">
        <w:rPr>
          <w:iCs/>
        </w:rPr>
        <w:t xml:space="preserve">The submission considered the percent </w:t>
      </w:r>
      <w:r w:rsidR="002068AA" w:rsidRPr="0009282C">
        <w:rPr>
          <w:iCs/>
        </w:rPr>
        <w:t>change</w:t>
      </w:r>
      <w:r w:rsidR="00BC2E61" w:rsidRPr="0009282C">
        <w:rPr>
          <w:iCs/>
        </w:rPr>
        <w:t xml:space="preserve"> in </w:t>
      </w:r>
      <w:r w:rsidR="002068AA" w:rsidRPr="0009282C">
        <w:rPr>
          <w:iCs/>
        </w:rPr>
        <w:t>spot</w:t>
      </w:r>
      <w:r w:rsidR="00BC2E61" w:rsidRPr="0009282C">
        <w:rPr>
          <w:iCs/>
        </w:rPr>
        <w:t xml:space="preserve"> urinary </w:t>
      </w:r>
      <w:r w:rsidR="002068AA" w:rsidRPr="0009282C">
        <w:rPr>
          <w:iCs/>
        </w:rPr>
        <w:t>O:C ratio from baseline to 6</w:t>
      </w:r>
      <w:r w:rsidR="00357FA5">
        <w:rPr>
          <w:iCs/>
        </w:rPr>
        <w:t> </w:t>
      </w:r>
      <w:r w:rsidR="002068AA" w:rsidRPr="0009282C">
        <w:rPr>
          <w:iCs/>
        </w:rPr>
        <w:t>months</w:t>
      </w:r>
      <w:r w:rsidR="00BC2E61" w:rsidRPr="0009282C">
        <w:rPr>
          <w:iCs/>
        </w:rPr>
        <w:t xml:space="preserve"> </w:t>
      </w:r>
      <w:r w:rsidR="002D49ED" w:rsidRPr="0009282C">
        <w:rPr>
          <w:iCs/>
        </w:rPr>
        <w:t>and sustained reduction to 30 months</w:t>
      </w:r>
      <w:r w:rsidR="002068AA" w:rsidRPr="0009282C">
        <w:rPr>
          <w:iCs/>
        </w:rPr>
        <w:t xml:space="preserve"> </w:t>
      </w:r>
      <w:r w:rsidR="00BC2E61" w:rsidRPr="0009282C">
        <w:rPr>
          <w:iCs/>
        </w:rPr>
        <w:t>to be clinically meaningful.</w:t>
      </w:r>
      <w:r w:rsidR="00721D36" w:rsidRPr="0009282C">
        <w:t xml:space="preserve"> </w:t>
      </w:r>
      <w:bookmarkStart w:id="38" w:name="_Ref188258353"/>
    </w:p>
    <w:bookmarkEnd w:id="38"/>
    <w:p w14:paraId="00077A96" w14:textId="468B8E77" w:rsidR="00EE6E91" w:rsidRPr="0009282C" w:rsidRDefault="00EE6E91" w:rsidP="00EC48DC">
      <w:pPr>
        <w:pStyle w:val="3-BodyText"/>
      </w:pPr>
      <w:proofErr w:type="spellStart"/>
      <w:r w:rsidRPr="0009282C">
        <w:t>Lumasiran</w:t>
      </w:r>
      <w:proofErr w:type="spellEnd"/>
      <w:r w:rsidRPr="0009282C">
        <w:t xml:space="preserve"> was associated with a reduction in absolute spot urinary O:C ratio from baseline to 6 months in treated patients (LS</w:t>
      </w:r>
      <w:r w:rsidR="002E7D93" w:rsidRPr="0009282C">
        <w:t>M</w:t>
      </w:r>
      <w:r w:rsidRPr="0009282C">
        <w:t xml:space="preserve"> absolute change: -0.</w:t>
      </w:r>
      <w:r w:rsidR="00357FA5" w:rsidRPr="0009282C">
        <w:t>49</w:t>
      </w:r>
      <w:r w:rsidR="00357FA5">
        <w:t> </w:t>
      </w:r>
      <w:r w:rsidRPr="0009282C">
        <w:t>mmol/mmol [95% CI: -0.52, -0.46]</w:t>
      </w:r>
      <w:r w:rsidR="00C23AD2" w:rsidRPr="0009282C">
        <w:t>,</w:t>
      </w:r>
      <w:r w:rsidR="003C7E99" w:rsidRPr="0009282C">
        <w:t xml:space="preserve"> p=NR</w:t>
      </w:r>
      <w:r w:rsidRPr="0009282C">
        <w:t>).</w:t>
      </w:r>
      <w:r w:rsidR="003C7E99" w:rsidRPr="0009282C">
        <w:t xml:space="preserve"> </w:t>
      </w:r>
    </w:p>
    <w:p w14:paraId="624680E3" w14:textId="5DDA34C4" w:rsidR="006166D5" w:rsidRPr="0009282C" w:rsidRDefault="00F65DA9" w:rsidP="00EC48DC">
      <w:pPr>
        <w:pStyle w:val="3-BodyText"/>
      </w:pPr>
      <w:r w:rsidRPr="0009282C">
        <w:t>Nine</w:t>
      </w:r>
      <w:r w:rsidR="006166D5" w:rsidRPr="0009282C">
        <w:t xml:space="preserve"> of </w:t>
      </w:r>
      <w:r w:rsidR="00EE6E91" w:rsidRPr="0009282C">
        <w:t xml:space="preserve">18 patients </w:t>
      </w:r>
      <w:r w:rsidR="006166D5" w:rsidRPr="0009282C">
        <w:t>(50%)</w:t>
      </w:r>
      <w:r w:rsidR="00EE6E91" w:rsidRPr="0009282C">
        <w:t xml:space="preserve"> achieved a urinary oxalate level of near-normal and </w:t>
      </w:r>
      <w:r w:rsidR="00492741" w:rsidRPr="0009282C">
        <w:t>one</w:t>
      </w:r>
      <w:r w:rsidR="00EE6E91" w:rsidRPr="0009282C">
        <w:t xml:space="preserve"> patient </w:t>
      </w:r>
      <w:r w:rsidR="006166D5" w:rsidRPr="0009282C">
        <w:t xml:space="preserve">(5.6%) </w:t>
      </w:r>
      <w:r w:rsidR="00EE6E91" w:rsidRPr="0009282C">
        <w:t>achieved normalisation of spot urinary O:C ratio levels at 6</w:t>
      </w:r>
      <w:r w:rsidR="00357FA5">
        <w:t> </w:t>
      </w:r>
      <w:r w:rsidR="00EE6E91" w:rsidRPr="0009282C">
        <w:t xml:space="preserve">months. These numbers increased throughout the extension period, </w:t>
      </w:r>
      <w:r w:rsidR="00422675" w:rsidRPr="0009282C">
        <w:t>and</w:t>
      </w:r>
      <w:r w:rsidR="00EE6E91" w:rsidRPr="0009282C">
        <w:t xml:space="preserve"> 13 </w:t>
      </w:r>
      <w:r w:rsidR="006166D5" w:rsidRPr="0009282C">
        <w:t>of 18</w:t>
      </w:r>
      <w:r w:rsidR="00357FA5">
        <w:t> </w:t>
      </w:r>
      <w:r w:rsidR="00EE6E91" w:rsidRPr="0009282C">
        <w:t xml:space="preserve">patients </w:t>
      </w:r>
      <w:r w:rsidR="006166D5" w:rsidRPr="0009282C">
        <w:t>(72.2%) achieved a urinary oxalate level of</w:t>
      </w:r>
      <w:r w:rsidR="00EE6E91" w:rsidRPr="0009282C">
        <w:t xml:space="preserve"> near-</w:t>
      </w:r>
      <w:r w:rsidR="006166D5" w:rsidRPr="0009282C">
        <w:t xml:space="preserve">normal and 7 patients (38.9%) achieved </w:t>
      </w:r>
      <w:r w:rsidR="00EE6E91" w:rsidRPr="0009282C">
        <w:t xml:space="preserve">normalisation </w:t>
      </w:r>
      <w:r w:rsidR="006166D5" w:rsidRPr="0009282C">
        <w:t>of spot urinary O:C ratio levels</w:t>
      </w:r>
      <w:r w:rsidR="00EE6E91" w:rsidRPr="0009282C">
        <w:t xml:space="preserve"> at 30 months.</w:t>
      </w:r>
    </w:p>
    <w:p w14:paraId="41F6CEFD" w14:textId="365D889D" w:rsidR="00EE6E91" w:rsidRPr="0009282C" w:rsidRDefault="006166D5" w:rsidP="00EC48DC">
      <w:pPr>
        <w:pStyle w:val="3-BodyText"/>
      </w:pPr>
      <w:proofErr w:type="spellStart"/>
      <w:r w:rsidRPr="0009282C">
        <w:t>L</w:t>
      </w:r>
      <w:r w:rsidR="00EE6E91" w:rsidRPr="0009282C">
        <w:t>umasiran</w:t>
      </w:r>
      <w:proofErr w:type="spellEnd"/>
      <w:r w:rsidR="00EE6E91" w:rsidRPr="0009282C">
        <w:t>-treated patients experienced a reduction in absolute change (</w:t>
      </w:r>
      <w:r w:rsidR="00E13230" w:rsidRPr="0009282C">
        <w:t>-</w:t>
      </w:r>
      <w:r w:rsidR="00EE6E91" w:rsidRPr="0009282C">
        <w:t xml:space="preserve">5.2; 95% CI: </w:t>
      </w:r>
      <w:r w:rsidR="00E13230" w:rsidRPr="0009282C">
        <w:t>-</w:t>
      </w:r>
      <w:r w:rsidR="00EE6E91" w:rsidRPr="0009282C">
        <w:t xml:space="preserve">6.2, </w:t>
      </w:r>
      <w:r w:rsidR="00E13230" w:rsidRPr="0009282C">
        <w:t>-</w:t>
      </w:r>
      <w:r w:rsidR="00EE6E91" w:rsidRPr="0009282C">
        <w:t>4.2 µmol/L</w:t>
      </w:r>
      <w:r w:rsidR="00EA48C5" w:rsidRPr="0009282C">
        <w:t>, p</w:t>
      </w:r>
      <w:r w:rsidR="00415D94" w:rsidRPr="0009282C">
        <w:t>=NR</w:t>
      </w:r>
      <w:r w:rsidR="00EE6E91" w:rsidRPr="0009282C">
        <w:t xml:space="preserve">) and </w:t>
      </w:r>
      <w:r w:rsidR="00A778EA" w:rsidRPr="0009282C">
        <w:t>percent</w:t>
      </w:r>
      <w:r w:rsidR="00EE6E91" w:rsidRPr="0009282C">
        <w:t xml:space="preserve"> change (</w:t>
      </w:r>
      <w:r w:rsidR="00E13230" w:rsidRPr="0009282C">
        <w:t>-</w:t>
      </w:r>
      <w:r w:rsidR="00EE6E91" w:rsidRPr="0009282C">
        <w:t xml:space="preserve">31.7%; 95% CI: </w:t>
      </w:r>
      <w:r w:rsidR="00E13230" w:rsidRPr="0009282C">
        <w:t>-</w:t>
      </w:r>
      <w:r w:rsidR="00EE6E91" w:rsidRPr="0009282C">
        <w:t xml:space="preserve">39.5%, </w:t>
      </w:r>
      <w:r w:rsidR="00E13230" w:rsidRPr="0009282C">
        <w:t>-</w:t>
      </w:r>
      <w:r w:rsidR="00EE6E91" w:rsidRPr="0009282C">
        <w:t>23.9%</w:t>
      </w:r>
      <w:r w:rsidR="00A64E5A" w:rsidRPr="0009282C">
        <w:t>, p=NR</w:t>
      </w:r>
      <w:r w:rsidR="00EE6E91" w:rsidRPr="0009282C">
        <w:t xml:space="preserve">) of plasma oxalate from baseline to 6 months. These reductions were maintained through the extension period. </w:t>
      </w:r>
    </w:p>
    <w:p w14:paraId="346FA2E4" w14:textId="1F497CA0" w:rsidR="00EE6E91" w:rsidRPr="0009282C" w:rsidRDefault="00EE6E91" w:rsidP="00EC48DC">
      <w:pPr>
        <w:pStyle w:val="3-BodyText"/>
      </w:pPr>
      <w:r w:rsidRPr="0009282C">
        <w:t>No change in eGFR was reported from baseline to 6 months</w:t>
      </w:r>
      <w:r w:rsidR="00486653" w:rsidRPr="0009282C">
        <w:t xml:space="preserve">. </w:t>
      </w:r>
      <w:r w:rsidR="002E29C7" w:rsidRPr="0009282C">
        <w:t xml:space="preserve">For eGFR, the mean (SD) change from baseline to 6 months was </w:t>
      </w:r>
      <w:r w:rsidR="00E13230" w:rsidRPr="0009282C">
        <w:t>-</w:t>
      </w:r>
      <w:r w:rsidR="002E29C7" w:rsidRPr="0009282C">
        <w:t xml:space="preserve">0.3 (15) mL/min/1.73 </w:t>
      </w:r>
      <w:r w:rsidR="00121510" w:rsidRPr="0009282C">
        <w:t>m</w:t>
      </w:r>
      <w:r w:rsidR="00121510" w:rsidRPr="0009282C">
        <w:rPr>
          <w:vertAlign w:val="superscript"/>
        </w:rPr>
        <w:t>2</w:t>
      </w:r>
      <w:r w:rsidR="002E29C7" w:rsidRPr="0009282C">
        <w:t>.</w:t>
      </w:r>
    </w:p>
    <w:p w14:paraId="16F3B778" w14:textId="35B96726" w:rsidR="00EE6E91" w:rsidRPr="0009282C" w:rsidRDefault="00EE6E91" w:rsidP="00723F7E">
      <w:pPr>
        <w:rPr>
          <w:b/>
          <w:bCs/>
        </w:rPr>
      </w:pPr>
      <w:r w:rsidRPr="0009282C">
        <w:rPr>
          <w:b/>
          <w:bCs/>
        </w:rPr>
        <w:t>ILLUMINATE-C</w:t>
      </w:r>
      <w:r w:rsidR="00692614" w:rsidRPr="0009282C">
        <w:rPr>
          <w:b/>
          <w:bCs/>
        </w:rPr>
        <w:t xml:space="preserve"> </w:t>
      </w:r>
      <w:r w:rsidR="006E6231" w:rsidRPr="0009282C">
        <w:rPr>
          <w:rFonts w:cstheme="minorHAnsi"/>
          <w:b/>
          <w:bCs/>
        </w:rPr>
        <w:t>—</w:t>
      </w:r>
      <w:r w:rsidR="00692614" w:rsidRPr="0009282C">
        <w:rPr>
          <w:b/>
          <w:bCs/>
        </w:rPr>
        <w:t xml:space="preserve"> </w:t>
      </w:r>
      <w:r w:rsidR="004F348B" w:rsidRPr="0009282C">
        <w:rPr>
          <w:rFonts w:cstheme="minorHAnsi"/>
          <w:b/>
          <w:bCs/>
        </w:rPr>
        <w:t>≥</w:t>
      </w:r>
      <w:r w:rsidR="00692614" w:rsidRPr="0009282C">
        <w:rPr>
          <w:b/>
          <w:bCs/>
        </w:rPr>
        <w:t>37 weeks</w:t>
      </w:r>
      <w:r w:rsidR="00E31E07" w:rsidRPr="0009282C">
        <w:rPr>
          <w:b/>
          <w:bCs/>
        </w:rPr>
        <w:t xml:space="preserve"> gestational age</w:t>
      </w:r>
    </w:p>
    <w:p w14:paraId="6B20E331" w14:textId="2429F00E" w:rsidR="00C12290" w:rsidRPr="00357FA5" w:rsidRDefault="00EE6E91" w:rsidP="00357FA5">
      <w:pPr>
        <w:pStyle w:val="3-BodyText"/>
        <w:rPr>
          <w:sz w:val="22"/>
        </w:rPr>
      </w:pPr>
      <w:r w:rsidRPr="0009282C">
        <w:t xml:space="preserve">A summary </w:t>
      </w:r>
      <w:r w:rsidR="00FF292D" w:rsidRPr="0009282C">
        <w:t>of</w:t>
      </w:r>
      <w:r w:rsidRPr="0009282C">
        <w:t xml:space="preserve"> the results for ILLUMINATE-C for both the primary analysis period </w:t>
      </w:r>
      <w:r w:rsidR="00B71ADB" w:rsidRPr="0009282C">
        <w:t>(6</w:t>
      </w:r>
      <w:r w:rsidR="00357FA5">
        <w:t> </w:t>
      </w:r>
      <w:r w:rsidR="00B71ADB" w:rsidRPr="0009282C">
        <w:t>months)</w:t>
      </w:r>
      <w:r w:rsidRPr="0009282C">
        <w:t xml:space="preserve"> and extension period </w:t>
      </w:r>
      <w:r w:rsidR="00B71ADB" w:rsidRPr="0009282C">
        <w:t xml:space="preserve">(24 months) </w:t>
      </w:r>
      <w:r w:rsidR="002432D9" w:rsidRPr="0009282C">
        <w:t>is</w:t>
      </w:r>
      <w:r w:rsidRPr="0009282C">
        <w:t xml:space="preserve"> provided </w:t>
      </w:r>
      <w:r w:rsidR="00B70D8D" w:rsidRPr="0009282C">
        <w:t xml:space="preserve">in </w:t>
      </w:r>
      <w:r w:rsidR="007B0E85" w:rsidRPr="0009282C">
        <w:fldChar w:fldCharType="begin" w:fldLock="1"/>
      </w:r>
      <w:r w:rsidR="007B0E85" w:rsidRPr="0009282C">
        <w:instrText xml:space="preserve"> REF _Ref185869081 \h  \* MERGEFORMAT </w:instrText>
      </w:r>
      <w:r w:rsidR="007B0E85" w:rsidRPr="0009282C">
        <w:fldChar w:fldCharType="separate"/>
      </w:r>
      <w:r w:rsidR="00771DFF" w:rsidRPr="0009282C">
        <w:t xml:space="preserve">Table </w:t>
      </w:r>
      <w:r w:rsidR="00771DFF">
        <w:t>7</w:t>
      </w:r>
      <w:r w:rsidR="007B0E85" w:rsidRPr="0009282C">
        <w:fldChar w:fldCharType="end"/>
      </w:r>
      <w:r w:rsidRPr="0009282C">
        <w:t>.</w:t>
      </w:r>
    </w:p>
    <w:p w14:paraId="7D0272C5" w14:textId="4FA3D26A" w:rsidR="00EE6E91" w:rsidRPr="0009282C" w:rsidRDefault="00EE6E91" w:rsidP="00321A6A">
      <w:pPr>
        <w:pStyle w:val="Caption"/>
      </w:pPr>
      <w:bookmarkStart w:id="39" w:name="_Ref185871005"/>
      <w:bookmarkStart w:id="40" w:name="_Ref185869081"/>
      <w:bookmarkStart w:id="41" w:name="_Ref185870995"/>
      <w:r w:rsidRPr="0009282C">
        <w:t xml:space="preserve">Table </w:t>
      </w:r>
      <w:r w:rsidR="000D2056" w:rsidRPr="0009282C">
        <w:fldChar w:fldCharType="begin" w:fldLock="1"/>
      </w:r>
      <w:bookmarkEnd w:id="39"/>
      <w:r w:rsidR="000D2056" w:rsidRPr="0009282C">
        <w:instrText xml:space="preserve"> SEQ Table \* ARABIC </w:instrText>
      </w:r>
      <w:r w:rsidR="000D2056" w:rsidRPr="0009282C">
        <w:fldChar w:fldCharType="separate"/>
      </w:r>
      <w:r w:rsidR="00771DFF">
        <w:rPr>
          <w:noProof/>
        </w:rPr>
        <w:t>7</w:t>
      </w:r>
      <w:r w:rsidR="000D2056" w:rsidRPr="0009282C">
        <w:fldChar w:fldCharType="end"/>
      </w:r>
      <w:bookmarkEnd w:id="40"/>
      <w:r w:rsidR="00840C40" w:rsidRPr="0009282C">
        <w:t xml:space="preserve">: </w:t>
      </w:r>
      <w:r w:rsidR="00B71ADB" w:rsidRPr="0009282C">
        <w:t>Primary and secondary outcomes reported in ILLUMINATE-C to 6 months and 24 months</w:t>
      </w:r>
      <w:bookmarkEnd w:id="41"/>
    </w:p>
    <w:tbl>
      <w:tblPr>
        <w:tblStyle w:val="TableGrid"/>
        <w:tblW w:w="9209" w:type="dxa"/>
        <w:tblLook w:val="04A0" w:firstRow="1" w:lastRow="0" w:firstColumn="1" w:lastColumn="0" w:noHBand="0" w:noVBand="1"/>
      </w:tblPr>
      <w:tblGrid>
        <w:gridCol w:w="4815"/>
        <w:gridCol w:w="2126"/>
        <w:gridCol w:w="2268"/>
      </w:tblGrid>
      <w:tr w:rsidR="00EE6E91" w:rsidRPr="0009282C" w14:paraId="7D665485" w14:textId="77777777" w:rsidTr="00BF5F46">
        <w:trPr>
          <w:trHeight w:val="369"/>
        </w:trPr>
        <w:tc>
          <w:tcPr>
            <w:tcW w:w="4815" w:type="dxa"/>
            <w:vAlign w:val="center"/>
          </w:tcPr>
          <w:p w14:paraId="5DE9F26F" w14:textId="6A15F32D" w:rsidR="00EE6E91" w:rsidRPr="00321A6A" w:rsidRDefault="00EE6E91" w:rsidP="00321A6A">
            <w:pPr>
              <w:pStyle w:val="TableText0"/>
              <w:keepNext/>
              <w:keepLines/>
              <w:rPr>
                <w:rFonts w:eastAsia="MS Gothic" w:cs="Times New Roman"/>
                <w:b/>
                <w:szCs w:val="20"/>
              </w:rPr>
            </w:pPr>
          </w:p>
        </w:tc>
        <w:tc>
          <w:tcPr>
            <w:tcW w:w="2126" w:type="dxa"/>
            <w:vAlign w:val="center"/>
          </w:tcPr>
          <w:p w14:paraId="50EFF31A" w14:textId="77777777" w:rsidR="00CF353E" w:rsidRPr="00321A6A" w:rsidRDefault="00EE6E91" w:rsidP="00321A6A">
            <w:pPr>
              <w:pStyle w:val="TableText0"/>
              <w:keepNext/>
              <w:keepLines/>
              <w:jc w:val="center"/>
              <w:rPr>
                <w:b/>
              </w:rPr>
            </w:pPr>
            <w:proofErr w:type="spellStart"/>
            <w:r w:rsidRPr="00321A6A">
              <w:rPr>
                <w:b/>
              </w:rPr>
              <w:t>Lumasiran</w:t>
            </w:r>
            <w:proofErr w:type="spellEnd"/>
            <w:r w:rsidRPr="00321A6A">
              <w:rPr>
                <w:b/>
              </w:rPr>
              <w:t xml:space="preserve"> </w:t>
            </w:r>
            <w:r w:rsidR="00BF5F46" w:rsidRPr="00321A6A">
              <w:rPr>
                <w:b/>
              </w:rPr>
              <w:t>C</w:t>
            </w:r>
            <w:r w:rsidRPr="00321A6A">
              <w:rPr>
                <w:b/>
              </w:rPr>
              <w:t>ohort A</w:t>
            </w:r>
            <w:r w:rsidR="00BF5F46" w:rsidRPr="00321A6A">
              <w:rPr>
                <w:b/>
              </w:rPr>
              <w:t xml:space="preserve">: </w:t>
            </w:r>
          </w:p>
          <w:p w14:paraId="5C895161" w14:textId="4146B73A" w:rsidR="00EE6E91" w:rsidRPr="00321A6A" w:rsidRDefault="00BF5F46" w:rsidP="00321A6A">
            <w:pPr>
              <w:pStyle w:val="TableText0"/>
              <w:keepNext/>
              <w:keepLines/>
              <w:jc w:val="center"/>
              <w:rPr>
                <w:b/>
              </w:rPr>
            </w:pPr>
            <w:r w:rsidRPr="00321A6A">
              <w:rPr>
                <w:b/>
              </w:rPr>
              <w:t>No dia</w:t>
            </w:r>
            <w:r w:rsidR="00DF42F6" w:rsidRPr="00321A6A">
              <w:rPr>
                <w:b/>
              </w:rPr>
              <w:t xml:space="preserve">lysis </w:t>
            </w:r>
            <w:r w:rsidR="00EE6E91" w:rsidRPr="00321A6A">
              <w:rPr>
                <w:b/>
              </w:rPr>
              <w:t>(n=6)</w:t>
            </w:r>
          </w:p>
        </w:tc>
        <w:tc>
          <w:tcPr>
            <w:tcW w:w="2268" w:type="dxa"/>
            <w:vAlign w:val="center"/>
          </w:tcPr>
          <w:p w14:paraId="1B03D746" w14:textId="484BC336" w:rsidR="00EE6E91" w:rsidRPr="00321A6A" w:rsidRDefault="00EE6E91" w:rsidP="00321A6A">
            <w:pPr>
              <w:pStyle w:val="TableText0"/>
              <w:keepNext/>
              <w:keepLines/>
              <w:jc w:val="center"/>
              <w:rPr>
                <w:rFonts w:eastAsia="MS Gothic" w:cs="Times New Roman"/>
                <w:b/>
              </w:rPr>
            </w:pPr>
            <w:proofErr w:type="spellStart"/>
            <w:r w:rsidRPr="00321A6A">
              <w:rPr>
                <w:b/>
              </w:rPr>
              <w:t>Lumasiran</w:t>
            </w:r>
            <w:proofErr w:type="spellEnd"/>
            <w:r w:rsidRPr="00321A6A">
              <w:rPr>
                <w:b/>
              </w:rPr>
              <w:t xml:space="preserve"> </w:t>
            </w:r>
            <w:r w:rsidR="00BF5F46" w:rsidRPr="00321A6A">
              <w:rPr>
                <w:b/>
              </w:rPr>
              <w:t>C</w:t>
            </w:r>
            <w:r w:rsidRPr="00321A6A">
              <w:rPr>
                <w:b/>
              </w:rPr>
              <w:t>ohort B</w:t>
            </w:r>
            <w:r w:rsidR="00DF42F6" w:rsidRPr="00321A6A">
              <w:rPr>
                <w:b/>
              </w:rPr>
              <w:t>:</w:t>
            </w:r>
            <w:r w:rsidR="00BF5F46" w:rsidRPr="00321A6A">
              <w:rPr>
                <w:b/>
              </w:rPr>
              <w:t xml:space="preserve"> </w:t>
            </w:r>
            <w:r w:rsidR="00AF52B5" w:rsidRPr="00321A6A">
              <w:rPr>
                <w:b/>
              </w:rPr>
              <w:t xml:space="preserve">Dialysis </w:t>
            </w:r>
            <w:r w:rsidRPr="00321A6A">
              <w:rPr>
                <w:b/>
              </w:rPr>
              <w:t>(n=15)</w:t>
            </w:r>
          </w:p>
        </w:tc>
      </w:tr>
      <w:tr w:rsidR="00BF0AEB" w:rsidRPr="0009282C" w14:paraId="42692BDE" w14:textId="77777777" w:rsidTr="00BF0AEB">
        <w:trPr>
          <w:trHeight w:val="214"/>
        </w:trPr>
        <w:tc>
          <w:tcPr>
            <w:tcW w:w="9209" w:type="dxa"/>
            <w:gridSpan w:val="3"/>
            <w:vAlign w:val="center"/>
          </w:tcPr>
          <w:p w14:paraId="7D7D13AF" w14:textId="09ABE546" w:rsidR="00BF0AEB" w:rsidRPr="00321A6A" w:rsidRDefault="00BF0AEB" w:rsidP="00321A6A">
            <w:pPr>
              <w:pStyle w:val="TableText0"/>
              <w:keepNext/>
              <w:keepLines/>
              <w:rPr>
                <w:b/>
              </w:rPr>
            </w:pPr>
            <w:r w:rsidRPr="00321A6A">
              <w:rPr>
                <w:b/>
                <w:szCs w:val="20"/>
              </w:rPr>
              <w:t>ILLUMINATE-C (6-month primary analysis period)</w:t>
            </w:r>
          </w:p>
        </w:tc>
      </w:tr>
      <w:tr w:rsidR="00EE6E91" w:rsidRPr="0009282C" w14:paraId="42E9C86E" w14:textId="77777777" w:rsidTr="00BF5F46">
        <w:trPr>
          <w:trHeight w:val="316"/>
        </w:trPr>
        <w:tc>
          <w:tcPr>
            <w:tcW w:w="4815" w:type="dxa"/>
            <w:vAlign w:val="center"/>
          </w:tcPr>
          <w:p w14:paraId="59C56614" w14:textId="0B9A7FE0" w:rsidR="00EE6E91" w:rsidRPr="00321A6A" w:rsidRDefault="00EE6E91" w:rsidP="00321A6A">
            <w:pPr>
              <w:pStyle w:val="TableText0"/>
              <w:keepNext/>
              <w:keepLines/>
              <w:rPr>
                <w:rFonts w:eastAsia="MS Gothic" w:cs="Times New Roman"/>
                <w:szCs w:val="20"/>
              </w:rPr>
            </w:pPr>
            <w:r w:rsidRPr="00321A6A">
              <w:rPr>
                <w:szCs w:val="20"/>
              </w:rPr>
              <w:t xml:space="preserve">Percent change in plasma oxalate from baseline to Month 6, </w:t>
            </w:r>
            <w:r w:rsidR="00397F1B" w:rsidRPr="00321A6A">
              <w:rPr>
                <w:szCs w:val="20"/>
              </w:rPr>
              <w:t xml:space="preserve">%, </w:t>
            </w:r>
            <w:r w:rsidRPr="00321A6A">
              <w:rPr>
                <w:szCs w:val="20"/>
              </w:rPr>
              <w:t>LSM</w:t>
            </w:r>
            <w:r w:rsidRPr="00321A6A">
              <w:rPr>
                <w:rFonts w:eastAsia="MS Gothic"/>
                <w:szCs w:val="20"/>
              </w:rPr>
              <w:t xml:space="preserve"> (95% CI)</w:t>
            </w:r>
          </w:p>
        </w:tc>
        <w:tc>
          <w:tcPr>
            <w:tcW w:w="2126" w:type="dxa"/>
            <w:vAlign w:val="center"/>
          </w:tcPr>
          <w:p w14:paraId="04E9FF89" w14:textId="4413CC90" w:rsidR="00EE6E91" w:rsidRPr="00321A6A" w:rsidRDefault="00E32FC6" w:rsidP="00321A6A">
            <w:pPr>
              <w:pStyle w:val="TableText0"/>
              <w:keepNext/>
              <w:keepLines/>
              <w:jc w:val="center"/>
              <w:rPr>
                <w:szCs w:val="20"/>
              </w:rPr>
            </w:pPr>
            <w:r w:rsidRPr="00321A6A">
              <w:rPr>
                <w:szCs w:val="20"/>
              </w:rPr>
              <w:t>-</w:t>
            </w:r>
            <w:r w:rsidR="00EE6E91" w:rsidRPr="00321A6A">
              <w:rPr>
                <w:szCs w:val="20"/>
              </w:rPr>
              <w:t>33.3 (</w:t>
            </w:r>
            <w:r w:rsidRPr="00321A6A">
              <w:rPr>
                <w:szCs w:val="20"/>
              </w:rPr>
              <w:t>-</w:t>
            </w:r>
            <w:r w:rsidR="00EE6E91" w:rsidRPr="00321A6A">
              <w:rPr>
                <w:szCs w:val="20"/>
              </w:rPr>
              <w:t>81.8, 15.2)</w:t>
            </w:r>
          </w:p>
        </w:tc>
        <w:tc>
          <w:tcPr>
            <w:tcW w:w="2268" w:type="dxa"/>
            <w:vAlign w:val="center"/>
          </w:tcPr>
          <w:p w14:paraId="1FFCDE53" w14:textId="484B1C3D" w:rsidR="00EE6E91" w:rsidRPr="00321A6A" w:rsidRDefault="00E32FC6" w:rsidP="00321A6A">
            <w:pPr>
              <w:pStyle w:val="TableText0"/>
              <w:keepNext/>
              <w:keepLines/>
              <w:jc w:val="center"/>
              <w:rPr>
                <w:b/>
              </w:rPr>
            </w:pPr>
            <w:r w:rsidRPr="00321A6A">
              <w:rPr>
                <w:b/>
              </w:rPr>
              <w:t>-</w:t>
            </w:r>
            <w:r w:rsidR="00EE6E91" w:rsidRPr="00321A6A">
              <w:rPr>
                <w:b/>
              </w:rPr>
              <w:t>42.4 (</w:t>
            </w:r>
            <w:r w:rsidRPr="00321A6A">
              <w:rPr>
                <w:b/>
              </w:rPr>
              <w:t>-</w:t>
            </w:r>
            <w:r w:rsidR="00EE6E91" w:rsidRPr="00321A6A">
              <w:rPr>
                <w:b/>
              </w:rPr>
              <w:t xml:space="preserve">50.7, </w:t>
            </w:r>
            <w:r w:rsidRPr="00321A6A">
              <w:rPr>
                <w:b/>
              </w:rPr>
              <w:t>-</w:t>
            </w:r>
            <w:r w:rsidR="00EE6E91" w:rsidRPr="00321A6A">
              <w:rPr>
                <w:b/>
              </w:rPr>
              <w:t>34.2)</w:t>
            </w:r>
            <w:r w:rsidR="00AC541D" w:rsidRPr="00321A6A">
              <w:rPr>
                <w:b/>
              </w:rPr>
              <w:t>**</w:t>
            </w:r>
          </w:p>
        </w:tc>
      </w:tr>
      <w:tr w:rsidR="00EE6E91" w:rsidRPr="0009282C" w14:paraId="03E43C3D" w14:textId="77777777" w:rsidTr="00BF5F46">
        <w:trPr>
          <w:trHeight w:val="421"/>
        </w:trPr>
        <w:tc>
          <w:tcPr>
            <w:tcW w:w="4815" w:type="dxa"/>
            <w:vAlign w:val="center"/>
          </w:tcPr>
          <w:p w14:paraId="1DBAF93B" w14:textId="512D438D" w:rsidR="00EE6E91" w:rsidRPr="00321A6A" w:rsidRDefault="00EE6E91" w:rsidP="00321A6A">
            <w:pPr>
              <w:pStyle w:val="TableText0"/>
              <w:keepNext/>
              <w:keepLines/>
              <w:rPr>
                <w:rFonts w:eastAsia="MS Gothic" w:cs="Times New Roman"/>
                <w:szCs w:val="20"/>
              </w:rPr>
            </w:pPr>
            <w:r w:rsidRPr="00321A6A">
              <w:rPr>
                <w:szCs w:val="20"/>
              </w:rPr>
              <w:t xml:space="preserve">Absolute change in plasma oxalate from baseline to Month 6, </w:t>
            </w:r>
            <w:proofErr w:type="spellStart"/>
            <w:r w:rsidR="00E2170A" w:rsidRPr="00321A6A">
              <w:t>μmol</w:t>
            </w:r>
            <w:proofErr w:type="spellEnd"/>
            <w:r w:rsidR="00E2170A" w:rsidRPr="00321A6A">
              <w:t xml:space="preserve">/L, </w:t>
            </w:r>
            <w:r w:rsidRPr="00321A6A">
              <w:rPr>
                <w:szCs w:val="20"/>
              </w:rPr>
              <w:t>LSM</w:t>
            </w:r>
            <w:r w:rsidRPr="00321A6A">
              <w:rPr>
                <w:rFonts w:eastAsia="MS Gothic"/>
                <w:szCs w:val="20"/>
              </w:rPr>
              <w:t xml:space="preserve"> (95% CI)</w:t>
            </w:r>
          </w:p>
        </w:tc>
        <w:tc>
          <w:tcPr>
            <w:tcW w:w="2126" w:type="dxa"/>
            <w:vAlign w:val="center"/>
          </w:tcPr>
          <w:p w14:paraId="28F81B09" w14:textId="54743E2C" w:rsidR="00EE6E91" w:rsidRPr="00321A6A" w:rsidRDefault="00E32FC6" w:rsidP="00321A6A">
            <w:pPr>
              <w:pStyle w:val="TableText0"/>
              <w:keepNext/>
              <w:keepLines/>
              <w:jc w:val="center"/>
              <w:rPr>
                <w:b/>
              </w:rPr>
            </w:pPr>
            <w:r w:rsidRPr="00321A6A">
              <w:rPr>
                <w:b/>
              </w:rPr>
              <w:t>-</w:t>
            </w:r>
            <w:r w:rsidR="00EE6E91" w:rsidRPr="00321A6A">
              <w:rPr>
                <w:b/>
              </w:rPr>
              <w:t>35.3 (</w:t>
            </w:r>
            <w:r w:rsidRPr="00321A6A">
              <w:rPr>
                <w:b/>
              </w:rPr>
              <w:t>-</w:t>
            </w:r>
            <w:r w:rsidR="00EE6E91" w:rsidRPr="00321A6A">
              <w:rPr>
                <w:b/>
              </w:rPr>
              <w:t xml:space="preserve">56.3, </w:t>
            </w:r>
            <w:r w:rsidRPr="00321A6A">
              <w:rPr>
                <w:b/>
              </w:rPr>
              <w:t>-</w:t>
            </w:r>
            <w:r w:rsidR="00EE6E91" w:rsidRPr="00321A6A">
              <w:rPr>
                <w:b/>
              </w:rPr>
              <w:t>14.2)</w:t>
            </w:r>
            <w:r w:rsidR="00C5168D" w:rsidRPr="00321A6A">
              <w:rPr>
                <w:b/>
              </w:rPr>
              <w:t>**</w:t>
            </w:r>
          </w:p>
        </w:tc>
        <w:tc>
          <w:tcPr>
            <w:tcW w:w="2268" w:type="dxa"/>
            <w:vAlign w:val="center"/>
          </w:tcPr>
          <w:p w14:paraId="5131F080" w14:textId="28AC7106" w:rsidR="00EE6E91" w:rsidRPr="00321A6A" w:rsidRDefault="00E32FC6" w:rsidP="00321A6A">
            <w:pPr>
              <w:pStyle w:val="TableText0"/>
              <w:keepNext/>
              <w:keepLines/>
              <w:jc w:val="center"/>
              <w:rPr>
                <w:b/>
              </w:rPr>
            </w:pPr>
            <w:r w:rsidRPr="00321A6A">
              <w:rPr>
                <w:b/>
              </w:rPr>
              <w:t>-</w:t>
            </w:r>
            <w:r w:rsidR="00EE6E91" w:rsidRPr="00321A6A">
              <w:rPr>
                <w:b/>
              </w:rPr>
              <w:t>48.3 (</w:t>
            </w:r>
            <w:r w:rsidRPr="00321A6A">
              <w:rPr>
                <w:b/>
              </w:rPr>
              <w:t>-</w:t>
            </w:r>
            <w:r w:rsidR="00EE6E91" w:rsidRPr="00321A6A">
              <w:rPr>
                <w:b/>
              </w:rPr>
              <w:t xml:space="preserve">55.9, </w:t>
            </w:r>
            <w:r w:rsidRPr="00321A6A">
              <w:rPr>
                <w:b/>
              </w:rPr>
              <w:t>-</w:t>
            </w:r>
            <w:r w:rsidR="00EE6E91" w:rsidRPr="00321A6A">
              <w:rPr>
                <w:b/>
              </w:rPr>
              <w:t>40.8)</w:t>
            </w:r>
            <w:r w:rsidR="00C5168D" w:rsidRPr="00321A6A">
              <w:rPr>
                <w:b/>
              </w:rPr>
              <w:t>**</w:t>
            </w:r>
          </w:p>
        </w:tc>
      </w:tr>
      <w:tr w:rsidR="00EE6E91" w:rsidRPr="0009282C" w14:paraId="575D0DE9" w14:textId="77777777" w:rsidTr="00BF5F46">
        <w:trPr>
          <w:trHeight w:val="371"/>
        </w:trPr>
        <w:tc>
          <w:tcPr>
            <w:tcW w:w="4815" w:type="dxa"/>
            <w:vAlign w:val="center"/>
          </w:tcPr>
          <w:p w14:paraId="65E7AC8D" w14:textId="3AE53835" w:rsidR="00EE6E91" w:rsidRPr="00321A6A" w:rsidRDefault="00EE6E91" w:rsidP="00321A6A">
            <w:pPr>
              <w:pStyle w:val="TableText0"/>
              <w:keepNext/>
              <w:keepLines/>
              <w:rPr>
                <w:rFonts w:eastAsia="MS Gothic" w:cs="Times New Roman"/>
                <w:szCs w:val="20"/>
              </w:rPr>
            </w:pPr>
            <w:r w:rsidRPr="00321A6A">
              <w:rPr>
                <w:szCs w:val="20"/>
              </w:rPr>
              <w:t>Percent change in plasma oxalate AUC (0–24</w:t>
            </w:r>
            <w:r w:rsidRPr="00321A6A">
              <w:rPr>
                <w:rFonts w:ascii="Arial" w:hAnsi="Arial" w:cs="Arial"/>
                <w:szCs w:val="20"/>
              </w:rPr>
              <w:t> </w:t>
            </w:r>
            <w:r w:rsidRPr="00321A6A">
              <w:rPr>
                <w:rFonts w:eastAsia="MS Gothic" w:cs="Times New Roman"/>
                <w:szCs w:val="20"/>
              </w:rPr>
              <w:t>h) between dialysis sessions from baseline to Month 6,</w:t>
            </w:r>
            <w:r w:rsidR="0085503E" w:rsidRPr="00321A6A">
              <w:rPr>
                <w:rFonts w:eastAsia="MS Gothic" w:cs="Times New Roman"/>
                <w:szCs w:val="20"/>
              </w:rPr>
              <w:t xml:space="preserve"> %,</w:t>
            </w:r>
            <w:r w:rsidRPr="00321A6A">
              <w:rPr>
                <w:rFonts w:eastAsia="MS Gothic" w:cs="Times New Roman"/>
                <w:szCs w:val="20"/>
              </w:rPr>
              <w:t xml:space="preserve"> LSM</w:t>
            </w:r>
            <w:r w:rsidRPr="00321A6A">
              <w:rPr>
                <w:rFonts w:eastAsia="MS Gothic"/>
                <w:szCs w:val="20"/>
              </w:rPr>
              <w:t xml:space="preserve"> (95% CI)</w:t>
            </w:r>
          </w:p>
        </w:tc>
        <w:tc>
          <w:tcPr>
            <w:tcW w:w="2126" w:type="dxa"/>
            <w:vAlign w:val="center"/>
          </w:tcPr>
          <w:p w14:paraId="03D38680" w14:textId="264D0B53" w:rsidR="00EE6E91" w:rsidRPr="00321A6A" w:rsidRDefault="005A5770" w:rsidP="00321A6A">
            <w:pPr>
              <w:pStyle w:val="TableText0"/>
              <w:keepNext/>
              <w:keepLines/>
              <w:jc w:val="center"/>
              <w:rPr>
                <w:rFonts w:eastAsia="MS Gothic" w:cs="Times New Roman"/>
                <w:szCs w:val="20"/>
              </w:rPr>
            </w:pPr>
            <w:r w:rsidRPr="00321A6A">
              <w:rPr>
                <w:szCs w:val="20"/>
              </w:rPr>
              <w:t>NA</w:t>
            </w:r>
          </w:p>
        </w:tc>
        <w:tc>
          <w:tcPr>
            <w:tcW w:w="2268" w:type="dxa"/>
            <w:vAlign w:val="center"/>
          </w:tcPr>
          <w:p w14:paraId="64DB97D7" w14:textId="2235EAE0" w:rsidR="00EE6E91" w:rsidRPr="00321A6A" w:rsidRDefault="00E32FC6" w:rsidP="00321A6A">
            <w:pPr>
              <w:pStyle w:val="TableText0"/>
              <w:keepNext/>
              <w:keepLines/>
              <w:jc w:val="center"/>
              <w:rPr>
                <w:b/>
              </w:rPr>
            </w:pPr>
            <w:r w:rsidRPr="00321A6A">
              <w:rPr>
                <w:b/>
              </w:rPr>
              <w:t>-</w:t>
            </w:r>
            <w:r w:rsidR="00EE6E91" w:rsidRPr="00321A6A">
              <w:rPr>
                <w:b/>
              </w:rPr>
              <w:t>41.4 (</w:t>
            </w:r>
            <w:r w:rsidRPr="00321A6A">
              <w:rPr>
                <w:b/>
              </w:rPr>
              <w:t>-</w:t>
            </w:r>
            <w:r w:rsidR="00EE6E91" w:rsidRPr="00321A6A">
              <w:rPr>
                <w:b/>
              </w:rPr>
              <w:t xml:space="preserve">51.0, </w:t>
            </w:r>
            <w:r w:rsidRPr="00321A6A">
              <w:rPr>
                <w:b/>
              </w:rPr>
              <w:t>-</w:t>
            </w:r>
            <w:r w:rsidR="00EE6E91" w:rsidRPr="00321A6A">
              <w:rPr>
                <w:b/>
              </w:rPr>
              <w:t>31.8)</w:t>
            </w:r>
            <w:r w:rsidR="00DE7BE8" w:rsidRPr="00321A6A">
              <w:rPr>
                <w:b/>
              </w:rPr>
              <w:t>**</w:t>
            </w:r>
          </w:p>
        </w:tc>
      </w:tr>
      <w:tr w:rsidR="00EE6E91" w:rsidRPr="0009282C" w14:paraId="023948A1" w14:textId="77777777" w:rsidTr="00BF5F46">
        <w:trPr>
          <w:trHeight w:val="179"/>
        </w:trPr>
        <w:tc>
          <w:tcPr>
            <w:tcW w:w="4815" w:type="dxa"/>
            <w:vAlign w:val="center"/>
          </w:tcPr>
          <w:p w14:paraId="27EB98AF" w14:textId="172FF5A1" w:rsidR="00EE6E91" w:rsidRPr="00321A6A" w:rsidRDefault="00EE6E91" w:rsidP="00321A6A">
            <w:pPr>
              <w:pStyle w:val="TableText0"/>
              <w:keepNext/>
              <w:keepLines/>
              <w:rPr>
                <w:rFonts w:eastAsia="MS Gothic" w:cs="Times New Roman"/>
                <w:szCs w:val="20"/>
              </w:rPr>
            </w:pPr>
            <w:r w:rsidRPr="00321A6A">
              <w:rPr>
                <w:szCs w:val="20"/>
              </w:rPr>
              <w:t>Percent change in BSA-corrected 24-h urinary oxalate from baseline to Month</w:t>
            </w:r>
            <w:r w:rsidRPr="00321A6A">
              <w:rPr>
                <w:rFonts w:ascii="Arial" w:hAnsi="Arial" w:cs="Arial"/>
                <w:szCs w:val="20"/>
              </w:rPr>
              <w:t> </w:t>
            </w:r>
            <w:r w:rsidRPr="00321A6A">
              <w:rPr>
                <w:rFonts w:eastAsia="MS Gothic" w:cs="Times New Roman"/>
                <w:szCs w:val="20"/>
              </w:rPr>
              <w:t xml:space="preserve">6, </w:t>
            </w:r>
            <w:r w:rsidR="0085503E" w:rsidRPr="00321A6A">
              <w:rPr>
                <w:rFonts w:eastAsia="MS Gothic" w:cs="Times New Roman"/>
                <w:szCs w:val="20"/>
              </w:rPr>
              <w:t xml:space="preserve">%, </w:t>
            </w:r>
            <w:r w:rsidRPr="00321A6A">
              <w:rPr>
                <w:rFonts w:eastAsia="MS Gothic" w:cs="Times New Roman"/>
                <w:szCs w:val="20"/>
              </w:rPr>
              <w:t>LSM</w:t>
            </w:r>
            <w:r w:rsidRPr="00321A6A">
              <w:rPr>
                <w:rFonts w:eastAsia="MS Gothic"/>
                <w:szCs w:val="20"/>
              </w:rPr>
              <w:t xml:space="preserve"> (95% CI)</w:t>
            </w:r>
          </w:p>
        </w:tc>
        <w:tc>
          <w:tcPr>
            <w:tcW w:w="2126" w:type="dxa"/>
            <w:vAlign w:val="center"/>
          </w:tcPr>
          <w:p w14:paraId="144D40C7" w14:textId="06904066" w:rsidR="00EE6E91" w:rsidRPr="00321A6A" w:rsidRDefault="00E32FC6" w:rsidP="00321A6A">
            <w:pPr>
              <w:pStyle w:val="TableText0"/>
              <w:keepNext/>
              <w:keepLines/>
              <w:jc w:val="center"/>
              <w:rPr>
                <w:szCs w:val="20"/>
              </w:rPr>
            </w:pPr>
            <w:r w:rsidRPr="00321A6A">
              <w:rPr>
                <w:szCs w:val="20"/>
              </w:rPr>
              <w:t>-</w:t>
            </w:r>
            <w:r w:rsidR="00EE6E91" w:rsidRPr="00321A6A">
              <w:rPr>
                <w:szCs w:val="20"/>
              </w:rPr>
              <w:t>10.6 (</w:t>
            </w:r>
            <w:r w:rsidRPr="00321A6A">
              <w:rPr>
                <w:szCs w:val="20"/>
              </w:rPr>
              <w:t>-</w:t>
            </w:r>
            <w:r w:rsidR="00EE6E91" w:rsidRPr="00321A6A">
              <w:rPr>
                <w:szCs w:val="20"/>
              </w:rPr>
              <w:t>32.0, 10.9)</w:t>
            </w:r>
          </w:p>
        </w:tc>
        <w:tc>
          <w:tcPr>
            <w:tcW w:w="2268" w:type="dxa"/>
            <w:vAlign w:val="center"/>
          </w:tcPr>
          <w:p w14:paraId="72BAC58B" w14:textId="5DB79ADA" w:rsidR="00EE6E91" w:rsidRPr="00321A6A" w:rsidRDefault="005A5770" w:rsidP="00321A6A">
            <w:pPr>
              <w:pStyle w:val="TableText0"/>
              <w:keepNext/>
              <w:keepLines/>
              <w:jc w:val="center"/>
              <w:rPr>
                <w:rFonts w:eastAsia="MS Gothic" w:cs="Times New Roman"/>
                <w:szCs w:val="20"/>
              </w:rPr>
            </w:pPr>
            <w:r w:rsidRPr="00321A6A">
              <w:rPr>
                <w:szCs w:val="20"/>
              </w:rPr>
              <w:t>NA</w:t>
            </w:r>
          </w:p>
        </w:tc>
      </w:tr>
      <w:tr w:rsidR="00EE6E91" w:rsidRPr="0009282C" w14:paraId="5BF3B82A" w14:textId="77777777" w:rsidTr="00BF5F46">
        <w:trPr>
          <w:trHeight w:val="285"/>
        </w:trPr>
        <w:tc>
          <w:tcPr>
            <w:tcW w:w="4815" w:type="dxa"/>
            <w:vAlign w:val="center"/>
          </w:tcPr>
          <w:p w14:paraId="6AA407F3" w14:textId="26B9AAE1" w:rsidR="00EE6E91" w:rsidRPr="00321A6A" w:rsidRDefault="00EE6E91" w:rsidP="00321A6A">
            <w:pPr>
              <w:pStyle w:val="TableText0"/>
              <w:keepNext/>
              <w:keepLines/>
              <w:rPr>
                <w:rFonts w:eastAsia="MS Gothic" w:cs="Times New Roman"/>
                <w:szCs w:val="20"/>
              </w:rPr>
            </w:pPr>
            <w:r w:rsidRPr="00321A6A">
              <w:rPr>
                <w:szCs w:val="20"/>
              </w:rPr>
              <w:t xml:space="preserve">Absolute change in BSA-corrected 24-h urinary </w:t>
            </w:r>
            <w:r w:rsidRPr="00321A6A">
              <w:rPr>
                <w:rFonts w:eastAsia="MS Gothic" w:cs="Times New Roman"/>
                <w:szCs w:val="20"/>
              </w:rPr>
              <w:t>oxalate from baseline to Month</w:t>
            </w:r>
            <w:r w:rsidRPr="00321A6A">
              <w:rPr>
                <w:rFonts w:ascii="Arial" w:hAnsi="Arial" w:cs="Arial"/>
                <w:szCs w:val="20"/>
              </w:rPr>
              <w:t> </w:t>
            </w:r>
            <w:r w:rsidRPr="00321A6A">
              <w:rPr>
                <w:rFonts w:eastAsia="MS Gothic" w:cs="Times New Roman"/>
                <w:szCs w:val="20"/>
              </w:rPr>
              <w:t xml:space="preserve">6, </w:t>
            </w:r>
            <w:r w:rsidR="003B1751" w:rsidRPr="00321A6A">
              <w:rPr>
                <w:rFonts w:eastAsia="MS Gothic" w:cs="Times New Roman"/>
                <w:szCs w:val="20"/>
              </w:rPr>
              <w:t>mmol/24hr/1.73m</w:t>
            </w:r>
            <w:r w:rsidR="003B1751" w:rsidRPr="00321A6A">
              <w:rPr>
                <w:rFonts w:eastAsia="MS Gothic" w:cs="Times New Roman"/>
                <w:szCs w:val="20"/>
                <w:vertAlign w:val="superscript"/>
              </w:rPr>
              <w:t>2</w:t>
            </w:r>
            <w:r w:rsidR="003B1751" w:rsidRPr="00321A6A">
              <w:rPr>
                <w:rFonts w:eastAsia="MS Gothic" w:cs="Times New Roman"/>
                <w:szCs w:val="20"/>
              </w:rPr>
              <w:t xml:space="preserve">, </w:t>
            </w:r>
            <w:r w:rsidRPr="00321A6A">
              <w:rPr>
                <w:rFonts w:eastAsia="MS Gothic" w:cs="Times New Roman"/>
                <w:szCs w:val="20"/>
              </w:rPr>
              <w:t>LSM</w:t>
            </w:r>
            <w:r w:rsidRPr="00321A6A">
              <w:rPr>
                <w:rFonts w:eastAsia="MS Gothic"/>
                <w:szCs w:val="20"/>
              </w:rPr>
              <w:t xml:space="preserve"> (95% CI)</w:t>
            </w:r>
          </w:p>
        </w:tc>
        <w:tc>
          <w:tcPr>
            <w:tcW w:w="2126" w:type="dxa"/>
            <w:vAlign w:val="center"/>
          </w:tcPr>
          <w:p w14:paraId="31D1EFB7" w14:textId="37359155" w:rsidR="00EE6E91" w:rsidRPr="00321A6A" w:rsidRDefault="00E32FC6" w:rsidP="00321A6A">
            <w:pPr>
              <w:pStyle w:val="TableText0"/>
              <w:keepNext/>
              <w:keepLines/>
              <w:jc w:val="center"/>
              <w:rPr>
                <w:szCs w:val="20"/>
              </w:rPr>
            </w:pPr>
            <w:r w:rsidRPr="00321A6A">
              <w:rPr>
                <w:szCs w:val="20"/>
              </w:rPr>
              <w:t>-</w:t>
            </w:r>
            <w:r w:rsidR="00EE6E91" w:rsidRPr="00321A6A">
              <w:rPr>
                <w:szCs w:val="20"/>
              </w:rPr>
              <w:t>0.53 (</w:t>
            </w:r>
            <w:r w:rsidRPr="00321A6A">
              <w:rPr>
                <w:szCs w:val="20"/>
              </w:rPr>
              <w:t>-</w:t>
            </w:r>
            <w:r w:rsidR="00EE6E91" w:rsidRPr="00321A6A">
              <w:rPr>
                <w:szCs w:val="20"/>
              </w:rPr>
              <w:t xml:space="preserve">0.89, </w:t>
            </w:r>
            <w:r w:rsidRPr="00321A6A">
              <w:rPr>
                <w:szCs w:val="20"/>
              </w:rPr>
              <w:t>-</w:t>
            </w:r>
            <w:r w:rsidR="00EE6E91" w:rsidRPr="00321A6A">
              <w:rPr>
                <w:szCs w:val="20"/>
              </w:rPr>
              <w:t>0.18)</w:t>
            </w:r>
          </w:p>
        </w:tc>
        <w:tc>
          <w:tcPr>
            <w:tcW w:w="2268" w:type="dxa"/>
            <w:vAlign w:val="center"/>
          </w:tcPr>
          <w:p w14:paraId="5DE60251" w14:textId="67BC90BC" w:rsidR="00EE6E91" w:rsidRPr="00321A6A" w:rsidRDefault="005A5770" w:rsidP="00321A6A">
            <w:pPr>
              <w:pStyle w:val="TableText0"/>
              <w:keepNext/>
              <w:keepLines/>
              <w:jc w:val="center"/>
              <w:rPr>
                <w:rFonts w:eastAsia="MS Gothic" w:cs="Times New Roman"/>
                <w:szCs w:val="20"/>
              </w:rPr>
            </w:pPr>
            <w:r w:rsidRPr="00321A6A">
              <w:rPr>
                <w:szCs w:val="20"/>
              </w:rPr>
              <w:t>NA</w:t>
            </w:r>
          </w:p>
        </w:tc>
      </w:tr>
      <w:tr w:rsidR="00EE6E91" w:rsidRPr="0009282C" w14:paraId="7B1361A3" w14:textId="77777777" w:rsidTr="00BF5F46">
        <w:trPr>
          <w:trHeight w:val="377"/>
        </w:trPr>
        <w:tc>
          <w:tcPr>
            <w:tcW w:w="4815" w:type="dxa"/>
            <w:vAlign w:val="center"/>
          </w:tcPr>
          <w:p w14:paraId="2FECFBD3" w14:textId="1ECE4DBF" w:rsidR="00EE6E91" w:rsidRPr="00321A6A" w:rsidRDefault="00EE6E91" w:rsidP="00321A6A">
            <w:pPr>
              <w:pStyle w:val="TableText0"/>
              <w:keepNext/>
              <w:keepLines/>
              <w:rPr>
                <w:rFonts w:eastAsia="MS Gothic" w:cs="Times New Roman"/>
                <w:szCs w:val="20"/>
              </w:rPr>
            </w:pPr>
            <w:r w:rsidRPr="00321A6A">
              <w:rPr>
                <w:szCs w:val="20"/>
              </w:rPr>
              <w:t xml:space="preserve">Percent change in spot urinary </w:t>
            </w:r>
            <w:proofErr w:type="spellStart"/>
            <w:r w:rsidRPr="00321A6A">
              <w:rPr>
                <w:szCs w:val="20"/>
              </w:rPr>
              <w:t>oxalate:creatinine</w:t>
            </w:r>
            <w:proofErr w:type="spellEnd"/>
            <w:r w:rsidRPr="00321A6A">
              <w:rPr>
                <w:szCs w:val="20"/>
              </w:rPr>
              <w:t xml:space="preserve"> ratio from baseline to Month 6, </w:t>
            </w:r>
            <w:r w:rsidR="008F0E3F" w:rsidRPr="00321A6A">
              <w:rPr>
                <w:szCs w:val="20"/>
              </w:rPr>
              <w:t xml:space="preserve">%, </w:t>
            </w:r>
            <w:r w:rsidRPr="00321A6A">
              <w:rPr>
                <w:szCs w:val="20"/>
              </w:rPr>
              <w:t>LSM</w:t>
            </w:r>
            <w:r w:rsidRPr="00321A6A">
              <w:rPr>
                <w:rFonts w:eastAsia="MS Gothic"/>
                <w:szCs w:val="20"/>
              </w:rPr>
              <w:t xml:space="preserve"> (95% CI)</w:t>
            </w:r>
          </w:p>
        </w:tc>
        <w:tc>
          <w:tcPr>
            <w:tcW w:w="2126" w:type="dxa"/>
            <w:vAlign w:val="center"/>
          </w:tcPr>
          <w:p w14:paraId="31859BF4" w14:textId="6A04A54C" w:rsidR="00EE6E91" w:rsidRPr="00321A6A" w:rsidRDefault="00E32FC6" w:rsidP="00321A6A">
            <w:pPr>
              <w:pStyle w:val="TableText0"/>
              <w:keepNext/>
              <w:keepLines/>
              <w:jc w:val="center"/>
              <w:rPr>
                <w:szCs w:val="20"/>
              </w:rPr>
            </w:pPr>
            <w:r w:rsidRPr="00321A6A">
              <w:rPr>
                <w:szCs w:val="20"/>
              </w:rPr>
              <w:t>-</w:t>
            </w:r>
            <w:r w:rsidR="00EE6E91" w:rsidRPr="00321A6A">
              <w:rPr>
                <w:szCs w:val="20"/>
              </w:rPr>
              <w:t>39.5 (</w:t>
            </w:r>
            <w:r w:rsidRPr="00321A6A">
              <w:rPr>
                <w:szCs w:val="20"/>
              </w:rPr>
              <w:t>-</w:t>
            </w:r>
            <w:r w:rsidR="00EE6E91" w:rsidRPr="00321A6A">
              <w:rPr>
                <w:szCs w:val="20"/>
              </w:rPr>
              <w:t xml:space="preserve">64.1, </w:t>
            </w:r>
            <w:r w:rsidRPr="00321A6A">
              <w:rPr>
                <w:szCs w:val="20"/>
              </w:rPr>
              <w:t>-</w:t>
            </w:r>
            <w:r w:rsidR="00EE6E91" w:rsidRPr="00321A6A">
              <w:rPr>
                <w:szCs w:val="20"/>
              </w:rPr>
              <w:t>14.9)</w:t>
            </w:r>
          </w:p>
        </w:tc>
        <w:tc>
          <w:tcPr>
            <w:tcW w:w="2268" w:type="dxa"/>
            <w:vAlign w:val="center"/>
          </w:tcPr>
          <w:p w14:paraId="6DBCB25C" w14:textId="0CA268C6" w:rsidR="00EE6E91" w:rsidRPr="00321A6A" w:rsidRDefault="005A5770" w:rsidP="00321A6A">
            <w:pPr>
              <w:pStyle w:val="TableText0"/>
              <w:keepNext/>
              <w:keepLines/>
              <w:jc w:val="center"/>
              <w:rPr>
                <w:rFonts w:eastAsia="MS Gothic" w:cs="Times New Roman"/>
                <w:szCs w:val="20"/>
              </w:rPr>
            </w:pPr>
            <w:r w:rsidRPr="00321A6A">
              <w:rPr>
                <w:szCs w:val="20"/>
              </w:rPr>
              <w:t>NA</w:t>
            </w:r>
          </w:p>
        </w:tc>
      </w:tr>
      <w:tr w:rsidR="00EE6E91" w:rsidRPr="0009282C" w14:paraId="6D83E5DB" w14:textId="77777777" w:rsidTr="00BF5F46">
        <w:trPr>
          <w:trHeight w:val="280"/>
        </w:trPr>
        <w:tc>
          <w:tcPr>
            <w:tcW w:w="4815" w:type="dxa"/>
            <w:vAlign w:val="center"/>
          </w:tcPr>
          <w:p w14:paraId="3195B1E9" w14:textId="436CBAE4" w:rsidR="00EE6E91" w:rsidRPr="00321A6A" w:rsidRDefault="00EE6E91" w:rsidP="00321A6A">
            <w:pPr>
              <w:pStyle w:val="TableText0"/>
              <w:keepNext/>
              <w:keepLines/>
              <w:rPr>
                <w:rFonts w:eastAsia="MS Gothic" w:cs="Times New Roman"/>
                <w:szCs w:val="20"/>
              </w:rPr>
            </w:pPr>
            <w:r w:rsidRPr="00321A6A">
              <w:rPr>
                <w:szCs w:val="20"/>
              </w:rPr>
              <w:t xml:space="preserve">Absolute change in spot urinary </w:t>
            </w:r>
            <w:proofErr w:type="spellStart"/>
            <w:r w:rsidRPr="00321A6A">
              <w:rPr>
                <w:szCs w:val="20"/>
              </w:rPr>
              <w:t>oxalate:creatinine</w:t>
            </w:r>
            <w:proofErr w:type="spellEnd"/>
            <w:r w:rsidRPr="00321A6A">
              <w:rPr>
                <w:szCs w:val="20"/>
              </w:rPr>
              <w:t xml:space="preserve"> ratio from ba</w:t>
            </w:r>
            <w:r w:rsidRPr="00321A6A">
              <w:rPr>
                <w:rFonts w:eastAsia="MS Gothic" w:cs="Times New Roman"/>
                <w:szCs w:val="20"/>
              </w:rPr>
              <w:t xml:space="preserve">seline to Month 6, </w:t>
            </w:r>
            <w:r w:rsidR="00D4769B" w:rsidRPr="00321A6A">
              <w:rPr>
                <w:rFonts w:eastAsia="MS Gothic" w:cs="Times New Roman"/>
                <w:szCs w:val="20"/>
              </w:rPr>
              <w:t xml:space="preserve">mmol/mmol, </w:t>
            </w:r>
            <w:r w:rsidRPr="00321A6A">
              <w:rPr>
                <w:rFonts w:eastAsia="MS Gothic" w:cs="Times New Roman"/>
                <w:szCs w:val="20"/>
              </w:rPr>
              <w:t>LSM</w:t>
            </w:r>
            <w:r w:rsidRPr="00321A6A">
              <w:rPr>
                <w:rFonts w:eastAsia="MS Gothic"/>
                <w:szCs w:val="20"/>
              </w:rPr>
              <w:t xml:space="preserve"> (95% CI)</w:t>
            </w:r>
          </w:p>
        </w:tc>
        <w:tc>
          <w:tcPr>
            <w:tcW w:w="2126" w:type="dxa"/>
            <w:vAlign w:val="center"/>
          </w:tcPr>
          <w:p w14:paraId="56D70FAF" w14:textId="50913A87" w:rsidR="00EE6E91" w:rsidRPr="00321A6A" w:rsidRDefault="00E32FC6" w:rsidP="00321A6A">
            <w:pPr>
              <w:pStyle w:val="TableText0"/>
              <w:keepNext/>
              <w:keepLines/>
              <w:jc w:val="center"/>
              <w:rPr>
                <w:b/>
                <w:bCs w:val="0"/>
                <w:szCs w:val="20"/>
              </w:rPr>
            </w:pPr>
            <w:r w:rsidRPr="00321A6A">
              <w:rPr>
                <w:b/>
                <w:bCs w:val="0"/>
                <w:szCs w:val="20"/>
              </w:rPr>
              <w:t>-</w:t>
            </w:r>
            <w:r w:rsidR="00EE6E91" w:rsidRPr="00321A6A">
              <w:rPr>
                <w:b/>
                <w:bCs w:val="0"/>
                <w:szCs w:val="20"/>
              </w:rPr>
              <w:t>0.188 (</w:t>
            </w:r>
            <w:r w:rsidRPr="00321A6A">
              <w:rPr>
                <w:b/>
                <w:bCs w:val="0"/>
                <w:szCs w:val="20"/>
              </w:rPr>
              <w:t>-</w:t>
            </w:r>
            <w:r w:rsidR="00EE6E91" w:rsidRPr="00321A6A">
              <w:rPr>
                <w:b/>
                <w:bCs w:val="0"/>
                <w:szCs w:val="20"/>
              </w:rPr>
              <w:t xml:space="preserve">0.229, </w:t>
            </w:r>
            <w:r w:rsidRPr="00321A6A">
              <w:rPr>
                <w:b/>
                <w:bCs w:val="0"/>
                <w:szCs w:val="20"/>
              </w:rPr>
              <w:t>-</w:t>
            </w:r>
            <w:r w:rsidR="00EE6E91" w:rsidRPr="00321A6A">
              <w:rPr>
                <w:b/>
                <w:bCs w:val="0"/>
                <w:szCs w:val="20"/>
              </w:rPr>
              <w:t>0.147)</w:t>
            </w:r>
            <w:r w:rsidR="000E64FE" w:rsidRPr="00321A6A">
              <w:rPr>
                <w:b/>
                <w:bCs w:val="0"/>
                <w:szCs w:val="20"/>
              </w:rPr>
              <w:t>**</w:t>
            </w:r>
          </w:p>
        </w:tc>
        <w:tc>
          <w:tcPr>
            <w:tcW w:w="2268" w:type="dxa"/>
            <w:vAlign w:val="center"/>
          </w:tcPr>
          <w:p w14:paraId="138196D3" w14:textId="4D9A2C20" w:rsidR="00EE6E91" w:rsidRPr="00321A6A" w:rsidRDefault="005A5770" w:rsidP="00321A6A">
            <w:pPr>
              <w:pStyle w:val="TableText0"/>
              <w:keepNext/>
              <w:keepLines/>
              <w:jc w:val="center"/>
              <w:rPr>
                <w:rFonts w:eastAsia="MS Gothic" w:cs="Times New Roman"/>
                <w:szCs w:val="20"/>
              </w:rPr>
            </w:pPr>
            <w:r w:rsidRPr="00321A6A">
              <w:rPr>
                <w:szCs w:val="20"/>
              </w:rPr>
              <w:t>NA</w:t>
            </w:r>
          </w:p>
        </w:tc>
      </w:tr>
      <w:tr w:rsidR="00EE6E91" w:rsidRPr="0009282C" w14:paraId="7C5E4813" w14:textId="77777777">
        <w:trPr>
          <w:trHeight w:val="280"/>
        </w:trPr>
        <w:tc>
          <w:tcPr>
            <w:tcW w:w="9209" w:type="dxa"/>
            <w:gridSpan w:val="3"/>
            <w:vAlign w:val="center"/>
          </w:tcPr>
          <w:p w14:paraId="7815EE27" w14:textId="77777777" w:rsidR="00EE6E91" w:rsidRPr="00321A6A" w:rsidRDefault="00EE6E91" w:rsidP="00321A6A">
            <w:pPr>
              <w:pStyle w:val="TableText0"/>
              <w:keepNext/>
              <w:keepLines/>
              <w:rPr>
                <w:rFonts w:eastAsia="MS Gothic" w:cs="Times New Roman"/>
                <w:szCs w:val="20"/>
              </w:rPr>
            </w:pPr>
            <w:r w:rsidRPr="00321A6A">
              <w:rPr>
                <w:b/>
                <w:szCs w:val="20"/>
              </w:rPr>
              <w:t>ILLUMINATE-C – Extension period (to 24 months)</w:t>
            </w:r>
          </w:p>
        </w:tc>
      </w:tr>
      <w:tr w:rsidR="00EE6E91" w:rsidRPr="0009282C" w14:paraId="4306925B" w14:textId="77777777" w:rsidTr="00BF5F46">
        <w:trPr>
          <w:trHeight w:val="177"/>
        </w:trPr>
        <w:tc>
          <w:tcPr>
            <w:tcW w:w="4815" w:type="dxa"/>
            <w:vAlign w:val="center"/>
          </w:tcPr>
          <w:p w14:paraId="47FFEF1F" w14:textId="60560AD1" w:rsidR="00EE6E91" w:rsidRPr="00321A6A" w:rsidRDefault="00EE6E91" w:rsidP="00321A6A">
            <w:pPr>
              <w:pStyle w:val="TableText0"/>
              <w:keepNext/>
              <w:keepLines/>
              <w:rPr>
                <w:rFonts w:eastAsia="MS Gothic" w:cs="Times New Roman"/>
                <w:szCs w:val="20"/>
              </w:rPr>
            </w:pPr>
          </w:p>
        </w:tc>
        <w:tc>
          <w:tcPr>
            <w:tcW w:w="2126" w:type="dxa"/>
            <w:vAlign w:val="center"/>
          </w:tcPr>
          <w:p w14:paraId="7696A474" w14:textId="77777777" w:rsidR="00D31A35" w:rsidRPr="00321A6A" w:rsidRDefault="00EE6E91" w:rsidP="00321A6A">
            <w:pPr>
              <w:pStyle w:val="TableText0"/>
              <w:keepNext/>
              <w:keepLines/>
              <w:jc w:val="center"/>
              <w:rPr>
                <w:b/>
                <w:szCs w:val="20"/>
              </w:rPr>
            </w:pPr>
            <w:proofErr w:type="spellStart"/>
            <w:r w:rsidRPr="00321A6A">
              <w:rPr>
                <w:b/>
                <w:szCs w:val="20"/>
              </w:rPr>
              <w:t>Lumasiran</w:t>
            </w:r>
            <w:proofErr w:type="spellEnd"/>
            <w:r w:rsidRPr="00321A6A">
              <w:rPr>
                <w:b/>
                <w:szCs w:val="20"/>
              </w:rPr>
              <w:t xml:space="preserve"> </w:t>
            </w:r>
            <w:r w:rsidR="00BF5F46" w:rsidRPr="00321A6A">
              <w:rPr>
                <w:b/>
                <w:szCs w:val="20"/>
              </w:rPr>
              <w:t>C</w:t>
            </w:r>
            <w:r w:rsidRPr="00321A6A">
              <w:rPr>
                <w:b/>
                <w:szCs w:val="20"/>
              </w:rPr>
              <w:t>ohort A</w:t>
            </w:r>
            <w:r w:rsidR="00150FC6" w:rsidRPr="00321A6A">
              <w:rPr>
                <w:b/>
                <w:szCs w:val="20"/>
              </w:rPr>
              <w:t xml:space="preserve">: </w:t>
            </w:r>
          </w:p>
          <w:p w14:paraId="40855998" w14:textId="07F5AA65" w:rsidR="00EE6E91" w:rsidRPr="00321A6A" w:rsidRDefault="00150FC6" w:rsidP="00321A6A">
            <w:pPr>
              <w:pStyle w:val="TableText0"/>
              <w:keepNext/>
              <w:keepLines/>
              <w:jc w:val="center"/>
              <w:rPr>
                <w:rFonts w:eastAsia="MS Gothic" w:cs="Times New Roman"/>
                <w:b/>
                <w:szCs w:val="20"/>
              </w:rPr>
            </w:pPr>
            <w:r w:rsidRPr="00321A6A">
              <w:rPr>
                <w:b/>
                <w:szCs w:val="20"/>
              </w:rPr>
              <w:t>No dialysis</w:t>
            </w:r>
            <w:r w:rsidR="007727FB" w:rsidRPr="00321A6A">
              <w:rPr>
                <w:b/>
                <w:bCs w:val="0"/>
                <w:szCs w:val="20"/>
              </w:rPr>
              <w:t xml:space="preserve"> </w:t>
            </w:r>
            <w:r w:rsidR="00EE6E91" w:rsidRPr="00321A6A">
              <w:rPr>
                <w:b/>
                <w:szCs w:val="20"/>
              </w:rPr>
              <w:t>(n=6)</w:t>
            </w:r>
          </w:p>
        </w:tc>
        <w:tc>
          <w:tcPr>
            <w:tcW w:w="2268" w:type="dxa"/>
            <w:vAlign w:val="center"/>
          </w:tcPr>
          <w:p w14:paraId="56CAF42F" w14:textId="3C7D277B" w:rsidR="00EE6E91" w:rsidRPr="00321A6A" w:rsidRDefault="00EE6E91" w:rsidP="00321A6A">
            <w:pPr>
              <w:pStyle w:val="TableText0"/>
              <w:keepNext/>
              <w:keepLines/>
              <w:jc w:val="center"/>
              <w:rPr>
                <w:rFonts w:eastAsia="MS Gothic" w:cs="Times New Roman"/>
                <w:b/>
              </w:rPr>
            </w:pPr>
            <w:proofErr w:type="spellStart"/>
            <w:r w:rsidRPr="00321A6A">
              <w:rPr>
                <w:b/>
              </w:rPr>
              <w:t>Lumasiran</w:t>
            </w:r>
            <w:proofErr w:type="spellEnd"/>
            <w:r w:rsidRPr="00321A6A">
              <w:rPr>
                <w:b/>
              </w:rPr>
              <w:t xml:space="preserve"> </w:t>
            </w:r>
            <w:r w:rsidR="00BF5F46" w:rsidRPr="00321A6A">
              <w:rPr>
                <w:b/>
              </w:rPr>
              <w:t>C</w:t>
            </w:r>
            <w:r w:rsidRPr="00321A6A">
              <w:rPr>
                <w:b/>
              </w:rPr>
              <w:t>ohort B</w:t>
            </w:r>
            <w:r w:rsidR="00150FC6" w:rsidRPr="00321A6A">
              <w:rPr>
                <w:b/>
              </w:rPr>
              <w:t>: Dialysis</w:t>
            </w:r>
            <w:r w:rsidR="007727FB" w:rsidRPr="00321A6A">
              <w:rPr>
                <w:b/>
              </w:rPr>
              <w:t xml:space="preserve"> </w:t>
            </w:r>
            <w:r w:rsidRPr="00321A6A">
              <w:rPr>
                <w:b/>
              </w:rPr>
              <w:t>(n=15)</w:t>
            </w:r>
          </w:p>
        </w:tc>
      </w:tr>
      <w:tr w:rsidR="00EE6E91" w:rsidRPr="0009282C" w14:paraId="3F2D1C1A" w14:textId="77777777" w:rsidTr="00BF5F46">
        <w:trPr>
          <w:trHeight w:val="280"/>
        </w:trPr>
        <w:tc>
          <w:tcPr>
            <w:tcW w:w="4815" w:type="dxa"/>
            <w:vAlign w:val="center"/>
          </w:tcPr>
          <w:p w14:paraId="6E297A62" w14:textId="1E8CF4F8" w:rsidR="00EE6E91" w:rsidRPr="00321A6A" w:rsidRDefault="00EE6E91" w:rsidP="00321A6A">
            <w:pPr>
              <w:pStyle w:val="TableText0"/>
              <w:keepNext/>
              <w:keepLines/>
              <w:rPr>
                <w:rFonts w:eastAsia="MS Gothic" w:cs="Times New Roman"/>
                <w:szCs w:val="20"/>
              </w:rPr>
            </w:pPr>
            <w:r w:rsidRPr="00321A6A">
              <w:rPr>
                <w:szCs w:val="20"/>
              </w:rPr>
              <w:t>Percent change in plasma oxalate from baseline to Month 24</w:t>
            </w:r>
            <w:r w:rsidRPr="00321A6A">
              <w:rPr>
                <w:szCs w:val="20"/>
                <w:vertAlign w:val="superscript"/>
              </w:rPr>
              <w:t>a</w:t>
            </w:r>
            <w:r w:rsidR="008F0E3F" w:rsidRPr="00321A6A">
              <w:rPr>
                <w:szCs w:val="20"/>
              </w:rPr>
              <w:t>, %</w:t>
            </w:r>
            <w:r w:rsidRPr="00321A6A">
              <w:rPr>
                <w:szCs w:val="20"/>
                <w:vertAlign w:val="superscript"/>
              </w:rPr>
              <w:t xml:space="preserve"> </w:t>
            </w:r>
            <w:r w:rsidRPr="00321A6A">
              <w:rPr>
                <w:szCs w:val="20"/>
              </w:rPr>
              <w:t>(95% CI)</w:t>
            </w:r>
          </w:p>
        </w:tc>
        <w:tc>
          <w:tcPr>
            <w:tcW w:w="2126" w:type="dxa"/>
            <w:vAlign w:val="center"/>
          </w:tcPr>
          <w:p w14:paraId="4848ECD3" w14:textId="77777777" w:rsidR="00EE6E91" w:rsidRPr="00321A6A" w:rsidRDefault="00EE6E91" w:rsidP="00321A6A">
            <w:pPr>
              <w:pStyle w:val="TableText0"/>
              <w:keepNext/>
              <w:keepLines/>
              <w:jc w:val="center"/>
              <w:rPr>
                <w:rFonts w:eastAsia="MS Gothic" w:cs="Times New Roman"/>
                <w:szCs w:val="20"/>
              </w:rPr>
            </w:pPr>
            <w:r w:rsidRPr="00321A6A">
              <w:rPr>
                <w:szCs w:val="20"/>
              </w:rPr>
              <w:t>-60.5 (NR)</w:t>
            </w:r>
          </w:p>
        </w:tc>
        <w:tc>
          <w:tcPr>
            <w:tcW w:w="2268" w:type="dxa"/>
            <w:vAlign w:val="center"/>
          </w:tcPr>
          <w:p w14:paraId="30B231CC" w14:textId="77777777" w:rsidR="00EE6E91" w:rsidRPr="00321A6A" w:rsidRDefault="00EE6E91" w:rsidP="00321A6A">
            <w:pPr>
              <w:pStyle w:val="TableText0"/>
              <w:keepNext/>
              <w:keepLines/>
              <w:jc w:val="center"/>
              <w:rPr>
                <w:rFonts w:eastAsia="MS Gothic" w:cs="Times New Roman"/>
                <w:szCs w:val="20"/>
              </w:rPr>
            </w:pPr>
            <w:r w:rsidRPr="00321A6A">
              <w:rPr>
                <w:szCs w:val="20"/>
              </w:rPr>
              <w:t>-30.6 (NR)</w:t>
            </w:r>
          </w:p>
        </w:tc>
      </w:tr>
      <w:tr w:rsidR="00EE6E91" w:rsidRPr="0009282C" w14:paraId="4E25AD05" w14:textId="77777777" w:rsidTr="00BF5F46">
        <w:trPr>
          <w:trHeight w:val="233"/>
        </w:trPr>
        <w:tc>
          <w:tcPr>
            <w:tcW w:w="4815" w:type="dxa"/>
            <w:vAlign w:val="center"/>
          </w:tcPr>
          <w:p w14:paraId="409BE5BD" w14:textId="478EF7DA" w:rsidR="00EE6E91" w:rsidRPr="00321A6A" w:rsidRDefault="00EE6E91" w:rsidP="00321A6A">
            <w:pPr>
              <w:pStyle w:val="TableText0"/>
              <w:keepNext/>
              <w:keepLines/>
              <w:rPr>
                <w:rFonts w:eastAsia="MS Gothic" w:cs="Times New Roman"/>
                <w:szCs w:val="20"/>
              </w:rPr>
            </w:pPr>
            <w:r w:rsidRPr="00321A6A">
              <w:rPr>
                <w:rStyle w:val="normaltextrun"/>
                <w:szCs w:val="20"/>
              </w:rPr>
              <w:t>Absolute</w:t>
            </w:r>
            <w:r w:rsidRPr="00321A6A">
              <w:rPr>
                <w:szCs w:val="20"/>
              </w:rPr>
              <w:t xml:space="preserve"> change in plasma oxalate from baseline to Month 24</w:t>
            </w:r>
            <w:r w:rsidRPr="00321A6A">
              <w:rPr>
                <w:szCs w:val="20"/>
                <w:vertAlign w:val="superscript"/>
              </w:rPr>
              <w:t>a</w:t>
            </w:r>
            <w:r w:rsidR="0031209C" w:rsidRPr="00321A6A">
              <w:rPr>
                <w:szCs w:val="20"/>
              </w:rPr>
              <w:t>,</w:t>
            </w:r>
            <w:r w:rsidRPr="00321A6A">
              <w:rPr>
                <w:szCs w:val="20"/>
                <w:vertAlign w:val="superscript"/>
              </w:rPr>
              <w:t xml:space="preserve"> </w:t>
            </w:r>
            <w:proofErr w:type="spellStart"/>
            <w:r w:rsidR="0031209C" w:rsidRPr="00321A6A">
              <w:t>μmol</w:t>
            </w:r>
            <w:proofErr w:type="spellEnd"/>
            <w:r w:rsidR="0031209C" w:rsidRPr="00321A6A">
              <w:t xml:space="preserve">/L </w:t>
            </w:r>
            <w:r w:rsidRPr="00321A6A">
              <w:rPr>
                <w:szCs w:val="20"/>
              </w:rPr>
              <w:t>(95% CI)</w:t>
            </w:r>
          </w:p>
        </w:tc>
        <w:tc>
          <w:tcPr>
            <w:tcW w:w="2126" w:type="dxa"/>
            <w:vAlign w:val="center"/>
          </w:tcPr>
          <w:p w14:paraId="37C96AC3" w14:textId="77777777" w:rsidR="00EE6E91" w:rsidRPr="00321A6A" w:rsidRDefault="00EE6E91" w:rsidP="00321A6A">
            <w:pPr>
              <w:pStyle w:val="TableText0"/>
              <w:keepNext/>
              <w:keepLines/>
              <w:jc w:val="center"/>
              <w:rPr>
                <w:rFonts w:eastAsia="MS Gothic" w:cs="Times New Roman"/>
                <w:szCs w:val="20"/>
              </w:rPr>
            </w:pPr>
            <w:r w:rsidRPr="00321A6A">
              <w:rPr>
                <w:szCs w:val="20"/>
              </w:rPr>
              <w:t>-27.9 (NR)</w:t>
            </w:r>
          </w:p>
        </w:tc>
        <w:tc>
          <w:tcPr>
            <w:tcW w:w="2268" w:type="dxa"/>
            <w:vAlign w:val="center"/>
          </w:tcPr>
          <w:p w14:paraId="45119248" w14:textId="77777777" w:rsidR="00EE6E91" w:rsidRPr="00321A6A" w:rsidRDefault="00EE6E91" w:rsidP="00321A6A">
            <w:pPr>
              <w:pStyle w:val="TableText0"/>
              <w:keepNext/>
              <w:keepLines/>
              <w:jc w:val="center"/>
              <w:rPr>
                <w:rFonts w:eastAsia="MS Gothic" w:cs="Times New Roman"/>
                <w:szCs w:val="20"/>
              </w:rPr>
            </w:pPr>
            <w:r w:rsidRPr="00321A6A">
              <w:rPr>
                <w:szCs w:val="20"/>
              </w:rPr>
              <w:t>-67.6 (NR)</w:t>
            </w:r>
          </w:p>
        </w:tc>
      </w:tr>
    </w:tbl>
    <w:p w14:paraId="1A52B52C" w14:textId="59E913C4" w:rsidR="00EE6E91" w:rsidRPr="0009282C" w:rsidRDefault="00580660" w:rsidP="00321A6A">
      <w:pPr>
        <w:keepNext/>
        <w:keepLines/>
        <w:rPr>
          <w:rFonts w:ascii="Arial Narrow" w:hAnsi="Arial Narrow" w:cs="Calibri"/>
          <w:sz w:val="18"/>
          <w:szCs w:val="18"/>
        </w:rPr>
      </w:pPr>
      <w:r w:rsidRPr="0009282C">
        <w:rPr>
          <w:rFonts w:ascii="Arial Narrow" w:hAnsi="Arial Narrow" w:cs="Calibri"/>
          <w:bCs/>
          <w:sz w:val="18"/>
          <w:szCs w:val="18"/>
        </w:rPr>
        <w:t>Abbreviations:</w:t>
      </w:r>
      <w:r w:rsidR="67C0AFC2" w:rsidRPr="0009282C">
        <w:rPr>
          <w:rFonts w:ascii="Arial Narrow" w:hAnsi="Arial Narrow" w:cs="Calibri"/>
          <w:sz w:val="18"/>
          <w:szCs w:val="18"/>
        </w:rPr>
        <w:t xml:space="preserve"> AUC; area under the curve; BSA, body surface area; CI, confidence interval; LSM, least squares mean; NA, not applicable; NR, not reported.</w:t>
      </w:r>
    </w:p>
    <w:p w14:paraId="21B85D93" w14:textId="5C3BB804" w:rsidR="00743346" w:rsidRPr="0009282C" w:rsidRDefault="00743346" w:rsidP="00321A6A">
      <w:pPr>
        <w:keepNext/>
        <w:keepLines/>
        <w:rPr>
          <w:rFonts w:ascii="Arial Narrow" w:hAnsi="Arial Narrow" w:cs="Calibri"/>
          <w:sz w:val="18"/>
          <w:szCs w:val="18"/>
        </w:rPr>
      </w:pPr>
      <w:r w:rsidRPr="0009282C">
        <w:rPr>
          <w:rFonts w:ascii="Arial Narrow" w:hAnsi="Arial Narrow" w:cs="Calibri"/>
          <w:sz w:val="18"/>
          <w:szCs w:val="18"/>
        </w:rPr>
        <w:t>Cohort A - patients not on dialysis; Cohort B:</w:t>
      </w:r>
      <w:r w:rsidRPr="0009282C">
        <w:t xml:space="preserve"> </w:t>
      </w:r>
      <w:r w:rsidRPr="0009282C">
        <w:rPr>
          <w:rFonts w:ascii="Arial Narrow" w:hAnsi="Arial Narrow" w:cs="Calibri"/>
          <w:sz w:val="18"/>
          <w:szCs w:val="18"/>
        </w:rPr>
        <w:t xml:space="preserve">patients on dialysis </w:t>
      </w:r>
    </w:p>
    <w:p w14:paraId="16DA975B" w14:textId="77777777" w:rsidR="004E4290" w:rsidRPr="0009282C" w:rsidRDefault="004E4290" w:rsidP="00321A6A">
      <w:pPr>
        <w:pStyle w:val="TableFigureFooter"/>
        <w:keepNext/>
      </w:pPr>
      <w:r w:rsidRPr="0009282C">
        <w:t>** P value of &lt;0.05 = statistically significant</w:t>
      </w:r>
    </w:p>
    <w:p w14:paraId="08F02D93" w14:textId="2B4C1025" w:rsidR="00EE6E91" w:rsidRPr="0009282C" w:rsidRDefault="67C0AFC2" w:rsidP="00321A6A">
      <w:pPr>
        <w:keepNext/>
        <w:keepLines/>
        <w:rPr>
          <w:rFonts w:ascii="Arial Narrow" w:hAnsi="Arial Narrow"/>
          <w:sz w:val="18"/>
          <w:szCs w:val="18"/>
        </w:rPr>
      </w:pPr>
      <w:r w:rsidRPr="0009282C">
        <w:rPr>
          <w:rFonts w:ascii="Arial Narrow" w:hAnsi="Arial Narrow"/>
          <w:sz w:val="18"/>
          <w:szCs w:val="18"/>
          <w:vertAlign w:val="superscript"/>
        </w:rPr>
        <w:t xml:space="preserve">a </w:t>
      </w:r>
      <w:r w:rsidRPr="0009282C">
        <w:rPr>
          <w:rFonts w:ascii="Arial Narrow" w:hAnsi="Arial Narrow"/>
          <w:sz w:val="18"/>
          <w:szCs w:val="18"/>
        </w:rPr>
        <w:t xml:space="preserve">LSM has not been used </w:t>
      </w:r>
    </w:p>
    <w:p w14:paraId="445333E2" w14:textId="028A3F7F" w:rsidR="00EE6E91" w:rsidRPr="0009282C" w:rsidRDefault="00580660" w:rsidP="004E4290">
      <w:pPr>
        <w:rPr>
          <w:rFonts w:ascii="Arial Narrow" w:hAnsi="Arial Narrow" w:cs="Calibri"/>
          <w:snapToGrid w:val="0"/>
          <w:sz w:val="18"/>
          <w:szCs w:val="18"/>
        </w:rPr>
      </w:pPr>
      <w:r w:rsidRPr="0009282C">
        <w:rPr>
          <w:rFonts w:ascii="Arial Narrow" w:hAnsi="Arial Narrow" w:cs="Calibri"/>
          <w:snapToGrid w:val="0"/>
          <w:sz w:val="18"/>
          <w:szCs w:val="18"/>
        </w:rPr>
        <w:t>Source:</w:t>
      </w:r>
      <w:r w:rsidR="00EE6E91" w:rsidRPr="0009282C">
        <w:rPr>
          <w:rFonts w:ascii="Arial Narrow" w:hAnsi="Arial Narrow" w:cs="Calibri"/>
          <w:snapToGrid w:val="0"/>
          <w:sz w:val="18"/>
          <w:szCs w:val="18"/>
        </w:rPr>
        <w:t xml:space="preserve"> </w:t>
      </w:r>
      <w:r w:rsidR="00F415EE" w:rsidRPr="0009282C">
        <w:rPr>
          <w:rFonts w:ascii="Arial Narrow" w:hAnsi="Arial Narrow" w:cs="Calibri"/>
          <w:snapToGrid w:val="0"/>
          <w:sz w:val="18"/>
          <w:szCs w:val="18"/>
        </w:rPr>
        <w:t xml:space="preserve">Section </w:t>
      </w:r>
      <w:r w:rsidR="00BE7E34" w:rsidRPr="0009282C">
        <w:rPr>
          <w:rFonts w:ascii="Arial Narrow" w:hAnsi="Arial Narrow" w:cs="Calibri"/>
          <w:snapToGrid w:val="0"/>
          <w:sz w:val="18"/>
          <w:szCs w:val="18"/>
        </w:rPr>
        <w:t xml:space="preserve">2.5.3, </w:t>
      </w:r>
      <w:r w:rsidR="00BB2F5C" w:rsidRPr="0009282C">
        <w:rPr>
          <w:rFonts w:ascii="Arial Narrow" w:hAnsi="Arial Narrow" w:cs="Calibri"/>
          <w:snapToGrid w:val="0"/>
          <w:sz w:val="18"/>
          <w:szCs w:val="18"/>
        </w:rPr>
        <w:t>p</w:t>
      </w:r>
      <w:r w:rsidR="0000647C" w:rsidRPr="0009282C">
        <w:rPr>
          <w:rFonts w:ascii="Arial Narrow" w:hAnsi="Arial Narrow" w:cs="Calibri"/>
          <w:snapToGrid w:val="0"/>
          <w:sz w:val="18"/>
          <w:szCs w:val="18"/>
        </w:rPr>
        <w:t>p</w:t>
      </w:r>
      <w:r w:rsidR="00B71281" w:rsidRPr="0009282C">
        <w:rPr>
          <w:rFonts w:ascii="Arial Narrow" w:hAnsi="Arial Narrow" w:cs="Calibri"/>
          <w:snapToGrid w:val="0"/>
          <w:sz w:val="18"/>
          <w:szCs w:val="18"/>
        </w:rPr>
        <w:t>86-</w:t>
      </w:r>
      <w:r w:rsidR="00452461" w:rsidRPr="0009282C">
        <w:rPr>
          <w:rFonts w:ascii="Arial Narrow" w:hAnsi="Arial Narrow" w:cs="Calibri"/>
          <w:snapToGrid w:val="0"/>
          <w:sz w:val="18"/>
          <w:szCs w:val="18"/>
        </w:rPr>
        <w:t>92 of the submission, ILLUMINATE-C Clinical Study Report 1</w:t>
      </w:r>
      <w:r w:rsidR="00165D61" w:rsidRPr="0009282C">
        <w:rPr>
          <w:rFonts w:ascii="Arial Narrow" w:hAnsi="Arial Narrow" w:cs="Calibri"/>
          <w:noProof/>
          <w:snapToGrid w:val="0"/>
          <w:sz w:val="18"/>
          <w:szCs w:val="18"/>
        </w:rPr>
        <w:t>.</w:t>
      </w:r>
      <w:r w:rsidR="00E9205D" w:rsidRPr="0009282C">
        <w:rPr>
          <w:rFonts w:ascii="Arial Narrow" w:hAnsi="Arial Narrow" w:cs="Calibri"/>
          <w:snapToGrid w:val="0"/>
          <w:sz w:val="18"/>
          <w:szCs w:val="18"/>
        </w:rPr>
        <w:t xml:space="preserve"> </w:t>
      </w:r>
    </w:p>
    <w:p w14:paraId="59D9B628" w14:textId="77EB1A74" w:rsidR="00EE6E91" w:rsidRPr="0009282C" w:rsidRDefault="00DB1F73" w:rsidP="00EC48DC">
      <w:pPr>
        <w:pStyle w:val="3-BodyText"/>
      </w:pPr>
      <w:r w:rsidRPr="0009282C">
        <w:t xml:space="preserve">In ILLUMINATE-C, </w:t>
      </w:r>
      <w:r w:rsidR="000E3089" w:rsidRPr="0009282C">
        <w:t>a</w:t>
      </w:r>
      <w:r w:rsidR="00EE6E91" w:rsidRPr="0009282C">
        <w:t xml:space="preserve"> reduction in plasma oxalate was reported in both</w:t>
      </w:r>
      <w:r w:rsidR="00112FE2" w:rsidRPr="0009282C">
        <w:t xml:space="preserve"> </w:t>
      </w:r>
      <w:bookmarkStart w:id="42" w:name="_Hlk188375102"/>
      <w:r w:rsidR="00112FE2" w:rsidRPr="0009282C">
        <w:t>patients</w:t>
      </w:r>
      <w:r w:rsidR="001D6099" w:rsidRPr="0009282C">
        <w:t xml:space="preserve"> not on dialysis</w:t>
      </w:r>
      <w:r w:rsidR="00EE6E91" w:rsidRPr="0009282C">
        <w:t xml:space="preserve"> </w:t>
      </w:r>
      <w:bookmarkEnd w:id="42"/>
      <w:r w:rsidR="00D45D47" w:rsidRPr="0009282C">
        <w:t>(</w:t>
      </w:r>
      <w:r w:rsidR="008F56F0" w:rsidRPr="0009282C">
        <w:t>C</w:t>
      </w:r>
      <w:r w:rsidR="00EE6E91" w:rsidRPr="0009282C">
        <w:t>ohort A</w:t>
      </w:r>
      <w:r w:rsidR="00D45D47" w:rsidRPr="0009282C">
        <w:t>)</w:t>
      </w:r>
      <w:r w:rsidR="00EE6E91" w:rsidRPr="0009282C">
        <w:t xml:space="preserve"> (LSM −33.3%; 95% CI −81.8%, 15.2%, p=0.1299) and </w:t>
      </w:r>
      <w:r w:rsidR="00BF4177" w:rsidRPr="0009282C">
        <w:t>on dialysis (</w:t>
      </w:r>
      <w:r w:rsidR="008F56F0" w:rsidRPr="0009282C">
        <w:t>C</w:t>
      </w:r>
      <w:r w:rsidR="00EE6E91" w:rsidRPr="0009282C">
        <w:t>ohort B</w:t>
      </w:r>
      <w:r w:rsidR="009E0809" w:rsidRPr="0009282C">
        <w:t>)</w:t>
      </w:r>
      <w:r w:rsidR="00EE6E91" w:rsidRPr="0009282C">
        <w:t xml:space="preserve"> (LSM −42.4%; 95% CI −50.7%, −34.2%, </w:t>
      </w:r>
      <w:r w:rsidR="006011E5" w:rsidRPr="0009282C">
        <w:t>p&lt;</w:t>
      </w:r>
      <w:r w:rsidR="009F673E" w:rsidRPr="0009282C">
        <w:t>0</w:t>
      </w:r>
      <w:r w:rsidR="006011E5" w:rsidRPr="0009282C">
        <w:t>.001</w:t>
      </w:r>
      <w:r w:rsidR="00EE6E91" w:rsidRPr="0009282C">
        <w:t xml:space="preserve">) from baseline to 6 months. </w:t>
      </w:r>
      <w:r w:rsidR="00754BAB" w:rsidRPr="0009282C">
        <w:rPr>
          <w:iCs/>
        </w:rPr>
        <w:t xml:space="preserve">The submission considered the percent change in </w:t>
      </w:r>
      <w:r w:rsidR="001B60DD" w:rsidRPr="0009282C">
        <w:rPr>
          <w:iCs/>
        </w:rPr>
        <w:t>plasma oxalate</w:t>
      </w:r>
      <w:r w:rsidR="00754BAB" w:rsidRPr="0009282C">
        <w:rPr>
          <w:iCs/>
        </w:rPr>
        <w:t xml:space="preserve"> from baseline to 6</w:t>
      </w:r>
      <w:r w:rsidR="00321A6A">
        <w:rPr>
          <w:iCs/>
        </w:rPr>
        <w:t> </w:t>
      </w:r>
      <w:r w:rsidR="00754BAB" w:rsidRPr="0009282C">
        <w:rPr>
          <w:iCs/>
        </w:rPr>
        <w:t xml:space="preserve">months to be clinically meaningful. </w:t>
      </w:r>
      <w:r w:rsidR="00EE6E91" w:rsidRPr="0009282C">
        <w:t xml:space="preserve">Interim results for the ILLUMINATE-C extension period demonstrated sustained reduction in plasma oxalate in both </w:t>
      </w:r>
      <w:r w:rsidR="000D2B42" w:rsidRPr="0009282C">
        <w:t>C</w:t>
      </w:r>
      <w:r w:rsidR="00EE6E91" w:rsidRPr="0009282C">
        <w:t xml:space="preserve">ohort A (60.5%) and </w:t>
      </w:r>
      <w:r w:rsidR="000D2B42" w:rsidRPr="0009282C">
        <w:t>C</w:t>
      </w:r>
      <w:r w:rsidR="00EE6E91" w:rsidRPr="0009282C">
        <w:t xml:space="preserve">ohort B (30.6%) through to 24 months of </w:t>
      </w:r>
      <w:proofErr w:type="spellStart"/>
      <w:r w:rsidR="00EE6E91" w:rsidRPr="0009282C">
        <w:t>lumasiran</w:t>
      </w:r>
      <w:proofErr w:type="spellEnd"/>
      <w:r w:rsidR="00EE6E91" w:rsidRPr="0009282C">
        <w:t xml:space="preserve"> treatment.</w:t>
      </w:r>
    </w:p>
    <w:p w14:paraId="102E1565" w14:textId="67554159" w:rsidR="00EE6E91" w:rsidRPr="0009282C" w:rsidRDefault="00EE6E91" w:rsidP="00EC48DC">
      <w:pPr>
        <w:pStyle w:val="3-BodyText"/>
        <w:rPr>
          <w:sz w:val="22"/>
        </w:rPr>
      </w:pPr>
      <w:r w:rsidRPr="0009282C">
        <w:t xml:space="preserve">Reduction in absolute plasma oxalate levels were reported in both </w:t>
      </w:r>
      <w:r w:rsidR="009E302C" w:rsidRPr="0009282C">
        <w:t>C</w:t>
      </w:r>
      <w:r w:rsidRPr="0009282C">
        <w:t xml:space="preserve">ohort A (LSM </w:t>
      </w:r>
      <w:r w:rsidR="00462532" w:rsidRPr="0009282C">
        <w:t>−</w:t>
      </w:r>
      <w:r w:rsidRPr="0009282C">
        <w:t xml:space="preserve">35.3; 95% CI </w:t>
      </w:r>
      <w:r w:rsidR="00462532" w:rsidRPr="0009282C">
        <w:t>−</w:t>
      </w:r>
      <w:r w:rsidRPr="0009282C">
        <w:t xml:space="preserve">56.3, </w:t>
      </w:r>
      <w:r w:rsidR="00462532" w:rsidRPr="0009282C">
        <w:t>−</w:t>
      </w:r>
      <w:r w:rsidRPr="0009282C">
        <w:t xml:space="preserve">14.2 </w:t>
      </w:r>
      <w:proofErr w:type="spellStart"/>
      <w:r w:rsidRPr="0009282C">
        <w:t>μmol</w:t>
      </w:r>
      <w:proofErr w:type="spellEnd"/>
      <w:r w:rsidRPr="0009282C">
        <w:t>/L</w:t>
      </w:r>
      <w:r w:rsidR="00CA3617" w:rsidRPr="0009282C">
        <w:t>, p</w:t>
      </w:r>
      <w:r w:rsidR="005947E9">
        <w:t>&lt;</w:t>
      </w:r>
      <w:r w:rsidR="00B12063" w:rsidRPr="0009282C">
        <w:t>0.01</w:t>
      </w:r>
      <w:r w:rsidRPr="0009282C">
        <w:t xml:space="preserve">) and </w:t>
      </w:r>
      <w:r w:rsidR="009E302C" w:rsidRPr="0009282C">
        <w:t>C</w:t>
      </w:r>
      <w:r w:rsidRPr="0009282C">
        <w:t xml:space="preserve">ohort B (LSM </w:t>
      </w:r>
      <w:r w:rsidR="00462532" w:rsidRPr="0009282C">
        <w:t>−</w:t>
      </w:r>
      <w:r w:rsidRPr="0009282C">
        <w:t>48.3; 95%</w:t>
      </w:r>
      <w:r w:rsidR="0083726E" w:rsidRPr="0009282C">
        <w:t xml:space="preserve"> </w:t>
      </w:r>
      <w:r w:rsidRPr="0009282C">
        <w:t xml:space="preserve">CI </w:t>
      </w:r>
      <w:r w:rsidR="00462532" w:rsidRPr="0009282C">
        <w:t>−</w:t>
      </w:r>
      <w:r w:rsidRPr="0009282C">
        <w:t xml:space="preserve">55.9, </w:t>
      </w:r>
      <w:r w:rsidR="00462532" w:rsidRPr="0009282C">
        <w:t>−</w:t>
      </w:r>
      <w:r w:rsidRPr="0009282C">
        <w:t xml:space="preserve">40.8 </w:t>
      </w:r>
      <w:proofErr w:type="spellStart"/>
      <w:r w:rsidRPr="0009282C">
        <w:t>μmol</w:t>
      </w:r>
      <w:proofErr w:type="spellEnd"/>
      <w:r w:rsidRPr="0009282C">
        <w:t>/L</w:t>
      </w:r>
      <w:r w:rsidR="00CA3617" w:rsidRPr="0009282C">
        <w:t>, p</w:t>
      </w:r>
      <w:r w:rsidR="007005C4" w:rsidRPr="0009282C">
        <w:t>&lt;0.01</w:t>
      </w:r>
      <w:r w:rsidRPr="0009282C">
        <w:t xml:space="preserve">) from baseline to 6 months. </w:t>
      </w:r>
    </w:p>
    <w:p w14:paraId="52F776A4" w14:textId="6930BC51" w:rsidR="00EE6E91" w:rsidRPr="0009282C" w:rsidRDefault="00EE6E91" w:rsidP="00EC48DC">
      <w:pPr>
        <w:pStyle w:val="3-BodyText"/>
      </w:pPr>
      <w:r w:rsidRPr="0009282C">
        <w:t xml:space="preserve">The </w:t>
      </w:r>
      <w:r w:rsidR="00A778EA" w:rsidRPr="0009282C">
        <w:t>percent</w:t>
      </w:r>
      <w:r w:rsidRPr="0009282C">
        <w:t xml:space="preserve"> change in plasma oxalate </w:t>
      </w:r>
      <w:r w:rsidR="00644E1E" w:rsidRPr="0009282C">
        <w:t>area under the curve (</w:t>
      </w:r>
      <w:r w:rsidRPr="0009282C">
        <w:t>AUC</w:t>
      </w:r>
      <w:r w:rsidR="00644E1E" w:rsidRPr="0009282C">
        <w:t>)</w:t>
      </w:r>
      <w:r w:rsidRPr="0009282C">
        <w:t xml:space="preserve"> (0–24 h) between dialysis sessions from baseline to 6 months was </w:t>
      </w:r>
      <w:r w:rsidR="00363AE8" w:rsidRPr="0009282C">
        <w:t>−</w:t>
      </w:r>
      <w:r w:rsidRPr="0009282C">
        <w:t xml:space="preserve">41.4% (95% CI: </w:t>
      </w:r>
      <w:r w:rsidR="00363AE8" w:rsidRPr="0009282C">
        <w:t>−</w:t>
      </w:r>
      <w:r w:rsidRPr="0009282C">
        <w:t xml:space="preserve">51.0%, </w:t>
      </w:r>
      <w:r w:rsidR="00363AE8" w:rsidRPr="0009282C">
        <w:t>−</w:t>
      </w:r>
      <w:r w:rsidRPr="0009282C">
        <w:t>31.8%</w:t>
      </w:r>
      <w:r w:rsidR="002F5375" w:rsidRPr="0009282C">
        <w:t>, p</w:t>
      </w:r>
      <w:r w:rsidR="00E1522C" w:rsidRPr="0009282C">
        <w:t>&lt;0.01</w:t>
      </w:r>
      <w:r w:rsidRPr="0009282C">
        <w:t xml:space="preserve">) in </w:t>
      </w:r>
      <w:r w:rsidR="0096449C" w:rsidRPr="0009282C">
        <w:t>C</w:t>
      </w:r>
      <w:r w:rsidRPr="0009282C">
        <w:t>ohort B.</w:t>
      </w:r>
    </w:p>
    <w:p w14:paraId="7A8F5F32" w14:textId="54AC5471" w:rsidR="00EE6E91" w:rsidRPr="0009282C" w:rsidRDefault="00E94C66" w:rsidP="00EC48DC">
      <w:pPr>
        <w:pStyle w:val="3-BodyText"/>
      </w:pPr>
      <w:proofErr w:type="spellStart"/>
      <w:r w:rsidRPr="0009282C">
        <w:t>L</w:t>
      </w:r>
      <w:r w:rsidR="00EE6E91" w:rsidRPr="0009282C">
        <w:t>umasiran</w:t>
      </w:r>
      <w:proofErr w:type="spellEnd"/>
      <w:r w:rsidR="00EE6E91" w:rsidRPr="0009282C">
        <w:t xml:space="preserve">-treated patients in </w:t>
      </w:r>
      <w:r w:rsidR="00126CE7" w:rsidRPr="0009282C">
        <w:t>C</w:t>
      </w:r>
      <w:r w:rsidR="00EE6E91" w:rsidRPr="0009282C">
        <w:t xml:space="preserve">ohort A demonstrated </w:t>
      </w:r>
      <w:r w:rsidR="008E798C" w:rsidRPr="0009282C">
        <w:t xml:space="preserve">a </w:t>
      </w:r>
      <w:r w:rsidR="00EE6E91" w:rsidRPr="0009282C">
        <w:t xml:space="preserve">reduction in percentage change (LSM </w:t>
      </w:r>
      <w:r w:rsidR="00462532" w:rsidRPr="0009282C">
        <w:t>−</w:t>
      </w:r>
      <w:r w:rsidR="00EE6E91" w:rsidRPr="0009282C">
        <w:t xml:space="preserve">10.6%; 95% CI: </w:t>
      </w:r>
      <w:r w:rsidR="00462532" w:rsidRPr="0009282C">
        <w:t>−</w:t>
      </w:r>
      <w:r w:rsidR="00EE6E91" w:rsidRPr="0009282C">
        <w:t>32.0%, 10.9%</w:t>
      </w:r>
      <w:r w:rsidR="002F5375" w:rsidRPr="0009282C">
        <w:t>, p=N</w:t>
      </w:r>
      <w:r w:rsidR="0096449C" w:rsidRPr="0009282C">
        <w:t>R</w:t>
      </w:r>
      <w:r w:rsidR="00EE6E91" w:rsidRPr="0009282C">
        <w:t xml:space="preserve">) and absolute change (LSM </w:t>
      </w:r>
      <w:r w:rsidR="00363AE8" w:rsidRPr="0009282C">
        <w:t>−</w:t>
      </w:r>
      <w:r w:rsidR="00EE6E91" w:rsidRPr="0009282C">
        <w:t xml:space="preserve">0.53; 95% CI: </w:t>
      </w:r>
      <w:r w:rsidR="00273EB7" w:rsidRPr="0009282C">
        <w:t>−</w:t>
      </w:r>
      <w:r w:rsidR="00EE6E91" w:rsidRPr="0009282C">
        <w:t xml:space="preserve">0.89, </w:t>
      </w:r>
      <w:r w:rsidR="00273EB7" w:rsidRPr="0009282C">
        <w:t>−</w:t>
      </w:r>
      <w:r w:rsidR="00EE6E91" w:rsidRPr="0009282C">
        <w:t>0.18 mmol/24 h/1.73 m</w:t>
      </w:r>
      <w:r w:rsidR="00EE6E91" w:rsidRPr="0009282C">
        <w:rPr>
          <w:vertAlign w:val="superscript"/>
        </w:rPr>
        <w:t>2</w:t>
      </w:r>
      <w:r w:rsidR="002F5375" w:rsidRPr="0009282C">
        <w:t>, p=N</w:t>
      </w:r>
      <w:r w:rsidR="0096449C" w:rsidRPr="0009282C">
        <w:t>R</w:t>
      </w:r>
      <w:r w:rsidR="00EE6E91" w:rsidRPr="0009282C">
        <w:t xml:space="preserve">) of urinary oxalate levels from baseline to 6 months. </w:t>
      </w:r>
    </w:p>
    <w:p w14:paraId="6943F766" w14:textId="02F2F766" w:rsidR="00EE6E91" w:rsidRPr="0009282C" w:rsidRDefault="00E94C66" w:rsidP="00EC48DC">
      <w:pPr>
        <w:pStyle w:val="3-BodyText"/>
      </w:pPr>
      <w:proofErr w:type="spellStart"/>
      <w:r w:rsidRPr="0009282C">
        <w:t>L</w:t>
      </w:r>
      <w:r w:rsidR="00EE6E91" w:rsidRPr="0009282C">
        <w:t>umasiran</w:t>
      </w:r>
      <w:proofErr w:type="spellEnd"/>
      <w:r w:rsidR="00EE6E91" w:rsidRPr="0009282C">
        <w:t xml:space="preserve">-treated patients in </w:t>
      </w:r>
      <w:r w:rsidR="00126CE7" w:rsidRPr="0009282C">
        <w:t>C</w:t>
      </w:r>
      <w:r w:rsidR="00EE6E91" w:rsidRPr="0009282C">
        <w:t xml:space="preserve">ohort A demonstrated reductions in percentage change (LSM </w:t>
      </w:r>
      <w:r w:rsidR="00462532" w:rsidRPr="0009282C">
        <w:t>−</w:t>
      </w:r>
      <w:r w:rsidR="00EE6E91" w:rsidRPr="0009282C">
        <w:t xml:space="preserve">39.5%; 95% CI </w:t>
      </w:r>
      <w:r w:rsidR="00462532" w:rsidRPr="0009282C">
        <w:t>−</w:t>
      </w:r>
      <w:r w:rsidR="00EE6E91" w:rsidRPr="0009282C">
        <w:t xml:space="preserve">64.1%, </w:t>
      </w:r>
      <w:r w:rsidR="00462532" w:rsidRPr="0009282C">
        <w:t>−</w:t>
      </w:r>
      <w:r w:rsidR="00EE6E91" w:rsidRPr="0009282C">
        <w:t>14.9%</w:t>
      </w:r>
      <w:r w:rsidR="002F5375" w:rsidRPr="0009282C">
        <w:t>, p=N</w:t>
      </w:r>
      <w:r w:rsidR="0096449C" w:rsidRPr="0009282C">
        <w:t>R</w:t>
      </w:r>
      <w:r w:rsidR="00EE6E91" w:rsidRPr="0009282C">
        <w:t xml:space="preserve">) and absolute change (LSM </w:t>
      </w:r>
      <w:r w:rsidR="00462532" w:rsidRPr="0009282C">
        <w:t>−</w:t>
      </w:r>
      <w:r w:rsidR="00EE6E91" w:rsidRPr="0009282C">
        <w:t xml:space="preserve">0.188; 95% CI </w:t>
      </w:r>
      <w:r w:rsidR="00462532" w:rsidRPr="0009282C">
        <w:t>−</w:t>
      </w:r>
      <w:r w:rsidR="00EE6E91" w:rsidRPr="0009282C">
        <w:t xml:space="preserve">0.229, </w:t>
      </w:r>
      <w:r w:rsidR="00462532" w:rsidRPr="0009282C">
        <w:t>−</w:t>
      </w:r>
      <w:r w:rsidR="00EE6E91" w:rsidRPr="0009282C">
        <w:t>0.147 mmol/mmol</w:t>
      </w:r>
      <w:r w:rsidR="002F5375" w:rsidRPr="0009282C">
        <w:t>, p</w:t>
      </w:r>
      <w:r w:rsidR="00CE600D" w:rsidRPr="0009282C">
        <w:t>&lt;0.01</w:t>
      </w:r>
      <w:r w:rsidR="00EE6E91" w:rsidRPr="0009282C">
        <w:t>) of spot urinary O:C ratio from baseline to 6 months.</w:t>
      </w:r>
    </w:p>
    <w:p w14:paraId="1452C351" w14:textId="0D19F1B0" w:rsidR="00B60939" w:rsidRPr="0009282C" w:rsidRDefault="00B60939" w:rsidP="00D86231">
      <w:pPr>
        <w:pStyle w:val="4-SubsectionHeading"/>
      </w:pPr>
      <w:bookmarkStart w:id="43" w:name="_Toc22897642"/>
      <w:bookmarkStart w:id="44" w:name="_Toc188443838"/>
      <w:r w:rsidRPr="0009282C">
        <w:t>Comparative harms</w:t>
      </w:r>
      <w:bookmarkEnd w:id="43"/>
      <w:bookmarkEnd w:id="44"/>
    </w:p>
    <w:p w14:paraId="41BB8E5B" w14:textId="1162DE63" w:rsidR="00414A5B" w:rsidRPr="0009282C" w:rsidRDefault="00414A5B" w:rsidP="00EC48DC">
      <w:pPr>
        <w:pStyle w:val="3-BodyText"/>
        <w:rPr>
          <w:lang w:eastAsia="en-US"/>
        </w:rPr>
      </w:pPr>
      <w:r w:rsidRPr="0009282C">
        <w:rPr>
          <w:lang w:eastAsia="en-US"/>
        </w:rPr>
        <w:t xml:space="preserve">A summary of </w:t>
      </w:r>
      <w:r w:rsidR="003426C8" w:rsidRPr="0009282C">
        <w:rPr>
          <w:lang w:eastAsia="en-US"/>
        </w:rPr>
        <w:t xml:space="preserve">the </w:t>
      </w:r>
      <w:r w:rsidRPr="0009282C">
        <w:rPr>
          <w:lang w:eastAsia="en-US"/>
        </w:rPr>
        <w:t>adverse events</w:t>
      </w:r>
      <w:r w:rsidR="00B368A2" w:rsidRPr="0009282C">
        <w:rPr>
          <w:lang w:eastAsia="en-US"/>
        </w:rPr>
        <w:t xml:space="preserve"> (AEs)</w:t>
      </w:r>
      <w:r w:rsidRPr="0009282C">
        <w:rPr>
          <w:lang w:eastAsia="en-US"/>
        </w:rPr>
        <w:t xml:space="preserve"> reported in ILLUMINATE-A, -B and -C to 6</w:t>
      </w:r>
      <w:r w:rsidR="00251D3B">
        <w:rPr>
          <w:lang w:eastAsia="en-US"/>
        </w:rPr>
        <w:t> </w:t>
      </w:r>
      <w:r w:rsidRPr="0009282C">
        <w:rPr>
          <w:lang w:eastAsia="en-US"/>
        </w:rPr>
        <w:t xml:space="preserve">months and through </w:t>
      </w:r>
      <w:r w:rsidR="000640C7" w:rsidRPr="0009282C">
        <w:rPr>
          <w:lang w:eastAsia="en-US"/>
        </w:rPr>
        <w:t xml:space="preserve">each </w:t>
      </w:r>
      <w:r w:rsidRPr="0009282C">
        <w:rPr>
          <w:lang w:eastAsia="en-US"/>
        </w:rPr>
        <w:t>extension period</w:t>
      </w:r>
      <w:r w:rsidR="000640C7" w:rsidRPr="0009282C">
        <w:rPr>
          <w:lang w:eastAsia="en-US"/>
        </w:rPr>
        <w:t xml:space="preserve"> is presented in </w:t>
      </w:r>
      <w:r w:rsidR="007B0E85" w:rsidRPr="0009282C">
        <w:rPr>
          <w:lang w:eastAsia="en-US"/>
        </w:rPr>
        <w:fldChar w:fldCharType="begin" w:fldLock="1"/>
      </w:r>
      <w:r w:rsidR="007B0E85" w:rsidRPr="0009282C">
        <w:rPr>
          <w:lang w:eastAsia="en-US"/>
        </w:rPr>
        <w:instrText xml:space="preserve"> REF _Ref185869102 \h  \* MERGEFORMAT </w:instrText>
      </w:r>
      <w:r w:rsidR="007B0E85" w:rsidRPr="0009282C">
        <w:rPr>
          <w:lang w:eastAsia="en-US"/>
        </w:rPr>
      </w:r>
      <w:r w:rsidR="007B0E85" w:rsidRPr="0009282C">
        <w:rPr>
          <w:lang w:eastAsia="en-US"/>
        </w:rPr>
        <w:fldChar w:fldCharType="separate"/>
      </w:r>
      <w:r w:rsidR="00771DFF" w:rsidRPr="0009282C">
        <w:t xml:space="preserve">Table </w:t>
      </w:r>
      <w:r w:rsidR="00771DFF">
        <w:t>8</w:t>
      </w:r>
      <w:r w:rsidR="007B0E85" w:rsidRPr="0009282C">
        <w:rPr>
          <w:lang w:eastAsia="en-US"/>
        </w:rPr>
        <w:fldChar w:fldCharType="end"/>
      </w:r>
      <w:r w:rsidRPr="0009282C">
        <w:rPr>
          <w:lang w:eastAsia="en-US"/>
        </w:rPr>
        <w:t>.</w:t>
      </w:r>
    </w:p>
    <w:p w14:paraId="64C1777E" w14:textId="4AAA68D0" w:rsidR="00EE6E91" w:rsidRPr="0009282C" w:rsidRDefault="00EE6E91" w:rsidP="00C07041">
      <w:pPr>
        <w:rPr>
          <w:b/>
          <w:bCs/>
          <w:iCs/>
        </w:rPr>
      </w:pPr>
      <w:r w:rsidRPr="0009282C">
        <w:rPr>
          <w:b/>
          <w:bCs/>
          <w:iCs/>
        </w:rPr>
        <w:t xml:space="preserve">ILLUMINATE-A </w:t>
      </w:r>
      <w:r w:rsidR="004F348B" w:rsidRPr="0009282C">
        <w:rPr>
          <w:rFonts w:cstheme="minorHAnsi"/>
          <w:b/>
          <w:bCs/>
        </w:rPr>
        <w:t>—</w:t>
      </w:r>
      <w:r w:rsidR="004F348B" w:rsidRPr="0009282C">
        <w:rPr>
          <w:b/>
          <w:bCs/>
        </w:rPr>
        <w:t xml:space="preserve"> </w:t>
      </w:r>
      <w:r w:rsidR="004F348B" w:rsidRPr="0009282C">
        <w:rPr>
          <w:rFonts w:cstheme="minorHAnsi"/>
          <w:b/>
          <w:bCs/>
        </w:rPr>
        <w:t>≥</w:t>
      </w:r>
      <w:r w:rsidR="004F348B" w:rsidRPr="0009282C">
        <w:rPr>
          <w:b/>
          <w:bCs/>
        </w:rPr>
        <w:t>6 years of age</w:t>
      </w:r>
    </w:p>
    <w:p w14:paraId="6D12067F" w14:textId="57714B0D" w:rsidR="00EE6E91" w:rsidRPr="0009282C" w:rsidRDefault="00EE6E91" w:rsidP="00EC48DC">
      <w:pPr>
        <w:pStyle w:val="3-BodyText"/>
      </w:pPr>
      <w:r w:rsidRPr="0009282C">
        <w:t>During the 6</w:t>
      </w:r>
      <w:r w:rsidR="00C25E21" w:rsidRPr="0009282C">
        <w:t>-</w:t>
      </w:r>
      <w:r w:rsidRPr="0009282C">
        <w:t>month double-blind period</w:t>
      </w:r>
      <w:r w:rsidR="001A5233" w:rsidRPr="0009282C">
        <w:t>,</w:t>
      </w:r>
      <w:r w:rsidRPr="0009282C">
        <w:t xml:space="preserve"> 22</w:t>
      </w:r>
      <w:r w:rsidR="00C25E21" w:rsidRPr="0009282C">
        <w:t xml:space="preserve"> of </w:t>
      </w:r>
      <w:r w:rsidRPr="0009282C">
        <w:t xml:space="preserve">26 patients (85%) in the </w:t>
      </w:r>
      <w:proofErr w:type="spellStart"/>
      <w:r w:rsidRPr="0009282C">
        <w:t>lumasiran</w:t>
      </w:r>
      <w:proofErr w:type="spellEnd"/>
      <w:r w:rsidRPr="0009282C">
        <w:t xml:space="preserve"> group and 9</w:t>
      </w:r>
      <w:r w:rsidR="00C25E21" w:rsidRPr="0009282C">
        <w:t xml:space="preserve"> of </w:t>
      </w:r>
      <w:r w:rsidRPr="0009282C">
        <w:t xml:space="preserve">13 patients (69%) in the placebo group reported at least </w:t>
      </w:r>
      <w:r w:rsidR="0091395E" w:rsidRPr="0009282C">
        <w:t>one</w:t>
      </w:r>
      <w:r w:rsidRPr="0009282C">
        <w:t xml:space="preserve"> AE</w:t>
      </w:r>
      <w:r w:rsidR="000217B2" w:rsidRPr="0009282C">
        <w:t xml:space="preserve">. </w:t>
      </w:r>
      <w:r w:rsidR="003D2525" w:rsidRPr="0009282C">
        <w:t xml:space="preserve">The most common AEs that occurred more frequently with </w:t>
      </w:r>
      <w:proofErr w:type="spellStart"/>
      <w:r w:rsidR="003D2525" w:rsidRPr="0009282C">
        <w:t>lumasiran</w:t>
      </w:r>
      <w:proofErr w:type="spellEnd"/>
      <w:r w:rsidR="003D2525" w:rsidRPr="0009282C">
        <w:t xml:space="preserve"> than with placebo were </w:t>
      </w:r>
      <w:r w:rsidR="00473CCC" w:rsidRPr="0009282C">
        <w:t>i</w:t>
      </w:r>
      <w:r w:rsidR="00702A4A" w:rsidRPr="0009282C">
        <w:t>njection-site reactions (</w:t>
      </w:r>
      <w:r w:rsidR="008F5495" w:rsidRPr="0009282C">
        <w:t xml:space="preserve">ISRs; </w:t>
      </w:r>
      <w:r w:rsidR="003D2525" w:rsidRPr="0009282C">
        <w:t>38% vs 0%).</w:t>
      </w:r>
      <w:r w:rsidR="00893FB9" w:rsidRPr="0009282C">
        <w:t xml:space="preserve"> </w:t>
      </w:r>
      <w:r w:rsidRPr="0009282C">
        <w:t>No serious or severe AEs were reported</w:t>
      </w:r>
      <w:r w:rsidR="000217B2" w:rsidRPr="0009282C">
        <w:t>,</w:t>
      </w:r>
      <w:r w:rsidRPr="0009282C">
        <w:t xml:space="preserve"> and no deaths occurred. </w:t>
      </w:r>
    </w:p>
    <w:p w14:paraId="67901B4A" w14:textId="1F104F75" w:rsidR="00EE6E91" w:rsidRPr="0009282C" w:rsidRDefault="00EE6E91" w:rsidP="00EC48DC">
      <w:pPr>
        <w:pStyle w:val="3-BodyText"/>
      </w:pPr>
      <w:r w:rsidRPr="0009282C">
        <w:t>At 60 months 37</w:t>
      </w:r>
      <w:r w:rsidR="000217B2" w:rsidRPr="0009282C">
        <w:t xml:space="preserve"> of </w:t>
      </w:r>
      <w:r w:rsidRPr="0009282C">
        <w:t xml:space="preserve">39 patients (94.9%) treated with </w:t>
      </w:r>
      <w:proofErr w:type="spellStart"/>
      <w:r w:rsidRPr="0009282C">
        <w:t>lumasiran</w:t>
      </w:r>
      <w:proofErr w:type="spellEnd"/>
      <w:r w:rsidRPr="0009282C">
        <w:t xml:space="preserve"> reported AEs. AEs related to </w:t>
      </w:r>
      <w:proofErr w:type="spellStart"/>
      <w:r w:rsidRPr="0009282C">
        <w:t>lumasiran</w:t>
      </w:r>
      <w:proofErr w:type="spellEnd"/>
      <w:r w:rsidRPr="0009282C">
        <w:t xml:space="preserve"> treatment occurred in 19 patients (48.7%). Six patients (15.4%) reported </w:t>
      </w:r>
      <w:r w:rsidR="000217B2" w:rsidRPr="0009282C">
        <w:t xml:space="preserve">serious </w:t>
      </w:r>
      <w:r w:rsidRPr="0009282C">
        <w:t xml:space="preserve">AEs, four patients (10.3%) had severe AEs and there were no deaths. </w:t>
      </w:r>
    </w:p>
    <w:p w14:paraId="1E73C81E" w14:textId="7AFF7C88" w:rsidR="00EE6E91" w:rsidRPr="0009282C" w:rsidRDefault="00EE6E91" w:rsidP="00B5077D">
      <w:pPr>
        <w:rPr>
          <w:b/>
          <w:bCs/>
          <w:iCs/>
        </w:rPr>
      </w:pPr>
      <w:r w:rsidRPr="0009282C">
        <w:rPr>
          <w:b/>
          <w:bCs/>
          <w:iCs/>
        </w:rPr>
        <w:t xml:space="preserve">ILLUMINATE-B </w:t>
      </w:r>
      <w:r w:rsidR="004F348B" w:rsidRPr="0009282C">
        <w:rPr>
          <w:rFonts w:cstheme="minorHAnsi"/>
          <w:b/>
          <w:bCs/>
        </w:rPr>
        <w:t>—</w:t>
      </w:r>
      <w:r w:rsidR="004F348B" w:rsidRPr="0009282C">
        <w:rPr>
          <w:b/>
          <w:bCs/>
        </w:rPr>
        <w:t xml:space="preserve"> 37 weeks </w:t>
      </w:r>
      <w:r w:rsidR="00E31E07" w:rsidRPr="0009282C">
        <w:rPr>
          <w:b/>
          <w:bCs/>
        </w:rPr>
        <w:t>gestational age</w:t>
      </w:r>
      <w:r w:rsidR="004F348B" w:rsidRPr="0009282C">
        <w:rPr>
          <w:b/>
          <w:bCs/>
        </w:rPr>
        <w:t xml:space="preserve"> to &lt;6 years of age</w:t>
      </w:r>
    </w:p>
    <w:p w14:paraId="5AD0DF65" w14:textId="6965E336" w:rsidR="00EE6E91" w:rsidRPr="0009282C" w:rsidRDefault="00EE6E91" w:rsidP="00EC48DC">
      <w:pPr>
        <w:pStyle w:val="3-BodyText"/>
      </w:pPr>
      <w:r w:rsidRPr="0009282C">
        <w:t xml:space="preserve">All 18 patients (100%) reported at least </w:t>
      </w:r>
      <w:r w:rsidR="0091395E" w:rsidRPr="0009282C">
        <w:t>one</w:t>
      </w:r>
      <w:r w:rsidR="00BA0064" w:rsidRPr="0009282C">
        <w:t xml:space="preserve"> </w:t>
      </w:r>
      <w:r w:rsidRPr="0009282C">
        <w:t xml:space="preserve">AE during the first 6 months of </w:t>
      </w:r>
      <w:proofErr w:type="spellStart"/>
      <w:r w:rsidR="00E321C5" w:rsidRPr="0009282C">
        <w:t>lumasiran</w:t>
      </w:r>
      <w:proofErr w:type="spellEnd"/>
      <w:r w:rsidRPr="0009282C">
        <w:t xml:space="preserve"> treatment. </w:t>
      </w:r>
      <w:r w:rsidR="00BD388A" w:rsidRPr="0009282C">
        <w:t xml:space="preserve">Three patients (17%) experienced treatment-related AEs, </w:t>
      </w:r>
      <w:r w:rsidR="00855A23" w:rsidRPr="0009282C">
        <w:t>including</w:t>
      </w:r>
      <w:r w:rsidR="00BD388A" w:rsidRPr="0009282C">
        <w:t xml:space="preserve"> ISRs in two patients and headache in one patient.</w:t>
      </w:r>
      <w:r w:rsidR="00855A23" w:rsidRPr="0009282C">
        <w:t xml:space="preserve"> </w:t>
      </w:r>
      <w:r w:rsidRPr="0009282C">
        <w:t>One patient (6%) had a serious AE</w:t>
      </w:r>
      <w:r w:rsidR="00C92208" w:rsidRPr="0009282C">
        <w:t>,</w:t>
      </w:r>
      <w:r w:rsidRPr="0009282C">
        <w:t xml:space="preserve"> but it was deemed unrelated to the study drug. There were no deaths, severe AEs, or AEs leading to treatment discontinuation. </w:t>
      </w:r>
    </w:p>
    <w:p w14:paraId="1A16FDE2" w14:textId="18FA3463" w:rsidR="00EE6E91" w:rsidRPr="0009282C" w:rsidRDefault="00EE6E91" w:rsidP="00EC48DC">
      <w:pPr>
        <w:pStyle w:val="3-BodyText"/>
      </w:pPr>
      <w:r w:rsidRPr="0009282C">
        <w:t xml:space="preserve">At 30 months, all 18 treated patients experienced at least </w:t>
      </w:r>
      <w:r w:rsidR="0091395E" w:rsidRPr="0009282C">
        <w:t>one</w:t>
      </w:r>
      <w:r w:rsidR="00BA0064" w:rsidRPr="0009282C">
        <w:t xml:space="preserve"> </w:t>
      </w:r>
      <w:r w:rsidRPr="0009282C">
        <w:t xml:space="preserve">AE, of which </w:t>
      </w:r>
      <w:r w:rsidR="00862469" w:rsidRPr="0009282C">
        <w:t>AEs in</w:t>
      </w:r>
      <w:r w:rsidRPr="0009282C">
        <w:t xml:space="preserve"> </w:t>
      </w:r>
      <w:r w:rsidR="00862469" w:rsidRPr="0009282C">
        <w:t>5</w:t>
      </w:r>
      <w:r w:rsidR="00251D3B">
        <w:t> </w:t>
      </w:r>
      <w:r w:rsidR="00862469" w:rsidRPr="0009282C">
        <w:t xml:space="preserve">patients </w:t>
      </w:r>
      <w:r w:rsidRPr="0009282C">
        <w:t xml:space="preserve">(28%) were related to </w:t>
      </w:r>
      <w:proofErr w:type="spellStart"/>
      <w:r w:rsidRPr="0009282C">
        <w:t>lumasiran</w:t>
      </w:r>
      <w:proofErr w:type="spellEnd"/>
      <w:r w:rsidRPr="0009282C">
        <w:t xml:space="preserve">. There were no </w:t>
      </w:r>
      <w:r w:rsidR="00F91B8A" w:rsidRPr="0009282C">
        <w:t xml:space="preserve">serious </w:t>
      </w:r>
      <w:r w:rsidRPr="0009282C">
        <w:t xml:space="preserve">AEs beyond the </w:t>
      </w:r>
      <w:r w:rsidR="0091395E" w:rsidRPr="0009282C">
        <w:t>one</w:t>
      </w:r>
      <w:r w:rsidR="00BA0064" w:rsidRPr="0009282C">
        <w:t xml:space="preserve"> </w:t>
      </w:r>
      <w:r w:rsidRPr="0009282C">
        <w:t xml:space="preserve">event reported </w:t>
      </w:r>
      <w:r w:rsidR="00BA0064" w:rsidRPr="0009282C">
        <w:t xml:space="preserve">by </w:t>
      </w:r>
      <w:r w:rsidR="0091395E" w:rsidRPr="0009282C">
        <w:t>one</w:t>
      </w:r>
      <w:r w:rsidR="00BA0064" w:rsidRPr="0009282C">
        <w:t xml:space="preserve"> patient</w:t>
      </w:r>
      <w:r w:rsidRPr="0009282C">
        <w:t xml:space="preserve"> during the first 6 months and considered unrelated to </w:t>
      </w:r>
      <w:proofErr w:type="spellStart"/>
      <w:r w:rsidRPr="0009282C">
        <w:t>lumasiran</w:t>
      </w:r>
      <w:proofErr w:type="spellEnd"/>
      <w:r w:rsidRPr="0009282C">
        <w:t xml:space="preserve"> treatment. There were no severe AEs, AEs leading to treatment discontinuation, or death in patients receiving </w:t>
      </w:r>
      <w:proofErr w:type="spellStart"/>
      <w:r w:rsidRPr="0009282C">
        <w:t>lumasiran</w:t>
      </w:r>
      <w:proofErr w:type="spellEnd"/>
      <w:r w:rsidRPr="0009282C">
        <w:t xml:space="preserve"> for 30 months</w:t>
      </w:r>
      <w:r w:rsidR="00BA0064" w:rsidRPr="0009282C">
        <w:t>.</w:t>
      </w:r>
    </w:p>
    <w:p w14:paraId="7F1698EB" w14:textId="445DA07A" w:rsidR="00EE6E91" w:rsidRPr="0009282C" w:rsidRDefault="00EE6E91" w:rsidP="00B5077D">
      <w:pPr>
        <w:rPr>
          <w:b/>
          <w:bCs/>
        </w:rPr>
      </w:pPr>
      <w:r w:rsidRPr="0009282C">
        <w:rPr>
          <w:b/>
          <w:bCs/>
        </w:rPr>
        <w:t>ILLUMINATE-C</w:t>
      </w:r>
      <w:r w:rsidR="004F348B" w:rsidRPr="0009282C">
        <w:rPr>
          <w:b/>
          <w:bCs/>
        </w:rPr>
        <w:t xml:space="preserve"> </w:t>
      </w:r>
      <w:r w:rsidR="004F348B" w:rsidRPr="0009282C">
        <w:rPr>
          <w:rFonts w:cstheme="minorHAnsi"/>
          <w:b/>
          <w:bCs/>
        </w:rPr>
        <w:t>—</w:t>
      </w:r>
      <w:r w:rsidR="004F348B" w:rsidRPr="0009282C">
        <w:rPr>
          <w:b/>
          <w:bCs/>
        </w:rPr>
        <w:t xml:space="preserve"> </w:t>
      </w:r>
      <w:r w:rsidR="004F348B" w:rsidRPr="0009282C">
        <w:rPr>
          <w:rFonts w:cstheme="minorHAnsi"/>
          <w:b/>
          <w:bCs/>
        </w:rPr>
        <w:t>≥</w:t>
      </w:r>
      <w:r w:rsidR="004F348B" w:rsidRPr="0009282C">
        <w:rPr>
          <w:b/>
          <w:bCs/>
        </w:rPr>
        <w:t>37 weeks</w:t>
      </w:r>
      <w:r w:rsidR="00E31E07" w:rsidRPr="0009282C">
        <w:rPr>
          <w:b/>
          <w:bCs/>
        </w:rPr>
        <w:t xml:space="preserve"> gestational age</w:t>
      </w:r>
    </w:p>
    <w:p w14:paraId="20F57D10" w14:textId="08B5E29F" w:rsidR="00EE6E91" w:rsidRPr="0009282C" w:rsidRDefault="00EE6E91" w:rsidP="00EC48DC">
      <w:pPr>
        <w:pStyle w:val="3-BodyText"/>
      </w:pPr>
      <w:r w:rsidRPr="0009282C">
        <w:t>At 6 months 17</w:t>
      </w:r>
      <w:r w:rsidR="00F04F89" w:rsidRPr="0009282C">
        <w:t xml:space="preserve"> of </w:t>
      </w:r>
      <w:r w:rsidRPr="0009282C">
        <w:t xml:space="preserve">21 (81%) </w:t>
      </w:r>
      <w:r w:rsidR="004D0153" w:rsidRPr="0009282C">
        <w:t>p</w:t>
      </w:r>
      <w:r w:rsidR="00B75FC8" w:rsidRPr="0009282C">
        <w:t>atients reported</w:t>
      </w:r>
      <w:r w:rsidR="004D0153" w:rsidRPr="0009282C">
        <w:t xml:space="preserve"> </w:t>
      </w:r>
      <w:r w:rsidRPr="0009282C">
        <w:t xml:space="preserve">at least </w:t>
      </w:r>
      <w:r w:rsidR="00CB2D64" w:rsidRPr="0009282C">
        <w:t>one</w:t>
      </w:r>
      <w:r w:rsidR="00F04F89" w:rsidRPr="0009282C">
        <w:t xml:space="preserve"> </w:t>
      </w:r>
      <w:r w:rsidRPr="0009282C">
        <w:t>AE</w:t>
      </w:r>
      <w:r w:rsidR="00B05ED9" w:rsidRPr="0009282C">
        <w:t xml:space="preserve">, of which AEs in 6 patients </w:t>
      </w:r>
      <w:r w:rsidR="006303BE" w:rsidRPr="0009282C">
        <w:t xml:space="preserve">(28.6%) </w:t>
      </w:r>
      <w:r w:rsidR="00B05ED9" w:rsidRPr="0009282C">
        <w:t xml:space="preserve">were considered related to </w:t>
      </w:r>
      <w:proofErr w:type="spellStart"/>
      <w:r w:rsidR="00B05ED9" w:rsidRPr="0009282C">
        <w:t>lumasiran</w:t>
      </w:r>
      <w:proofErr w:type="spellEnd"/>
      <w:r w:rsidRPr="0009282C">
        <w:t xml:space="preserve">. </w:t>
      </w:r>
      <w:r w:rsidR="007C436B" w:rsidRPr="0009282C">
        <w:t xml:space="preserve">The most frequently reported </w:t>
      </w:r>
      <w:r w:rsidR="00B82A3D" w:rsidRPr="0009282C">
        <w:t xml:space="preserve">treatment-related </w:t>
      </w:r>
      <w:r w:rsidR="007C436B" w:rsidRPr="0009282C">
        <w:t xml:space="preserve">AEs were pyrexia (29%) and ISRs (24%). </w:t>
      </w:r>
      <w:r w:rsidR="00B75FC8" w:rsidRPr="0009282C">
        <w:t>Six</w:t>
      </w:r>
      <w:r w:rsidRPr="0009282C">
        <w:t xml:space="preserve"> (29%) </w:t>
      </w:r>
      <w:proofErr w:type="spellStart"/>
      <w:r w:rsidR="00B75FC8" w:rsidRPr="0009282C">
        <w:t>lumasiran</w:t>
      </w:r>
      <w:proofErr w:type="spellEnd"/>
      <w:r w:rsidR="00B75FC8" w:rsidRPr="0009282C">
        <w:t xml:space="preserve">-treated patients </w:t>
      </w:r>
      <w:r w:rsidRPr="0009282C">
        <w:t>report</w:t>
      </w:r>
      <w:r w:rsidR="00B75FC8" w:rsidRPr="0009282C">
        <w:t>ed</w:t>
      </w:r>
      <w:r w:rsidRPr="0009282C">
        <w:t xml:space="preserve"> serious and 3 (14%) </w:t>
      </w:r>
      <w:proofErr w:type="spellStart"/>
      <w:r w:rsidR="00B75FC8" w:rsidRPr="0009282C">
        <w:t>lum</w:t>
      </w:r>
      <w:r w:rsidR="00237C54" w:rsidRPr="0009282C">
        <w:t>asiran</w:t>
      </w:r>
      <w:proofErr w:type="spellEnd"/>
      <w:r w:rsidR="00237C54" w:rsidRPr="0009282C">
        <w:t xml:space="preserve">-treated </w:t>
      </w:r>
      <w:r w:rsidR="00B75FC8" w:rsidRPr="0009282C">
        <w:t xml:space="preserve">patients </w:t>
      </w:r>
      <w:r w:rsidRPr="0009282C">
        <w:t>report</w:t>
      </w:r>
      <w:r w:rsidR="00B75FC8" w:rsidRPr="0009282C">
        <w:t>ed</w:t>
      </w:r>
      <w:r w:rsidRPr="0009282C">
        <w:t xml:space="preserve"> severe AEs, however the</w:t>
      </w:r>
      <w:r w:rsidR="005779A9" w:rsidRPr="0009282C">
        <w:t>y</w:t>
      </w:r>
      <w:r w:rsidRPr="0009282C">
        <w:t xml:space="preserve"> were deemed not </w:t>
      </w:r>
      <w:proofErr w:type="spellStart"/>
      <w:r w:rsidRPr="0009282C">
        <w:t>lumasiran</w:t>
      </w:r>
      <w:proofErr w:type="spellEnd"/>
      <w:r w:rsidRPr="0009282C">
        <w:t xml:space="preserve">-related. No deaths were reported. </w:t>
      </w:r>
    </w:p>
    <w:p w14:paraId="111B027C" w14:textId="1F28FE38" w:rsidR="00EE6E91" w:rsidRPr="0009282C" w:rsidRDefault="00EE6E91" w:rsidP="00EC48DC">
      <w:pPr>
        <w:pStyle w:val="3-BodyText"/>
      </w:pPr>
      <w:r w:rsidRPr="0009282C">
        <w:t xml:space="preserve">At 24 months, all 21 treated patients </w:t>
      </w:r>
      <w:r w:rsidR="00FA5420" w:rsidRPr="0009282C">
        <w:t xml:space="preserve">(100%) </w:t>
      </w:r>
      <w:r w:rsidRPr="0009282C">
        <w:t xml:space="preserve">experienced at least </w:t>
      </w:r>
      <w:r w:rsidR="00CB2D64" w:rsidRPr="0009282C">
        <w:t>one</w:t>
      </w:r>
      <w:r w:rsidR="00FA5420" w:rsidRPr="0009282C">
        <w:t xml:space="preserve"> </w:t>
      </w:r>
      <w:r w:rsidRPr="0009282C">
        <w:t xml:space="preserve">AE. Serious AEs were reported in 15 (71%) patients, with 11 (52%) patients experiencing severe AEs. However, there were no </w:t>
      </w:r>
      <w:proofErr w:type="spellStart"/>
      <w:r w:rsidRPr="0009282C">
        <w:t>lumasiran</w:t>
      </w:r>
      <w:proofErr w:type="spellEnd"/>
      <w:r w:rsidRPr="0009282C">
        <w:t>-related severe AEs, serious AEs, discontinuations, or withdrawals.</w:t>
      </w:r>
    </w:p>
    <w:p w14:paraId="543B0FDC" w14:textId="28815D2A" w:rsidR="00EE6E91" w:rsidRPr="0009282C" w:rsidRDefault="00D6076E" w:rsidP="00EE6E91">
      <w:pPr>
        <w:pStyle w:val="Caption"/>
      </w:pPr>
      <w:bookmarkStart w:id="45" w:name="_Ref185847505"/>
      <w:bookmarkStart w:id="46" w:name="_Ref185871054"/>
      <w:bookmarkStart w:id="47" w:name="_Ref185869102"/>
      <w:r w:rsidRPr="0009282C">
        <w:t>Table</w:t>
      </w:r>
      <w:bookmarkEnd w:id="45"/>
      <w:r w:rsidRPr="0009282C">
        <w:t xml:space="preserve"> </w:t>
      </w:r>
      <w:r w:rsidR="000D2056" w:rsidRPr="0009282C">
        <w:fldChar w:fldCharType="begin" w:fldLock="1"/>
      </w:r>
      <w:bookmarkEnd w:id="46"/>
      <w:r w:rsidR="000D2056" w:rsidRPr="0009282C">
        <w:instrText xml:space="preserve"> SEQ Table \* ARABIC </w:instrText>
      </w:r>
      <w:r w:rsidR="000D2056" w:rsidRPr="0009282C">
        <w:fldChar w:fldCharType="separate"/>
      </w:r>
      <w:r w:rsidR="00771DFF">
        <w:rPr>
          <w:noProof/>
        </w:rPr>
        <w:t>8</w:t>
      </w:r>
      <w:r w:rsidR="000D2056" w:rsidRPr="0009282C">
        <w:fldChar w:fldCharType="end"/>
      </w:r>
      <w:bookmarkEnd w:id="47"/>
      <w:r w:rsidR="00840C40" w:rsidRPr="0009282C">
        <w:t xml:space="preserve">: </w:t>
      </w:r>
      <w:r w:rsidR="00BA57B1" w:rsidRPr="0009282C">
        <w:t>Summary of key adverse events in ILLUMINATE-A, -B and -C to 6</w:t>
      </w:r>
      <w:r w:rsidR="00B820F7" w:rsidRPr="0009282C">
        <w:t xml:space="preserve"> months and </w:t>
      </w:r>
      <w:r w:rsidR="00C25E21" w:rsidRPr="0009282C">
        <w:t>through extension period</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263"/>
        <w:gridCol w:w="2695"/>
        <w:gridCol w:w="2550"/>
        <w:gridCol w:w="1516"/>
      </w:tblGrid>
      <w:tr w:rsidR="00EE6E91" w:rsidRPr="0009282C" w14:paraId="35F616A0" w14:textId="77777777" w:rsidTr="00660D0F">
        <w:trPr>
          <w:trHeight w:val="17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8DC4954" w14:textId="77777777" w:rsidR="00EE6E91" w:rsidRPr="0009282C" w:rsidRDefault="00EE6E91" w:rsidP="00C12290">
            <w:pPr>
              <w:pStyle w:val="TableText0"/>
              <w:rPr>
                <w:b/>
                <w:bCs w:val="0"/>
              </w:rPr>
            </w:pPr>
            <w:r w:rsidRPr="0009282C">
              <w:rPr>
                <w:b/>
                <w:bCs w:val="0"/>
              </w:rPr>
              <w:t>ILLUMINATE-A (6 month)</w:t>
            </w:r>
          </w:p>
        </w:tc>
      </w:tr>
      <w:tr w:rsidR="00EE6E91" w:rsidRPr="0009282C" w14:paraId="6915D014" w14:textId="77777777" w:rsidTr="00660D0F">
        <w:trPr>
          <w:trHeight w:val="239"/>
        </w:trPr>
        <w:tc>
          <w:tcPr>
            <w:tcW w:w="1254"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14:paraId="3CCEBC63" w14:textId="77777777" w:rsidR="00EE6E91" w:rsidRPr="0009282C" w:rsidRDefault="00EE6E91" w:rsidP="00C12290">
            <w:pPr>
              <w:pStyle w:val="TableText0"/>
              <w:rPr>
                <w:b/>
                <w:bCs w:val="0"/>
              </w:rPr>
            </w:pPr>
            <w:r w:rsidRPr="0009282C">
              <w:rPr>
                <w:b/>
                <w:bCs w:val="0"/>
              </w:rPr>
              <w:t>AE, n (%)</w:t>
            </w:r>
          </w:p>
        </w:tc>
        <w:tc>
          <w:tcPr>
            <w:tcW w:w="1493"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14:paraId="621DE7A5" w14:textId="3CC073FB" w:rsidR="00EE6E91" w:rsidRPr="0009282C" w:rsidRDefault="00EE6E91" w:rsidP="00896124">
            <w:pPr>
              <w:pStyle w:val="TableText0"/>
              <w:jc w:val="center"/>
              <w:rPr>
                <w:b/>
                <w:bCs w:val="0"/>
              </w:rPr>
            </w:pPr>
            <w:proofErr w:type="spellStart"/>
            <w:r w:rsidRPr="0009282C">
              <w:rPr>
                <w:b/>
                <w:bCs w:val="0"/>
              </w:rPr>
              <w:t>Lumasiran</w:t>
            </w:r>
            <w:proofErr w:type="spellEnd"/>
            <w:r w:rsidRPr="0009282C">
              <w:rPr>
                <w:b/>
                <w:bCs w:val="0"/>
              </w:rPr>
              <w:t xml:space="preserve"> (n=26)</w:t>
            </w:r>
          </w:p>
        </w:tc>
        <w:tc>
          <w:tcPr>
            <w:tcW w:w="1413"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14:paraId="304CA24C" w14:textId="77777777" w:rsidR="00EE6E91" w:rsidRPr="0009282C" w:rsidRDefault="00EE6E91" w:rsidP="00896124">
            <w:pPr>
              <w:pStyle w:val="TableText0"/>
              <w:jc w:val="center"/>
              <w:rPr>
                <w:b/>
                <w:bCs w:val="0"/>
              </w:rPr>
            </w:pPr>
            <w:r w:rsidRPr="0009282C">
              <w:rPr>
                <w:b/>
                <w:bCs w:val="0"/>
              </w:rPr>
              <w:t>Placebo (n=13)</w:t>
            </w:r>
          </w:p>
        </w:tc>
        <w:tc>
          <w:tcPr>
            <w:tcW w:w="84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6FB1308" w14:textId="537FA18C" w:rsidR="00EE6E91" w:rsidRPr="0009282C" w:rsidRDefault="00EE6E91" w:rsidP="00896124">
            <w:pPr>
              <w:pStyle w:val="TableText0"/>
              <w:jc w:val="center"/>
              <w:rPr>
                <w:b/>
                <w:vertAlign w:val="superscript"/>
              </w:rPr>
            </w:pPr>
            <w:r w:rsidRPr="0009282C">
              <w:rPr>
                <w:b/>
              </w:rPr>
              <w:t>RR (95% CI)</w:t>
            </w:r>
            <w:r w:rsidR="00DC5ECF" w:rsidRPr="0009282C">
              <w:rPr>
                <w:b/>
                <w:vertAlign w:val="superscript"/>
              </w:rPr>
              <w:t>a</w:t>
            </w:r>
          </w:p>
        </w:tc>
      </w:tr>
      <w:tr w:rsidR="00EE6E91" w:rsidRPr="0009282C" w14:paraId="525C795D" w14:textId="77777777" w:rsidTr="00660D0F">
        <w:trPr>
          <w:trHeight w:val="11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4DC759F" w14:textId="77777777" w:rsidR="00EE6E91" w:rsidRPr="0009282C" w:rsidRDefault="00EE6E91" w:rsidP="00C12290">
            <w:pPr>
              <w:pStyle w:val="TableText0"/>
            </w:pPr>
            <w:r w:rsidRPr="0009282C">
              <w:t>Any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18990CE3" w14:textId="77777777" w:rsidR="00EE6E91" w:rsidRPr="0009282C" w:rsidRDefault="00EE6E91" w:rsidP="00896124">
            <w:pPr>
              <w:pStyle w:val="TableText0"/>
              <w:jc w:val="center"/>
            </w:pPr>
            <w:r w:rsidRPr="0009282C">
              <w:t>22 (85)</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29015D0" w14:textId="77777777" w:rsidR="00EE6E91" w:rsidRPr="0009282C" w:rsidRDefault="00EE6E91" w:rsidP="00896124">
            <w:pPr>
              <w:pStyle w:val="TableText0"/>
              <w:jc w:val="center"/>
            </w:pPr>
            <w:r w:rsidRPr="0009282C">
              <w:t>9 (69)</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CA1B2FE" w14:textId="77777777" w:rsidR="00EE6E91" w:rsidRPr="0009282C" w:rsidRDefault="00EE6E91" w:rsidP="00896124">
            <w:pPr>
              <w:pStyle w:val="TableText0"/>
              <w:jc w:val="center"/>
            </w:pPr>
            <w:r w:rsidRPr="0009282C">
              <w:t>1.22 (0.82, 1.82)</w:t>
            </w:r>
          </w:p>
        </w:tc>
      </w:tr>
      <w:tr w:rsidR="003064D0" w:rsidRPr="0009282C" w14:paraId="60F9A04B" w14:textId="77777777" w:rsidTr="00660D0F">
        <w:trPr>
          <w:trHeight w:val="113"/>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tcPr>
          <w:p w14:paraId="7ADF3B7A" w14:textId="6CFF9C01" w:rsidR="003064D0" w:rsidRPr="0009282C" w:rsidRDefault="00B32755" w:rsidP="00B32755">
            <w:pPr>
              <w:pStyle w:val="TableText0"/>
              <w:rPr>
                <w:b/>
                <w:bCs w:val="0"/>
              </w:rPr>
            </w:pPr>
            <w:r w:rsidRPr="0009282C">
              <w:rPr>
                <w:b/>
                <w:bCs w:val="0"/>
              </w:rPr>
              <w:t>AE occurring in ≥10% of patients in either group</w:t>
            </w:r>
          </w:p>
        </w:tc>
      </w:tr>
      <w:tr w:rsidR="00B32755" w:rsidRPr="0009282C" w14:paraId="0ACCACDF" w14:textId="77777777" w:rsidTr="00660D0F">
        <w:trPr>
          <w:trHeight w:val="11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742D2064" w14:textId="4D5949DE" w:rsidR="00B32755" w:rsidRPr="0009282C" w:rsidRDefault="00B32755" w:rsidP="00B32755">
            <w:pPr>
              <w:pStyle w:val="TableText0"/>
            </w:pPr>
            <w:proofErr w:type="spellStart"/>
            <w:r w:rsidRPr="0009282C">
              <w:t>ISR</w:t>
            </w:r>
            <w:r w:rsidR="00DC5ECF" w:rsidRPr="0009282C">
              <w:rPr>
                <w:vertAlign w:val="superscript"/>
              </w:rPr>
              <w:t>b</w:t>
            </w:r>
            <w:proofErr w:type="spellEnd"/>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024087C8" w14:textId="78E1C021" w:rsidR="00B32755" w:rsidRPr="0009282C" w:rsidRDefault="00B32755" w:rsidP="00B32755">
            <w:pPr>
              <w:pStyle w:val="TableText0"/>
              <w:jc w:val="center"/>
            </w:pPr>
            <w:r w:rsidRPr="0009282C">
              <w:t>10 (38)</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00A5A30E" w14:textId="07949ECA" w:rsidR="00B32755" w:rsidRPr="0009282C" w:rsidRDefault="00B32755" w:rsidP="00B32755">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D6D07AF" w14:textId="6EFECABB" w:rsidR="00B32755" w:rsidRPr="0009282C" w:rsidRDefault="00186A72" w:rsidP="00B32755">
            <w:pPr>
              <w:pStyle w:val="TableText0"/>
              <w:jc w:val="center"/>
            </w:pPr>
            <w:r w:rsidRPr="0009282C">
              <w:t>NE</w:t>
            </w:r>
          </w:p>
        </w:tc>
      </w:tr>
      <w:tr w:rsidR="003064D0" w:rsidRPr="0009282C" w14:paraId="7BF848B3" w14:textId="77777777" w:rsidTr="00660D0F">
        <w:trPr>
          <w:trHeight w:val="11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029DBFAE" w14:textId="6B9C54F7" w:rsidR="003064D0" w:rsidRPr="0009282C" w:rsidRDefault="00B32755" w:rsidP="00C12290">
            <w:pPr>
              <w:pStyle w:val="TableText0"/>
            </w:pPr>
            <w:r w:rsidRPr="0009282C">
              <w:t>Headache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78CF372C" w14:textId="677480AA" w:rsidR="003064D0" w:rsidRPr="0009282C" w:rsidRDefault="00B32755" w:rsidP="00896124">
            <w:pPr>
              <w:pStyle w:val="TableText0"/>
              <w:jc w:val="center"/>
            </w:pPr>
            <w:r w:rsidRPr="0009282C">
              <w:t>3 (12)</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40847F55" w14:textId="7B78DA30" w:rsidR="003064D0" w:rsidRPr="0009282C" w:rsidRDefault="00B32755" w:rsidP="00896124">
            <w:pPr>
              <w:pStyle w:val="TableText0"/>
              <w:jc w:val="center"/>
            </w:pPr>
            <w:r w:rsidRPr="0009282C">
              <w:t>3 (23)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615C376" w14:textId="3FB448AB" w:rsidR="003064D0" w:rsidRPr="0009282C" w:rsidRDefault="00186A72" w:rsidP="00896124">
            <w:pPr>
              <w:pStyle w:val="TableText0"/>
              <w:jc w:val="center"/>
            </w:pPr>
            <w:r w:rsidRPr="0009282C">
              <w:t>0.50 (0.12 to 2.14)</w:t>
            </w:r>
          </w:p>
        </w:tc>
      </w:tr>
      <w:tr w:rsidR="003064D0" w:rsidRPr="0009282C" w14:paraId="21CD5FB0" w14:textId="77777777" w:rsidTr="00660D0F">
        <w:trPr>
          <w:trHeight w:val="11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0A336AFE" w14:textId="66575ADF" w:rsidR="003064D0" w:rsidRPr="0009282C" w:rsidRDefault="00B32755" w:rsidP="00C12290">
            <w:pPr>
              <w:pStyle w:val="TableText0"/>
            </w:pPr>
            <w:r w:rsidRPr="0009282C">
              <w:t>Rhinitis</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719C5448" w14:textId="40460B88" w:rsidR="003064D0" w:rsidRPr="0009282C" w:rsidRDefault="00B32755" w:rsidP="00896124">
            <w:pPr>
              <w:pStyle w:val="TableText0"/>
              <w:jc w:val="center"/>
            </w:pPr>
            <w:r w:rsidRPr="0009282C">
              <w:t>2 (8)</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155A4F56" w14:textId="5A35372C" w:rsidR="003064D0" w:rsidRPr="0009282C" w:rsidRDefault="00B32755" w:rsidP="00896124">
            <w:pPr>
              <w:pStyle w:val="TableText0"/>
              <w:jc w:val="center"/>
            </w:pPr>
            <w:r w:rsidRPr="0009282C">
              <w:t>2 (15)</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4A24F6A" w14:textId="02548EC8" w:rsidR="003064D0" w:rsidRPr="0009282C" w:rsidRDefault="00186A72" w:rsidP="00896124">
            <w:pPr>
              <w:pStyle w:val="TableText0"/>
              <w:jc w:val="center"/>
            </w:pPr>
            <w:r w:rsidRPr="0009282C">
              <w:t>0.50 (0.80 to 3.16)</w:t>
            </w:r>
          </w:p>
        </w:tc>
      </w:tr>
      <w:tr w:rsidR="00B32755" w:rsidRPr="0009282C" w14:paraId="234EA912" w14:textId="77777777" w:rsidTr="00660D0F">
        <w:trPr>
          <w:trHeight w:val="11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5CB6A429" w14:textId="469279DC" w:rsidR="00B32755" w:rsidRPr="0009282C" w:rsidRDefault="00B32755" w:rsidP="00B32755">
            <w:pPr>
              <w:pStyle w:val="TableText0"/>
            </w:pPr>
            <w:r w:rsidRPr="0009282C">
              <w:t>Upper respiratory infection</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65C492A8" w14:textId="7C59D5D1" w:rsidR="00B32755" w:rsidRPr="0009282C" w:rsidRDefault="00B32755" w:rsidP="00B32755">
            <w:pPr>
              <w:pStyle w:val="TableText0"/>
              <w:jc w:val="center"/>
            </w:pPr>
            <w:r w:rsidRPr="0009282C">
              <w:t>2 (8)</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413B2819" w14:textId="1D6CBE85" w:rsidR="00B32755" w:rsidRPr="0009282C" w:rsidRDefault="00B32755" w:rsidP="00B32755">
            <w:pPr>
              <w:pStyle w:val="TableText0"/>
              <w:jc w:val="center"/>
            </w:pPr>
            <w:r w:rsidRPr="0009282C">
              <w:t>2 (15)</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57E2498" w14:textId="00F64D27" w:rsidR="00B32755" w:rsidRPr="0009282C" w:rsidRDefault="00186A72" w:rsidP="00B32755">
            <w:pPr>
              <w:pStyle w:val="TableText0"/>
              <w:jc w:val="center"/>
            </w:pPr>
            <w:r w:rsidRPr="0009282C">
              <w:t>0.50 (0.80 to 3.16)</w:t>
            </w:r>
          </w:p>
        </w:tc>
      </w:tr>
      <w:tr w:rsidR="00EE6E91" w:rsidRPr="0009282C" w14:paraId="2BF11241"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0A8BC60" w14:textId="77777777" w:rsidR="00EE6E91" w:rsidRPr="0009282C" w:rsidRDefault="00EE6E91" w:rsidP="00C12290">
            <w:pPr>
              <w:pStyle w:val="TableText0"/>
            </w:pPr>
            <w:r w:rsidRPr="0009282C">
              <w:t>Any serious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244F95AE"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1C2DEFC8"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548EA5" w14:textId="77777777" w:rsidR="00EE6E91" w:rsidRPr="0009282C" w:rsidRDefault="00EE6E91" w:rsidP="00896124">
            <w:pPr>
              <w:pStyle w:val="TableText0"/>
              <w:jc w:val="center"/>
            </w:pPr>
            <w:r w:rsidRPr="0009282C">
              <w:t>NE</w:t>
            </w:r>
          </w:p>
        </w:tc>
      </w:tr>
      <w:tr w:rsidR="00EE6E91" w:rsidRPr="0009282C" w14:paraId="06D0728B" w14:textId="77777777" w:rsidTr="00660D0F">
        <w:trPr>
          <w:trHeight w:val="6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A5617EF" w14:textId="77777777" w:rsidR="00EE6E91" w:rsidRPr="0009282C" w:rsidRDefault="00EE6E91" w:rsidP="00C12290">
            <w:pPr>
              <w:pStyle w:val="TableText0"/>
            </w:pPr>
            <w:r w:rsidRPr="0009282C">
              <w:t>Any severe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33E1213D"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EC4ECD6"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3BEB91D" w14:textId="77777777" w:rsidR="00EE6E91" w:rsidRPr="0009282C" w:rsidRDefault="00EE6E91" w:rsidP="00896124">
            <w:pPr>
              <w:pStyle w:val="TableText0"/>
              <w:jc w:val="center"/>
            </w:pPr>
            <w:r w:rsidRPr="0009282C">
              <w:t>NE</w:t>
            </w:r>
          </w:p>
        </w:tc>
      </w:tr>
      <w:tr w:rsidR="00EE6E91" w:rsidRPr="0009282C" w14:paraId="7EFB19F0"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5C6EC48" w14:textId="77777777" w:rsidR="00EE6E91" w:rsidRPr="0009282C" w:rsidRDefault="00EE6E91" w:rsidP="00C12290">
            <w:pPr>
              <w:pStyle w:val="TableText0"/>
            </w:pPr>
            <w:r w:rsidRPr="0009282C">
              <w:t>Death</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3B6338F5"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688CEEAF"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1ADAE0F" w14:textId="77777777" w:rsidR="00EE6E91" w:rsidRPr="0009282C" w:rsidRDefault="00EE6E91" w:rsidP="00896124">
            <w:pPr>
              <w:pStyle w:val="TableText0"/>
              <w:jc w:val="center"/>
            </w:pPr>
            <w:r w:rsidRPr="0009282C">
              <w:t>NE</w:t>
            </w:r>
          </w:p>
        </w:tc>
      </w:tr>
      <w:tr w:rsidR="00EE6E91" w:rsidRPr="0009282C" w14:paraId="790F04E6" w14:textId="77777777" w:rsidTr="00660D0F">
        <w:trPr>
          <w:trHeight w:val="47"/>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21EF7A4" w14:textId="77777777" w:rsidR="00EE6E91" w:rsidRPr="0009282C" w:rsidRDefault="00EE6E91" w:rsidP="00C12290">
            <w:pPr>
              <w:pStyle w:val="TableText0"/>
              <w:rPr>
                <w:b/>
                <w:bCs w:val="0"/>
              </w:rPr>
            </w:pPr>
            <w:r w:rsidRPr="0009282C">
              <w:rPr>
                <w:b/>
                <w:bCs w:val="0"/>
              </w:rPr>
              <w:t>ILLUMINATE-A extension (60 months)</w:t>
            </w:r>
          </w:p>
        </w:tc>
      </w:tr>
      <w:tr w:rsidR="00EE6E91" w:rsidRPr="0009282C" w14:paraId="204590DD" w14:textId="77777777" w:rsidTr="00660D0F">
        <w:trPr>
          <w:trHeight w:val="10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03BDFD8" w14:textId="77777777" w:rsidR="00EE6E91" w:rsidRPr="0009282C" w:rsidRDefault="00EE6E91" w:rsidP="00C12290">
            <w:pPr>
              <w:pStyle w:val="TableText0"/>
              <w:rPr>
                <w:b/>
                <w:bCs w:val="0"/>
              </w:rPr>
            </w:pPr>
            <w:r w:rsidRPr="0009282C">
              <w:rPr>
                <w:b/>
                <w:bCs w:val="0"/>
              </w:rPr>
              <w:t>AE, n (%)</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4074ECB" w14:textId="16F1CFAA" w:rsidR="00EE6E91" w:rsidRPr="0009282C" w:rsidRDefault="00EE6E91" w:rsidP="00896124">
            <w:pPr>
              <w:pStyle w:val="TableText0"/>
              <w:jc w:val="center"/>
              <w:rPr>
                <w:b/>
                <w:bCs w:val="0"/>
              </w:rPr>
            </w:pPr>
            <w:proofErr w:type="spellStart"/>
            <w:r w:rsidRPr="0009282C">
              <w:rPr>
                <w:b/>
                <w:bCs w:val="0"/>
              </w:rPr>
              <w:t>Lumasiran</w:t>
            </w:r>
            <w:proofErr w:type="spellEnd"/>
            <w:r w:rsidRPr="0009282C">
              <w:rPr>
                <w:b/>
                <w:bCs w:val="0"/>
              </w:rPr>
              <w:t>/</w:t>
            </w:r>
            <w:proofErr w:type="spellStart"/>
            <w:r w:rsidRPr="0009282C">
              <w:rPr>
                <w:b/>
                <w:bCs w:val="0"/>
              </w:rPr>
              <w:t>lumasiran</w:t>
            </w:r>
            <w:proofErr w:type="spellEnd"/>
            <w:r w:rsidRPr="0009282C">
              <w:rPr>
                <w:b/>
                <w:bCs w:val="0"/>
              </w:rPr>
              <w:t xml:space="preserve"> (n=26)</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76675BF" w14:textId="153DB7AD" w:rsidR="00EE6E91" w:rsidRPr="0009282C" w:rsidRDefault="00EE6E91" w:rsidP="00896124">
            <w:pPr>
              <w:pStyle w:val="TableText0"/>
              <w:jc w:val="center"/>
              <w:rPr>
                <w:b/>
                <w:bCs w:val="0"/>
              </w:rPr>
            </w:pPr>
            <w:r w:rsidRPr="0009282C">
              <w:rPr>
                <w:b/>
                <w:bCs w:val="0"/>
              </w:rPr>
              <w:t>Placebo/</w:t>
            </w:r>
            <w:proofErr w:type="spellStart"/>
            <w:r w:rsidRPr="0009282C">
              <w:rPr>
                <w:b/>
                <w:bCs w:val="0"/>
              </w:rPr>
              <w:t>lumasiran</w:t>
            </w:r>
            <w:proofErr w:type="spellEnd"/>
            <w:r w:rsidRPr="0009282C">
              <w:rPr>
                <w:b/>
                <w:bCs w:val="0"/>
              </w:rPr>
              <w:t xml:space="preserve"> (n=13)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0BFFC79" w14:textId="1DBF3FF9" w:rsidR="00EE6E91" w:rsidRPr="0009282C" w:rsidRDefault="00A06D4C" w:rsidP="00896124">
            <w:pPr>
              <w:pStyle w:val="TableText0"/>
              <w:jc w:val="center"/>
              <w:rPr>
                <w:b/>
                <w:bCs w:val="0"/>
              </w:rPr>
            </w:pPr>
            <w:r w:rsidRPr="0009282C">
              <w:rPr>
                <w:b/>
                <w:bCs w:val="0"/>
              </w:rPr>
              <w:t xml:space="preserve">All </w:t>
            </w:r>
            <w:proofErr w:type="spellStart"/>
            <w:r w:rsidRPr="0009282C">
              <w:rPr>
                <w:b/>
                <w:bCs w:val="0"/>
              </w:rPr>
              <w:t>lumasiran</w:t>
            </w:r>
            <w:proofErr w:type="spellEnd"/>
            <w:r w:rsidR="00A412B5" w:rsidRPr="0009282C">
              <w:rPr>
                <w:b/>
                <w:bCs w:val="0"/>
              </w:rPr>
              <w:t xml:space="preserve"> (n=39)</w:t>
            </w:r>
          </w:p>
        </w:tc>
      </w:tr>
      <w:tr w:rsidR="00EE6E91" w:rsidRPr="0009282C" w14:paraId="1E74FC6B" w14:textId="77777777" w:rsidTr="00660D0F">
        <w:trPr>
          <w:trHeight w:val="153"/>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7D33F22" w14:textId="77777777" w:rsidR="00EE6E91" w:rsidRPr="0009282C" w:rsidRDefault="00EE6E91" w:rsidP="00C12290">
            <w:pPr>
              <w:pStyle w:val="TableText0"/>
            </w:pPr>
            <w:r w:rsidRPr="0009282C">
              <w:t>Any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E29D4D0" w14:textId="77777777" w:rsidR="00EE6E91" w:rsidRPr="0009282C" w:rsidRDefault="00EE6E91" w:rsidP="00896124">
            <w:pPr>
              <w:pStyle w:val="TableText0"/>
              <w:jc w:val="center"/>
            </w:pPr>
            <w:r w:rsidRPr="0009282C">
              <w:t>25 (96.2)</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5D62B1E" w14:textId="77777777" w:rsidR="00EE6E91" w:rsidRPr="0009282C" w:rsidRDefault="00EE6E91" w:rsidP="00896124">
            <w:pPr>
              <w:pStyle w:val="TableText0"/>
              <w:jc w:val="center"/>
            </w:pPr>
            <w:r w:rsidRPr="0009282C">
              <w:t>12 (92.3)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4410BF9" w14:textId="25360E37" w:rsidR="00EE6E91" w:rsidRPr="0009282C" w:rsidRDefault="00A06D4C" w:rsidP="00896124">
            <w:pPr>
              <w:pStyle w:val="TableText0"/>
              <w:jc w:val="center"/>
            </w:pPr>
            <w:r w:rsidRPr="0009282C">
              <w:t>37 (94.9)</w:t>
            </w:r>
          </w:p>
        </w:tc>
      </w:tr>
      <w:tr w:rsidR="00EE6E91" w:rsidRPr="0009282C" w14:paraId="10887369" w14:textId="77777777" w:rsidTr="00660D0F">
        <w:trPr>
          <w:trHeight w:val="5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90447C0" w14:textId="77777777" w:rsidR="00EE6E91" w:rsidRPr="0009282C" w:rsidRDefault="00EE6E91" w:rsidP="00C12290">
            <w:pPr>
              <w:pStyle w:val="TableText0"/>
            </w:pPr>
            <w:r w:rsidRPr="0009282C">
              <w:t>Any serious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441510B" w14:textId="77777777" w:rsidR="00EE6E91" w:rsidRPr="0009282C" w:rsidRDefault="00EE6E91" w:rsidP="00896124">
            <w:pPr>
              <w:pStyle w:val="TableText0"/>
              <w:jc w:val="center"/>
            </w:pPr>
            <w:r w:rsidRPr="0009282C">
              <w:t>5 (19.2)</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8CEC0A0" w14:textId="77777777" w:rsidR="00EE6E91" w:rsidRPr="0009282C" w:rsidRDefault="00EE6E91" w:rsidP="00896124">
            <w:pPr>
              <w:pStyle w:val="TableText0"/>
              <w:jc w:val="center"/>
            </w:pPr>
            <w:r w:rsidRPr="0009282C">
              <w:t>1 (7.7)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EC0ABB8" w14:textId="51B60C5D" w:rsidR="00EE6E91" w:rsidRPr="0009282C" w:rsidRDefault="00A06D4C" w:rsidP="00896124">
            <w:pPr>
              <w:pStyle w:val="TableText0"/>
              <w:jc w:val="center"/>
            </w:pPr>
            <w:r w:rsidRPr="0009282C">
              <w:t>6 (15.4)</w:t>
            </w:r>
          </w:p>
        </w:tc>
      </w:tr>
      <w:tr w:rsidR="00EE6E91" w:rsidRPr="0009282C" w14:paraId="30DF1C68"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C03425" w14:textId="77777777" w:rsidR="00EE6E91" w:rsidRPr="0009282C" w:rsidRDefault="00EE6E91" w:rsidP="00C12290">
            <w:pPr>
              <w:pStyle w:val="TableText0"/>
            </w:pPr>
            <w:r w:rsidRPr="0009282C">
              <w:t>Any severe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19D67B4" w14:textId="77777777" w:rsidR="00EE6E91" w:rsidRPr="0009282C" w:rsidRDefault="00EE6E91" w:rsidP="00896124">
            <w:pPr>
              <w:pStyle w:val="TableText0"/>
              <w:jc w:val="center"/>
            </w:pPr>
            <w:r w:rsidRPr="0009282C">
              <w:t>4 (15.4)</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EA02C51"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1D12E03" w14:textId="18CC6B9C" w:rsidR="00EE6E91" w:rsidRPr="0009282C" w:rsidRDefault="00A412B5" w:rsidP="00896124">
            <w:pPr>
              <w:pStyle w:val="TableText0"/>
              <w:jc w:val="center"/>
            </w:pPr>
            <w:r w:rsidRPr="0009282C">
              <w:t>4 (10.3)</w:t>
            </w:r>
          </w:p>
        </w:tc>
      </w:tr>
      <w:tr w:rsidR="00EE6E91" w:rsidRPr="0009282C" w14:paraId="63D3B96B"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518A29" w14:textId="77777777" w:rsidR="00EE6E91" w:rsidRPr="0009282C" w:rsidRDefault="00EE6E91" w:rsidP="00C12290">
            <w:pPr>
              <w:pStyle w:val="TableText0"/>
            </w:pPr>
            <w:r w:rsidRPr="0009282C">
              <w:t>Death</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2E3292"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856BF43"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2F45E55" w14:textId="15DC25D8" w:rsidR="00EE6E91" w:rsidRPr="0009282C" w:rsidRDefault="00A412B5" w:rsidP="00896124">
            <w:pPr>
              <w:pStyle w:val="TableText0"/>
              <w:jc w:val="center"/>
            </w:pPr>
            <w:r w:rsidRPr="0009282C">
              <w:t>0</w:t>
            </w:r>
          </w:p>
        </w:tc>
      </w:tr>
      <w:tr w:rsidR="00EE6E91" w:rsidRPr="0009282C" w14:paraId="7A955E26" w14:textId="77777777" w:rsidTr="00660D0F">
        <w:trPr>
          <w:trHeight w:val="47"/>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C7D3635" w14:textId="77777777" w:rsidR="00EE6E91" w:rsidRPr="0009282C" w:rsidRDefault="00EE6E91" w:rsidP="00C12290">
            <w:pPr>
              <w:pStyle w:val="TableText0"/>
              <w:rPr>
                <w:b/>
                <w:bCs w:val="0"/>
              </w:rPr>
            </w:pPr>
            <w:r w:rsidRPr="0009282C">
              <w:rPr>
                <w:b/>
                <w:bCs w:val="0"/>
              </w:rPr>
              <w:t>ILLUMINATE-B (6 month)</w:t>
            </w:r>
          </w:p>
        </w:tc>
      </w:tr>
      <w:tr w:rsidR="00EE6E91" w:rsidRPr="0009282C" w14:paraId="78DCEF6A" w14:textId="77777777" w:rsidTr="00660D0F">
        <w:trPr>
          <w:trHeight w:val="99"/>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49E246" w14:textId="77777777" w:rsidR="00EE6E91" w:rsidRPr="0009282C" w:rsidRDefault="00EE6E91" w:rsidP="00C12290">
            <w:pPr>
              <w:pStyle w:val="TableText0"/>
              <w:rPr>
                <w:b/>
                <w:bCs w:val="0"/>
              </w:rPr>
            </w:pPr>
            <w:r w:rsidRPr="0009282C">
              <w:rPr>
                <w:b/>
                <w:bCs w:val="0"/>
              </w:rPr>
              <w:t>AE, n (%)</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7A64AE" w14:textId="4B78230A" w:rsidR="00EE6E91" w:rsidRPr="0009282C" w:rsidRDefault="00EE6E91" w:rsidP="00896124">
            <w:pPr>
              <w:pStyle w:val="TableText0"/>
              <w:jc w:val="center"/>
              <w:rPr>
                <w:b/>
                <w:bCs w:val="0"/>
              </w:rPr>
            </w:pPr>
            <w:proofErr w:type="spellStart"/>
            <w:r w:rsidRPr="0009282C">
              <w:rPr>
                <w:b/>
                <w:bCs w:val="0"/>
              </w:rPr>
              <w:t>Lumasiran</w:t>
            </w:r>
            <w:proofErr w:type="spellEnd"/>
            <w:r w:rsidRPr="0009282C">
              <w:rPr>
                <w:b/>
                <w:bCs w:val="0"/>
              </w:rPr>
              <w:t xml:space="preserve"> (n=18)</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2754B77" w14:textId="77777777" w:rsidR="00EE6E91" w:rsidRPr="0009282C" w:rsidRDefault="00EE6E91" w:rsidP="00896124">
            <w:pPr>
              <w:pStyle w:val="TableText0"/>
              <w:jc w:val="center"/>
              <w:rPr>
                <w:b/>
                <w:bCs w:val="0"/>
              </w:rPr>
            </w:pPr>
            <w:r w:rsidRPr="0009282C">
              <w:rPr>
                <w:b/>
                <w:bCs w:val="0"/>
              </w:rPr>
              <w:t>RR (95% CI)</w:t>
            </w:r>
          </w:p>
        </w:tc>
      </w:tr>
      <w:tr w:rsidR="00EE6E91" w:rsidRPr="0009282C" w14:paraId="230B0E0A"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ED9B7E2" w14:textId="77777777" w:rsidR="00EE6E91" w:rsidRPr="0009282C" w:rsidRDefault="00EE6E91" w:rsidP="00C12290">
            <w:pPr>
              <w:pStyle w:val="TableText0"/>
            </w:pPr>
            <w:r w:rsidRPr="0009282C">
              <w:t>Any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170350B" w14:textId="77777777" w:rsidR="00EE6E91" w:rsidRPr="0009282C" w:rsidRDefault="00EE6E91" w:rsidP="00896124">
            <w:pPr>
              <w:pStyle w:val="TableText0"/>
              <w:jc w:val="center"/>
            </w:pPr>
            <w:r w:rsidRPr="0009282C">
              <w:t>18 (100)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8AF959B" w14:textId="77777777" w:rsidR="00EE6E91" w:rsidRPr="0009282C" w:rsidRDefault="00EE6E91" w:rsidP="00896124">
            <w:pPr>
              <w:pStyle w:val="TableText0"/>
              <w:jc w:val="center"/>
            </w:pPr>
            <w:r w:rsidRPr="0009282C">
              <w:t>NA</w:t>
            </w:r>
          </w:p>
        </w:tc>
      </w:tr>
      <w:tr w:rsidR="008C3710" w:rsidRPr="0009282C" w14:paraId="402E617C" w14:textId="77777777" w:rsidTr="00660D0F">
        <w:trPr>
          <w:trHeight w:val="145"/>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tcPr>
          <w:p w14:paraId="72BFB923" w14:textId="4D1CBA1D" w:rsidR="008C3710" w:rsidRPr="0009282C" w:rsidRDefault="008C3710" w:rsidP="008C3710">
            <w:pPr>
              <w:pStyle w:val="TableText0"/>
              <w:rPr>
                <w:b/>
                <w:bCs w:val="0"/>
              </w:rPr>
            </w:pPr>
            <w:r w:rsidRPr="0009282C">
              <w:rPr>
                <w:b/>
                <w:bCs w:val="0"/>
              </w:rPr>
              <w:t>AE occurring in ≥3 patients overall</w:t>
            </w:r>
          </w:p>
        </w:tc>
      </w:tr>
      <w:tr w:rsidR="008C3710" w:rsidRPr="0009282C" w14:paraId="4B911156"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21262B14" w14:textId="25C54689" w:rsidR="008C3710" w:rsidRPr="0009282C" w:rsidRDefault="008C3710" w:rsidP="008C3710">
            <w:pPr>
              <w:pStyle w:val="TableText0"/>
            </w:pPr>
            <w:r w:rsidRPr="0009282C">
              <w:t>Pyrexia</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04F544A" w14:textId="04B50946" w:rsidR="008C3710" w:rsidRPr="0009282C" w:rsidRDefault="008C3710" w:rsidP="008C3710">
            <w:pPr>
              <w:pStyle w:val="TableText0"/>
              <w:jc w:val="center"/>
            </w:pPr>
            <w:r w:rsidRPr="0009282C">
              <w:t>6 (33)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0E61734D" w14:textId="4AC68421" w:rsidR="008C3710" w:rsidRPr="0009282C" w:rsidRDefault="008C3710" w:rsidP="008C3710">
            <w:pPr>
              <w:pStyle w:val="TableText0"/>
              <w:jc w:val="center"/>
            </w:pPr>
            <w:r w:rsidRPr="0009282C">
              <w:t>NA</w:t>
            </w:r>
          </w:p>
        </w:tc>
      </w:tr>
      <w:tr w:rsidR="008C3710" w:rsidRPr="0009282C" w14:paraId="06D7CFC7"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7AB290BF" w14:textId="1C2FB5B0" w:rsidR="008C3710" w:rsidRPr="0009282C" w:rsidRDefault="008C3710" w:rsidP="008C3710">
            <w:pPr>
              <w:pStyle w:val="TableText0"/>
            </w:pPr>
            <w:r w:rsidRPr="0009282C">
              <w:t>Rhinitis</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F67F0A4" w14:textId="3031886A" w:rsidR="008C3710" w:rsidRPr="0009282C" w:rsidRDefault="008C3710" w:rsidP="008C3710">
            <w:pPr>
              <w:pStyle w:val="TableText0"/>
              <w:jc w:val="center"/>
            </w:pPr>
            <w:r w:rsidRPr="0009282C">
              <w:t>4 (22)</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418783CB" w14:textId="3CC7B2B7" w:rsidR="008C3710" w:rsidRPr="0009282C" w:rsidRDefault="008C3710" w:rsidP="008C3710">
            <w:pPr>
              <w:pStyle w:val="TableText0"/>
              <w:jc w:val="center"/>
            </w:pPr>
            <w:r w:rsidRPr="0009282C">
              <w:t>NA</w:t>
            </w:r>
          </w:p>
        </w:tc>
      </w:tr>
      <w:tr w:rsidR="00EA6C02" w:rsidRPr="0009282C" w14:paraId="0C25D9EC"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79CFE3E3" w14:textId="7573ACC7" w:rsidR="00EA6C02" w:rsidRPr="0009282C" w:rsidRDefault="00CC1FC8" w:rsidP="008C3710">
            <w:pPr>
              <w:pStyle w:val="TableText0"/>
            </w:pPr>
            <w:proofErr w:type="spellStart"/>
            <w:r w:rsidRPr="0009282C">
              <w:t>ISR</w:t>
            </w:r>
            <w:r w:rsidR="00DC5ECF" w:rsidRPr="0009282C">
              <w:rPr>
                <w:vertAlign w:val="superscript"/>
              </w:rPr>
              <w:t>c</w:t>
            </w:r>
            <w:proofErr w:type="spellEnd"/>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668602" w14:textId="2612E852" w:rsidR="00EA6C02" w:rsidRPr="0009282C" w:rsidRDefault="00EA6C02" w:rsidP="008C3710">
            <w:pPr>
              <w:pStyle w:val="TableText0"/>
              <w:jc w:val="center"/>
            </w:pPr>
            <w:r w:rsidRPr="0009282C">
              <w:t>3 (17)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732FCF05" w14:textId="1B399297" w:rsidR="00EA6C02" w:rsidRPr="0009282C" w:rsidRDefault="00CC1FC8" w:rsidP="008C3710">
            <w:pPr>
              <w:pStyle w:val="TableText0"/>
              <w:jc w:val="center"/>
            </w:pPr>
            <w:r w:rsidRPr="0009282C">
              <w:t>NA</w:t>
            </w:r>
          </w:p>
        </w:tc>
      </w:tr>
      <w:tr w:rsidR="008C3710" w:rsidRPr="0009282C" w14:paraId="78565B9A"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17020C1D" w14:textId="6D59D217" w:rsidR="008C3710" w:rsidRPr="0009282C" w:rsidRDefault="008C3710" w:rsidP="008C3710">
            <w:pPr>
              <w:pStyle w:val="TableText0"/>
            </w:pPr>
            <w:r w:rsidRPr="0009282C">
              <w:t>URTI</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49769CF" w14:textId="774B1702" w:rsidR="008C3710" w:rsidRPr="0009282C" w:rsidRDefault="008C3710" w:rsidP="008C3710">
            <w:pPr>
              <w:pStyle w:val="TableText0"/>
              <w:jc w:val="center"/>
            </w:pPr>
            <w:r w:rsidRPr="0009282C">
              <w:t>3 (17)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7FC309A7" w14:textId="541FF052" w:rsidR="008C3710" w:rsidRPr="0009282C" w:rsidRDefault="008C3710" w:rsidP="008C3710">
            <w:pPr>
              <w:pStyle w:val="TableText0"/>
              <w:jc w:val="center"/>
            </w:pPr>
            <w:r w:rsidRPr="0009282C">
              <w:t>NA</w:t>
            </w:r>
          </w:p>
        </w:tc>
      </w:tr>
      <w:tr w:rsidR="008C3710" w:rsidRPr="0009282C" w14:paraId="3D4400EA" w14:textId="77777777" w:rsidTr="00660D0F">
        <w:trPr>
          <w:trHeight w:val="14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4B5D8D96" w14:textId="29DD9C31" w:rsidR="008C3710" w:rsidRPr="0009282C" w:rsidRDefault="008C3710" w:rsidP="008C3710">
            <w:pPr>
              <w:pStyle w:val="TableText0"/>
            </w:pPr>
            <w:r w:rsidRPr="0009282C">
              <w:t>Vomiting</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F0D9A24" w14:textId="16BE9307" w:rsidR="008C3710" w:rsidRPr="0009282C" w:rsidRDefault="008C3710" w:rsidP="008C3710">
            <w:pPr>
              <w:pStyle w:val="TableText0"/>
              <w:jc w:val="center"/>
            </w:pPr>
            <w:r w:rsidRPr="0009282C">
              <w:t>3 (17)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27DF5170" w14:textId="68534B75" w:rsidR="008C3710" w:rsidRPr="0009282C" w:rsidRDefault="008C3710" w:rsidP="008C3710">
            <w:pPr>
              <w:pStyle w:val="TableText0"/>
              <w:jc w:val="center"/>
            </w:pPr>
            <w:r w:rsidRPr="0009282C">
              <w:t>NA</w:t>
            </w:r>
          </w:p>
        </w:tc>
      </w:tr>
      <w:tr w:rsidR="00EE6E91" w:rsidRPr="0009282C" w14:paraId="02A8B5FB"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2647FB" w14:textId="77777777" w:rsidR="00EE6E91" w:rsidRPr="0009282C" w:rsidRDefault="00EE6E91" w:rsidP="00C12290">
            <w:pPr>
              <w:pStyle w:val="TableText0"/>
            </w:pPr>
            <w:r w:rsidRPr="0009282C">
              <w:t>Any serious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A46AC9" w14:textId="77777777" w:rsidR="00EE6E91" w:rsidRPr="0009282C" w:rsidRDefault="00EE6E91" w:rsidP="00896124">
            <w:pPr>
              <w:pStyle w:val="TableText0"/>
              <w:jc w:val="center"/>
            </w:pPr>
            <w:r w:rsidRPr="0009282C">
              <w:t>1 (6)</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3A16B93" w14:textId="77777777" w:rsidR="00EE6E91" w:rsidRPr="0009282C" w:rsidRDefault="00EE6E91" w:rsidP="00896124">
            <w:pPr>
              <w:pStyle w:val="TableText0"/>
              <w:jc w:val="center"/>
            </w:pPr>
            <w:r w:rsidRPr="0009282C">
              <w:t>NA</w:t>
            </w:r>
          </w:p>
        </w:tc>
      </w:tr>
      <w:tr w:rsidR="00EE6E91" w:rsidRPr="0009282C" w14:paraId="1F916A10" w14:textId="77777777" w:rsidTr="00660D0F">
        <w:trPr>
          <w:trHeight w:val="81"/>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D5A0DEA" w14:textId="77777777" w:rsidR="00EE6E91" w:rsidRPr="0009282C" w:rsidRDefault="00EE6E91" w:rsidP="00C12290">
            <w:pPr>
              <w:pStyle w:val="TableText0"/>
            </w:pPr>
            <w:r w:rsidRPr="0009282C">
              <w:t>Any severe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2D4988A"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0EC9809" w14:textId="77777777" w:rsidR="00EE6E91" w:rsidRPr="0009282C" w:rsidRDefault="00EE6E91" w:rsidP="00896124">
            <w:pPr>
              <w:pStyle w:val="TableText0"/>
              <w:jc w:val="center"/>
            </w:pPr>
            <w:r w:rsidRPr="0009282C">
              <w:t>NA</w:t>
            </w:r>
          </w:p>
        </w:tc>
      </w:tr>
      <w:tr w:rsidR="00EE6E91" w:rsidRPr="0009282C" w14:paraId="1CD93D65"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89EA4A8" w14:textId="77777777" w:rsidR="00EE6E91" w:rsidRPr="0009282C" w:rsidRDefault="00EE6E91" w:rsidP="00C12290">
            <w:pPr>
              <w:pStyle w:val="TableText0"/>
            </w:pPr>
            <w:r w:rsidRPr="0009282C">
              <w:t>Death</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91F8763"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999D04E" w14:textId="77777777" w:rsidR="00EE6E91" w:rsidRPr="0009282C" w:rsidRDefault="00EE6E91" w:rsidP="00896124">
            <w:pPr>
              <w:pStyle w:val="TableText0"/>
              <w:jc w:val="center"/>
            </w:pPr>
            <w:r w:rsidRPr="0009282C">
              <w:t>NA</w:t>
            </w:r>
          </w:p>
        </w:tc>
      </w:tr>
      <w:tr w:rsidR="00EE6E91" w:rsidRPr="0009282C" w14:paraId="22799BB1" w14:textId="77777777" w:rsidTr="00660D0F">
        <w:trPr>
          <w:trHeight w:val="47"/>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515054F" w14:textId="77777777" w:rsidR="00EE6E91" w:rsidRPr="0009282C" w:rsidRDefault="00EE6E91" w:rsidP="00C12290">
            <w:pPr>
              <w:pStyle w:val="TableText0"/>
              <w:rPr>
                <w:b/>
                <w:bCs w:val="0"/>
              </w:rPr>
            </w:pPr>
            <w:r w:rsidRPr="0009282C">
              <w:rPr>
                <w:b/>
                <w:bCs w:val="0"/>
              </w:rPr>
              <w:t>ILLUMINATE-B extensions (30 months)</w:t>
            </w:r>
          </w:p>
        </w:tc>
      </w:tr>
      <w:tr w:rsidR="00EE6E91" w:rsidRPr="0009282C" w14:paraId="182B3225" w14:textId="77777777" w:rsidTr="00660D0F">
        <w:trPr>
          <w:trHeight w:val="78"/>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E568FAC" w14:textId="77777777" w:rsidR="00EE6E91" w:rsidRPr="0009282C" w:rsidRDefault="00EE6E91" w:rsidP="00C12290">
            <w:pPr>
              <w:pStyle w:val="TableText0"/>
              <w:rPr>
                <w:b/>
                <w:bCs w:val="0"/>
              </w:rPr>
            </w:pPr>
            <w:r w:rsidRPr="0009282C">
              <w:rPr>
                <w:b/>
                <w:bCs w:val="0"/>
              </w:rPr>
              <w:t>AE, n (%)</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9D28011" w14:textId="41C1EA10" w:rsidR="00EE6E91" w:rsidRPr="0009282C" w:rsidRDefault="00EE6E91" w:rsidP="00896124">
            <w:pPr>
              <w:pStyle w:val="TableText0"/>
              <w:jc w:val="center"/>
              <w:rPr>
                <w:b/>
                <w:bCs w:val="0"/>
              </w:rPr>
            </w:pPr>
            <w:proofErr w:type="spellStart"/>
            <w:r w:rsidRPr="0009282C">
              <w:rPr>
                <w:b/>
                <w:bCs w:val="0"/>
              </w:rPr>
              <w:t>Lumasiran</w:t>
            </w:r>
            <w:proofErr w:type="spellEnd"/>
            <w:r w:rsidRPr="0009282C">
              <w:rPr>
                <w:b/>
                <w:bCs w:val="0"/>
              </w:rPr>
              <w:t xml:space="preserve"> (n=18)</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B87EA10" w14:textId="77777777" w:rsidR="00EE6E91" w:rsidRPr="0009282C" w:rsidRDefault="00EE6E91" w:rsidP="00896124">
            <w:pPr>
              <w:pStyle w:val="TableText0"/>
              <w:jc w:val="center"/>
              <w:rPr>
                <w:b/>
                <w:bCs w:val="0"/>
              </w:rPr>
            </w:pPr>
            <w:r w:rsidRPr="0009282C">
              <w:rPr>
                <w:b/>
                <w:bCs w:val="0"/>
              </w:rPr>
              <w:t>RR (95% CI)</w:t>
            </w:r>
          </w:p>
        </w:tc>
      </w:tr>
      <w:tr w:rsidR="00EE6E91" w:rsidRPr="0009282C" w14:paraId="1760F3A9"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C2F701C" w14:textId="77777777" w:rsidR="00EE6E91" w:rsidRPr="0009282C" w:rsidRDefault="00EE6E91" w:rsidP="00C12290">
            <w:pPr>
              <w:pStyle w:val="TableText0"/>
            </w:pPr>
            <w:r w:rsidRPr="0009282C">
              <w:t>Any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2ECC4A0" w14:textId="77777777" w:rsidR="00EE6E91" w:rsidRPr="0009282C" w:rsidRDefault="00EE6E91" w:rsidP="00896124">
            <w:pPr>
              <w:pStyle w:val="TableText0"/>
              <w:jc w:val="center"/>
            </w:pPr>
            <w:r w:rsidRPr="0009282C">
              <w:t>18 (100)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4021E3" w14:textId="77777777" w:rsidR="00EE6E91" w:rsidRPr="0009282C" w:rsidRDefault="00EE6E91" w:rsidP="00896124">
            <w:pPr>
              <w:pStyle w:val="TableText0"/>
              <w:jc w:val="center"/>
            </w:pPr>
            <w:r w:rsidRPr="0009282C">
              <w:t>NA</w:t>
            </w:r>
          </w:p>
        </w:tc>
      </w:tr>
      <w:tr w:rsidR="00EE6E91" w:rsidRPr="0009282C" w14:paraId="799AE60A"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D7046F9" w14:textId="77777777" w:rsidR="00EE6E91" w:rsidRPr="0009282C" w:rsidRDefault="00EE6E91" w:rsidP="00C12290">
            <w:pPr>
              <w:pStyle w:val="TableText0"/>
            </w:pPr>
            <w:r w:rsidRPr="0009282C">
              <w:t>Any serious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75FC195" w14:textId="77777777" w:rsidR="00EE6E91" w:rsidRPr="0009282C" w:rsidRDefault="00EE6E91" w:rsidP="00896124">
            <w:pPr>
              <w:pStyle w:val="TableText0"/>
              <w:jc w:val="center"/>
            </w:pPr>
            <w:r w:rsidRPr="0009282C">
              <w:t>1 (6)</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F92462D" w14:textId="77777777" w:rsidR="00EE6E91" w:rsidRPr="0009282C" w:rsidRDefault="00EE6E91" w:rsidP="00896124">
            <w:pPr>
              <w:pStyle w:val="TableText0"/>
              <w:jc w:val="center"/>
            </w:pPr>
            <w:r w:rsidRPr="0009282C">
              <w:t>NA</w:t>
            </w:r>
          </w:p>
        </w:tc>
      </w:tr>
      <w:tr w:rsidR="00EE6E91" w:rsidRPr="0009282C" w14:paraId="781F2C79" w14:textId="77777777" w:rsidTr="00660D0F">
        <w:trPr>
          <w:trHeight w:val="59"/>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6780897" w14:textId="77777777" w:rsidR="00EE6E91" w:rsidRPr="0009282C" w:rsidRDefault="00EE6E91" w:rsidP="00C12290">
            <w:pPr>
              <w:pStyle w:val="TableText0"/>
            </w:pPr>
            <w:r w:rsidRPr="0009282C">
              <w:t>Any severe AE</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5EE658C"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BA536C" w14:textId="77777777" w:rsidR="00EE6E91" w:rsidRPr="0009282C" w:rsidRDefault="00EE6E91" w:rsidP="00896124">
            <w:pPr>
              <w:pStyle w:val="TableText0"/>
              <w:jc w:val="center"/>
            </w:pPr>
            <w:r w:rsidRPr="0009282C">
              <w:t>NA</w:t>
            </w:r>
          </w:p>
        </w:tc>
      </w:tr>
      <w:tr w:rsidR="00EE6E91" w:rsidRPr="0009282C" w14:paraId="3066A548" w14:textId="77777777" w:rsidTr="00660D0F">
        <w:trPr>
          <w:trHeight w:val="10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EFA20C8" w14:textId="77777777" w:rsidR="00EE6E91" w:rsidRPr="0009282C" w:rsidRDefault="00EE6E91" w:rsidP="00C12290">
            <w:pPr>
              <w:pStyle w:val="TableText0"/>
            </w:pPr>
            <w:r w:rsidRPr="0009282C">
              <w:t>Death</w:t>
            </w:r>
          </w:p>
        </w:tc>
        <w:tc>
          <w:tcPr>
            <w:tcW w:w="2906" w:type="pct"/>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CC87831"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1B7B9FA" w14:textId="77777777" w:rsidR="00EE6E91" w:rsidRPr="0009282C" w:rsidRDefault="00EE6E91" w:rsidP="00896124">
            <w:pPr>
              <w:pStyle w:val="TableText0"/>
              <w:jc w:val="center"/>
            </w:pPr>
            <w:r w:rsidRPr="0009282C">
              <w:t>NA</w:t>
            </w:r>
          </w:p>
        </w:tc>
      </w:tr>
      <w:tr w:rsidR="00EE6E91" w:rsidRPr="0009282C" w14:paraId="552DB14B" w14:textId="77777777" w:rsidTr="00660D0F">
        <w:trPr>
          <w:trHeight w:val="47"/>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CDF7F90" w14:textId="77777777" w:rsidR="00EE6E91" w:rsidRPr="0009282C" w:rsidRDefault="00EE6E91" w:rsidP="00C12290">
            <w:pPr>
              <w:pStyle w:val="TableText0"/>
              <w:rPr>
                <w:b/>
                <w:bCs w:val="0"/>
              </w:rPr>
            </w:pPr>
            <w:r w:rsidRPr="0009282C">
              <w:rPr>
                <w:b/>
                <w:bCs w:val="0"/>
              </w:rPr>
              <w:t>ILLUMINATE-C (6 month)</w:t>
            </w:r>
          </w:p>
        </w:tc>
      </w:tr>
      <w:tr w:rsidR="00EE6E91" w:rsidRPr="0009282C" w14:paraId="120418FA" w14:textId="77777777" w:rsidTr="00660D0F">
        <w:trPr>
          <w:trHeight w:val="292"/>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4F77F5C" w14:textId="77777777" w:rsidR="00EE6E91" w:rsidRPr="0009282C" w:rsidRDefault="00EE6E91" w:rsidP="00C12290">
            <w:pPr>
              <w:pStyle w:val="TableText0"/>
            </w:pPr>
            <w:r w:rsidRPr="0009282C">
              <w:t>AE, n (%)</w:t>
            </w:r>
          </w:p>
        </w:tc>
        <w:tc>
          <w:tcPr>
            <w:tcW w:w="149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C00E30" w14:textId="77777777" w:rsidR="00C41648" w:rsidRPr="0009282C" w:rsidRDefault="00EE6E91" w:rsidP="000A4626">
            <w:pPr>
              <w:pStyle w:val="TableText0"/>
              <w:jc w:val="center"/>
              <w:rPr>
                <w:b/>
                <w:bCs w:val="0"/>
              </w:rPr>
            </w:pPr>
            <w:proofErr w:type="spellStart"/>
            <w:r w:rsidRPr="0009282C">
              <w:rPr>
                <w:b/>
                <w:bCs w:val="0"/>
              </w:rPr>
              <w:t>Lumasiran</w:t>
            </w:r>
            <w:proofErr w:type="spellEnd"/>
            <w:r w:rsidRPr="0009282C">
              <w:rPr>
                <w:b/>
                <w:bCs w:val="0"/>
              </w:rPr>
              <w:t xml:space="preserve"> Cohort A</w:t>
            </w:r>
            <w:r w:rsidR="000A4626" w:rsidRPr="0009282C">
              <w:rPr>
                <w:b/>
                <w:bCs w:val="0"/>
              </w:rPr>
              <w:t>:</w:t>
            </w:r>
            <w:r w:rsidR="00EE66AF" w:rsidRPr="0009282C">
              <w:rPr>
                <w:b/>
                <w:bCs w:val="0"/>
              </w:rPr>
              <w:t xml:space="preserve"> </w:t>
            </w:r>
          </w:p>
          <w:p w14:paraId="35DDC297" w14:textId="0D3CB233" w:rsidR="00EE6E91" w:rsidRPr="0009282C" w:rsidRDefault="00EE66AF" w:rsidP="000A4626">
            <w:pPr>
              <w:pStyle w:val="TableText0"/>
              <w:jc w:val="center"/>
              <w:rPr>
                <w:b/>
                <w:bCs w:val="0"/>
              </w:rPr>
            </w:pPr>
            <w:r w:rsidRPr="0009282C">
              <w:rPr>
                <w:b/>
                <w:bCs w:val="0"/>
              </w:rPr>
              <w:t>No dialysis</w:t>
            </w:r>
            <w:r w:rsidR="00C41648" w:rsidRPr="0009282C">
              <w:rPr>
                <w:b/>
              </w:rPr>
              <w:t xml:space="preserve"> </w:t>
            </w:r>
            <w:r w:rsidR="00EE6E91" w:rsidRPr="0009282C">
              <w:rPr>
                <w:b/>
                <w:bCs w:val="0"/>
              </w:rPr>
              <w:t>(n=6)</w:t>
            </w:r>
          </w:p>
        </w:tc>
        <w:tc>
          <w:tcPr>
            <w:tcW w:w="1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4A7E3F" w14:textId="77777777" w:rsidR="00C41648" w:rsidRPr="0009282C" w:rsidRDefault="00EE6E91" w:rsidP="000A4626">
            <w:pPr>
              <w:pStyle w:val="TableText0"/>
              <w:jc w:val="center"/>
              <w:rPr>
                <w:b/>
                <w:bCs w:val="0"/>
              </w:rPr>
            </w:pPr>
            <w:proofErr w:type="spellStart"/>
            <w:r w:rsidRPr="0009282C">
              <w:rPr>
                <w:b/>
                <w:bCs w:val="0"/>
              </w:rPr>
              <w:t>Lumasiran</w:t>
            </w:r>
            <w:proofErr w:type="spellEnd"/>
            <w:r w:rsidRPr="0009282C">
              <w:rPr>
                <w:b/>
                <w:bCs w:val="0"/>
              </w:rPr>
              <w:t xml:space="preserve"> Cohort B</w:t>
            </w:r>
            <w:r w:rsidR="000A4626" w:rsidRPr="0009282C">
              <w:rPr>
                <w:b/>
                <w:bCs w:val="0"/>
              </w:rPr>
              <w:t>:</w:t>
            </w:r>
            <w:r w:rsidR="00EE66AF" w:rsidRPr="0009282C">
              <w:rPr>
                <w:b/>
                <w:bCs w:val="0"/>
              </w:rPr>
              <w:t xml:space="preserve"> </w:t>
            </w:r>
          </w:p>
          <w:p w14:paraId="177EF05A" w14:textId="3DBE42B6" w:rsidR="00EE6E91" w:rsidRPr="0009282C" w:rsidRDefault="00EE66AF" w:rsidP="000A4626">
            <w:pPr>
              <w:pStyle w:val="TableText0"/>
              <w:jc w:val="center"/>
              <w:rPr>
                <w:b/>
                <w:bCs w:val="0"/>
              </w:rPr>
            </w:pPr>
            <w:r w:rsidRPr="0009282C">
              <w:rPr>
                <w:b/>
                <w:bCs w:val="0"/>
              </w:rPr>
              <w:t>Dialysi</w:t>
            </w:r>
            <w:r w:rsidR="00C41648" w:rsidRPr="0009282C">
              <w:rPr>
                <w:b/>
                <w:bCs w:val="0"/>
              </w:rPr>
              <w:t xml:space="preserve">s </w:t>
            </w:r>
            <w:r w:rsidR="00EE6E91" w:rsidRPr="0009282C">
              <w:rPr>
                <w:b/>
                <w:bCs w:val="0"/>
              </w:rPr>
              <w:t>(n=15)</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BD769D5" w14:textId="3D5FB7FC" w:rsidR="00EE6E91" w:rsidRPr="0009282C" w:rsidRDefault="00EE6E91" w:rsidP="00896124">
            <w:pPr>
              <w:pStyle w:val="TableText0"/>
              <w:jc w:val="center"/>
              <w:rPr>
                <w:b/>
                <w:bCs w:val="0"/>
              </w:rPr>
            </w:pPr>
            <w:r w:rsidRPr="0009282C">
              <w:rPr>
                <w:b/>
                <w:bCs w:val="0"/>
              </w:rPr>
              <w:t>Overall</w:t>
            </w:r>
            <w:r w:rsidRPr="0009282C">
              <w:rPr>
                <w:b/>
                <w:bCs w:val="0"/>
              </w:rPr>
              <w:br/>
              <w:t>(</w:t>
            </w:r>
            <w:r w:rsidR="000D2370" w:rsidRPr="0009282C">
              <w:rPr>
                <w:b/>
                <w:bCs w:val="0"/>
              </w:rPr>
              <w:t>n</w:t>
            </w:r>
            <w:r w:rsidRPr="0009282C">
              <w:rPr>
                <w:b/>
                <w:bCs w:val="0"/>
              </w:rPr>
              <w:t>=21)</w:t>
            </w:r>
          </w:p>
        </w:tc>
      </w:tr>
      <w:tr w:rsidR="00EE6E91" w:rsidRPr="0009282C" w14:paraId="54F0EED7"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23EE764" w14:textId="77777777" w:rsidR="00EE6E91" w:rsidRPr="0009282C" w:rsidRDefault="00EE6E91" w:rsidP="00C12290">
            <w:pPr>
              <w:pStyle w:val="TableText0"/>
            </w:pPr>
            <w:r w:rsidRPr="0009282C">
              <w:t>Any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23FC67E" w14:textId="77777777" w:rsidR="00EE6E91" w:rsidRPr="0009282C" w:rsidRDefault="00EE6E91" w:rsidP="00896124">
            <w:pPr>
              <w:pStyle w:val="TableText0"/>
              <w:jc w:val="center"/>
            </w:pPr>
            <w:r w:rsidRPr="0009282C">
              <w:t>5 (83)</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AE771C" w14:textId="77777777" w:rsidR="00EE6E91" w:rsidRPr="0009282C" w:rsidRDefault="00EE6E91" w:rsidP="00896124">
            <w:pPr>
              <w:pStyle w:val="TableText0"/>
              <w:jc w:val="center"/>
            </w:pPr>
            <w:r w:rsidRPr="0009282C">
              <w:t>12 (80)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371C54E0" w14:textId="77777777" w:rsidR="00EE6E91" w:rsidRPr="0009282C" w:rsidRDefault="00EE6E91" w:rsidP="00896124">
            <w:pPr>
              <w:pStyle w:val="TableText0"/>
              <w:jc w:val="center"/>
            </w:pPr>
            <w:r w:rsidRPr="0009282C">
              <w:t>17 (81)</w:t>
            </w:r>
          </w:p>
        </w:tc>
      </w:tr>
      <w:tr w:rsidR="00C852AD" w:rsidRPr="0009282C" w14:paraId="2AA5BA34" w14:textId="77777777" w:rsidTr="00660D0F">
        <w:trPr>
          <w:trHeight w:val="47"/>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tcPr>
          <w:p w14:paraId="07823E89" w14:textId="6420B2DF" w:rsidR="00C852AD" w:rsidRPr="0009282C" w:rsidRDefault="00C852AD" w:rsidP="00C852AD">
            <w:pPr>
              <w:pStyle w:val="TableText0"/>
              <w:rPr>
                <w:b/>
                <w:bCs w:val="0"/>
              </w:rPr>
            </w:pPr>
            <w:r w:rsidRPr="0009282C">
              <w:rPr>
                <w:b/>
                <w:bCs w:val="0"/>
              </w:rPr>
              <w:t>Any AE occurring in ≥10% of either cohort</w:t>
            </w:r>
          </w:p>
        </w:tc>
      </w:tr>
      <w:tr w:rsidR="00C852AD" w:rsidRPr="0009282C" w14:paraId="71379120"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6FC22DE1" w14:textId="0FDD5477" w:rsidR="00C852AD" w:rsidRPr="0009282C" w:rsidRDefault="00C852AD" w:rsidP="00C852AD">
            <w:pPr>
              <w:pStyle w:val="TableText0"/>
            </w:pPr>
            <w:r w:rsidRPr="0009282C">
              <w:t>Pyrexia</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07670D20" w14:textId="38FE0956" w:rsidR="00C852AD" w:rsidRPr="0009282C" w:rsidRDefault="00C852AD" w:rsidP="00C852AD">
            <w:pPr>
              <w:pStyle w:val="TableText0"/>
              <w:jc w:val="center"/>
            </w:pPr>
            <w:r w:rsidRPr="0009282C">
              <w:t>1 (17)</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176F315C" w14:textId="04B8F340" w:rsidR="00C852AD" w:rsidRPr="0009282C" w:rsidRDefault="00C852AD" w:rsidP="00C852AD">
            <w:pPr>
              <w:pStyle w:val="TableText0"/>
              <w:jc w:val="center"/>
            </w:pPr>
            <w:r w:rsidRPr="0009282C">
              <w:t>5 (33)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1FC55AC2" w14:textId="46588AE8" w:rsidR="00C852AD" w:rsidRPr="0009282C" w:rsidRDefault="00C852AD" w:rsidP="00C852AD">
            <w:pPr>
              <w:pStyle w:val="TableText0"/>
              <w:jc w:val="center"/>
            </w:pPr>
            <w:r w:rsidRPr="0009282C">
              <w:t>6 (29)</w:t>
            </w:r>
          </w:p>
        </w:tc>
      </w:tr>
      <w:tr w:rsidR="00C852AD" w:rsidRPr="0009282C" w14:paraId="605B1A18"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765AC404" w14:textId="3E09BCB3" w:rsidR="00C852AD" w:rsidRPr="0009282C" w:rsidRDefault="00D71D7B" w:rsidP="00C852AD">
            <w:pPr>
              <w:pStyle w:val="TableText0"/>
            </w:pPr>
            <w:proofErr w:type="spellStart"/>
            <w:r w:rsidRPr="0009282C">
              <w:t>ISR</w:t>
            </w:r>
            <w:r w:rsidR="00DC5ECF" w:rsidRPr="0009282C">
              <w:rPr>
                <w:vertAlign w:val="superscript"/>
              </w:rPr>
              <w:t>d</w:t>
            </w:r>
            <w:proofErr w:type="spellEnd"/>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131EBE4C" w14:textId="1DB3A5DD" w:rsidR="00C852AD" w:rsidRPr="0009282C" w:rsidRDefault="00C852AD" w:rsidP="00C852AD">
            <w:pPr>
              <w:pStyle w:val="TableText0"/>
              <w:jc w:val="center"/>
            </w:pPr>
            <w:r w:rsidRPr="0009282C">
              <w:t>1 (17)</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1D77325E" w14:textId="0FEEE1C9" w:rsidR="00C852AD" w:rsidRPr="0009282C" w:rsidRDefault="00C852AD" w:rsidP="00C852AD">
            <w:pPr>
              <w:pStyle w:val="TableText0"/>
              <w:jc w:val="center"/>
            </w:pPr>
            <w:r w:rsidRPr="0009282C">
              <w:t>4 (27)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00D401F1" w14:textId="5A588EF8" w:rsidR="00C852AD" w:rsidRPr="0009282C" w:rsidRDefault="00C852AD" w:rsidP="00C852AD">
            <w:pPr>
              <w:pStyle w:val="TableText0"/>
              <w:jc w:val="center"/>
            </w:pPr>
            <w:r w:rsidRPr="0009282C">
              <w:t>5 (24)</w:t>
            </w:r>
          </w:p>
        </w:tc>
      </w:tr>
      <w:tr w:rsidR="00C852AD" w:rsidRPr="0009282C" w14:paraId="6AEED6D6"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2C0E624E" w14:textId="1271ADB8" w:rsidR="00C852AD" w:rsidRPr="0009282C" w:rsidRDefault="00C852AD" w:rsidP="00C852AD">
            <w:pPr>
              <w:pStyle w:val="TableText0"/>
            </w:pPr>
            <w:r w:rsidRPr="0009282C">
              <w:t>Device-related infection</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3EDE1DA8" w14:textId="2E22155B" w:rsidR="00C852AD" w:rsidRPr="0009282C" w:rsidRDefault="00C852AD" w:rsidP="00C852AD">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6A248F45" w14:textId="6C9A0FA9" w:rsidR="00C852AD" w:rsidRPr="0009282C" w:rsidRDefault="00C852AD" w:rsidP="00C852AD">
            <w:pPr>
              <w:pStyle w:val="TableText0"/>
              <w:jc w:val="center"/>
            </w:pPr>
            <w:r w:rsidRPr="0009282C">
              <w:t>2 (13)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179930B9" w14:textId="6D57AACC" w:rsidR="00C852AD" w:rsidRPr="0009282C" w:rsidRDefault="00C852AD" w:rsidP="00C852AD">
            <w:pPr>
              <w:pStyle w:val="TableText0"/>
              <w:jc w:val="center"/>
            </w:pPr>
            <w:r w:rsidRPr="0009282C">
              <w:t>2 (10)</w:t>
            </w:r>
          </w:p>
        </w:tc>
      </w:tr>
      <w:tr w:rsidR="00C852AD" w:rsidRPr="0009282C" w14:paraId="6ACAC6F5"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770BE1DA" w14:textId="57403D3C" w:rsidR="00C852AD" w:rsidRPr="0009282C" w:rsidRDefault="00C852AD" w:rsidP="00C852AD">
            <w:pPr>
              <w:pStyle w:val="TableText0"/>
            </w:pPr>
            <w:r w:rsidRPr="0009282C">
              <w:t>Diarrhoea</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1DE46D6C" w14:textId="5679FAA4" w:rsidR="00C852AD" w:rsidRPr="0009282C" w:rsidRDefault="00C852AD" w:rsidP="00C852AD">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5F467A36" w14:textId="2091493C" w:rsidR="00C852AD" w:rsidRPr="0009282C" w:rsidRDefault="00C852AD" w:rsidP="00C852AD">
            <w:pPr>
              <w:pStyle w:val="TableText0"/>
              <w:jc w:val="center"/>
            </w:pPr>
            <w:r w:rsidRPr="0009282C">
              <w:t>2 (13)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2DCB4961" w14:textId="00B34C9B" w:rsidR="00C852AD" w:rsidRPr="0009282C" w:rsidRDefault="00C852AD" w:rsidP="00C852AD">
            <w:pPr>
              <w:pStyle w:val="TableText0"/>
              <w:jc w:val="center"/>
            </w:pPr>
            <w:r w:rsidRPr="0009282C">
              <w:t>2 (10)</w:t>
            </w:r>
          </w:p>
        </w:tc>
      </w:tr>
      <w:tr w:rsidR="00C852AD" w:rsidRPr="0009282C" w14:paraId="71879E0D"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tcPr>
          <w:p w14:paraId="16285FCE" w14:textId="798E868F" w:rsidR="00C852AD" w:rsidRPr="0009282C" w:rsidRDefault="00C852AD" w:rsidP="00C852AD">
            <w:pPr>
              <w:pStyle w:val="TableText0"/>
            </w:pPr>
            <w:r w:rsidRPr="0009282C">
              <w:t>Vomiting</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tcPr>
          <w:p w14:paraId="25F01251" w14:textId="6BCD1B40" w:rsidR="00C852AD" w:rsidRPr="0009282C" w:rsidRDefault="00C852AD" w:rsidP="00C852AD">
            <w:pPr>
              <w:pStyle w:val="TableText0"/>
              <w:jc w:val="center"/>
            </w:pPr>
            <w:r w:rsidRPr="0009282C">
              <w:t>1 (17)</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tcPr>
          <w:p w14:paraId="05FB74E9" w14:textId="369B6302" w:rsidR="00C852AD" w:rsidRPr="0009282C" w:rsidRDefault="00C852AD" w:rsidP="00C852AD">
            <w:pPr>
              <w:pStyle w:val="TableText0"/>
              <w:jc w:val="center"/>
            </w:pPr>
            <w:r w:rsidRPr="0009282C">
              <w:t>1 (7)</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1AC0CD10" w14:textId="023207D7" w:rsidR="00C852AD" w:rsidRPr="0009282C" w:rsidRDefault="00C852AD" w:rsidP="00C852AD">
            <w:pPr>
              <w:pStyle w:val="TableText0"/>
              <w:jc w:val="center"/>
            </w:pPr>
            <w:r w:rsidRPr="0009282C">
              <w:t>2 (10)</w:t>
            </w:r>
          </w:p>
        </w:tc>
      </w:tr>
      <w:tr w:rsidR="00EE6E91" w:rsidRPr="0009282C" w14:paraId="14788065" w14:textId="77777777" w:rsidTr="00660D0F">
        <w:trPr>
          <w:trHeight w:val="6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A07834D" w14:textId="77777777" w:rsidR="00EE6E91" w:rsidRPr="0009282C" w:rsidRDefault="00EE6E91" w:rsidP="00C12290">
            <w:pPr>
              <w:pStyle w:val="TableText0"/>
            </w:pPr>
            <w:r w:rsidRPr="0009282C">
              <w:t>Any serious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D44E89B" w14:textId="77777777" w:rsidR="00EE6E91" w:rsidRPr="0009282C" w:rsidRDefault="00EE6E91" w:rsidP="00896124">
            <w:pPr>
              <w:pStyle w:val="TableText0"/>
              <w:jc w:val="center"/>
            </w:pPr>
            <w:r w:rsidRPr="0009282C">
              <w:t>1 (17)</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79C4EA9" w14:textId="77777777" w:rsidR="00EE6E91" w:rsidRPr="0009282C" w:rsidRDefault="00EE6E91" w:rsidP="00896124">
            <w:pPr>
              <w:pStyle w:val="TableText0"/>
              <w:jc w:val="center"/>
            </w:pPr>
            <w:r w:rsidRPr="0009282C">
              <w:t>5 (33)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728286C1" w14:textId="77777777" w:rsidR="00EE6E91" w:rsidRPr="0009282C" w:rsidRDefault="00EE6E91" w:rsidP="00896124">
            <w:pPr>
              <w:pStyle w:val="TableText0"/>
              <w:jc w:val="center"/>
            </w:pPr>
            <w:r w:rsidRPr="0009282C">
              <w:t>6 (29)</w:t>
            </w:r>
          </w:p>
        </w:tc>
      </w:tr>
      <w:tr w:rsidR="00EE6E91" w:rsidRPr="0009282C" w14:paraId="02CEB7E3" w14:textId="77777777" w:rsidTr="00660D0F">
        <w:trPr>
          <w:trHeight w:val="98"/>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DE253EB" w14:textId="77777777" w:rsidR="00EE6E91" w:rsidRPr="0009282C" w:rsidRDefault="00EE6E91" w:rsidP="00C12290">
            <w:pPr>
              <w:pStyle w:val="TableText0"/>
            </w:pPr>
            <w:r w:rsidRPr="0009282C">
              <w:t>Any severe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EBA452D"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FC8AEA" w14:textId="77777777" w:rsidR="00EE6E91" w:rsidRPr="0009282C" w:rsidRDefault="00EE6E91" w:rsidP="00896124">
            <w:pPr>
              <w:pStyle w:val="TableText0"/>
              <w:jc w:val="center"/>
            </w:pPr>
            <w:r w:rsidRPr="0009282C">
              <w:t>3 (20)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756A1C5B" w14:textId="77777777" w:rsidR="00EE6E91" w:rsidRPr="0009282C" w:rsidRDefault="00EE6E91" w:rsidP="00896124">
            <w:pPr>
              <w:pStyle w:val="TableText0"/>
              <w:jc w:val="center"/>
            </w:pPr>
            <w:r w:rsidRPr="0009282C">
              <w:t>3 (14)</w:t>
            </w:r>
          </w:p>
        </w:tc>
      </w:tr>
      <w:tr w:rsidR="00EE6E91" w:rsidRPr="0009282C" w14:paraId="42015306"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713770" w14:textId="77777777" w:rsidR="00EE6E91" w:rsidRPr="0009282C" w:rsidRDefault="00EE6E91" w:rsidP="00C12290">
            <w:pPr>
              <w:pStyle w:val="TableText0"/>
            </w:pPr>
            <w:r w:rsidRPr="0009282C">
              <w:t>Death</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5689177"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7A1618A"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527C6C5" w14:textId="77777777" w:rsidR="00EE6E91" w:rsidRPr="0009282C" w:rsidRDefault="00EE6E91" w:rsidP="00896124">
            <w:pPr>
              <w:pStyle w:val="TableText0"/>
              <w:jc w:val="center"/>
            </w:pPr>
            <w:r w:rsidRPr="0009282C">
              <w:t>0</w:t>
            </w:r>
          </w:p>
        </w:tc>
      </w:tr>
      <w:tr w:rsidR="00EE6E91" w:rsidRPr="0009282C" w14:paraId="36392155" w14:textId="77777777" w:rsidTr="00660D0F">
        <w:trPr>
          <w:trHeight w:val="48"/>
        </w:trPr>
        <w:tc>
          <w:tcPr>
            <w:tcW w:w="5000" w:type="pct"/>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7DAF6C1" w14:textId="77777777" w:rsidR="00EE6E91" w:rsidRPr="0009282C" w:rsidRDefault="00EE6E91" w:rsidP="00C12290">
            <w:pPr>
              <w:pStyle w:val="TableText0"/>
              <w:rPr>
                <w:b/>
                <w:bCs w:val="0"/>
              </w:rPr>
            </w:pPr>
            <w:r w:rsidRPr="0009282C">
              <w:rPr>
                <w:b/>
                <w:bCs w:val="0"/>
              </w:rPr>
              <w:t>ILLUMINATE-C extension (24 months)</w:t>
            </w:r>
          </w:p>
        </w:tc>
      </w:tr>
      <w:tr w:rsidR="00EE6E91" w:rsidRPr="0009282C" w14:paraId="0486482C" w14:textId="77777777" w:rsidTr="00660D0F">
        <w:trPr>
          <w:trHeight w:val="235"/>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8C07DD7" w14:textId="77777777" w:rsidR="00EE6E91" w:rsidRPr="0009282C" w:rsidRDefault="00EE6E91" w:rsidP="00C12290">
            <w:pPr>
              <w:pStyle w:val="TableText0"/>
            </w:pPr>
            <w:r w:rsidRPr="0009282C">
              <w:t>AE, n (%)</w:t>
            </w:r>
          </w:p>
        </w:tc>
        <w:tc>
          <w:tcPr>
            <w:tcW w:w="149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051A00" w14:textId="77777777" w:rsidR="00C41648" w:rsidRPr="0009282C" w:rsidRDefault="00EE6E91" w:rsidP="000A4626">
            <w:pPr>
              <w:pStyle w:val="TableText0"/>
              <w:jc w:val="center"/>
              <w:rPr>
                <w:b/>
                <w:bCs w:val="0"/>
              </w:rPr>
            </w:pPr>
            <w:proofErr w:type="spellStart"/>
            <w:r w:rsidRPr="0009282C">
              <w:rPr>
                <w:b/>
                <w:bCs w:val="0"/>
              </w:rPr>
              <w:t>Lumasiran</w:t>
            </w:r>
            <w:proofErr w:type="spellEnd"/>
            <w:r w:rsidRPr="0009282C">
              <w:rPr>
                <w:b/>
                <w:bCs w:val="0"/>
              </w:rPr>
              <w:t xml:space="preserve"> Cohort A</w:t>
            </w:r>
            <w:r w:rsidR="000A4626" w:rsidRPr="0009282C">
              <w:rPr>
                <w:b/>
                <w:bCs w:val="0"/>
              </w:rPr>
              <w:t>:</w:t>
            </w:r>
            <w:r w:rsidR="00EE66AF" w:rsidRPr="0009282C">
              <w:rPr>
                <w:b/>
                <w:bCs w:val="0"/>
              </w:rPr>
              <w:t xml:space="preserve"> </w:t>
            </w:r>
          </w:p>
          <w:p w14:paraId="1BA87148" w14:textId="6C7588FA" w:rsidR="00EE6E91" w:rsidRPr="0009282C" w:rsidRDefault="00EE66AF" w:rsidP="000A4626">
            <w:pPr>
              <w:pStyle w:val="TableText0"/>
              <w:jc w:val="center"/>
              <w:rPr>
                <w:b/>
                <w:bCs w:val="0"/>
              </w:rPr>
            </w:pPr>
            <w:r w:rsidRPr="0009282C">
              <w:rPr>
                <w:b/>
                <w:bCs w:val="0"/>
              </w:rPr>
              <w:t>No dialysis</w:t>
            </w:r>
            <w:r w:rsidR="00C41648" w:rsidRPr="0009282C">
              <w:rPr>
                <w:b/>
              </w:rPr>
              <w:t xml:space="preserve"> </w:t>
            </w:r>
            <w:r w:rsidR="00EE6E91" w:rsidRPr="0009282C">
              <w:rPr>
                <w:b/>
                <w:bCs w:val="0"/>
              </w:rPr>
              <w:t>(n=6)</w:t>
            </w:r>
          </w:p>
        </w:tc>
        <w:tc>
          <w:tcPr>
            <w:tcW w:w="14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38AC4F" w14:textId="77777777" w:rsidR="00C41648" w:rsidRPr="0009282C" w:rsidRDefault="00EE6E91" w:rsidP="000A4626">
            <w:pPr>
              <w:pStyle w:val="TableText0"/>
              <w:jc w:val="center"/>
              <w:rPr>
                <w:b/>
                <w:bCs w:val="0"/>
              </w:rPr>
            </w:pPr>
            <w:proofErr w:type="spellStart"/>
            <w:r w:rsidRPr="0009282C">
              <w:rPr>
                <w:b/>
                <w:bCs w:val="0"/>
              </w:rPr>
              <w:t>Lumasiran</w:t>
            </w:r>
            <w:proofErr w:type="spellEnd"/>
            <w:r w:rsidRPr="0009282C">
              <w:rPr>
                <w:b/>
                <w:bCs w:val="0"/>
              </w:rPr>
              <w:t xml:space="preserve"> Cohort B</w:t>
            </w:r>
            <w:r w:rsidR="000A4626" w:rsidRPr="0009282C">
              <w:rPr>
                <w:b/>
                <w:bCs w:val="0"/>
              </w:rPr>
              <w:t>:</w:t>
            </w:r>
            <w:r w:rsidR="00EE66AF" w:rsidRPr="0009282C">
              <w:rPr>
                <w:b/>
                <w:bCs w:val="0"/>
              </w:rPr>
              <w:t xml:space="preserve"> </w:t>
            </w:r>
          </w:p>
          <w:p w14:paraId="280E9845" w14:textId="4588DB37" w:rsidR="00EE6E91" w:rsidRPr="0009282C" w:rsidRDefault="00EE66AF" w:rsidP="000A4626">
            <w:pPr>
              <w:pStyle w:val="TableText0"/>
              <w:jc w:val="center"/>
              <w:rPr>
                <w:b/>
                <w:bCs w:val="0"/>
              </w:rPr>
            </w:pPr>
            <w:r w:rsidRPr="0009282C">
              <w:rPr>
                <w:b/>
                <w:bCs w:val="0"/>
              </w:rPr>
              <w:t>Dialysis</w:t>
            </w:r>
            <w:r w:rsidR="00C41648" w:rsidRPr="0009282C">
              <w:rPr>
                <w:b/>
              </w:rPr>
              <w:t xml:space="preserve"> </w:t>
            </w:r>
            <w:r w:rsidR="00EE6E91" w:rsidRPr="0009282C">
              <w:rPr>
                <w:b/>
                <w:bCs w:val="0"/>
              </w:rPr>
              <w:t>(n=15)</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52F462FC" w14:textId="27C9CCA0" w:rsidR="00EE6E91" w:rsidRPr="0009282C" w:rsidRDefault="00EE6E91" w:rsidP="00896124">
            <w:pPr>
              <w:pStyle w:val="TableText0"/>
              <w:jc w:val="center"/>
              <w:rPr>
                <w:b/>
                <w:bCs w:val="0"/>
              </w:rPr>
            </w:pPr>
            <w:r w:rsidRPr="0009282C">
              <w:rPr>
                <w:b/>
                <w:bCs w:val="0"/>
              </w:rPr>
              <w:t>Overall</w:t>
            </w:r>
            <w:r w:rsidRPr="0009282C">
              <w:rPr>
                <w:b/>
                <w:bCs w:val="0"/>
              </w:rPr>
              <w:br/>
              <w:t>(</w:t>
            </w:r>
            <w:r w:rsidR="000D2370" w:rsidRPr="0009282C">
              <w:rPr>
                <w:b/>
                <w:bCs w:val="0"/>
              </w:rPr>
              <w:t>n</w:t>
            </w:r>
            <w:r w:rsidRPr="0009282C">
              <w:rPr>
                <w:b/>
                <w:bCs w:val="0"/>
              </w:rPr>
              <w:t>=21)</w:t>
            </w:r>
          </w:p>
        </w:tc>
      </w:tr>
      <w:tr w:rsidR="00EE6E91" w:rsidRPr="0009282C" w14:paraId="400E7AC6" w14:textId="77777777" w:rsidTr="00660D0F">
        <w:trPr>
          <w:trHeight w:val="47"/>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E8B85AB" w14:textId="77777777" w:rsidR="00EE6E91" w:rsidRPr="0009282C" w:rsidRDefault="00EE6E91" w:rsidP="00C12290">
            <w:pPr>
              <w:pStyle w:val="TableText0"/>
            </w:pPr>
            <w:r w:rsidRPr="0009282C">
              <w:t>Any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993C81D" w14:textId="77777777" w:rsidR="00EE6E91" w:rsidRPr="0009282C" w:rsidRDefault="00EE6E91" w:rsidP="00896124">
            <w:pPr>
              <w:pStyle w:val="TableText0"/>
              <w:jc w:val="center"/>
            </w:pPr>
            <w:r w:rsidRPr="0009282C">
              <w:t>6 (100)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570D5F3" w14:textId="77777777" w:rsidR="00EE6E91" w:rsidRPr="0009282C" w:rsidRDefault="00EE6E91" w:rsidP="00896124">
            <w:pPr>
              <w:pStyle w:val="TableText0"/>
              <w:jc w:val="center"/>
            </w:pPr>
            <w:r w:rsidRPr="0009282C">
              <w:t>15 (100)</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tcPr>
          <w:p w14:paraId="04CCCE2E" w14:textId="77777777" w:rsidR="00EE6E91" w:rsidRPr="0009282C" w:rsidRDefault="00EE6E91" w:rsidP="00896124">
            <w:pPr>
              <w:pStyle w:val="TableText0"/>
              <w:jc w:val="center"/>
            </w:pPr>
            <w:r w:rsidRPr="0009282C">
              <w:t>21 (100)</w:t>
            </w:r>
          </w:p>
        </w:tc>
      </w:tr>
      <w:tr w:rsidR="00EE6E91" w:rsidRPr="0009282C" w14:paraId="5B5F1FB9" w14:textId="77777777" w:rsidTr="00660D0F">
        <w:trPr>
          <w:trHeight w:val="89"/>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688E363" w14:textId="77777777" w:rsidR="00EE6E91" w:rsidRPr="0009282C" w:rsidRDefault="00EE6E91" w:rsidP="00C12290">
            <w:pPr>
              <w:pStyle w:val="TableText0"/>
            </w:pPr>
            <w:r w:rsidRPr="0009282C">
              <w:t>Any serious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C87FE31" w14:textId="77777777" w:rsidR="00EE6E91" w:rsidRPr="0009282C" w:rsidRDefault="00EE6E91" w:rsidP="00896124">
            <w:pPr>
              <w:pStyle w:val="TableText0"/>
              <w:jc w:val="center"/>
            </w:pPr>
            <w:r w:rsidRPr="0009282C">
              <w:t>3 (50)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82F849B" w14:textId="77777777" w:rsidR="00EE6E91" w:rsidRPr="0009282C" w:rsidRDefault="00EE6E91" w:rsidP="00896124">
            <w:pPr>
              <w:pStyle w:val="TableText0"/>
              <w:jc w:val="center"/>
            </w:pPr>
            <w:r w:rsidRPr="0009282C">
              <w:t>11 (73)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1FEE9E0" w14:textId="77777777" w:rsidR="00EE6E91" w:rsidRPr="0009282C" w:rsidRDefault="00EE6E91" w:rsidP="00896124">
            <w:pPr>
              <w:pStyle w:val="TableText0"/>
              <w:jc w:val="center"/>
            </w:pPr>
            <w:r w:rsidRPr="0009282C">
              <w:t>15 (71)</w:t>
            </w:r>
          </w:p>
        </w:tc>
      </w:tr>
      <w:tr w:rsidR="00EE6E91" w:rsidRPr="0009282C" w14:paraId="3526F813" w14:textId="77777777" w:rsidTr="00660D0F">
        <w:trPr>
          <w:trHeight w:val="136"/>
        </w:trPr>
        <w:tc>
          <w:tcPr>
            <w:tcW w:w="125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B50E508" w14:textId="77777777" w:rsidR="00EE6E91" w:rsidRPr="0009282C" w:rsidRDefault="00EE6E91" w:rsidP="00C12290">
            <w:pPr>
              <w:pStyle w:val="TableText0"/>
            </w:pPr>
            <w:r w:rsidRPr="0009282C">
              <w:t>Any severe AE</w:t>
            </w:r>
          </w:p>
        </w:tc>
        <w:tc>
          <w:tcPr>
            <w:tcW w:w="149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96F422B" w14:textId="77777777" w:rsidR="00EE6E91" w:rsidRPr="0009282C" w:rsidRDefault="00EE6E91" w:rsidP="00896124">
            <w:pPr>
              <w:pStyle w:val="TableText0"/>
              <w:jc w:val="center"/>
            </w:pPr>
            <w:r w:rsidRPr="0009282C">
              <w:t>3 (50)</w:t>
            </w:r>
          </w:p>
        </w:tc>
        <w:tc>
          <w:tcPr>
            <w:tcW w:w="141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C4A3294" w14:textId="77777777" w:rsidR="00EE6E91" w:rsidRPr="0009282C" w:rsidRDefault="00EE6E91" w:rsidP="00896124">
            <w:pPr>
              <w:pStyle w:val="TableText0"/>
              <w:jc w:val="center"/>
            </w:pPr>
            <w:r w:rsidRPr="0009282C">
              <w:t>8 (53)</w:t>
            </w:r>
          </w:p>
        </w:tc>
        <w:tc>
          <w:tcPr>
            <w:tcW w:w="84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833222" w14:textId="77777777" w:rsidR="00EE6E91" w:rsidRPr="0009282C" w:rsidRDefault="00EE6E91" w:rsidP="00896124">
            <w:pPr>
              <w:pStyle w:val="TableText0"/>
              <w:jc w:val="center"/>
            </w:pPr>
            <w:r w:rsidRPr="0009282C">
              <w:t>11 (52)</w:t>
            </w:r>
          </w:p>
        </w:tc>
      </w:tr>
      <w:tr w:rsidR="00EE6E91" w:rsidRPr="0009282C" w14:paraId="15091177" w14:textId="77777777" w:rsidTr="00660D0F">
        <w:trPr>
          <w:trHeight w:val="181"/>
        </w:trPr>
        <w:tc>
          <w:tcPr>
            <w:tcW w:w="1254" w:type="pct"/>
            <w:tcBorders>
              <w:top w:val="single" w:sz="4" w:space="0" w:color="auto"/>
              <w:left w:val="single" w:sz="4" w:space="0" w:color="auto"/>
              <w:right w:val="single" w:sz="4" w:space="0" w:color="auto"/>
            </w:tcBorders>
            <w:tcMar>
              <w:top w:w="0" w:type="dxa"/>
              <w:bottom w:w="0" w:type="dxa"/>
            </w:tcMar>
            <w:vAlign w:val="center"/>
          </w:tcPr>
          <w:p w14:paraId="3307D3CF" w14:textId="77777777" w:rsidR="00EE6E91" w:rsidRPr="0009282C" w:rsidRDefault="00EE6E91" w:rsidP="00C12290">
            <w:pPr>
              <w:pStyle w:val="TableText0"/>
            </w:pPr>
            <w:r w:rsidRPr="0009282C">
              <w:t>Death</w:t>
            </w:r>
          </w:p>
        </w:tc>
        <w:tc>
          <w:tcPr>
            <w:tcW w:w="1493" w:type="pct"/>
            <w:tcBorders>
              <w:top w:val="single" w:sz="4" w:space="0" w:color="auto"/>
              <w:left w:val="single" w:sz="4" w:space="0" w:color="auto"/>
              <w:right w:val="single" w:sz="4" w:space="0" w:color="auto"/>
            </w:tcBorders>
            <w:tcMar>
              <w:top w:w="0" w:type="dxa"/>
              <w:bottom w:w="0" w:type="dxa"/>
            </w:tcMar>
            <w:vAlign w:val="center"/>
          </w:tcPr>
          <w:p w14:paraId="4E557D0C" w14:textId="77777777" w:rsidR="00EE6E91" w:rsidRPr="0009282C" w:rsidRDefault="00EE6E91" w:rsidP="00896124">
            <w:pPr>
              <w:pStyle w:val="TableText0"/>
              <w:jc w:val="center"/>
            </w:pPr>
            <w:r w:rsidRPr="0009282C">
              <w:t>0</w:t>
            </w:r>
          </w:p>
        </w:tc>
        <w:tc>
          <w:tcPr>
            <w:tcW w:w="1413" w:type="pct"/>
            <w:tcBorders>
              <w:top w:val="single" w:sz="4" w:space="0" w:color="auto"/>
              <w:left w:val="single" w:sz="4" w:space="0" w:color="auto"/>
              <w:right w:val="single" w:sz="4" w:space="0" w:color="auto"/>
            </w:tcBorders>
            <w:tcMar>
              <w:top w:w="0" w:type="dxa"/>
              <w:bottom w:w="0" w:type="dxa"/>
            </w:tcMar>
            <w:vAlign w:val="center"/>
          </w:tcPr>
          <w:p w14:paraId="40AB0ED3" w14:textId="77777777" w:rsidR="00EE6E91" w:rsidRPr="0009282C" w:rsidRDefault="00EE6E91" w:rsidP="00896124">
            <w:pPr>
              <w:pStyle w:val="TableText0"/>
              <w:jc w:val="center"/>
            </w:pPr>
            <w:r w:rsidRPr="0009282C">
              <w:t>0</w:t>
            </w:r>
          </w:p>
        </w:tc>
        <w:tc>
          <w:tcPr>
            <w:tcW w:w="840" w:type="pct"/>
            <w:tcBorders>
              <w:top w:val="single" w:sz="4" w:space="0" w:color="auto"/>
              <w:left w:val="single" w:sz="4" w:space="0" w:color="auto"/>
              <w:right w:val="single" w:sz="4" w:space="0" w:color="auto"/>
            </w:tcBorders>
            <w:tcMar>
              <w:top w:w="0" w:type="dxa"/>
              <w:bottom w:w="0" w:type="dxa"/>
            </w:tcMar>
            <w:vAlign w:val="center"/>
          </w:tcPr>
          <w:p w14:paraId="7D6489D8" w14:textId="77777777" w:rsidR="00EE6E91" w:rsidRPr="0009282C" w:rsidRDefault="00EE6E91" w:rsidP="00896124">
            <w:pPr>
              <w:pStyle w:val="TableText0"/>
              <w:jc w:val="center"/>
            </w:pPr>
            <w:r w:rsidRPr="0009282C">
              <w:t>0</w:t>
            </w:r>
          </w:p>
        </w:tc>
      </w:tr>
    </w:tbl>
    <w:p w14:paraId="1FCEAC00" w14:textId="713C34AA" w:rsidR="00EE6E91" w:rsidRPr="0009282C" w:rsidRDefault="00580660" w:rsidP="155E356A">
      <w:pPr>
        <w:rPr>
          <w:rFonts w:ascii="Arial Narrow" w:hAnsi="Arial Narrow"/>
          <w:sz w:val="18"/>
          <w:szCs w:val="18"/>
        </w:rPr>
      </w:pPr>
      <w:r w:rsidRPr="0009282C">
        <w:rPr>
          <w:rFonts w:ascii="Arial Narrow" w:hAnsi="Arial Narrow"/>
          <w:bCs/>
          <w:sz w:val="18"/>
          <w:szCs w:val="18"/>
        </w:rPr>
        <w:t>Abbreviations:</w:t>
      </w:r>
      <w:r w:rsidR="7815E1DD" w:rsidRPr="0009282C">
        <w:rPr>
          <w:rFonts w:ascii="Arial Narrow" w:hAnsi="Arial Narrow"/>
          <w:sz w:val="18"/>
          <w:szCs w:val="18"/>
        </w:rPr>
        <w:t xml:space="preserve"> AE, adverse event; CI, confidence interval; HD, haemodialysis; </w:t>
      </w:r>
      <w:r w:rsidR="00134B4A" w:rsidRPr="0009282C">
        <w:rPr>
          <w:rFonts w:ascii="Arial Narrow" w:hAnsi="Arial Narrow"/>
          <w:sz w:val="18"/>
          <w:szCs w:val="18"/>
        </w:rPr>
        <w:t xml:space="preserve">ISR, injection-site reaction; </w:t>
      </w:r>
      <w:r w:rsidR="7815E1DD" w:rsidRPr="0009282C">
        <w:rPr>
          <w:rFonts w:ascii="Arial Narrow" w:hAnsi="Arial Narrow"/>
          <w:sz w:val="18"/>
          <w:szCs w:val="18"/>
        </w:rPr>
        <w:t>NE, not estimable; NA, not applicable RR, relative risk</w:t>
      </w:r>
      <w:r w:rsidR="00F6454F" w:rsidRPr="0009282C">
        <w:rPr>
          <w:rFonts w:ascii="Arial Narrow" w:hAnsi="Arial Narrow"/>
          <w:sz w:val="18"/>
          <w:szCs w:val="18"/>
        </w:rPr>
        <w:t>; URTI, upper respiratory tract infection.</w:t>
      </w:r>
    </w:p>
    <w:p w14:paraId="15B068D9" w14:textId="7D759464" w:rsidR="00EE6E91" w:rsidRPr="0009282C" w:rsidRDefault="00580660" w:rsidP="155E356A">
      <w:pPr>
        <w:rPr>
          <w:rFonts w:ascii="Arial Narrow" w:hAnsi="Arial Narrow"/>
          <w:b/>
          <w:bCs/>
          <w:sz w:val="18"/>
          <w:szCs w:val="18"/>
        </w:rPr>
      </w:pPr>
      <w:r w:rsidRPr="0009282C">
        <w:rPr>
          <w:rFonts w:ascii="Arial Narrow" w:hAnsi="Arial Narrow"/>
          <w:bCs/>
          <w:sz w:val="18"/>
          <w:szCs w:val="18"/>
        </w:rPr>
        <w:t>Notes:</w:t>
      </w:r>
    </w:p>
    <w:p w14:paraId="33DBBCBF" w14:textId="42B17D9C" w:rsidR="00EE6E91" w:rsidRPr="0009282C" w:rsidRDefault="00DC5ECF" w:rsidP="155E356A">
      <w:pPr>
        <w:rPr>
          <w:rFonts w:ascii="Arial Narrow" w:hAnsi="Arial Narrow"/>
          <w:sz w:val="18"/>
          <w:szCs w:val="18"/>
        </w:rPr>
      </w:pPr>
      <w:r w:rsidRPr="0009282C">
        <w:rPr>
          <w:rFonts w:ascii="Arial Narrow" w:hAnsi="Arial Narrow"/>
          <w:sz w:val="18"/>
          <w:szCs w:val="18"/>
          <w:vertAlign w:val="superscript"/>
        </w:rPr>
        <w:t>a</w:t>
      </w:r>
      <w:r w:rsidR="7815E1DD" w:rsidRPr="0009282C">
        <w:rPr>
          <w:rFonts w:ascii="Arial Narrow" w:hAnsi="Arial Narrow"/>
          <w:sz w:val="18"/>
          <w:szCs w:val="18"/>
          <w:vertAlign w:val="superscript"/>
        </w:rPr>
        <w:t xml:space="preserve"> </w:t>
      </w:r>
      <w:r w:rsidR="7815E1DD" w:rsidRPr="0009282C">
        <w:rPr>
          <w:rFonts w:ascii="Arial Narrow" w:hAnsi="Arial Narrow"/>
          <w:sz w:val="18"/>
          <w:szCs w:val="18"/>
        </w:rPr>
        <w:t xml:space="preserve">Calculated </w:t>
      </w:r>
      <w:r w:rsidR="00D349FA" w:rsidRPr="0009282C">
        <w:rPr>
          <w:rFonts w:ascii="Arial Narrow" w:hAnsi="Arial Narrow"/>
          <w:sz w:val="18"/>
          <w:szCs w:val="18"/>
        </w:rPr>
        <w:t>during evaluation</w:t>
      </w:r>
    </w:p>
    <w:p w14:paraId="54C68F48" w14:textId="59E9D395" w:rsidR="0018763C" w:rsidRPr="0009282C" w:rsidRDefault="00DC5ECF" w:rsidP="155E356A">
      <w:pPr>
        <w:rPr>
          <w:rFonts w:ascii="Arial Narrow" w:hAnsi="Arial Narrow"/>
          <w:sz w:val="18"/>
          <w:szCs w:val="18"/>
        </w:rPr>
      </w:pPr>
      <w:r w:rsidRPr="0009282C">
        <w:rPr>
          <w:rFonts w:ascii="Arial Narrow" w:hAnsi="Arial Narrow"/>
          <w:sz w:val="18"/>
          <w:szCs w:val="18"/>
          <w:vertAlign w:val="superscript"/>
        </w:rPr>
        <w:t>b</w:t>
      </w:r>
      <w:r w:rsidR="00F01EBA" w:rsidRPr="0009282C">
        <w:rPr>
          <w:rFonts w:ascii="Arial Narrow" w:hAnsi="Arial Narrow"/>
          <w:sz w:val="18"/>
          <w:szCs w:val="18"/>
          <w:vertAlign w:val="superscript"/>
        </w:rPr>
        <w:t xml:space="preserve"> </w:t>
      </w:r>
      <w:r w:rsidR="0018763C" w:rsidRPr="0009282C">
        <w:rPr>
          <w:rFonts w:ascii="Arial Narrow" w:hAnsi="Arial Narrow"/>
          <w:sz w:val="18"/>
          <w:szCs w:val="18"/>
        </w:rPr>
        <w:t>Includes AEs of injection-site reaction, injection-site pain, injection-site erythema, injection-site discomfort</w:t>
      </w:r>
    </w:p>
    <w:p w14:paraId="7EF161C0" w14:textId="031C1829" w:rsidR="002339A5" w:rsidRPr="0009282C" w:rsidRDefault="00DC5ECF" w:rsidP="155E356A">
      <w:pPr>
        <w:rPr>
          <w:rFonts w:ascii="Arial Narrow" w:hAnsi="Arial Narrow"/>
          <w:sz w:val="18"/>
          <w:szCs w:val="18"/>
        </w:rPr>
      </w:pPr>
      <w:r w:rsidRPr="0009282C">
        <w:rPr>
          <w:rFonts w:ascii="Arial Narrow" w:hAnsi="Arial Narrow"/>
          <w:sz w:val="18"/>
          <w:szCs w:val="18"/>
          <w:vertAlign w:val="superscript"/>
        </w:rPr>
        <w:t>c</w:t>
      </w:r>
      <w:r w:rsidR="008B4B81" w:rsidRPr="0009282C">
        <w:rPr>
          <w:rFonts w:ascii="Arial Narrow" w:hAnsi="Arial Narrow"/>
          <w:sz w:val="18"/>
          <w:szCs w:val="18"/>
        </w:rPr>
        <w:t xml:space="preserve"> </w:t>
      </w:r>
      <w:r w:rsidR="002339A5" w:rsidRPr="0009282C">
        <w:rPr>
          <w:rFonts w:ascii="Arial Narrow" w:hAnsi="Arial Narrow"/>
          <w:sz w:val="18"/>
          <w:szCs w:val="18"/>
        </w:rPr>
        <w:t>Included symptoms of injection-site erythema, discoloration, and pain at the injection site.</w:t>
      </w:r>
    </w:p>
    <w:p w14:paraId="55D9900A" w14:textId="67D78E6C" w:rsidR="00033505" w:rsidRPr="0009282C" w:rsidRDefault="00DC5ECF" w:rsidP="155E356A">
      <w:pPr>
        <w:rPr>
          <w:rFonts w:ascii="Arial Narrow" w:hAnsi="Arial Narrow"/>
          <w:sz w:val="18"/>
          <w:szCs w:val="18"/>
        </w:rPr>
      </w:pPr>
      <w:proofErr w:type="spellStart"/>
      <w:r w:rsidRPr="0009282C">
        <w:rPr>
          <w:rFonts w:ascii="Arial Narrow" w:hAnsi="Arial Narrow"/>
          <w:sz w:val="18"/>
          <w:szCs w:val="18"/>
          <w:vertAlign w:val="superscript"/>
        </w:rPr>
        <w:t>d</w:t>
      </w:r>
      <w:r w:rsidR="00033505" w:rsidRPr="0009282C">
        <w:rPr>
          <w:rFonts w:ascii="Arial Narrow" w:hAnsi="Arial Narrow"/>
          <w:sz w:val="18"/>
          <w:szCs w:val="18"/>
        </w:rPr>
        <w:t>Includes</w:t>
      </w:r>
      <w:proofErr w:type="spellEnd"/>
      <w:r w:rsidR="00033505" w:rsidRPr="0009282C">
        <w:rPr>
          <w:rFonts w:ascii="Arial Narrow" w:hAnsi="Arial Narrow"/>
          <w:sz w:val="18"/>
          <w:szCs w:val="18"/>
        </w:rPr>
        <w:t xml:space="preserve"> AEs of injection-site discoloration, erythema, hematoma</w:t>
      </w:r>
    </w:p>
    <w:p w14:paraId="6913394F" w14:textId="6E96A951" w:rsidR="0057730F" w:rsidRPr="0009282C" w:rsidRDefault="00580660" w:rsidP="00182785">
      <w:pPr>
        <w:rPr>
          <w:rFonts w:ascii="Arial Narrow" w:hAnsi="Arial Narrow"/>
          <w:sz w:val="18"/>
          <w:szCs w:val="18"/>
        </w:rPr>
      </w:pPr>
      <w:r w:rsidRPr="0009282C">
        <w:rPr>
          <w:rFonts w:ascii="Arial Narrow" w:hAnsi="Arial Narrow"/>
          <w:sz w:val="18"/>
          <w:szCs w:val="18"/>
        </w:rPr>
        <w:t>Source:</w:t>
      </w:r>
      <w:r w:rsidR="00EE6E91" w:rsidRPr="0009282C">
        <w:rPr>
          <w:rFonts w:ascii="Arial Narrow" w:hAnsi="Arial Narrow"/>
          <w:sz w:val="18"/>
          <w:szCs w:val="18"/>
        </w:rPr>
        <w:t xml:space="preserve"> </w:t>
      </w:r>
      <w:r w:rsidR="00DF0C17" w:rsidRPr="0009282C">
        <w:rPr>
          <w:rFonts w:ascii="Arial Narrow" w:hAnsi="Arial Narrow"/>
          <w:sz w:val="18"/>
          <w:szCs w:val="18"/>
        </w:rPr>
        <w:t>Tables</w:t>
      </w:r>
      <w:r w:rsidR="005B331C" w:rsidRPr="0009282C">
        <w:rPr>
          <w:rFonts w:ascii="Arial Narrow" w:hAnsi="Arial Narrow"/>
          <w:sz w:val="18"/>
          <w:szCs w:val="18"/>
        </w:rPr>
        <w:t xml:space="preserve"> 2.</w:t>
      </w:r>
      <w:r w:rsidR="00DF0C17" w:rsidRPr="0009282C">
        <w:rPr>
          <w:rFonts w:ascii="Arial Narrow" w:hAnsi="Arial Narrow"/>
          <w:sz w:val="18"/>
          <w:szCs w:val="18"/>
        </w:rPr>
        <w:t>22-2.27</w:t>
      </w:r>
      <w:r w:rsidR="00521CC6" w:rsidRPr="0009282C">
        <w:rPr>
          <w:rFonts w:ascii="Arial Narrow" w:hAnsi="Arial Narrow"/>
          <w:sz w:val="18"/>
          <w:szCs w:val="18"/>
        </w:rPr>
        <w:t>, p</w:t>
      </w:r>
      <w:r w:rsidR="0000647C" w:rsidRPr="0009282C">
        <w:rPr>
          <w:rFonts w:ascii="Arial Narrow" w:hAnsi="Arial Narrow"/>
          <w:sz w:val="18"/>
          <w:szCs w:val="18"/>
        </w:rPr>
        <w:t>p</w:t>
      </w:r>
      <w:r w:rsidR="00521CC6" w:rsidRPr="0009282C">
        <w:rPr>
          <w:rFonts w:ascii="Arial Narrow" w:hAnsi="Arial Narrow"/>
          <w:sz w:val="18"/>
          <w:szCs w:val="18"/>
        </w:rPr>
        <w:t>9</w:t>
      </w:r>
      <w:r w:rsidR="00DF0C17" w:rsidRPr="0009282C">
        <w:rPr>
          <w:rFonts w:ascii="Arial Narrow" w:hAnsi="Arial Narrow"/>
          <w:sz w:val="18"/>
          <w:szCs w:val="18"/>
        </w:rPr>
        <w:t>5</w:t>
      </w:r>
      <w:r w:rsidR="00521CC6" w:rsidRPr="0009282C">
        <w:rPr>
          <w:rFonts w:ascii="Arial Narrow" w:hAnsi="Arial Narrow"/>
          <w:sz w:val="18"/>
          <w:szCs w:val="18"/>
        </w:rPr>
        <w:t xml:space="preserve">-99 of the submission, </w:t>
      </w:r>
      <w:r w:rsidR="00E871DC" w:rsidRPr="0009282C">
        <w:rPr>
          <w:rFonts w:ascii="Arial Narrow" w:hAnsi="Arial Narrow"/>
          <w:sz w:val="18"/>
          <w:szCs w:val="18"/>
        </w:rPr>
        <w:t>ILLUMINATE-C Clinical Study Report 1</w:t>
      </w:r>
      <w:r w:rsidR="0004102B" w:rsidRPr="0009282C">
        <w:rPr>
          <w:rFonts w:ascii="Arial Narrow" w:hAnsi="Arial Narrow"/>
          <w:sz w:val="18"/>
          <w:szCs w:val="18"/>
        </w:rPr>
        <w:fldChar w:fldCharType="begin" w:fldLock="1"/>
      </w:r>
      <w:r w:rsidR="0004102B" w:rsidRPr="0009282C">
        <w:rPr>
          <w:rFonts w:ascii="Arial Narrow" w:hAnsi="Arial Narrow"/>
          <w:sz w:val="18"/>
          <w:szCs w:val="18"/>
        </w:rPr>
        <w:instrText xml:space="preserve"> ADDIN EN.CITE &lt;EndNote&gt;&lt;Cite&gt;&lt;Author&gt;Alnylam Pharmaceuticals Inc.&lt;/Author&gt;&lt;Year&gt;2021&lt;/Year&gt;&lt;RecNum&gt;3&lt;/RecNum&gt;&lt;DisplayText&gt;(Alnylam Pharmaceuticals Inc. 2021a)&lt;/DisplayText&gt;&lt;record&gt;&lt;rec-number&gt;3&lt;/rec-number&gt;&lt;foreign-keys&gt;&lt;key app="EN" db-id="d9af0dvdkssa0eewaxb5x5egppze5f5ax2rv" timestamp="1732850211"&gt;3&lt;/key&gt;&lt;/foreign-keys&gt;&lt;ref-type name="Report"&gt;27&lt;/ref-type&gt;&lt;contributors&gt;&lt;authors&gt;&lt;author&gt;Alnylam Pharmaceuticals Inc.,&lt;/author&gt;&lt;/authors&gt;&lt;/contributors&gt;&lt;titles&gt;&lt;title&gt;Clinical Study Report 1: Primary analysis for ALN-GO1-005 (lumasiran). Dated 18 October 2021&lt;/title&gt;&lt;/titles&gt;&lt;dates&gt;&lt;year&gt;2021&lt;/year&gt;&lt;/dates&gt;&lt;urls&gt;&lt;/urls&gt;&lt;/record&gt;&lt;/Cite&gt;&lt;/EndNote&gt;</w:instrText>
      </w:r>
      <w:r w:rsidR="0004102B" w:rsidRPr="0009282C">
        <w:rPr>
          <w:rFonts w:ascii="Arial Narrow" w:hAnsi="Arial Narrow"/>
          <w:sz w:val="18"/>
          <w:szCs w:val="18"/>
        </w:rPr>
        <w:fldChar w:fldCharType="separate"/>
      </w:r>
      <w:r w:rsidR="0004102B" w:rsidRPr="0009282C">
        <w:rPr>
          <w:rFonts w:ascii="Arial Narrow" w:hAnsi="Arial Narrow"/>
          <w:sz w:val="18"/>
          <w:szCs w:val="18"/>
        </w:rPr>
        <w:fldChar w:fldCharType="end"/>
      </w:r>
    </w:p>
    <w:p w14:paraId="04908C7F" w14:textId="415B9B7D" w:rsidR="007F1017" w:rsidRPr="0009282C" w:rsidRDefault="007F1017" w:rsidP="00D86231">
      <w:pPr>
        <w:pStyle w:val="4-SubsectionHeading"/>
      </w:pPr>
      <w:bookmarkStart w:id="48" w:name="_Toc22897643"/>
      <w:bookmarkStart w:id="49" w:name="_Toc188443839"/>
      <w:r w:rsidRPr="0009282C">
        <w:t>Benefits/harms</w:t>
      </w:r>
      <w:bookmarkEnd w:id="48"/>
      <w:bookmarkEnd w:id="49"/>
    </w:p>
    <w:p w14:paraId="794F3160" w14:textId="0B8C11F5" w:rsidR="00A262AA" w:rsidRPr="0009282C" w:rsidRDefault="007050DE" w:rsidP="00EC48DC">
      <w:pPr>
        <w:pStyle w:val="3-BodyText"/>
        <w:rPr>
          <w:b/>
          <w:bCs/>
          <w:iCs/>
        </w:rPr>
      </w:pPr>
      <w:bookmarkStart w:id="50" w:name="_Ref104805037"/>
      <w:r w:rsidRPr="0009282C">
        <w:t xml:space="preserve">A summary of the comparative benefits and harms for </w:t>
      </w:r>
      <w:proofErr w:type="spellStart"/>
      <w:r w:rsidRPr="0009282C">
        <w:t>lumasiran</w:t>
      </w:r>
      <w:proofErr w:type="spellEnd"/>
      <w:r w:rsidRPr="0009282C">
        <w:t xml:space="preserve"> versus placebo is presente</w:t>
      </w:r>
      <w:r w:rsidR="00560ABC" w:rsidRPr="0009282C">
        <w:t xml:space="preserve">d in </w:t>
      </w:r>
      <w:r w:rsidR="00560ABC" w:rsidRPr="0009282C">
        <w:fldChar w:fldCharType="begin" w:fldLock="1"/>
      </w:r>
      <w:r w:rsidR="00560ABC" w:rsidRPr="0009282C">
        <w:instrText xml:space="preserve"> REF _Ref185866087 \h  \* MERGEFORMAT </w:instrText>
      </w:r>
      <w:r w:rsidR="00560ABC" w:rsidRPr="0009282C">
        <w:fldChar w:fldCharType="separate"/>
      </w:r>
      <w:r w:rsidR="00771DFF" w:rsidRPr="0009282C">
        <w:t xml:space="preserve">Table </w:t>
      </w:r>
      <w:r w:rsidR="00771DFF">
        <w:t>9</w:t>
      </w:r>
      <w:r w:rsidR="00560ABC" w:rsidRPr="0009282C">
        <w:fldChar w:fldCharType="end"/>
      </w:r>
      <w:r w:rsidR="00560ABC" w:rsidRPr="0009282C">
        <w:rPr>
          <w:b/>
          <w:bCs/>
          <w:iCs/>
        </w:rPr>
        <w:t>.</w:t>
      </w:r>
    </w:p>
    <w:p w14:paraId="39986138" w14:textId="5E167AFD" w:rsidR="007050DE" w:rsidRPr="0009282C" w:rsidRDefault="00D6076E" w:rsidP="00D821EC">
      <w:pPr>
        <w:pStyle w:val="Caption"/>
        <w:rPr>
          <w:rStyle w:val="CommentReference"/>
          <w:b/>
        </w:rPr>
      </w:pPr>
      <w:bookmarkStart w:id="51" w:name="_Ref185866154"/>
      <w:bookmarkStart w:id="52" w:name="_Ref185866087"/>
      <w:r w:rsidRPr="0009282C">
        <w:t xml:space="preserve">Table </w:t>
      </w:r>
      <w:r w:rsidR="000D4330">
        <w:fldChar w:fldCharType="begin" w:fldLock="1"/>
      </w:r>
      <w:r w:rsidR="000D4330">
        <w:instrText xml:space="preserve"> SEQ Table \* ARABIC </w:instrText>
      </w:r>
      <w:r w:rsidR="000D4330">
        <w:fldChar w:fldCharType="separate"/>
      </w:r>
      <w:r w:rsidR="00771DFF">
        <w:rPr>
          <w:noProof/>
        </w:rPr>
        <w:t>9</w:t>
      </w:r>
      <w:r w:rsidR="000D4330">
        <w:rPr>
          <w:noProof/>
        </w:rPr>
        <w:fldChar w:fldCharType="end"/>
      </w:r>
      <w:bookmarkEnd w:id="50"/>
      <w:bookmarkEnd w:id="51"/>
      <w:bookmarkEnd w:id="52"/>
      <w:r w:rsidR="0014503F" w:rsidRPr="0009282C">
        <w:rPr>
          <w:noProof/>
        </w:rPr>
        <w:t xml:space="preserve">: </w:t>
      </w:r>
      <w:r w:rsidR="007050DE" w:rsidRPr="0009282C">
        <w:rPr>
          <w:rStyle w:val="CommentReference"/>
          <w:b/>
        </w:rPr>
        <w:t xml:space="preserve">Summary of comparative benefits and harms for </w:t>
      </w:r>
      <w:proofErr w:type="spellStart"/>
      <w:r w:rsidR="007050DE" w:rsidRPr="0009282C">
        <w:rPr>
          <w:rStyle w:val="CommentReference"/>
          <w:b/>
        </w:rPr>
        <w:t>lumasiran</w:t>
      </w:r>
      <w:proofErr w:type="spellEnd"/>
      <w:r w:rsidR="007050DE" w:rsidRPr="0009282C">
        <w:rPr>
          <w:rStyle w:val="CommentReference"/>
          <w:b/>
        </w:rPr>
        <w:t xml:space="preserve"> and placebo</w:t>
      </w:r>
    </w:p>
    <w:tbl>
      <w:tblPr>
        <w:tblW w:w="5079" w:type="pct"/>
        <w:tblLayout w:type="fixed"/>
        <w:tblCellMar>
          <w:left w:w="0" w:type="dxa"/>
          <w:right w:w="0" w:type="dxa"/>
        </w:tblCellMar>
        <w:tblLook w:val="04A0" w:firstRow="1" w:lastRow="0" w:firstColumn="1" w:lastColumn="0" w:noHBand="0" w:noVBand="1"/>
      </w:tblPr>
      <w:tblGrid>
        <w:gridCol w:w="3249"/>
        <w:gridCol w:w="570"/>
        <w:gridCol w:w="429"/>
        <w:gridCol w:w="427"/>
        <w:gridCol w:w="566"/>
        <w:gridCol w:w="284"/>
        <w:gridCol w:w="568"/>
        <w:gridCol w:w="141"/>
        <w:gridCol w:w="709"/>
        <w:gridCol w:w="141"/>
        <w:gridCol w:w="716"/>
        <w:gridCol w:w="1359"/>
      </w:tblGrid>
      <w:tr w:rsidR="007050DE" w:rsidRPr="0009282C" w14:paraId="5B727A69" w14:textId="77777777" w:rsidTr="00A426AB">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B0DF47" w14:textId="465FA0E8" w:rsidR="007050DE" w:rsidRPr="0009282C" w:rsidRDefault="007050DE" w:rsidP="00D821EC">
            <w:pPr>
              <w:pStyle w:val="In-tableHeading"/>
              <w:spacing w:line="16" w:lineRule="atLeast"/>
              <w:rPr>
                <w:lang w:val="en-AU"/>
              </w:rPr>
            </w:pPr>
            <w:r w:rsidRPr="0009282C">
              <w:rPr>
                <w:lang w:val="en-AU"/>
              </w:rPr>
              <w:t>Benefits</w:t>
            </w:r>
          </w:p>
        </w:tc>
      </w:tr>
      <w:tr w:rsidR="00AD6AEF" w:rsidRPr="0009282C" w14:paraId="2B02002C" w14:textId="77777777" w:rsidTr="00A426AB">
        <w:trPr>
          <w:trHeight w:val="20"/>
        </w:trPr>
        <w:tc>
          <w:tcPr>
            <w:tcW w:w="17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5525FF" w14:textId="22037AD7" w:rsidR="002318C0" w:rsidRPr="0009282C" w:rsidRDefault="002318C0" w:rsidP="00D821EC">
            <w:pPr>
              <w:pStyle w:val="TableText0"/>
              <w:keepNext/>
              <w:keepLines/>
              <w:spacing w:line="16" w:lineRule="atLeast"/>
              <w:rPr>
                <w:b/>
                <w:bCs w:val="0"/>
              </w:rPr>
            </w:pPr>
            <w:r w:rsidRPr="0009282C">
              <w:rPr>
                <w:b/>
                <w:bCs w:val="0"/>
              </w:rPr>
              <w:t>ILLUMINATE-A: Continuous outcomes (baseline to 6 months)</w:t>
            </w:r>
            <w:r w:rsidR="00127687" w:rsidRPr="0009282C">
              <w:rPr>
                <w:b/>
                <w:bCs w:val="0"/>
              </w:rPr>
              <w:t xml:space="preserve"> </w:t>
            </w:r>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9F6947" w14:textId="77777777" w:rsidR="002318C0" w:rsidRPr="0009282C" w:rsidRDefault="002318C0" w:rsidP="00D821EC">
            <w:pPr>
              <w:pStyle w:val="In-tableHeading"/>
              <w:spacing w:line="16" w:lineRule="atLeast"/>
              <w:jc w:val="center"/>
              <w:rPr>
                <w:lang w:val="en-AU"/>
              </w:rPr>
            </w:pPr>
            <w:proofErr w:type="spellStart"/>
            <w:r w:rsidRPr="0009282C">
              <w:rPr>
                <w:lang w:val="en-AU"/>
              </w:rPr>
              <w:t>Lumasiran</w:t>
            </w:r>
            <w:proofErr w:type="spellEnd"/>
          </w:p>
        </w:tc>
        <w:tc>
          <w:tcPr>
            <w:tcW w:w="124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680C3" w14:textId="77777777" w:rsidR="002318C0" w:rsidRPr="0009282C" w:rsidRDefault="002318C0" w:rsidP="00D821EC">
            <w:pPr>
              <w:pStyle w:val="In-tableHeading"/>
              <w:spacing w:line="16" w:lineRule="atLeast"/>
              <w:jc w:val="center"/>
              <w:rPr>
                <w:lang w:val="en-AU"/>
              </w:rPr>
            </w:pPr>
            <w:r w:rsidRPr="0009282C">
              <w:rPr>
                <w:lang w:val="en-AU"/>
              </w:rPr>
              <w:t>Placebo</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D6ACFB" w14:textId="77777777" w:rsidR="002318C0" w:rsidRPr="0009282C" w:rsidRDefault="002318C0" w:rsidP="00D821EC">
            <w:pPr>
              <w:pStyle w:val="In-tableHeading"/>
              <w:spacing w:line="16" w:lineRule="atLeast"/>
              <w:jc w:val="center"/>
              <w:rPr>
                <w:lang w:val="en-AU"/>
              </w:rPr>
            </w:pPr>
            <w:r w:rsidRPr="0009282C">
              <w:rPr>
                <w:lang w:val="en-AU"/>
              </w:rPr>
              <w:t xml:space="preserve">Mean difference: </w:t>
            </w:r>
          </w:p>
          <w:p w14:paraId="09B6E17E" w14:textId="77777777" w:rsidR="002318C0" w:rsidRPr="0009282C" w:rsidRDefault="002318C0" w:rsidP="00D821EC">
            <w:pPr>
              <w:pStyle w:val="In-tableHeading"/>
              <w:pBdr>
                <w:right w:val="single" w:sz="4" w:space="4" w:color="auto"/>
              </w:pBdr>
              <w:spacing w:line="16" w:lineRule="atLeast"/>
              <w:jc w:val="center"/>
              <w:rPr>
                <w:szCs w:val="18"/>
                <w:lang w:val="en-AU"/>
              </w:rPr>
            </w:pPr>
            <w:proofErr w:type="spellStart"/>
            <w:r w:rsidRPr="0009282C">
              <w:rPr>
                <w:szCs w:val="18"/>
                <w:lang w:val="en-AU"/>
              </w:rPr>
              <w:t>lumasiran</w:t>
            </w:r>
            <w:proofErr w:type="spellEnd"/>
            <w:r w:rsidRPr="0009282C">
              <w:rPr>
                <w:szCs w:val="18"/>
                <w:lang w:val="en-AU"/>
              </w:rPr>
              <w:t xml:space="preserve"> vs. placebo </w:t>
            </w:r>
          </w:p>
          <w:p w14:paraId="47F55D1D" w14:textId="77777777" w:rsidR="002318C0" w:rsidRPr="0009282C" w:rsidRDefault="002318C0" w:rsidP="00D821EC">
            <w:pPr>
              <w:pStyle w:val="In-tableHeading"/>
              <w:spacing w:line="16" w:lineRule="atLeast"/>
              <w:jc w:val="center"/>
              <w:rPr>
                <w:lang w:val="en-AU"/>
              </w:rPr>
            </w:pPr>
            <w:r w:rsidRPr="0009282C">
              <w:rPr>
                <w:szCs w:val="18"/>
                <w:lang w:val="en-AU"/>
              </w:rPr>
              <w:t>(95% CI)</w:t>
            </w:r>
          </w:p>
        </w:tc>
      </w:tr>
      <w:tr w:rsidR="002A625E" w:rsidRPr="0009282C" w14:paraId="75B09ADD" w14:textId="77777777" w:rsidTr="00F97B8A">
        <w:trPr>
          <w:trHeight w:val="20"/>
        </w:trPr>
        <w:tc>
          <w:tcPr>
            <w:tcW w:w="1774" w:type="pct"/>
            <w:vMerge/>
            <w:tcBorders>
              <w:top w:val="single" w:sz="4" w:space="0" w:color="auto"/>
              <w:left w:val="single" w:sz="4" w:space="0" w:color="auto"/>
              <w:bottom w:val="single" w:sz="4" w:space="0" w:color="auto"/>
            </w:tcBorders>
            <w:shd w:val="clear" w:color="auto" w:fill="auto"/>
            <w:vAlign w:val="center"/>
          </w:tcPr>
          <w:p w14:paraId="06CD5B46" w14:textId="77777777" w:rsidR="002318C0" w:rsidRPr="0009282C" w:rsidRDefault="002318C0" w:rsidP="00D821EC">
            <w:pPr>
              <w:keepNext/>
              <w:keepLines/>
              <w:spacing w:line="16" w:lineRule="atLeast"/>
              <w:rPr>
                <w:rFonts w:ascii="Arial Narrow" w:hAnsi="Arial Narrow"/>
                <w:color w:val="000000"/>
                <w:sz w:val="20"/>
                <w:szCs w:val="18"/>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F334441" w14:textId="77777777" w:rsidR="002318C0" w:rsidRPr="0009282C" w:rsidRDefault="002318C0" w:rsidP="00D821EC">
            <w:pPr>
              <w:pStyle w:val="In-tableHeading"/>
              <w:spacing w:line="16" w:lineRule="atLeast"/>
              <w:jc w:val="center"/>
              <w:rPr>
                <w:lang w:val="en-AU"/>
              </w:rPr>
            </w:pPr>
            <w:r w:rsidRPr="0009282C">
              <w:rPr>
                <w:lang w:val="en-AU"/>
              </w:rPr>
              <w:t>N</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E3174" w14:textId="77777777" w:rsidR="002318C0" w:rsidRPr="0009282C" w:rsidRDefault="002318C0" w:rsidP="00D821EC">
            <w:pPr>
              <w:pStyle w:val="In-tableHeading"/>
              <w:spacing w:line="16" w:lineRule="atLeast"/>
              <w:jc w:val="center"/>
              <w:rPr>
                <w:lang w:val="en-AU"/>
              </w:rPr>
            </w:pPr>
            <w:r w:rsidRPr="0009282C">
              <w:rPr>
                <w:lang w:val="en-AU"/>
              </w:rPr>
              <w:t xml:space="preserve">Mean ∆ baseline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BFFB0" w14:textId="77777777" w:rsidR="002318C0" w:rsidRPr="0009282C" w:rsidRDefault="002318C0" w:rsidP="00D821EC">
            <w:pPr>
              <w:pStyle w:val="In-tableHeading"/>
              <w:spacing w:line="16" w:lineRule="atLeast"/>
              <w:jc w:val="center"/>
              <w:rPr>
                <w:lang w:val="en-AU"/>
              </w:rPr>
            </w:pPr>
            <w:r w:rsidRPr="0009282C">
              <w:rPr>
                <w:lang w:val="en-AU"/>
              </w:rPr>
              <w:t>95% CI</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79CE6E4" w14:textId="77777777" w:rsidR="002318C0" w:rsidRPr="0009282C" w:rsidRDefault="002318C0" w:rsidP="00D821EC">
            <w:pPr>
              <w:pStyle w:val="In-tableHeading"/>
              <w:spacing w:line="16" w:lineRule="atLeast"/>
              <w:jc w:val="center"/>
              <w:rPr>
                <w:lang w:val="en-AU"/>
              </w:rPr>
            </w:pPr>
            <w:r w:rsidRPr="0009282C">
              <w:rPr>
                <w:lang w:val="en-AU"/>
              </w:rPr>
              <w:t>N</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29E81" w14:textId="77777777" w:rsidR="002318C0" w:rsidRPr="0009282C" w:rsidRDefault="002318C0" w:rsidP="00D821EC">
            <w:pPr>
              <w:pStyle w:val="In-tableHeading"/>
              <w:spacing w:line="16" w:lineRule="atLeast"/>
              <w:jc w:val="center"/>
              <w:rPr>
                <w:lang w:val="en-AU"/>
              </w:rPr>
            </w:pPr>
            <w:r w:rsidRPr="0009282C">
              <w:rPr>
                <w:lang w:val="en-AU"/>
              </w:rPr>
              <w:t>Mean ∆ baseline</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7A76F" w14:textId="77777777" w:rsidR="002318C0" w:rsidRPr="0009282C" w:rsidRDefault="002318C0" w:rsidP="00D821EC">
            <w:pPr>
              <w:pStyle w:val="In-tableHeading"/>
              <w:spacing w:line="16" w:lineRule="atLeast"/>
              <w:jc w:val="center"/>
              <w:rPr>
                <w:lang w:val="en-AU"/>
              </w:rPr>
            </w:pPr>
            <w:r w:rsidRPr="0009282C">
              <w:rPr>
                <w:lang w:val="en-AU"/>
              </w:rPr>
              <w:t>95% CI</w:t>
            </w:r>
          </w:p>
        </w:tc>
        <w:tc>
          <w:tcPr>
            <w:tcW w:w="742" w:type="pct"/>
            <w:vMerge/>
            <w:tcBorders>
              <w:right w:val="single" w:sz="4" w:space="0" w:color="auto"/>
            </w:tcBorders>
            <w:shd w:val="clear" w:color="auto" w:fill="auto"/>
            <w:vAlign w:val="center"/>
          </w:tcPr>
          <w:p w14:paraId="41FF2EBB" w14:textId="77777777" w:rsidR="002318C0" w:rsidRPr="0009282C" w:rsidRDefault="002318C0" w:rsidP="00D821EC">
            <w:pPr>
              <w:keepNext/>
              <w:keepLines/>
              <w:spacing w:line="16" w:lineRule="atLeast"/>
              <w:jc w:val="center"/>
              <w:rPr>
                <w:rFonts w:ascii="Arial Narrow" w:hAnsi="Arial Narrow"/>
                <w:b/>
                <w:sz w:val="20"/>
                <w:szCs w:val="18"/>
              </w:rPr>
            </w:pPr>
          </w:p>
        </w:tc>
      </w:tr>
      <w:tr w:rsidR="002A625E" w:rsidRPr="0009282C" w14:paraId="74CE7045"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133215CF" w14:textId="584AF1A2" w:rsidR="002318C0" w:rsidRPr="0009282C" w:rsidRDefault="002318C0" w:rsidP="00D821EC">
            <w:pPr>
              <w:pStyle w:val="TableText0"/>
              <w:keepNext/>
              <w:keepLines/>
              <w:spacing w:line="16" w:lineRule="atLeast"/>
            </w:pPr>
            <w:r w:rsidRPr="0009282C">
              <w:t>Percent change in 24-h urinary oxalate excretion from baseline to Month 6</w:t>
            </w:r>
            <w:r w:rsidR="00C71A64" w:rsidRPr="0009282C">
              <w:t>, %</w:t>
            </w:r>
            <w:r w:rsidR="004F1375" w:rsidRPr="0009282C">
              <w:t>, LSM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37B740E" w14:textId="77777777" w:rsidR="002318C0" w:rsidRPr="0009282C" w:rsidRDefault="002318C0" w:rsidP="00D821EC">
            <w:pPr>
              <w:pStyle w:val="TableText0"/>
              <w:keepNext/>
              <w:keepLines/>
              <w:spacing w:line="16" w:lineRule="atLeast"/>
              <w:jc w:val="center"/>
            </w:pPr>
            <w:r w:rsidRPr="0009282C">
              <w:t>26</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FE5FF" w14:textId="32F55608" w:rsidR="002318C0" w:rsidRPr="0009282C" w:rsidRDefault="0027543C" w:rsidP="00D821EC">
            <w:pPr>
              <w:pStyle w:val="TableText0"/>
              <w:keepNext/>
              <w:keepLines/>
              <w:spacing w:line="16" w:lineRule="atLeast"/>
              <w:jc w:val="center"/>
            </w:pPr>
            <w:r w:rsidRPr="0009282C">
              <w:t>-</w:t>
            </w:r>
            <w:r w:rsidR="002318C0" w:rsidRPr="0009282C">
              <w:t>65.39</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9B160" w14:textId="77777777" w:rsidR="0027543C" w:rsidRPr="0009282C" w:rsidRDefault="0027543C" w:rsidP="00D821EC">
            <w:pPr>
              <w:pStyle w:val="TableText0"/>
              <w:keepNext/>
              <w:keepLines/>
              <w:spacing w:line="16" w:lineRule="atLeast"/>
              <w:jc w:val="center"/>
            </w:pPr>
            <w:r w:rsidRPr="0009282C">
              <w:t>-</w:t>
            </w:r>
            <w:r w:rsidR="002318C0" w:rsidRPr="0009282C">
              <w:t xml:space="preserve">71.3, </w:t>
            </w:r>
          </w:p>
          <w:p w14:paraId="0CC74839" w14:textId="573AA5DB" w:rsidR="002318C0" w:rsidRPr="0009282C" w:rsidRDefault="0027543C" w:rsidP="00D821EC">
            <w:pPr>
              <w:pStyle w:val="TableText0"/>
              <w:keepNext/>
              <w:keepLines/>
              <w:spacing w:line="16" w:lineRule="atLeast"/>
              <w:jc w:val="center"/>
            </w:pPr>
            <w:r w:rsidRPr="0009282C">
              <w:t>-</w:t>
            </w:r>
            <w:r w:rsidR="002318C0" w:rsidRPr="0009282C">
              <w:t>59.5</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542A6B5A" w14:textId="77777777" w:rsidR="002318C0" w:rsidRPr="0009282C" w:rsidRDefault="002318C0" w:rsidP="00D821EC">
            <w:pPr>
              <w:pStyle w:val="TableText0"/>
              <w:keepNext/>
              <w:keepLines/>
              <w:spacing w:line="16" w:lineRule="atLeast"/>
              <w:jc w:val="center"/>
            </w:pPr>
            <w:r w:rsidRPr="0009282C">
              <w:t>13</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541D2" w14:textId="30F57FD7" w:rsidR="002318C0" w:rsidRPr="0009282C" w:rsidRDefault="00410023" w:rsidP="00D821EC">
            <w:pPr>
              <w:pStyle w:val="TableText0"/>
              <w:keepNext/>
              <w:keepLines/>
              <w:spacing w:line="16" w:lineRule="atLeast"/>
              <w:jc w:val="center"/>
            </w:pPr>
            <w:r w:rsidRPr="0009282C">
              <w:t>-</w:t>
            </w:r>
            <w:r w:rsidR="002318C0" w:rsidRPr="0009282C">
              <w:t>11.84</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5DF4" w14:textId="77777777" w:rsidR="002A625E" w:rsidRPr="0009282C" w:rsidRDefault="00410023" w:rsidP="00D821EC">
            <w:pPr>
              <w:pStyle w:val="TableText0"/>
              <w:keepNext/>
              <w:keepLines/>
              <w:spacing w:line="16" w:lineRule="atLeast"/>
              <w:jc w:val="center"/>
            </w:pPr>
            <w:r w:rsidRPr="0009282C">
              <w:t>-</w:t>
            </w:r>
            <w:r w:rsidR="002318C0" w:rsidRPr="0009282C">
              <w:t xml:space="preserve">19.5, </w:t>
            </w:r>
          </w:p>
          <w:p w14:paraId="199B053C" w14:textId="4C166BE7" w:rsidR="002318C0" w:rsidRPr="0009282C" w:rsidRDefault="00410023" w:rsidP="00D821EC">
            <w:pPr>
              <w:pStyle w:val="TableText0"/>
              <w:keepNext/>
              <w:keepLines/>
              <w:spacing w:line="16" w:lineRule="atLeast"/>
              <w:jc w:val="center"/>
            </w:pPr>
            <w:r w:rsidRPr="0009282C">
              <w:t>-</w:t>
            </w:r>
            <w:r w:rsidR="002318C0" w:rsidRPr="0009282C">
              <w:t>4.1</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3456874" w14:textId="77777777" w:rsidR="005E367C" w:rsidRPr="0009282C" w:rsidRDefault="00410023" w:rsidP="00D821EC">
            <w:pPr>
              <w:pStyle w:val="TableText0"/>
              <w:keepNext/>
              <w:keepLines/>
              <w:spacing w:line="16" w:lineRule="atLeast"/>
              <w:jc w:val="center"/>
            </w:pPr>
            <w:r w:rsidRPr="0009282C">
              <w:t>-</w:t>
            </w:r>
            <w:r w:rsidR="002318C0" w:rsidRPr="0009282C">
              <w:t xml:space="preserve">53.55 </w:t>
            </w:r>
          </w:p>
          <w:p w14:paraId="6B2490A8" w14:textId="19740736" w:rsidR="002318C0" w:rsidRPr="0009282C" w:rsidRDefault="002318C0" w:rsidP="00D821EC">
            <w:pPr>
              <w:pStyle w:val="TableText0"/>
              <w:keepNext/>
              <w:keepLines/>
              <w:spacing w:line="16" w:lineRule="atLeast"/>
              <w:jc w:val="center"/>
            </w:pPr>
            <w:r w:rsidRPr="0009282C">
              <w:t>(</w:t>
            </w:r>
            <w:r w:rsidR="00410023" w:rsidRPr="0009282C">
              <w:t>-</w:t>
            </w:r>
            <w:r w:rsidRPr="0009282C">
              <w:t xml:space="preserve">62.3, </w:t>
            </w:r>
            <w:r w:rsidR="00410023" w:rsidRPr="0009282C">
              <w:t>-</w:t>
            </w:r>
            <w:r w:rsidRPr="0009282C">
              <w:t>44.8)</w:t>
            </w:r>
          </w:p>
        </w:tc>
      </w:tr>
      <w:tr w:rsidR="002A625E" w:rsidRPr="0009282C" w14:paraId="6B9E8E00"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4BF524D0" w14:textId="2FE97F1B" w:rsidR="002318C0" w:rsidRPr="0009282C" w:rsidRDefault="002318C0" w:rsidP="00D821EC">
            <w:pPr>
              <w:pStyle w:val="TableText0"/>
              <w:keepNext/>
              <w:keepLines/>
              <w:spacing w:line="16" w:lineRule="atLeast"/>
            </w:pPr>
            <w:r w:rsidRPr="0009282C">
              <w:rPr>
                <w:rStyle w:val="normaltextrun"/>
              </w:rPr>
              <w:t>Proportion of patients with 24-h urinary oxalate ≤1.5×ULN at Month 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6922C96" w14:textId="77777777" w:rsidR="002318C0" w:rsidRPr="0009282C" w:rsidRDefault="002318C0" w:rsidP="00D821EC">
            <w:pPr>
              <w:pStyle w:val="TableText0"/>
              <w:keepNext/>
              <w:keepLines/>
              <w:spacing w:line="16" w:lineRule="atLeast"/>
              <w:jc w:val="center"/>
            </w:pPr>
            <w:r w:rsidRPr="0009282C">
              <w:t>26</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534FD" w14:textId="5135FB0B" w:rsidR="002318C0" w:rsidRPr="0009282C" w:rsidRDefault="004D5064" w:rsidP="00D821EC">
            <w:pPr>
              <w:pStyle w:val="TableText0"/>
              <w:keepNext/>
              <w:keepLines/>
              <w:spacing w:line="16" w:lineRule="atLeast"/>
              <w:jc w:val="center"/>
            </w:pPr>
            <w:r w:rsidRPr="0009282C">
              <w:t>0.</w:t>
            </w:r>
            <w:r w:rsidR="002318C0" w:rsidRPr="0009282C">
              <w:t>84</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E6DC2" w14:textId="77777777" w:rsidR="002318C0" w:rsidRPr="0009282C" w:rsidRDefault="002318C0" w:rsidP="00D821EC">
            <w:pPr>
              <w:pStyle w:val="TableText0"/>
              <w:keepNext/>
              <w:keepLines/>
              <w:spacing w:line="16" w:lineRule="atLeast"/>
              <w:jc w:val="center"/>
            </w:pPr>
            <w:r w:rsidRPr="0009282C">
              <w:t>0.64, 0.95</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B156685" w14:textId="77777777" w:rsidR="002318C0" w:rsidRPr="0009282C" w:rsidRDefault="002318C0" w:rsidP="00D821EC">
            <w:pPr>
              <w:pStyle w:val="TableText0"/>
              <w:keepNext/>
              <w:keepLines/>
              <w:spacing w:line="16" w:lineRule="atLeast"/>
              <w:jc w:val="center"/>
            </w:pPr>
            <w:r w:rsidRPr="0009282C">
              <w:t>13</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AE6C0" w14:textId="1EECB1AF" w:rsidR="002318C0" w:rsidRPr="0009282C" w:rsidRDefault="002318C0" w:rsidP="00D821EC">
            <w:pPr>
              <w:pStyle w:val="TableText0"/>
              <w:keepNext/>
              <w:keepLines/>
              <w:spacing w:line="16" w:lineRule="atLeast"/>
              <w:jc w:val="center"/>
            </w:pPr>
            <w:r w:rsidRPr="0009282C">
              <w:t>0</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E33E5" w14:textId="77777777" w:rsidR="002A625E" w:rsidRPr="0009282C" w:rsidRDefault="002318C0" w:rsidP="00D821EC">
            <w:pPr>
              <w:pStyle w:val="TableText0"/>
              <w:keepNext/>
              <w:keepLines/>
              <w:spacing w:line="16" w:lineRule="atLeast"/>
              <w:jc w:val="center"/>
            </w:pPr>
            <w:r w:rsidRPr="0009282C">
              <w:t xml:space="preserve">0.00, </w:t>
            </w:r>
          </w:p>
          <w:p w14:paraId="604341AB" w14:textId="11E89379" w:rsidR="002318C0" w:rsidRPr="0009282C" w:rsidRDefault="002318C0" w:rsidP="00D821EC">
            <w:pPr>
              <w:pStyle w:val="TableText0"/>
              <w:keepNext/>
              <w:keepLines/>
              <w:spacing w:line="16" w:lineRule="atLeast"/>
              <w:jc w:val="center"/>
            </w:pPr>
            <w:r w:rsidRPr="0009282C">
              <w:t>0.25</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57AF05A2" w14:textId="77777777" w:rsidR="00BE2042" w:rsidRPr="0009282C" w:rsidRDefault="002318C0" w:rsidP="00D821EC">
            <w:pPr>
              <w:pStyle w:val="TableText0"/>
              <w:keepNext/>
              <w:keepLines/>
              <w:spacing w:line="16" w:lineRule="atLeast"/>
              <w:jc w:val="center"/>
            </w:pPr>
            <w:r w:rsidRPr="0009282C">
              <w:t xml:space="preserve">0.84 </w:t>
            </w:r>
          </w:p>
          <w:p w14:paraId="0F3B28F2" w14:textId="6A4E44B7" w:rsidR="002318C0" w:rsidRPr="0009282C" w:rsidRDefault="002318C0" w:rsidP="00D821EC">
            <w:pPr>
              <w:pStyle w:val="TableText0"/>
              <w:keepNext/>
              <w:keepLines/>
              <w:spacing w:line="16" w:lineRule="atLeast"/>
              <w:jc w:val="center"/>
            </w:pPr>
            <w:r w:rsidRPr="0009282C">
              <w:t>(0.55, 0.94)</w:t>
            </w:r>
          </w:p>
        </w:tc>
      </w:tr>
      <w:tr w:rsidR="002A625E" w:rsidRPr="0009282C" w14:paraId="408F2D80"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3CBA77C8" w14:textId="2BBDFA1D" w:rsidR="002318C0" w:rsidRPr="0009282C" w:rsidRDefault="002318C0" w:rsidP="00D821EC">
            <w:pPr>
              <w:pStyle w:val="TableText0"/>
              <w:keepNext/>
              <w:keepLines/>
              <w:spacing w:line="16" w:lineRule="atLeast"/>
            </w:pPr>
            <w:r w:rsidRPr="0009282C">
              <w:rPr>
                <w:rStyle w:val="normaltextrun"/>
              </w:rPr>
              <w:t>Proportion of patients with 24-h urinary oxalate ≤ULN at Month 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8920F24" w14:textId="77777777" w:rsidR="002318C0" w:rsidRPr="0009282C" w:rsidRDefault="002318C0" w:rsidP="00D821EC">
            <w:pPr>
              <w:pStyle w:val="TableText0"/>
              <w:keepNext/>
              <w:keepLines/>
              <w:spacing w:line="16" w:lineRule="atLeast"/>
              <w:jc w:val="center"/>
            </w:pPr>
            <w:r w:rsidRPr="0009282C">
              <w:t>26</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BCFF6" w14:textId="7919BD8F" w:rsidR="002318C0" w:rsidRPr="0009282C" w:rsidRDefault="004D5064" w:rsidP="00D821EC">
            <w:pPr>
              <w:pStyle w:val="TableText0"/>
              <w:keepNext/>
              <w:keepLines/>
              <w:spacing w:line="16" w:lineRule="atLeast"/>
              <w:jc w:val="center"/>
            </w:pPr>
            <w:r w:rsidRPr="0009282C">
              <w:t>0.</w:t>
            </w:r>
            <w:r w:rsidR="002318C0" w:rsidRPr="0009282C">
              <w:t>52</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6022F" w14:textId="77777777" w:rsidR="002318C0" w:rsidRPr="0009282C" w:rsidRDefault="002318C0" w:rsidP="00D821EC">
            <w:pPr>
              <w:pStyle w:val="TableText0"/>
              <w:keepNext/>
              <w:keepLines/>
              <w:spacing w:line="16" w:lineRule="atLeast"/>
              <w:jc w:val="center"/>
            </w:pPr>
            <w:r w:rsidRPr="0009282C">
              <w:t>0.31, 0.72</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07CE9B9F" w14:textId="77777777" w:rsidR="002318C0" w:rsidRPr="0009282C" w:rsidRDefault="002318C0" w:rsidP="00D821EC">
            <w:pPr>
              <w:pStyle w:val="TableText0"/>
              <w:keepNext/>
              <w:keepLines/>
              <w:spacing w:line="16" w:lineRule="atLeast"/>
              <w:jc w:val="center"/>
            </w:pPr>
            <w:r w:rsidRPr="0009282C">
              <w:t>13</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4CE5F" w14:textId="6B89FD4D" w:rsidR="002318C0" w:rsidRPr="0009282C" w:rsidRDefault="002318C0" w:rsidP="00D821EC">
            <w:pPr>
              <w:pStyle w:val="TableText0"/>
              <w:keepNext/>
              <w:keepLines/>
              <w:spacing w:line="16" w:lineRule="atLeast"/>
              <w:jc w:val="center"/>
            </w:pPr>
            <w:r w:rsidRPr="0009282C">
              <w:t>0</w:t>
            </w:r>
          </w:p>
        </w:tc>
        <w:tc>
          <w:tcPr>
            <w:tcW w:w="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C70D6" w14:textId="77777777" w:rsidR="002A625E" w:rsidRPr="0009282C" w:rsidRDefault="002318C0" w:rsidP="00D821EC">
            <w:pPr>
              <w:pStyle w:val="TableText0"/>
              <w:keepNext/>
              <w:keepLines/>
              <w:spacing w:line="16" w:lineRule="atLeast"/>
              <w:jc w:val="center"/>
            </w:pPr>
            <w:r w:rsidRPr="0009282C">
              <w:t xml:space="preserve">0.00, </w:t>
            </w:r>
          </w:p>
          <w:p w14:paraId="30DDE16A" w14:textId="7AFB5C2F" w:rsidR="002318C0" w:rsidRPr="0009282C" w:rsidRDefault="002318C0" w:rsidP="00D821EC">
            <w:pPr>
              <w:pStyle w:val="TableText0"/>
              <w:keepNext/>
              <w:keepLines/>
              <w:spacing w:line="16" w:lineRule="atLeast"/>
              <w:jc w:val="center"/>
            </w:pPr>
            <w:r w:rsidRPr="0009282C">
              <w:t>0.25</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040997D1" w14:textId="77777777" w:rsidR="00BE2042" w:rsidRPr="0009282C" w:rsidRDefault="002318C0" w:rsidP="00D821EC">
            <w:pPr>
              <w:pStyle w:val="TableText0"/>
              <w:keepNext/>
              <w:keepLines/>
              <w:spacing w:line="16" w:lineRule="atLeast"/>
              <w:jc w:val="center"/>
            </w:pPr>
            <w:r w:rsidRPr="0009282C">
              <w:t xml:space="preserve">0.52 </w:t>
            </w:r>
          </w:p>
          <w:p w14:paraId="4B1D5D40" w14:textId="6A8ED18A" w:rsidR="002318C0" w:rsidRPr="0009282C" w:rsidRDefault="002318C0" w:rsidP="00D821EC">
            <w:pPr>
              <w:pStyle w:val="TableText0"/>
              <w:keepNext/>
              <w:keepLines/>
              <w:spacing w:line="16" w:lineRule="atLeast"/>
              <w:jc w:val="center"/>
            </w:pPr>
            <w:r w:rsidRPr="0009282C">
              <w:t>(0.23, 0.70)</w:t>
            </w:r>
          </w:p>
        </w:tc>
      </w:tr>
      <w:tr w:rsidR="00C22DEC" w:rsidRPr="0009282C" w14:paraId="31334149" w14:textId="77777777" w:rsidTr="00F97B8A">
        <w:trPr>
          <w:trHeight w:val="73"/>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5044E0E" w14:textId="77777777" w:rsidR="00C22DEC" w:rsidRPr="0009282C" w:rsidRDefault="00C22DEC" w:rsidP="00D821EC">
            <w:pPr>
              <w:pStyle w:val="In-tableHeading"/>
              <w:spacing w:line="16" w:lineRule="atLeast"/>
              <w:rPr>
                <w:lang w:val="en-AU"/>
              </w:rPr>
            </w:pPr>
            <w:r w:rsidRPr="0009282C">
              <w:rPr>
                <w:lang w:val="en-AU"/>
              </w:rPr>
              <w:t>Harms</w:t>
            </w:r>
          </w:p>
        </w:tc>
      </w:tr>
      <w:tr w:rsidR="00C22DEC" w:rsidRPr="0009282C" w14:paraId="532382A5" w14:textId="77777777" w:rsidTr="00D821EC">
        <w:trPr>
          <w:trHeight w:val="20"/>
        </w:trPr>
        <w:tc>
          <w:tcPr>
            <w:tcW w:w="177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5C4AF7" w14:textId="77777777" w:rsidR="00C22DEC" w:rsidRPr="0009282C" w:rsidRDefault="00C22DEC" w:rsidP="00D821EC">
            <w:pPr>
              <w:pStyle w:val="TableText0"/>
              <w:keepNext/>
              <w:keepLines/>
              <w:spacing w:line="16" w:lineRule="atLeast"/>
              <w:rPr>
                <w:b/>
                <w:bCs w:val="0"/>
              </w:rPr>
            </w:pPr>
            <w:r w:rsidRPr="0009282C">
              <w:rPr>
                <w:b/>
                <w:bCs w:val="0"/>
              </w:rPr>
              <w:t xml:space="preserve">ILLUMINATE-A: Adverse events </w:t>
            </w:r>
          </w:p>
          <w:p w14:paraId="6DB4971B" w14:textId="77777777" w:rsidR="00C22DEC" w:rsidRPr="0009282C" w:rsidRDefault="00C22DEC" w:rsidP="00D821EC">
            <w:pPr>
              <w:pStyle w:val="TableText0"/>
              <w:keepNext/>
              <w:keepLines/>
              <w:spacing w:line="16" w:lineRule="atLeast"/>
              <w:rPr>
                <w:b/>
                <w:bCs w:val="0"/>
              </w:rPr>
            </w:pPr>
            <w:r w:rsidRPr="0009282C">
              <w:rPr>
                <w:b/>
                <w:bCs w:val="0"/>
              </w:rPr>
              <w:t>(baseline to 6 months)</w:t>
            </w:r>
          </w:p>
        </w:tc>
        <w:tc>
          <w:tcPr>
            <w:tcW w:w="5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15DB8C" w14:textId="77777777" w:rsidR="00C22DEC" w:rsidRPr="0009282C" w:rsidRDefault="00C22DEC" w:rsidP="00D821EC">
            <w:pPr>
              <w:pStyle w:val="In-tableHeading"/>
              <w:spacing w:line="16" w:lineRule="atLeast"/>
              <w:jc w:val="center"/>
              <w:rPr>
                <w:lang w:val="en-AU"/>
              </w:rPr>
            </w:pPr>
            <w:proofErr w:type="spellStart"/>
            <w:r w:rsidRPr="0009282C">
              <w:rPr>
                <w:lang w:val="en-AU"/>
              </w:rPr>
              <w:t>Lumasiran</w:t>
            </w:r>
            <w:proofErr w:type="spellEnd"/>
          </w:p>
          <w:p w14:paraId="159463B4" w14:textId="77777777" w:rsidR="00C22DEC" w:rsidRPr="0009282C" w:rsidRDefault="00C22DEC" w:rsidP="00D821EC">
            <w:pPr>
              <w:pStyle w:val="TableText0"/>
              <w:keepNext/>
              <w:keepLines/>
              <w:spacing w:line="16" w:lineRule="atLeast"/>
              <w:jc w:val="center"/>
              <w:rPr>
                <w:b/>
                <w:bCs w:val="0"/>
              </w:rPr>
            </w:pPr>
            <w:r w:rsidRPr="0009282C">
              <w:rPr>
                <w:b/>
                <w:bCs w:val="0"/>
              </w:rPr>
              <w:t>n/N</w:t>
            </w:r>
          </w:p>
        </w:tc>
        <w:tc>
          <w:tcPr>
            <w:tcW w:w="5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C19BB2" w14:textId="77777777" w:rsidR="00C22DEC" w:rsidRPr="0009282C" w:rsidRDefault="00C22DEC" w:rsidP="00D821EC">
            <w:pPr>
              <w:pStyle w:val="In-tableHeading"/>
              <w:spacing w:line="16" w:lineRule="atLeast"/>
              <w:jc w:val="center"/>
              <w:rPr>
                <w:lang w:val="en-AU"/>
              </w:rPr>
            </w:pPr>
            <w:r w:rsidRPr="0009282C">
              <w:rPr>
                <w:lang w:val="en-AU"/>
              </w:rPr>
              <w:t>Placebo</w:t>
            </w:r>
          </w:p>
          <w:p w14:paraId="367EFB6B" w14:textId="77777777" w:rsidR="00C22DEC" w:rsidRPr="0009282C" w:rsidRDefault="00C22DEC" w:rsidP="00D821EC">
            <w:pPr>
              <w:pStyle w:val="TableText0"/>
              <w:keepNext/>
              <w:keepLines/>
              <w:spacing w:line="16" w:lineRule="atLeast"/>
              <w:jc w:val="center"/>
              <w:rPr>
                <w:b/>
                <w:bCs w:val="0"/>
              </w:rPr>
            </w:pPr>
            <w:r w:rsidRPr="0009282C">
              <w:rPr>
                <w:b/>
                <w:bCs w:val="0"/>
              </w:rPr>
              <w:t>n/N</w:t>
            </w:r>
          </w:p>
        </w:tc>
        <w:tc>
          <w:tcPr>
            <w:tcW w:w="54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80062C" w14:textId="77777777" w:rsidR="00C22DEC" w:rsidRPr="0009282C" w:rsidRDefault="00C22DEC" w:rsidP="00D821EC">
            <w:pPr>
              <w:pStyle w:val="In-tableHeading"/>
              <w:spacing w:line="16" w:lineRule="atLeast"/>
              <w:jc w:val="center"/>
              <w:rPr>
                <w:lang w:val="en-AU"/>
              </w:rPr>
            </w:pPr>
            <w:r w:rsidRPr="0009282C">
              <w:rPr>
                <w:lang w:val="en-AU"/>
              </w:rPr>
              <w:t>RR</w:t>
            </w:r>
          </w:p>
          <w:p w14:paraId="0A7998B5" w14:textId="77777777" w:rsidR="00C22DEC" w:rsidRPr="0009282C" w:rsidRDefault="00C22DEC" w:rsidP="00D821EC">
            <w:pPr>
              <w:pStyle w:val="TableText0"/>
              <w:keepNext/>
              <w:keepLines/>
              <w:spacing w:line="16" w:lineRule="atLeast"/>
              <w:jc w:val="center"/>
              <w:rPr>
                <w:b/>
                <w:bCs w:val="0"/>
              </w:rPr>
            </w:pPr>
            <w:r w:rsidRPr="0009282C">
              <w:rPr>
                <w:b/>
                <w:bCs w:val="0"/>
              </w:rPr>
              <w:t>(95% CI)</w:t>
            </w:r>
          </w:p>
        </w:tc>
        <w:tc>
          <w:tcPr>
            <w:tcW w:w="8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41F9B" w14:textId="77777777" w:rsidR="00C22DEC" w:rsidRPr="0009282C" w:rsidRDefault="00C22DEC" w:rsidP="00D821EC">
            <w:pPr>
              <w:pStyle w:val="TableText0"/>
              <w:keepNext/>
              <w:keepLines/>
              <w:spacing w:line="16" w:lineRule="atLeast"/>
              <w:jc w:val="center"/>
              <w:rPr>
                <w:b/>
                <w:bCs w:val="0"/>
              </w:rPr>
            </w:pPr>
            <w:r w:rsidRPr="0009282C">
              <w:rPr>
                <w:b/>
                <w:bCs w:val="0"/>
              </w:rPr>
              <w:t>Event rate/100 patients</w:t>
            </w:r>
          </w:p>
        </w:tc>
        <w:tc>
          <w:tcPr>
            <w:tcW w:w="742" w:type="pct"/>
            <w:vMerge w:val="restart"/>
            <w:tcBorders>
              <w:top w:val="single" w:sz="4" w:space="0" w:color="auto"/>
              <w:left w:val="single" w:sz="4" w:space="0" w:color="auto"/>
              <w:right w:val="single" w:sz="4" w:space="0" w:color="auto"/>
            </w:tcBorders>
            <w:shd w:val="clear" w:color="auto" w:fill="auto"/>
            <w:vAlign w:val="center"/>
          </w:tcPr>
          <w:p w14:paraId="4B9D84EE" w14:textId="77777777" w:rsidR="00C22DEC" w:rsidRPr="0009282C" w:rsidRDefault="00C22DEC" w:rsidP="00D821EC">
            <w:pPr>
              <w:pStyle w:val="In-tableHeading"/>
              <w:spacing w:line="16" w:lineRule="atLeast"/>
              <w:jc w:val="center"/>
              <w:rPr>
                <w:lang w:val="en-AU"/>
              </w:rPr>
            </w:pPr>
            <w:r w:rsidRPr="0009282C">
              <w:rPr>
                <w:lang w:val="en-AU"/>
              </w:rPr>
              <w:t xml:space="preserve">RD with </w:t>
            </w:r>
            <w:proofErr w:type="spellStart"/>
            <w:r w:rsidRPr="0009282C">
              <w:rPr>
                <w:lang w:val="en-AU"/>
              </w:rPr>
              <w:t>lumasiran</w:t>
            </w:r>
            <w:proofErr w:type="spellEnd"/>
          </w:p>
          <w:p w14:paraId="75016F9B" w14:textId="77777777" w:rsidR="00C22DEC" w:rsidRPr="0009282C" w:rsidRDefault="00C22DEC" w:rsidP="00D821EC">
            <w:pPr>
              <w:pStyle w:val="TableText0"/>
              <w:keepNext/>
              <w:keepLines/>
              <w:spacing w:line="16" w:lineRule="atLeast"/>
              <w:jc w:val="center"/>
              <w:rPr>
                <w:b/>
                <w:bCs w:val="0"/>
              </w:rPr>
            </w:pPr>
            <w:r w:rsidRPr="0009282C">
              <w:rPr>
                <w:b/>
                <w:bCs w:val="0"/>
              </w:rPr>
              <w:t>(95% CI)</w:t>
            </w:r>
          </w:p>
        </w:tc>
      </w:tr>
      <w:tr w:rsidR="00C22DEC" w:rsidRPr="0009282C" w14:paraId="4E4D595A" w14:textId="77777777" w:rsidTr="00D821EC">
        <w:trPr>
          <w:trHeight w:val="20"/>
        </w:trPr>
        <w:tc>
          <w:tcPr>
            <w:tcW w:w="1774" w:type="pct"/>
            <w:vMerge/>
            <w:tcBorders>
              <w:top w:val="single" w:sz="4" w:space="0" w:color="auto"/>
              <w:left w:val="single" w:sz="4" w:space="0" w:color="auto"/>
              <w:bottom w:val="single" w:sz="4" w:space="0" w:color="auto"/>
              <w:right w:val="single" w:sz="4" w:space="0" w:color="auto"/>
            </w:tcBorders>
            <w:shd w:val="clear" w:color="auto" w:fill="auto"/>
          </w:tcPr>
          <w:p w14:paraId="1457DF2B" w14:textId="77777777" w:rsidR="00C22DEC" w:rsidRPr="0009282C" w:rsidRDefault="00C22DEC" w:rsidP="00D821EC">
            <w:pPr>
              <w:pStyle w:val="TableText0"/>
              <w:keepNext/>
              <w:keepLines/>
              <w:spacing w:line="16" w:lineRule="atLeast"/>
            </w:pPr>
          </w:p>
        </w:tc>
        <w:tc>
          <w:tcPr>
            <w:tcW w:w="5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A192554" w14:textId="77777777" w:rsidR="00C22DEC" w:rsidRPr="0009282C" w:rsidRDefault="00C22DEC" w:rsidP="00D821EC">
            <w:pPr>
              <w:pStyle w:val="TableText0"/>
              <w:keepNext/>
              <w:keepLines/>
              <w:spacing w:line="16" w:lineRule="atLeast"/>
              <w:jc w:val="center"/>
            </w:pPr>
          </w:p>
        </w:tc>
        <w:tc>
          <w:tcPr>
            <w:tcW w:w="5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1B9BD8B" w14:textId="77777777" w:rsidR="00C22DEC" w:rsidRPr="0009282C" w:rsidRDefault="00C22DEC" w:rsidP="00D821EC">
            <w:pPr>
              <w:pStyle w:val="TableText0"/>
              <w:keepNext/>
              <w:keepLines/>
              <w:spacing w:line="16" w:lineRule="atLeast"/>
              <w:jc w:val="center"/>
            </w:pPr>
          </w:p>
        </w:tc>
        <w:tc>
          <w:tcPr>
            <w:tcW w:w="542" w:type="pct"/>
            <w:gridSpan w:val="3"/>
            <w:vMerge/>
            <w:tcBorders>
              <w:top w:val="single" w:sz="4" w:space="0" w:color="auto"/>
              <w:left w:val="single" w:sz="4" w:space="0" w:color="auto"/>
              <w:bottom w:val="single" w:sz="4" w:space="0" w:color="auto"/>
            </w:tcBorders>
            <w:shd w:val="clear" w:color="auto" w:fill="auto"/>
            <w:vAlign w:val="center"/>
          </w:tcPr>
          <w:p w14:paraId="4DA92F8C" w14:textId="77777777" w:rsidR="00C22DEC" w:rsidRPr="0009282C" w:rsidRDefault="00C22DEC" w:rsidP="00D821EC">
            <w:pPr>
              <w:pStyle w:val="TableText0"/>
              <w:keepNext/>
              <w:keepLines/>
              <w:spacing w:line="16" w:lineRule="atLeast"/>
              <w:jc w:val="center"/>
            </w:pP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1F496" w14:textId="3EA3ADF5" w:rsidR="00C22DEC" w:rsidRPr="0009282C" w:rsidRDefault="00C22DEC" w:rsidP="00D821EC">
            <w:pPr>
              <w:pStyle w:val="TableText0"/>
              <w:keepNext/>
              <w:keepLines/>
              <w:spacing w:line="16" w:lineRule="atLeast"/>
              <w:jc w:val="center"/>
              <w:rPr>
                <w:b/>
                <w:bCs w:val="0"/>
              </w:rPr>
            </w:pPr>
            <w:proofErr w:type="spellStart"/>
            <w:r w:rsidRPr="0009282C">
              <w:rPr>
                <w:b/>
                <w:bCs w:val="0"/>
              </w:rPr>
              <w:t>Lumasiran</w:t>
            </w:r>
            <w:proofErr w:type="spellEnd"/>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70611075" w14:textId="77777777" w:rsidR="00C22DEC" w:rsidRPr="0009282C" w:rsidRDefault="00C22DEC" w:rsidP="00D821EC">
            <w:pPr>
              <w:pStyle w:val="TableText0"/>
              <w:keepNext/>
              <w:keepLines/>
              <w:spacing w:line="16" w:lineRule="atLeast"/>
              <w:jc w:val="center"/>
              <w:rPr>
                <w:b/>
                <w:bCs w:val="0"/>
              </w:rPr>
            </w:pPr>
            <w:r w:rsidRPr="0009282C">
              <w:rPr>
                <w:b/>
                <w:bCs w:val="0"/>
              </w:rPr>
              <w:t>Placebo</w:t>
            </w:r>
          </w:p>
        </w:tc>
        <w:tc>
          <w:tcPr>
            <w:tcW w:w="742" w:type="pct"/>
            <w:vMerge/>
            <w:tcBorders>
              <w:right w:val="single" w:sz="4" w:space="0" w:color="auto"/>
            </w:tcBorders>
            <w:shd w:val="clear" w:color="auto" w:fill="auto"/>
            <w:vAlign w:val="center"/>
          </w:tcPr>
          <w:p w14:paraId="56C13CFB" w14:textId="77777777" w:rsidR="00C22DEC" w:rsidRPr="0009282C" w:rsidRDefault="00C22DEC" w:rsidP="00D821EC">
            <w:pPr>
              <w:pStyle w:val="TableText0"/>
              <w:keepNext/>
              <w:keepLines/>
              <w:spacing w:line="16" w:lineRule="atLeast"/>
              <w:jc w:val="center"/>
            </w:pPr>
          </w:p>
        </w:tc>
      </w:tr>
      <w:tr w:rsidR="00C22DEC" w:rsidRPr="0009282C" w14:paraId="48B94F60" w14:textId="77777777" w:rsidTr="00D821EC">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0869A851" w14:textId="77777777" w:rsidR="00C22DEC" w:rsidRPr="0009282C" w:rsidRDefault="00C22DEC" w:rsidP="00D821EC">
            <w:pPr>
              <w:pStyle w:val="TableText0"/>
              <w:keepNext/>
              <w:keepLines/>
              <w:spacing w:line="16" w:lineRule="atLeast"/>
            </w:pPr>
            <w:r w:rsidRPr="0009282C">
              <w:t>Any AE</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ADE00" w14:textId="77777777" w:rsidR="00C22DEC" w:rsidRPr="0009282C" w:rsidRDefault="00C22DEC" w:rsidP="00D821EC">
            <w:pPr>
              <w:pStyle w:val="TableText0"/>
              <w:keepNext/>
              <w:keepLines/>
              <w:spacing w:line="16" w:lineRule="atLeast"/>
              <w:jc w:val="center"/>
            </w:pPr>
            <w:r w:rsidRPr="0009282C">
              <w:t>22/26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39725" w14:textId="77777777" w:rsidR="00C22DEC" w:rsidRPr="0009282C" w:rsidRDefault="00C22DEC" w:rsidP="00D821EC">
            <w:pPr>
              <w:pStyle w:val="TableText0"/>
              <w:keepNext/>
              <w:keepLines/>
              <w:spacing w:line="16" w:lineRule="atLeast"/>
              <w:jc w:val="center"/>
            </w:pPr>
            <w:r w:rsidRPr="0009282C">
              <w:t>9/13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94BAD" w14:textId="34921F79" w:rsidR="00C22DEC" w:rsidRPr="0009282C" w:rsidRDefault="00C22DEC" w:rsidP="000530EA">
            <w:pPr>
              <w:pStyle w:val="TableText0"/>
              <w:keepNext/>
              <w:keepLines/>
              <w:spacing w:line="16" w:lineRule="atLeast"/>
              <w:jc w:val="center"/>
            </w:pPr>
            <w:r w:rsidRPr="0009282C">
              <w:t xml:space="preserve">1.22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4D20E" w14:textId="1A45A230" w:rsidR="00C22DEC" w:rsidRPr="0009282C" w:rsidRDefault="00C22DEC" w:rsidP="00F52387">
            <w:pPr>
              <w:pStyle w:val="TableText0"/>
              <w:keepNext/>
              <w:keepLines/>
              <w:spacing w:line="16" w:lineRule="atLeast"/>
              <w:jc w:val="center"/>
            </w:pPr>
            <w:r w:rsidRPr="0009282C">
              <w:t xml:space="preserve">84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06B5AE6" w14:textId="61F5AB07" w:rsidR="00C22DEC" w:rsidRPr="0009282C" w:rsidRDefault="00C22DEC" w:rsidP="00D821EC">
            <w:pPr>
              <w:pStyle w:val="TableText0"/>
              <w:keepNext/>
              <w:keepLines/>
              <w:spacing w:line="16" w:lineRule="atLeast"/>
              <w:jc w:val="center"/>
            </w:pPr>
            <w:r w:rsidRPr="0009282C">
              <w:t>69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79DDB017" w14:textId="7C244BA1" w:rsidR="00C22DEC" w:rsidRPr="0009282C" w:rsidRDefault="00C22DEC" w:rsidP="000530EA">
            <w:pPr>
              <w:pStyle w:val="TableText0"/>
              <w:keepNext/>
              <w:keepLines/>
              <w:spacing w:line="16" w:lineRule="atLeast"/>
              <w:jc w:val="center"/>
            </w:pPr>
            <w:r w:rsidRPr="0009282C">
              <w:t xml:space="preserve">0.15 </w:t>
            </w:r>
          </w:p>
        </w:tc>
      </w:tr>
      <w:tr w:rsidR="00C22DEC" w:rsidRPr="0009282C" w14:paraId="5A707E03" w14:textId="77777777" w:rsidTr="00F97B8A">
        <w:trPr>
          <w:trHeight w:val="2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0826FACF" w14:textId="77777777" w:rsidR="00C22DEC" w:rsidRPr="0009282C" w:rsidRDefault="00C22DEC" w:rsidP="00D821EC">
            <w:pPr>
              <w:pStyle w:val="TableText0"/>
              <w:keepNext/>
              <w:keepLines/>
              <w:spacing w:line="16" w:lineRule="atLeast"/>
            </w:pPr>
            <w:r w:rsidRPr="0009282C">
              <w:t>AE occurring in ≥10% of patients in either group</w:t>
            </w:r>
          </w:p>
        </w:tc>
      </w:tr>
      <w:tr w:rsidR="00056030" w:rsidRPr="0009282C" w14:paraId="5E4616C2" w14:textId="77777777" w:rsidTr="001F3D4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289F1661" w14:textId="77777777" w:rsidR="00056030" w:rsidRPr="0009282C" w:rsidRDefault="00056030" w:rsidP="00D821EC">
            <w:pPr>
              <w:pStyle w:val="TableText0"/>
              <w:keepNext/>
              <w:keepLines/>
              <w:spacing w:line="16" w:lineRule="atLeast"/>
            </w:pPr>
            <w:r w:rsidRPr="0009282C">
              <w:t>Injection site reaction</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A402E" w14:textId="77777777" w:rsidR="00056030" w:rsidRPr="0009282C" w:rsidRDefault="00056030" w:rsidP="00D821EC">
            <w:pPr>
              <w:pStyle w:val="TableText0"/>
              <w:keepNext/>
              <w:keepLines/>
              <w:spacing w:line="16" w:lineRule="atLeast"/>
              <w:jc w:val="center"/>
            </w:pPr>
            <w:r w:rsidRPr="0009282C">
              <w:t>10/26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D26B6" w14:textId="77777777" w:rsidR="00056030" w:rsidRPr="0009282C" w:rsidRDefault="00056030" w:rsidP="00D821EC">
            <w:pPr>
              <w:pStyle w:val="TableText0"/>
              <w:keepNext/>
              <w:keepLines/>
              <w:spacing w:line="16" w:lineRule="atLeast"/>
              <w:jc w:val="center"/>
            </w:pPr>
            <w:r w:rsidRPr="0009282C">
              <w:t>0/13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2F3A7" w14:textId="77777777" w:rsidR="00056030" w:rsidRPr="0009282C" w:rsidRDefault="00056030" w:rsidP="00D821EC">
            <w:pPr>
              <w:pStyle w:val="TableText0"/>
              <w:keepNext/>
              <w:keepLines/>
              <w:spacing w:line="16" w:lineRule="atLeast"/>
              <w:jc w:val="center"/>
            </w:pPr>
            <w:r w:rsidRPr="0009282C">
              <w:t>NE</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96255" w14:textId="77777777" w:rsidR="00056030" w:rsidRPr="0009282C" w:rsidRDefault="00056030" w:rsidP="00056030">
            <w:pPr>
              <w:pStyle w:val="TableText0"/>
              <w:keepNext/>
              <w:keepLines/>
              <w:spacing w:line="16" w:lineRule="atLeast"/>
              <w:jc w:val="center"/>
            </w:pPr>
            <w:r>
              <w:t>38</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06F1B2EE" w14:textId="7451EC58" w:rsidR="00056030" w:rsidRPr="0009282C" w:rsidRDefault="00056030" w:rsidP="00056030">
            <w:pPr>
              <w:pStyle w:val="TableText0"/>
              <w:keepNext/>
              <w:keepLines/>
              <w:spacing w:line="16" w:lineRule="atLeast"/>
              <w:jc w:val="center"/>
            </w:pPr>
            <w:r>
              <w:t>0</w:t>
            </w:r>
          </w:p>
        </w:tc>
        <w:tc>
          <w:tcPr>
            <w:tcW w:w="742" w:type="pct"/>
            <w:tcBorders>
              <w:top w:val="single" w:sz="4" w:space="0" w:color="auto"/>
              <w:left w:val="single" w:sz="4" w:space="0" w:color="auto"/>
              <w:bottom w:val="single" w:sz="4" w:space="0" w:color="auto"/>
              <w:right w:val="single" w:sz="4" w:space="0" w:color="auto"/>
            </w:tcBorders>
            <w:shd w:val="clear" w:color="auto" w:fill="auto"/>
          </w:tcPr>
          <w:p w14:paraId="016A18CD" w14:textId="4D76DB3D" w:rsidR="00056030" w:rsidRPr="0009282C" w:rsidRDefault="00056030" w:rsidP="001E7C2E">
            <w:pPr>
              <w:pStyle w:val="TableText0"/>
              <w:keepNext/>
              <w:keepLines/>
              <w:spacing w:line="16" w:lineRule="atLeast"/>
              <w:jc w:val="center"/>
            </w:pPr>
            <w:r>
              <w:t>0.38</w:t>
            </w:r>
          </w:p>
        </w:tc>
      </w:tr>
      <w:tr w:rsidR="00C22DEC" w:rsidRPr="0009282C" w14:paraId="664ADA1B"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41E409B6" w14:textId="77777777" w:rsidR="00C22DEC" w:rsidRPr="0009282C" w:rsidRDefault="00C22DEC" w:rsidP="00D821EC">
            <w:pPr>
              <w:pStyle w:val="TableText0"/>
              <w:keepNext/>
              <w:keepLines/>
              <w:spacing w:line="16" w:lineRule="atLeast"/>
            </w:pPr>
            <w:r w:rsidRPr="0009282C">
              <w:t>Headache</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56C5F" w14:textId="77777777" w:rsidR="00C22DEC" w:rsidRPr="0009282C" w:rsidRDefault="00C22DEC" w:rsidP="00D821EC">
            <w:pPr>
              <w:pStyle w:val="TableText0"/>
              <w:keepNext/>
              <w:keepLines/>
              <w:spacing w:line="16" w:lineRule="atLeast"/>
              <w:jc w:val="center"/>
            </w:pPr>
            <w:r w:rsidRPr="0009282C">
              <w:t>3/26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B6FDF" w14:textId="77777777" w:rsidR="00C22DEC" w:rsidRPr="0009282C" w:rsidRDefault="00C22DEC" w:rsidP="00D821EC">
            <w:pPr>
              <w:pStyle w:val="TableText0"/>
              <w:keepNext/>
              <w:keepLines/>
              <w:spacing w:line="16" w:lineRule="atLeast"/>
              <w:jc w:val="center"/>
            </w:pPr>
            <w:r w:rsidRPr="0009282C">
              <w:t>3/13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29A075" w14:textId="1A4B1EA3" w:rsidR="00C22DEC" w:rsidRPr="0009282C" w:rsidRDefault="00C22DEC" w:rsidP="002D3DD7">
            <w:pPr>
              <w:pStyle w:val="TableText0"/>
              <w:keepNext/>
              <w:keepLines/>
              <w:spacing w:line="16" w:lineRule="atLeast"/>
              <w:jc w:val="center"/>
            </w:pPr>
            <w:r w:rsidRPr="0009282C">
              <w:t xml:space="preserve">0.50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037B5" w14:textId="55E9A6A2" w:rsidR="00C22DEC" w:rsidRPr="0009282C" w:rsidRDefault="00C22DEC" w:rsidP="00F52387">
            <w:pPr>
              <w:pStyle w:val="TableText0"/>
              <w:keepNext/>
              <w:keepLines/>
              <w:spacing w:line="16" w:lineRule="atLeast"/>
              <w:jc w:val="center"/>
            </w:pPr>
            <w:r w:rsidRPr="0009282C">
              <w:t>12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22860335" w14:textId="77777777" w:rsidR="00C22DEC" w:rsidRPr="0009282C" w:rsidRDefault="00C22DEC" w:rsidP="00D821EC">
            <w:pPr>
              <w:pStyle w:val="TableText0"/>
              <w:keepNext/>
              <w:keepLines/>
              <w:spacing w:line="16" w:lineRule="atLeast"/>
              <w:jc w:val="center"/>
            </w:pPr>
            <w:r w:rsidRPr="0009282C">
              <w:t>23</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4BA078E6" w14:textId="5D206A64" w:rsidR="00C22DEC" w:rsidRPr="0009282C" w:rsidRDefault="00C22DEC" w:rsidP="002D3DD7">
            <w:pPr>
              <w:pStyle w:val="TableText0"/>
              <w:keepNext/>
              <w:keepLines/>
              <w:spacing w:line="16" w:lineRule="atLeast"/>
              <w:jc w:val="center"/>
            </w:pPr>
            <w:r w:rsidRPr="0009282C">
              <w:t>-0.12</w:t>
            </w:r>
          </w:p>
        </w:tc>
      </w:tr>
      <w:tr w:rsidR="00C22DEC" w:rsidRPr="0009282C" w14:paraId="1CFE3AFD"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609E33BE" w14:textId="77777777" w:rsidR="00C22DEC" w:rsidRPr="0009282C" w:rsidRDefault="00C22DEC" w:rsidP="00D821EC">
            <w:pPr>
              <w:pStyle w:val="TableText0"/>
              <w:keepNext/>
              <w:keepLines/>
              <w:spacing w:line="16" w:lineRule="atLeast"/>
            </w:pPr>
            <w:r w:rsidRPr="0009282C">
              <w:t>Rhinitis</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3FC7B" w14:textId="77777777" w:rsidR="00C22DEC" w:rsidRPr="0009282C" w:rsidRDefault="00C22DEC" w:rsidP="00D821EC">
            <w:pPr>
              <w:pStyle w:val="TableText0"/>
              <w:keepNext/>
              <w:keepLines/>
              <w:spacing w:line="16" w:lineRule="atLeast"/>
              <w:jc w:val="center"/>
            </w:pPr>
            <w:r w:rsidRPr="0009282C">
              <w:t>2/26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9C935" w14:textId="77777777" w:rsidR="00C22DEC" w:rsidRPr="0009282C" w:rsidRDefault="00C22DEC" w:rsidP="00D821EC">
            <w:pPr>
              <w:pStyle w:val="TableText0"/>
              <w:keepNext/>
              <w:keepLines/>
              <w:spacing w:line="16" w:lineRule="atLeast"/>
              <w:jc w:val="center"/>
            </w:pPr>
            <w:r w:rsidRPr="0009282C">
              <w:t>2/13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44E299" w14:textId="519090FC" w:rsidR="00C22DEC" w:rsidRPr="0009282C" w:rsidRDefault="00C22DEC" w:rsidP="002D3DD7">
            <w:pPr>
              <w:pStyle w:val="TableText0"/>
              <w:keepNext/>
              <w:keepLines/>
              <w:spacing w:line="16" w:lineRule="atLeast"/>
              <w:jc w:val="center"/>
            </w:pPr>
            <w:r w:rsidRPr="0009282C">
              <w:t xml:space="preserve">0.50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B160" w14:textId="718C4007" w:rsidR="00C22DEC" w:rsidRPr="0009282C" w:rsidRDefault="00C22DEC" w:rsidP="00F52387">
            <w:pPr>
              <w:pStyle w:val="TableText0"/>
              <w:keepNext/>
              <w:keepLines/>
              <w:spacing w:line="16" w:lineRule="atLeast"/>
              <w:jc w:val="center"/>
            </w:pPr>
            <w:r w:rsidRPr="0009282C">
              <w:t xml:space="preserve">8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6D2AA62F" w14:textId="77777777" w:rsidR="00C22DEC" w:rsidRPr="0009282C" w:rsidRDefault="00C22DEC" w:rsidP="00D821EC">
            <w:pPr>
              <w:pStyle w:val="TableText0"/>
              <w:keepNext/>
              <w:keepLines/>
              <w:spacing w:line="16" w:lineRule="atLeast"/>
              <w:jc w:val="center"/>
            </w:pPr>
            <w:r w:rsidRPr="0009282C">
              <w:t>15</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76F7D6F4" w14:textId="3049B343" w:rsidR="00C22DEC" w:rsidRPr="0009282C" w:rsidRDefault="00C22DEC" w:rsidP="002D3DD7">
            <w:pPr>
              <w:pStyle w:val="TableText0"/>
              <w:keepNext/>
              <w:keepLines/>
              <w:spacing w:line="16" w:lineRule="atLeast"/>
              <w:jc w:val="center"/>
            </w:pPr>
            <w:r w:rsidRPr="0009282C">
              <w:t xml:space="preserve">-0.08 </w:t>
            </w:r>
          </w:p>
        </w:tc>
      </w:tr>
      <w:tr w:rsidR="00C22DEC" w:rsidRPr="0009282C" w14:paraId="064E020C"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6029C88F" w14:textId="77777777" w:rsidR="00C22DEC" w:rsidRPr="0009282C" w:rsidRDefault="00C22DEC" w:rsidP="00D821EC">
            <w:pPr>
              <w:pStyle w:val="TableText0"/>
              <w:keepNext/>
              <w:keepLines/>
              <w:spacing w:line="16" w:lineRule="atLeast"/>
            </w:pPr>
            <w:r w:rsidRPr="0009282C">
              <w:t>Upper respiratory infection</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00F2F" w14:textId="77777777" w:rsidR="00C22DEC" w:rsidRPr="0009282C" w:rsidRDefault="00C22DEC" w:rsidP="00D821EC">
            <w:pPr>
              <w:pStyle w:val="TableText0"/>
              <w:keepNext/>
              <w:keepLines/>
              <w:spacing w:line="16" w:lineRule="atLeast"/>
              <w:jc w:val="center"/>
            </w:pPr>
            <w:r w:rsidRPr="0009282C">
              <w:t>2/26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353DF" w14:textId="77777777" w:rsidR="00C22DEC" w:rsidRPr="0009282C" w:rsidRDefault="00C22DEC" w:rsidP="00D821EC">
            <w:pPr>
              <w:pStyle w:val="TableText0"/>
              <w:keepNext/>
              <w:keepLines/>
              <w:spacing w:line="16" w:lineRule="atLeast"/>
              <w:jc w:val="center"/>
            </w:pPr>
            <w:r w:rsidRPr="0009282C">
              <w:t>2/13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544AA" w14:textId="3216FD7F" w:rsidR="00C22DEC" w:rsidRPr="0009282C" w:rsidRDefault="00C22DEC" w:rsidP="00D821EC">
            <w:pPr>
              <w:pStyle w:val="TableText0"/>
              <w:keepNext/>
              <w:keepLines/>
              <w:spacing w:line="16" w:lineRule="atLeast"/>
              <w:jc w:val="center"/>
            </w:pPr>
            <w:r w:rsidRPr="0009282C">
              <w:t xml:space="preserve">0.50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7FF82" w14:textId="0611BE28" w:rsidR="00C22DEC" w:rsidRPr="0009282C" w:rsidRDefault="00C22DEC" w:rsidP="00F52387">
            <w:pPr>
              <w:pStyle w:val="TableText0"/>
              <w:keepNext/>
              <w:keepLines/>
              <w:spacing w:line="16" w:lineRule="atLeast"/>
              <w:jc w:val="center"/>
            </w:pPr>
            <w:r w:rsidRPr="0009282C">
              <w:t xml:space="preserve">8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5F41D838" w14:textId="77777777" w:rsidR="00C22DEC" w:rsidRPr="0009282C" w:rsidRDefault="00C22DEC" w:rsidP="00D821EC">
            <w:pPr>
              <w:pStyle w:val="TableText0"/>
              <w:keepNext/>
              <w:keepLines/>
              <w:spacing w:line="16" w:lineRule="atLeast"/>
              <w:jc w:val="center"/>
            </w:pPr>
            <w:r w:rsidRPr="0009282C">
              <w:t>15</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2B8E1F28" w14:textId="55E83921" w:rsidR="00C22DEC" w:rsidRPr="0009282C" w:rsidRDefault="00C22DEC" w:rsidP="002D3DD7">
            <w:pPr>
              <w:pStyle w:val="TableText0"/>
              <w:keepNext/>
              <w:keepLines/>
              <w:spacing w:line="16" w:lineRule="atLeast"/>
              <w:jc w:val="center"/>
            </w:pPr>
            <w:r w:rsidRPr="0009282C">
              <w:t xml:space="preserve">-0.08 </w:t>
            </w:r>
          </w:p>
        </w:tc>
      </w:tr>
      <w:tr w:rsidR="00C22DEC" w:rsidRPr="0009282C" w14:paraId="4FF4B204" w14:textId="77777777" w:rsidTr="00F97B8A">
        <w:trPr>
          <w:trHeight w:val="20"/>
        </w:trPr>
        <w:tc>
          <w:tcPr>
            <w:tcW w:w="1774" w:type="pct"/>
            <w:tcBorders>
              <w:top w:val="single" w:sz="4" w:space="0" w:color="auto"/>
              <w:left w:val="single" w:sz="4" w:space="0" w:color="auto"/>
              <w:bottom w:val="single" w:sz="4" w:space="0" w:color="auto"/>
              <w:right w:val="single" w:sz="4" w:space="0" w:color="auto"/>
            </w:tcBorders>
            <w:shd w:val="clear" w:color="auto" w:fill="auto"/>
          </w:tcPr>
          <w:p w14:paraId="79B148E4" w14:textId="77777777" w:rsidR="00C22DEC" w:rsidRPr="0009282C" w:rsidRDefault="00C22DEC" w:rsidP="00D821EC">
            <w:pPr>
              <w:pStyle w:val="TableText0"/>
              <w:keepNext/>
              <w:keepLines/>
              <w:spacing w:line="16" w:lineRule="atLeast"/>
            </w:pPr>
            <w:r w:rsidRPr="0009282C">
              <w:rPr>
                <w:rStyle w:val="Strong"/>
                <w:b w:val="0"/>
                <w:bCs/>
              </w:rPr>
              <w:t>AEs related to study drug</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65E6C" w14:textId="77777777" w:rsidR="00C22DEC" w:rsidRPr="0009282C" w:rsidRDefault="00C22DEC" w:rsidP="00D821EC">
            <w:pPr>
              <w:pStyle w:val="TableText0"/>
              <w:keepNext/>
              <w:keepLines/>
              <w:spacing w:line="16" w:lineRule="atLeast"/>
              <w:jc w:val="center"/>
            </w:pPr>
            <w:r w:rsidRPr="0009282C">
              <w:t>11/26</w:t>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117FF" w14:textId="77777777" w:rsidR="00C22DEC" w:rsidRPr="0009282C" w:rsidRDefault="00C22DEC" w:rsidP="00D821EC">
            <w:pPr>
              <w:pStyle w:val="TableText0"/>
              <w:keepNext/>
              <w:keepLines/>
              <w:spacing w:line="16" w:lineRule="atLeast"/>
              <w:jc w:val="center"/>
            </w:pPr>
            <w:r w:rsidRPr="0009282C">
              <w:t>1/13</w:t>
            </w:r>
          </w:p>
        </w:tc>
        <w:tc>
          <w:tcPr>
            <w:tcW w:w="5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226567" w14:textId="4016F519" w:rsidR="00C22DEC" w:rsidRPr="0009282C" w:rsidRDefault="00C22DEC" w:rsidP="00D821EC">
            <w:pPr>
              <w:pStyle w:val="TableText0"/>
              <w:keepNext/>
              <w:keepLines/>
              <w:spacing w:line="16" w:lineRule="atLeast"/>
              <w:jc w:val="center"/>
            </w:pPr>
            <w:r w:rsidRPr="0009282C">
              <w:t xml:space="preserve">5.50 </w:t>
            </w:r>
          </w:p>
        </w:tc>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28098" w14:textId="1833F4F8" w:rsidR="00C22DEC" w:rsidRPr="0009282C" w:rsidRDefault="00C22DEC" w:rsidP="00F52387">
            <w:pPr>
              <w:pStyle w:val="TableText0"/>
              <w:keepNext/>
              <w:keepLines/>
              <w:spacing w:line="16" w:lineRule="atLeast"/>
              <w:jc w:val="center"/>
            </w:pPr>
            <w:r w:rsidRPr="0009282C">
              <w:t xml:space="preserve">42 </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14:paraId="4B3C246E" w14:textId="77777777" w:rsidR="00C22DEC" w:rsidRPr="0009282C" w:rsidRDefault="00C22DEC" w:rsidP="00D821EC">
            <w:pPr>
              <w:pStyle w:val="TableText0"/>
              <w:keepNext/>
              <w:keepLines/>
              <w:spacing w:line="16" w:lineRule="atLeast"/>
              <w:jc w:val="center"/>
            </w:pPr>
            <w:r w:rsidRPr="0009282C">
              <w:t>8</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240431BC" w14:textId="47CD0832" w:rsidR="00C22DEC" w:rsidRPr="0009282C" w:rsidRDefault="00C22DEC" w:rsidP="002D3DD7">
            <w:pPr>
              <w:pStyle w:val="TableText0"/>
              <w:keepNext/>
              <w:keepLines/>
              <w:spacing w:line="16" w:lineRule="atLeast"/>
              <w:jc w:val="center"/>
            </w:pPr>
            <w:r w:rsidRPr="0009282C">
              <w:t xml:space="preserve">0.35 </w:t>
            </w:r>
          </w:p>
        </w:tc>
      </w:tr>
    </w:tbl>
    <w:p w14:paraId="53E4EC6B" w14:textId="1C36B515" w:rsidR="007050DE" w:rsidRPr="0009282C" w:rsidRDefault="00580660" w:rsidP="001E6A64">
      <w:pPr>
        <w:pStyle w:val="TableFigureFooter"/>
      </w:pPr>
      <w:r w:rsidRPr="0009282C">
        <w:t>Abbreviations:</w:t>
      </w:r>
      <w:r w:rsidR="007E1AB1" w:rsidRPr="0009282C">
        <w:rPr>
          <w:b/>
        </w:rPr>
        <w:t xml:space="preserve"> </w:t>
      </w:r>
      <w:r w:rsidR="007050DE" w:rsidRPr="0009282C">
        <w:t>AE</w:t>
      </w:r>
      <w:r w:rsidR="0014603C" w:rsidRPr="0009282C">
        <w:t>,</w:t>
      </w:r>
      <w:r w:rsidR="00022725" w:rsidRPr="0009282C">
        <w:t xml:space="preserve"> </w:t>
      </w:r>
      <w:r w:rsidR="007050DE" w:rsidRPr="0009282C">
        <w:t>adverse event; CI</w:t>
      </w:r>
      <w:r w:rsidR="0014603C" w:rsidRPr="0009282C">
        <w:t>,</w:t>
      </w:r>
      <w:r w:rsidR="00022725" w:rsidRPr="0009282C">
        <w:t xml:space="preserve"> </w:t>
      </w:r>
      <w:r w:rsidR="007050DE" w:rsidRPr="0009282C">
        <w:t>confidence interval; h</w:t>
      </w:r>
      <w:r w:rsidR="0014603C" w:rsidRPr="0009282C">
        <w:t>,</w:t>
      </w:r>
      <w:r w:rsidR="00022725" w:rsidRPr="0009282C">
        <w:t xml:space="preserve"> </w:t>
      </w:r>
      <w:r w:rsidR="007050DE" w:rsidRPr="0009282C">
        <w:t>hour; NA</w:t>
      </w:r>
      <w:r w:rsidR="0014603C" w:rsidRPr="0009282C">
        <w:t>,</w:t>
      </w:r>
      <w:r w:rsidR="00022725" w:rsidRPr="0009282C">
        <w:t xml:space="preserve"> </w:t>
      </w:r>
      <w:r w:rsidR="007050DE" w:rsidRPr="0009282C">
        <w:t>not applicable; NE</w:t>
      </w:r>
      <w:r w:rsidR="0014603C" w:rsidRPr="0009282C">
        <w:t>,</w:t>
      </w:r>
      <w:r w:rsidR="00022725" w:rsidRPr="0009282C">
        <w:t xml:space="preserve"> </w:t>
      </w:r>
      <w:r w:rsidR="007050DE" w:rsidRPr="0009282C">
        <w:t>not estimable; RD</w:t>
      </w:r>
      <w:r w:rsidR="0014603C" w:rsidRPr="0009282C">
        <w:t>,</w:t>
      </w:r>
      <w:r w:rsidR="00022725" w:rsidRPr="0009282C">
        <w:t xml:space="preserve"> </w:t>
      </w:r>
      <w:r w:rsidR="007050DE" w:rsidRPr="0009282C">
        <w:t>risk difference; R</w:t>
      </w:r>
      <w:r w:rsidR="0014603C" w:rsidRPr="0009282C">
        <w:t>R,</w:t>
      </w:r>
      <w:r w:rsidR="00022725" w:rsidRPr="0009282C">
        <w:t xml:space="preserve"> </w:t>
      </w:r>
      <w:r w:rsidR="007050DE" w:rsidRPr="0009282C">
        <w:t>risk ratio; SD</w:t>
      </w:r>
      <w:r w:rsidR="0014603C" w:rsidRPr="0009282C">
        <w:t>,</w:t>
      </w:r>
      <w:r w:rsidR="00022725" w:rsidRPr="0009282C">
        <w:t xml:space="preserve"> </w:t>
      </w:r>
      <w:r w:rsidR="007050DE" w:rsidRPr="0009282C">
        <w:t>standard deviation; ULN</w:t>
      </w:r>
      <w:r w:rsidR="0014603C" w:rsidRPr="0009282C">
        <w:t>,</w:t>
      </w:r>
      <w:r w:rsidR="00022725" w:rsidRPr="0009282C">
        <w:t xml:space="preserve"> </w:t>
      </w:r>
      <w:r w:rsidR="007050DE" w:rsidRPr="0009282C">
        <w:t>upper limit of normal.</w:t>
      </w:r>
    </w:p>
    <w:p w14:paraId="0F558658" w14:textId="653598F3" w:rsidR="00361135" w:rsidRPr="0009282C" w:rsidRDefault="00580660" w:rsidP="001E6A64">
      <w:pPr>
        <w:pStyle w:val="TableFigureFooter"/>
      </w:pPr>
      <w:r w:rsidRPr="0009282C">
        <w:t>Source:</w:t>
      </w:r>
      <w:r w:rsidR="00361135" w:rsidRPr="0009282C">
        <w:t xml:space="preserve"> constructed during </w:t>
      </w:r>
      <w:r w:rsidR="00D77B7D" w:rsidRPr="0009282C">
        <w:t>the evaluation</w:t>
      </w:r>
      <w:r w:rsidR="00361135" w:rsidRPr="0009282C">
        <w:t xml:space="preserve">, based on data from the CSR and the submission. </w:t>
      </w:r>
    </w:p>
    <w:p w14:paraId="43DBC392" w14:textId="4640B61A" w:rsidR="00022725" w:rsidRPr="0009282C" w:rsidRDefault="00022725" w:rsidP="00EC48DC">
      <w:pPr>
        <w:pStyle w:val="3-BodyText"/>
        <w:rPr>
          <w:iCs/>
        </w:rPr>
      </w:pPr>
      <w:bookmarkStart w:id="53" w:name="_Toc22897644"/>
      <w:r w:rsidRPr="0009282C">
        <w:rPr>
          <w:iCs/>
        </w:rPr>
        <w:t>On the basis of the direct evidence presented in the ILLUMINATE-A trial</w:t>
      </w:r>
      <w:r w:rsidR="00CC23D9" w:rsidRPr="0009282C">
        <w:rPr>
          <w:iCs/>
        </w:rPr>
        <w:t>,</w:t>
      </w:r>
      <w:r w:rsidR="00DE6B14" w:rsidRPr="0009282C">
        <w:rPr>
          <w:iCs/>
        </w:rPr>
        <w:t xml:space="preserve"> </w:t>
      </w:r>
      <w:r w:rsidRPr="0009282C">
        <w:rPr>
          <w:iCs/>
        </w:rPr>
        <w:t>patients</w:t>
      </w:r>
      <w:r w:rsidR="009B1806" w:rsidRPr="0009282C">
        <w:rPr>
          <w:iCs/>
        </w:rPr>
        <w:t xml:space="preserve"> (at least 6 years of age)</w:t>
      </w:r>
      <w:r w:rsidRPr="0009282C">
        <w:rPr>
          <w:iCs/>
        </w:rPr>
        <w:t xml:space="preserve"> with PH1 treated with </w:t>
      </w:r>
      <w:proofErr w:type="spellStart"/>
      <w:r w:rsidRPr="0009282C">
        <w:rPr>
          <w:iCs/>
        </w:rPr>
        <w:t>lumasiran</w:t>
      </w:r>
      <w:proofErr w:type="spellEnd"/>
      <w:r w:rsidRPr="0009282C">
        <w:rPr>
          <w:iCs/>
        </w:rPr>
        <w:t xml:space="preserve"> in comparison to placebo, over 6 months</w:t>
      </w:r>
      <w:r w:rsidR="005D309D" w:rsidRPr="0009282C">
        <w:rPr>
          <w:iCs/>
        </w:rPr>
        <w:t xml:space="preserve"> would on average experience</w:t>
      </w:r>
      <w:r w:rsidRPr="0009282C">
        <w:rPr>
          <w:iCs/>
        </w:rPr>
        <w:t>:</w:t>
      </w:r>
    </w:p>
    <w:p w14:paraId="2431BAF8" w14:textId="6EF00512" w:rsidR="00022725" w:rsidRPr="0009282C" w:rsidRDefault="00ED1F2D" w:rsidP="00B96529">
      <w:pPr>
        <w:pStyle w:val="3-BodyText"/>
        <w:numPr>
          <w:ilvl w:val="0"/>
          <w:numId w:val="7"/>
        </w:numPr>
        <w:ind w:left="1134"/>
        <w:rPr>
          <w:iCs/>
        </w:rPr>
      </w:pPr>
      <w:r w:rsidRPr="0009282C">
        <w:rPr>
          <w:iCs/>
        </w:rPr>
        <w:t>a</w:t>
      </w:r>
      <w:r w:rsidR="00022725" w:rsidRPr="0009282C">
        <w:rPr>
          <w:iCs/>
        </w:rPr>
        <w:t>pproximately a 5</w:t>
      </w:r>
      <w:r w:rsidR="006455D7" w:rsidRPr="0009282C">
        <w:rPr>
          <w:iCs/>
        </w:rPr>
        <w:t>4</w:t>
      </w:r>
      <w:r w:rsidR="00C322FA" w:rsidRPr="0009282C">
        <w:rPr>
          <w:iCs/>
        </w:rPr>
        <w:t xml:space="preserve"> percentage point</w:t>
      </w:r>
      <w:r w:rsidR="00022725" w:rsidRPr="0009282C">
        <w:rPr>
          <w:iCs/>
        </w:rPr>
        <w:t xml:space="preserve"> </w:t>
      </w:r>
      <w:r w:rsidR="008854B6" w:rsidRPr="0009282C">
        <w:rPr>
          <w:iCs/>
        </w:rPr>
        <w:t xml:space="preserve">greater </w:t>
      </w:r>
      <w:r w:rsidR="00022725" w:rsidRPr="0009282C">
        <w:rPr>
          <w:iCs/>
        </w:rPr>
        <w:t>reduction in 24-hour urinary oxalate excretion</w:t>
      </w:r>
      <w:r w:rsidR="00022725" w:rsidRPr="0009282C" w:rsidDel="00363456">
        <w:rPr>
          <w:iCs/>
        </w:rPr>
        <w:t xml:space="preserve"> </w:t>
      </w:r>
      <w:r w:rsidR="000E144A" w:rsidRPr="0009282C">
        <w:rPr>
          <w:iCs/>
        </w:rPr>
        <w:t>from baseline</w:t>
      </w:r>
      <w:r w:rsidR="00022725" w:rsidRPr="0009282C">
        <w:rPr>
          <w:iCs/>
        </w:rPr>
        <w:t xml:space="preserve">. </w:t>
      </w:r>
    </w:p>
    <w:p w14:paraId="446A60B1" w14:textId="511AB71B" w:rsidR="00B6051D" w:rsidRPr="0009282C" w:rsidRDefault="00B6051D" w:rsidP="00EC48DC">
      <w:pPr>
        <w:pStyle w:val="3-BodyText"/>
        <w:rPr>
          <w:iCs/>
        </w:rPr>
      </w:pPr>
      <w:r w:rsidRPr="0009282C">
        <w:rPr>
          <w:iCs/>
        </w:rPr>
        <w:t xml:space="preserve">On the basis of the direct evidence presented in the ILLUMINATE-A trial (patients at least 6 years of age), </w:t>
      </w:r>
      <w:r w:rsidR="00CD2E2F" w:rsidRPr="0009282C">
        <w:rPr>
          <w:iCs/>
        </w:rPr>
        <w:t xml:space="preserve">for every 100 </w:t>
      </w:r>
      <w:r w:rsidRPr="0009282C">
        <w:rPr>
          <w:iCs/>
        </w:rPr>
        <w:t xml:space="preserve">patients with PH1 treated with </w:t>
      </w:r>
      <w:proofErr w:type="spellStart"/>
      <w:r w:rsidRPr="0009282C">
        <w:rPr>
          <w:iCs/>
        </w:rPr>
        <w:t>lumasiran</w:t>
      </w:r>
      <w:proofErr w:type="spellEnd"/>
      <w:r w:rsidRPr="0009282C">
        <w:rPr>
          <w:iCs/>
        </w:rPr>
        <w:t xml:space="preserve"> in comparison to placebo, over 6 months</w:t>
      </w:r>
      <w:r w:rsidR="004F6C1D" w:rsidRPr="0009282C">
        <w:rPr>
          <w:iCs/>
        </w:rPr>
        <w:t>:</w:t>
      </w:r>
    </w:p>
    <w:p w14:paraId="768FDADD" w14:textId="5A6B59C9" w:rsidR="00022725" w:rsidRPr="0009282C" w:rsidRDefault="00997523" w:rsidP="00B96529">
      <w:pPr>
        <w:pStyle w:val="3-BodyText"/>
        <w:numPr>
          <w:ilvl w:val="0"/>
          <w:numId w:val="7"/>
        </w:numPr>
        <w:ind w:left="1134"/>
        <w:rPr>
          <w:iCs/>
        </w:rPr>
      </w:pPr>
      <w:r w:rsidRPr="0009282C">
        <w:rPr>
          <w:iCs/>
        </w:rPr>
        <w:t>a</w:t>
      </w:r>
      <w:r w:rsidR="00022725" w:rsidRPr="0009282C">
        <w:rPr>
          <w:iCs/>
        </w:rPr>
        <w:t>pproximately 84</w:t>
      </w:r>
      <w:r w:rsidR="00A25B14" w:rsidRPr="0009282C">
        <w:rPr>
          <w:iCs/>
        </w:rPr>
        <w:t xml:space="preserve"> more patients would </w:t>
      </w:r>
      <w:r w:rsidR="004619E2" w:rsidRPr="0009282C">
        <w:rPr>
          <w:iCs/>
        </w:rPr>
        <w:t>achieve an</w:t>
      </w:r>
      <w:r w:rsidR="00DE6B14" w:rsidRPr="0009282C">
        <w:rPr>
          <w:iCs/>
        </w:rPr>
        <w:t xml:space="preserve"> </w:t>
      </w:r>
      <w:r w:rsidR="00022725" w:rsidRPr="0009282C">
        <w:rPr>
          <w:iCs/>
        </w:rPr>
        <w:t xml:space="preserve">improvement in 24-hour urinary oxalate level normalisation </w:t>
      </w:r>
      <w:r w:rsidR="00F97B8A" w:rsidRPr="0009282C">
        <w:rPr>
          <w:iCs/>
        </w:rPr>
        <w:t>(≤</w:t>
      </w:r>
      <w:r w:rsidR="00022725" w:rsidRPr="0009282C">
        <w:rPr>
          <w:iCs/>
        </w:rPr>
        <w:t xml:space="preserve">ULN) or near-normalisation (≤1.5xULN) </w:t>
      </w:r>
      <w:r w:rsidRPr="0009282C">
        <w:rPr>
          <w:iCs/>
        </w:rPr>
        <w:t>from baseline</w:t>
      </w:r>
      <w:r w:rsidR="00022725" w:rsidRPr="0009282C">
        <w:rPr>
          <w:iCs/>
        </w:rPr>
        <w:t xml:space="preserve">. </w:t>
      </w:r>
    </w:p>
    <w:p w14:paraId="17C433AF" w14:textId="5E663D18" w:rsidR="00737D75" w:rsidRPr="0009282C" w:rsidRDefault="00484A7E" w:rsidP="00B96529">
      <w:pPr>
        <w:pStyle w:val="3-BodyText"/>
        <w:numPr>
          <w:ilvl w:val="0"/>
          <w:numId w:val="7"/>
        </w:numPr>
        <w:ind w:left="1134"/>
        <w:rPr>
          <w:iCs/>
        </w:rPr>
      </w:pPr>
      <w:r>
        <w:rPr>
          <w:iCs/>
        </w:rPr>
        <w:t>a</w:t>
      </w:r>
      <w:r w:rsidR="00737D75" w:rsidRPr="0009282C">
        <w:rPr>
          <w:iCs/>
        </w:rPr>
        <w:t xml:space="preserve">pproximately </w:t>
      </w:r>
      <w:r w:rsidR="0072539F">
        <w:rPr>
          <w:iCs/>
        </w:rPr>
        <w:t>38</w:t>
      </w:r>
      <w:r w:rsidR="00737D75" w:rsidRPr="0009282C">
        <w:rPr>
          <w:iCs/>
        </w:rPr>
        <w:t xml:space="preserve"> more patients would experience an </w:t>
      </w:r>
      <w:r w:rsidR="0072539F">
        <w:rPr>
          <w:iCs/>
        </w:rPr>
        <w:t>injection site reaction</w:t>
      </w:r>
      <w:r w:rsidR="00997523" w:rsidRPr="0009282C">
        <w:rPr>
          <w:iCs/>
        </w:rPr>
        <w:t>.</w:t>
      </w:r>
    </w:p>
    <w:p w14:paraId="28C1376B" w14:textId="09A84BAC" w:rsidR="0084162B" w:rsidRPr="0009282C" w:rsidRDefault="00B60939" w:rsidP="00D854C2">
      <w:pPr>
        <w:pStyle w:val="4-SubsectionHeading"/>
      </w:pPr>
      <w:bookmarkStart w:id="54" w:name="_Toc188443840"/>
      <w:r w:rsidRPr="0009282C">
        <w:t>Clinical claim</w:t>
      </w:r>
      <w:bookmarkEnd w:id="53"/>
      <w:bookmarkEnd w:id="54"/>
    </w:p>
    <w:p w14:paraId="2C713163" w14:textId="2383C9A0" w:rsidR="00203146" w:rsidRPr="0009282C" w:rsidRDefault="00203146" w:rsidP="00203146">
      <w:pPr>
        <w:pStyle w:val="3-BodyText"/>
        <w:rPr>
          <w:iCs/>
        </w:rPr>
      </w:pPr>
      <w:r w:rsidRPr="0009282C">
        <w:rPr>
          <w:iCs/>
        </w:rPr>
        <w:t xml:space="preserve">The ESC considered that the clinical claim of superior effectiveness compared with BSC alone was adequately supported by the clinical data presented in the submission. However, the magnitude of benefit was uncertain due to the rarity of primary hyperoxaluria type 1 </w:t>
      </w:r>
      <w:r w:rsidR="009D284D">
        <w:rPr>
          <w:iCs/>
        </w:rPr>
        <w:t>and the associated</w:t>
      </w:r>
      <w:r w:rsidRPr="0009282C">
        <w:rPr>
          <w:iCs/>
        </w:rPr>
        <w:t xml:space="preserve"> small number of patients included in the clinical trials. </w:t>
      </w:r>
    </w:p>
    <w:p w14:paraId="25575E2F" w14:textId="4B5C42D8" w:rsidR="009C7EA4" w:rsidRPr="0009282C" w:rsidRDefault="009C7EA4" w:rsidP="00EC48DC">
      <w:pPr>
        <w:pStyle w:val="3-BodyText"/>
        <w:rPr>
          <w:iCs/>
        </w:rPr>
      </w:pPr>
      <w:r w:rsidRPr="0009282C">
        <w:rPr>
          <w:iCs/>
        </w:rPr>
        <w:t xml:space="preserve">The ESC </w:t>
      </w:r>
      <w:r w:rsidR="00212A51" w:rsidRPr="0009282C">
        <w:rPr>
          <w:iCs/>
        </w:rPr>
        <w:t xml:space="preserve">noted that </w:t>
      </w:r>
      <w:r w:rsidR="008A747F" w:rsidRPr="0009282C">
        <w:rPr>
          <w:iCs/>
        </w:rPr>
        <w:t xml:space="preserve">while </w:t>
      </w:r>
      <w:r w:rsidR="00212A51" w:rsidRPr="0009282C">
        <w:rPr>
          <w:iCs/>
        </w:rPr>
        <w:t>treatment is intended for lifelong use or until patients receives a liver transplant</w:t>
      </w:r>
      <w:r w:rsidR="008A747F" w:rsidRPr="0009282C">
        <w:rPr>
          <w:iCs/>
        </w:rPr>
        <w:t>,</w:t>
      </w:r>
      <w:r w:rsidR="002E3C75" w:rsidRPr="0009282C">
        <w:rPr>
          <w:iCs/>
        </w:rPr>
        <w:t xml:space="preserve"> the long-term effectiveness</w:t>
      </w:r>
      <w:r w:rsidR="002B07A7" w:rsidRPr="0009282C">
        <w:rPr>
          <w:iCs/>
        </w:rPr>
        <w:t xml:space="preserve"> and safety</w:t>
      </w:r>
      <w:r w:rsidR="002E3C75" w:rsidRPr="0009282C">
        <w:rPr>
          <w:iCs/>
        </w:rPr>
        <w:t xml:space="preserve"> of </w:t>
      </w:r>
      <w:proofErr w:type="spellStart"/>
      <w:r w:rsidR="006260D0" w:rsidRPr="0009282C">
        <w:rPr>
          <w:iCs/>
        </w:rPr>
        <w:t>lumasiran</w:t>
      </w:r>
      <w:proofErr w:type="spellEnd"/>
      <w:r w:rsidR="006260D0" w:rsidRPr="0009282C">
        <w:rPr>
          <w:iCs/>
        </w:rPr>
        <w:t xml:space="preserve"> versus BSC was unknown</w:t>
      </w:r>
      <w:r w:rsidR="00AD08DC" w:rsidRPr="0009282C">
        <w:rPr>
          <w:iCs/>
        </w:rPr>
        <w:t>.</w:t>
      </w:r>
    </w:p>
    <w:p w14:paraId="62F31FFB" w14:textId="3D5E7898" w:rsidR="00752F50" w:rsidRPr="0009282C" w:rsidRDefault="00752F50" w:rsidP="00EC48DC">
      <w:pPr>
        <w:pStyle w:val="3-BodyText"/>
        <w:rPr>
          <w:rFonts w:eastAsia="Calibri"/>
          <w:iCs/>
        </w:rPr>
      </w:pPr>
      <w:r w:rsidRPr="0009282C">
        <w:rPr>
          <w:iCs/>
        </w:rPr>
        <w:t xml:space="preserve">The ESC noted that no comparative data was available for paediatric patients less than 6 years of age. The ESC considered that the superior effectiveness of </w:t>
      </w:r>
      <w:proofErr w:type="spellStart"/>
      <w:r w:rsidRPr="0009282C">
        <w:rPr>
          <w:iCs/>
        </w:rPr>
        <w:t>lumasiran</w:t>
      </w:r>
      <w:proofErr w:type="spellEnd"/>
      <w:r w:rsidRPr="0009282C">
        <w:rPr>
          <w:iCs/>
        </w:rPr>
        <w:t xml:space="preserve"> versus BSC observed for individuals ≥ 6 years (ILLUMINATE-A) was likely generalisable to younger children, based on the study results of ILLUMINATE-B (patients were enrolled between 37 weeks estimated gestational age and &lt;6 years).</w:t>
      </w:r>
    </w:p>
    <w:p w14:paraId="62CDEBF2" w14:textId="24EA6D6E" w:rsidR="007504B3" w:rsidRPr="0009282C" w:rsidRDefault="005F7588" w:rsidP="00EC48DC">
      <w:pPr>
        <w:pStyle w:val="3-BodyText"/>
      </w:pPr>
      <w:r w:rsidRPr="0009282C">
        <w:t xml:space="preserve">The submission described </w:t>
      </w:r>
      <w:proofErr w:type="spellStart"/>
      <w:r w:rsidR="002E4C9B" w:rsidRPr="0009282C">
        <w:t>lumasiran</w:t>
      </w:r>
      <w:proofErr w:type="spellEnd"/>
      <w:r w:rsidR="00043EA0" w:rsidRPr="0009282C">
        <w:t>, when used in addition to BSC,</w:t>
      </w:r>
      <w:r w:rsidRPr="0009282C">
        <w:t xml:space="preserve"> as</w:t>
      </w:r>
      <w:r w:rsidR="003B32FE" w:rsidRPr="0009282C">
        <w:t xml:space="preserve"> </w:t>
      </w:r>
      <w:r w:rsidR="00B72B9A" w:rsidRPr="0009282C">
        <w:t>’</w:t>
      </w:r>
      <w:r w:rsidR="00C44D3B" w:rsidRPr="0009282C">
        <w:t>comparable</w:t>
      </w:r>
      <w:r w:rsidR="00B72B9A" w:rsidRPr="0009282C">
        <w:t>’</w:t>
      </w:r>
      <w:r w:rsidRPr="0009282C">
        <w:t xml:space="preserve"> in term</w:t>
      </w:r>
      <w:r w:rsidR="00156F8F" w:rsidRPr="0009282C">
        <w:t>s</w:t>
      </w:r>
      <w:r w:rsidRPr="0009282C">
        <w:t xml:space="preserve"> of safety compared to </w:t>
      </w:r>
      <w:r w:rsidR="003B32FE" w:rsidRPr="0009282C">
        <w:t>BSC alone</w:t>
      </w:r>
      <w:r w:rsidRPr="0009282C">
        <w:t xml:space="preserve">. </w:t>
      </w:r>
      <w:r w:rsidR="005347A3" w:rsidRPr="0009282C">
        <w:t xml:space="preserve">The ESC considered that this claim was not adequately supported. While </w:t>
      </w:r>
      <w:proofErr w:type="spellStart"/>
      <w:r w:rsidR="005347A3" w:rsidRPr="0009282C">
        <w:t>lumasiran</w:t>
      </w:r>
      <w:proofErr w:type="spellEnd"/>
      <w:r w:rsidR="005347A3" w:rsidRPr="0009282C">
        <w:t xml:space="preserve"> appeared to be generally well tolerated in the ILLUMINATE studies, injection site reactions were common for </w:t>
      </w:r>
      <w:proofErr w:type="spellStart"/>
      <w:r w:rsidR="005347A3" w:rsidRPr="0009282C">
        <w:t>lumasiran</w:t>
      </w:r>
      <w:proofErr w:type="spellEnd"/>
      <w:r w:rsidR="000B729B" w:rsidRPr="0009282C">
        <w:t>-treated</w:t>
      </w:r>
      <w:r w:rsidR="005347A3" w:rsidRPr="0009282C">
        <w:t xml:space="preserve"> patients. For this reason, the ESC considered that </w:t>
      </w:r>
      <w:proofErr w:type="spellStart"/>
      <w:r w:rsidR="005347A3" w:rsidRPr="0009282C">
        <w:t>lumasiran</w:t>
      </w:r>
      <w:proofErr w:type="spellEnd"/>
      <w:r w:rsidR="005347A3" w:rsidRPr="0009282C">
        <w:t xml:space="preserve"> likely had inferior safety compared to BSC.</w:t>
      </w:r>
    </w:p>
    <w:p w14:paraId="742CB183" w14:textId="185AADD6" w:rsidR="002F7E0F" w:rsidRPr="0009282C" w:rsidRDefault="002F7E0F" w:rsidP="002F7E0F">
      <w:pPr>
        <w:pStyle w:val="3-BodyText"/>
        <w:rPr>
          <w:snapToGrid w:val="0"/>
        </w:rPr>
      </w:pPr>
      <w:bookmarkStart w:id="55" w:name="_Hlk76376200"/>
      <w:r w:rsidRPr="0009282C">
        <w:rPr>
          <w:iCs/>
          <w:snapToGrid w:val="0"/>
        </w:rPr>
        <w:t>The</w:t>
      </w:r>
      <w:r w:rsidRPr="0009282C">
        <w:rPr>
          <w:snapToGrid w:val="0"/>
        </w:rPr>
        <w:t xml:space="preserve"> PBAC considered that the claim of superior comparative effectiveness was reasonable.</w:t>
      </w:r>
    </w:p>
    <w:p w14:paraId="6E9F6683" w14:textId="62426D49" w:rsidR="002F7E0F" w:rsidRPr="0009282C" w:rsidRDefault="002F7E0F" w:rsidP="002F7E0F">
      <w:pPr>
        <w:pStyle w:val="3-BodyText"/>
        <w:rPr>
          <w:snapToGrid w:val="0"/>
        </w:rPr>
      </w:pPr>
      <w:r w:rsidRPr="0009282C">
        <w:rPr>
          <w:snapToGrid w:val="0"/>
        </w:rPr>
        <w:t xml:space="preserve">The PBAC considered that the claim of </w:t>
      </w:r>
      <w:r w:rsidR="001829A4" w:rsidRPr="0009282C">
        <w:rPr>
          <w:snapToGrid w:val="0"/>
        </w:rPr>
        <w:t>‘</w:t>
      </w:r>
      <w:r w:rsidR="00CD6070" w:rsidRPr="0009282C">
        <w:rPr>
          <w:snapToGrid w:val="0"/>
        </w:rPr>
        <w:t>comparable</w:t>
      </w:r>
      <w:r w:rsidR="001829A4" w:rsidRPr="0009282C">
        <w:rPr>
          <w:snapToGrid w:val="0"/>
        </w:rPr>
        <w:t>’</w:t>
      </w:r>
      <w:r w:rsidR="00CD6070" w:rsidRPr="0009282C">
        <w:rPr>
          <w:snapToGrid w:val="0"/>
        </w:rPr>
        <w:t xml:space="preserve"> </w:t>
      </w:r>
      <w:r w:rsidRPr="0009282C">
        <w:rPr>
          <w:snapToGrid w:val="0"/>
        </w:rPr>
        <w:t>comparative safety was not adequately supported by the data.</w:t>
      </w:r>
      <w:bookmarkEnd w:id="55"/>
    </w:p>
    <w:p w14:paraId="1BB5E3CA" w14:textId="77777777" w:rsidR="005830DE" w:rsidRPr="0009282C" w:rsidRDefault="00B60939" w:rsidP="005830DE">
      <w:pPr>
        <w:pStyle w:val="4-SubsectionHeading"/>
      </w:pPr>
      <w:bookmarkStart w:id="56" w:name="_Toc22897645"/>
      <w:bookmarkStart w:id="57" w:name="_Toc107927631"/>
      <w:bookmarkStart w:id="58" w:name="_Toc188443841"/>
      <w:r w:rsidRPr="0009282C">
        <w:t>Economic analysis</w:t>
      </w:r>
      <w:bookmarkEnd w:id="56"/>
      <w:bookmarkEnd w:id="57"/>
      <w:bookmarkEnd w:id="58"/>
      <w:r w:rsidR="00491B3A" w:rsidRPr="0009282C">
        <w:t xml:space="preserve"> </w:t>
      </w:r>
    </w:p>
    <w:p w14:paraId="2BF07255" w14:textId="1006C6F9" w:rsidR="005830DE" w:rsidRPr="0009282C" w:rsidRDefault="005830DE" w:rsidP="00EC48DC">
      <w:pPr>
        <w:pStyle w:val="3-BodyText"/>
      </w:pPr>
      <w:r w:rsidRPr="0009282C">
        <w:rPr>
          <w:rStyle w:val="3-BodyTextChar"/>
        </w:rPr>
        <w:t xml:space="preserve">The submission presented </w:t>
      </w:r>
      <w:r w:rsidR="007C735D" w:rsidRPr="0009282C">
        <w:rPr>
          <w:rStyle w:val="3-BodyTextChar"/>
        </w:rPr>
        <w:t>a</w:t>
      </w:r>
      <w:r w:rsidRPr="0009282C">
        <w:rPr>
          <w:rStyle w:val="3-BodyTextChar"/>
        </w:rPr>
        <w:t xml:space="preserve"> modelled economic evaluation of </w:t>
      </w:r>
      <w:proofErr w:type="spellStart"/>
      <w:r w:rsidRPr="0009282C">
        <w:rPr>
          <w:rStyle w:val="3-BodyTextChar"/>
        </w:rPr>
        <w:t>lumasiran</w:t>
      </w:r>
      <w:proofErr w:type="spellEnd"/>
      <w:r w:rsidRPr="0009282C">
        <w:rPr>
          <w:rStyle w:val="3-BodyTextChar"/>
        </w:rPr>
        <w:t xml:space="preserve"> with </w:t>
      </w:r>
      <w:r w:rsidR="005C0002" w:rsidRPr="0009282C">
        <w:rPr>
          <w:rStyle w:val="3-BodyTextChar"/>
        </w:rPr>
        <w:t>BSC</w:t>
      </w:r>
      <w:r w:rsidRPr="0009282C">
        <w:rPr>
          <w:rStyle w:val="3-BodyTextChar"/>
        </w:rPr>
        <w:t xml:space="preserve"> compared to </w:t>
      </w:r>
      <w:r w:rsidR="005C0002" w:rsidRPr="0009282C">
        <w:rPr>
          <w:rStyle w:val="3-BodyTextChar"/>
        </w:rPr>
        <w:t>BSC</w:t>
      </w:r>
      <w:r w:rsidRPr="0009282C">
        <w:rPr>
          <w:rStyle w:val="3-BodyTextChar"/>
        </w:rPr>
        <w:t xml:space="preserve"> alone in patients with PH1. The economic evaluation was based on data </w:t>
      </w:r>
      <w:r w:rsidR="002275EF" w:rsidRPr="0009282C">
        <w:rPr>
          <w:rStyle w:val="3-BodyTextChar"/>
        </w:rPr>
        <w:t xml:space="preserve">from </w:t>
      </w:r>
      <w:r w:rsidRPr="0009282C">
        <w:rPr>
          <w:rStyle w:val="3-BodyTextChar"/>
        </w:rPr>
        <w:t xml:space="preserve">the three ILLUMINATE </w:t>
      </w:r>
      <w:r w:rsidR="00001044" w:rsidRPr="0009282C">
        <w:rPr>
          <w:rStyle w:val="3-BodyTextChar"/>
        </w:rPr>
        <w:t>trials and</w:t>
      </w:r>
      <w:r w:rsidR="00D74363" w:rsidRPr="0009282C">
        <w:rPr>
          <w:rStyle w:val="3-BodyTextChar"/>
        </w:rPr>
        <w:t xml:space="preserve"> included</w:t>
      </w:r>
      <w:r w:rsidRPr="0009282C">
        <w:rPr>
          <w:rStyle w:val="3-BodyTextChar"/>
        </w:rPr>
        <w:t xml:space="preserve"> additional literature data. The economic analysis was presented as a cost-utility analysis</w:t>
      </w:r>
      <w:r w:rsidR="00763C51" w:rsidRPr="0009282C">
        <w:rPr>
          <w:rStyle w:val="3-BodyTextChar"/>
        </w:rPr>
        <w:t xml:space="preserve"> (CUA)</w:t>
      </w:r>
      <w:r w:rsidRPr="0009282C">
        <w:rPr>
          <w:rStyle w:val="3-BodyTextChar"/>
        </w:rPr>
        <w:t xml:space="preserve"> over </w:t>
      </w:r>
      <w:r w:rsidR="00D922F4" w:rsidRPr="0009282C">
        <w:rPr>
          <w:rStyle w:val="3-BodyTextChar"/>
        </w:rPr>
        <w:t>a</w:t>
      </w:r>
      <w:r w:rsidRPr="0009282C">
        <w:rPr>
          <w:rStyle w:val="3-BodyTextChar"/>
        </w:rPr>
        <w:t xml:space="preserve"> lifetime </w:t>
      </w:r>
      <w:r w:rsidR="00D479B1" w:rsidRPr="0009282C">
        <w:rPr>
          <w:rStyle w:val="3-BodyTextChar"/>
        </w:rPr>
        <w:t xml:space="preserve">time </w:t>
      </w:r>
      <w:r w:rsidRPr="0009282C">
        <w:rPr>
          <w:rStyle w:val="3-BodyTextChar"/>
        </w:rPr>
        <w:t>horizon.</w:t>
      </w:r>
      <w:r w:rsidRPr="0009282C">
        <w:t xml:space="preserve"> </w:t>
      </w:r>
    </w:p>
    <w:p w14:paraId="160FE1B3" w14:textId="092C67EE" w:rsidR="00DC11A2" w:rsidRPr="0009282C" w:rsidRDefault="00FE3468" w:rsidP="00EC48DC">
      <w:pPr>
        <w:pStyle w:val="3-BodyText"/>
        <w:rPr>
          <w:rStyle w:val="CommentReference"/>
          <w:rFonts w:asciiTheme="minorHAnsi" w:hAnsiTheme="minorHAnsi"/>
          <w:b w:val="0"/>
          <w:sz w:val="24"/>
          <w:szCs w:val="22"/>
        </w:rPr>
      </w:pPr>
      <w:r w:rsidRPr="0009282C">
        <w:rPr>
          <w:rStyle w:val="CommentReference"/>
          <w:rFonts w:asciiTheme="minorHAnsi" w:hAnsiTheme="minorHAnsi"/>
          <w:b w:val="0"/>
          <w:sz w:val="24"/>
          <w:szCs w:val="22"/>
        </w:rPr>
        <w:fldChar w:fldCharType="begin" w:fldLock="1"/>
      </w:r>
      <w:r w:rsidRPr="0009282C">
        <w:rPr>
          <w:rStyle w:val="CommentReference"/>
          <w:rFonts w:asciiTheme="minorHAnsi" w:hAnsiTheme="minorHAnsi"/>
          <w:b w:val="0"/>
          <w:sz w:val="24"/>
          <w:szCs w:val="22"/>
        </w:rPr>
        <w:instrText xml:space="preserve"> REF _Ref187324959 \h </w:instrText>
      </w:r>
      <w:r w:rsidRPr="0009282C">
        <w:rPr>
          <w:rStyle w:val="CommentReference"/>
          <w:rFonts w:asciiTheme="minorHAnsi" w:hAnsiTheme="minorHAnsi"/>
          <w:b w:val="0"/>
          <w:sz w:val="24"/>
          <w:szCs w:val="22"/>
        </w:rPr>
      </w:r>
      <w:r w:rsidRPr="0009282C">
        <w:rPr>
          <w:rStyle w:val="CommentReference"/>
          <w:rFonts w:asciiTheme="minorHAnsi" w:hAnsiTheme="minorHAnsi"/>
          <w:b w:val="0"/>
          <w:sz w:val="24"/>
          <w:szCs w:val="22"/>
        </w:rPr>
        <w:fldChar w:fldCharType="separate"/>
      </w:r>
      <w:r w:rsidR="00771DFF" w:rsidRPr="0009282C">
        <w:t xml:space="preserve">Table </w:t>
      </w:r>
      <w:r w:rsidR="00771DFF">
        <w:rPr>
          <w:noProof/>
        </w:rPr>
        <w:t>10</w:t>
      </w:r>
      <w:r w:rsidRPr="0009282C">
        <w:rPr>
          <w:rStyle w:val="CommentReference"/>
          <w:rFonts w:asciiTheme="minorHAnsi" w:hAnsiTheme="minorHAnsi"/>
          <w:b w:val="0"/>
          <w:sz w:val="24"/>
          <w:szCs w:val="22"/>
        </w:rPr>
        <w:fldChar w:fldCharType="end"/>
      </w:r>
      <w:r w:rsidRPr="0009282C">
        <w:rPr>
          <w:rStyle w:val="CommentReference"/>
          <w:rFonts w:asciiTheme="minorHAnsi" w:hAnsiTheme="minorHAnsi"/>
          <w:b w:val="0"/>
          <w:sz w:val="24"/>
          <w:szCs w:val="22"/>
        </w:rPr>
        <w:t xml:space="preserve"> presents a summary of the model structure and key inputs and rationale of the economic evaluation.</w:t>
      </w:r>
    </w:p>
    <w:p w14:paraId="786DA196" w14:textId="564FF056" w:rsidR="005830DE" w:rsidRPr="0009282C" w:rsidRDefault="005830DE" w:rsidP="005830DE">
      <w:pPr>
        <w:pStyle w:val="Caption"/>
      </w:pPr>
      <w:bookmarkStart w:id="59" w:name="_Ref187324959"/>
      <w:r w:rsidRPr="0009282C">
        <w:t xml:space="preserve">Table </w:t>
      </w:r>
      <w:r w:rsidR="000D4330">
        <w:fldChar w:fldCharType="begin" w:fldLock="1"/>
      </w:r>
      <w:r w:rsidR="000D4330">
        <w:instrText xml:space="preserve"> SEQ Table \* ARABIC </w:instrText>
      </w:r>
      <w:r w:rsidR="000D4330">
        <w:fldChar w:fldCharType="separate"/>
      </w:r>
      <w:r w:rsidR="00771DFF">
        <w:rPr>
          <w:noProof/>
        </w:rPr>
        <w:t>10</w:t>
      </w:r>
      <w:r w:rsidR="000D4330">
        <w:rPr>
          <w:noProof/>
        </w:rPr>
        <w:fldChar w:fldCharType="end"/>
      </w:r>
      <w:bookmarkEnd w:id="59"/>
      <w:r w:rsidR="00825E60" w:rsidRPr="0009282C">
        <w:t xml:space="preserve">: </w:t>
      </w:r>
      <w:r w:rsidRPr="0009282C">
        <w:rPr>
          <w:szCs w:val="20"/>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065"/>
        <w:gridCol w:w="6952"/>
      </w:tblGrid>
      <w:tr w:rsidR="005830DE" w:rsidRPr="0009282C" w14:paraId="1C2979D4" w14:textId="77777777" w:rsidTr="00D821EC">
        <w:trPr>
          <w:cantSplit/>
          <w:tblHeader/>
        </w:trPr>
        <w:tc>
          <w:tcPr>
            <w:tcW w:w="1145" w:type="pct"/>
            <w:tcMar>
              <w:top w:w="0" w:type="dxa"/>
              <w:bottom w:w="0" w:type="dxa"/>
            </w:tcMar>
            <w:vAlign w:val="center"/>
          </w:tcPr>
          <w:p w14:paraId="20DCE87C" w14:textId="77777777" w:rsidR="005830DE" w:rsidRPr="0009282C" w:rsidRDefault="005830DE" w:rsidP="009C3CAF">
            <w:pPr>
              <w:pStyle w:val="In-tableHeading"/>
              <w:jc w:val="center"/>
              <w:rPr>
                <w:lang w:val="en-AU"/>
              </w:rPr>
            </w:pPr>
            <w:r w:rsidRPr="0009282C">
              <w:rPr>
                <w:lang w:val="en-AU"/>
              </w:rPr>
              <w:t>Component</w:t>
            </w:r>
          </w:p>
        </w:tc>
        <w:tc>
          <w:tcPr>
            <w:tcW w:w="3855" w:type="pct"/>
            <w:tcMar>
              <w:top w:w="0" w:type="dxa"/>
              <w:bottom w:w="0" w:type="dxa"/>
            </w:tcMar>
          </w:tcPr>
          <w:p w14:paraId="55CFB397" w14:textId="77777777" w:rsidR="005830DE" w:rsidRPr="0009282C" w:rsidRDefault="005830DE" w:rsidP="009C3CAF">
            <w:pPr>
              <w:pStyle w:val="In-tableHeading"/>
              <w:jc w:val="center"/>
              <w:rPr>
                <w:lang w:val="en-AU"/>
              </w:rPr>
            </w:pPr>
            <w:r w:rsidRPr="0009282C">
              <w:rPr>
                <w:lang w:val="en-AU"/>
              </w:rPr>
              <w:t>Description</w:t>
            </w:r>
          </w:p>
        </w:tc>
      </w:tr>
      <w:tr w:rsidR="005830DE" w:rsidRPr="0009282C" w14:paraId="33B8EECA" w14:textId="77777777" w:rsidTr="00D821EC">
        <w:trPr>
          <w:cantSplit/>
        </w:trPr>
        <w:tc>
          <w:tcPr>
            <w:tcW w:w="1145" w:type="pct"/>
            <w:tcMar>
              <w:top w:w="0" w:type="dxa"/>
              <w:bottom w:w="0" w:type="dxa"/>
            </w:tcMar>
            <w:vAlign w:val="center"/>
          </w:tcPr>
          <w:p w14:paraId="7E3388E9" w14:textId="77777777" w:rsidR="005830DE" w:rsidRPr="0009282C" w:rsidRDefault="005830DE" w:rsidP="009C3CAF">
            <w:pPr>
              <w:pStyle w:val="TableText0"/>
            </w:pPr>
            <w:r w:rsidRPr="0009282C">
              <w:t>Treatments</w:t>
            </w:r>
          </w:p>
        </w:tc>
        <w:tc>
          <w:tcPr>
            <w:tcW w:w="3855" w:type="pct"/>
            <w:tcMar>
              <w:top w:w="0" w:type="dxa"/>
              <w:bottom w:w="0" w:type="dxa"/>
            </w:tcMar>
          </w:tcPr>
          <w:p w14:paraId="1A185D1D" w14:textId="33F56135" w:rsidR="005830DE" w:rsidRPr="0009282C" w:rsidRDefault="005830DE" w:rsidP="009C3CAF">
            <w:pPr>
              <w:pStyle w:val="TableText0"/>
            </w:pPr>
            <w:proofErr w:type="spellStart"/>
            <w:r w:rsidRPr="0009282C">
              <w:rPr>
                <w:rFonts w:cs="Arial"/>
              </w:rPr>
              <w:t>Lumasiran</w:t>
            </w:r>
            <w:proofErr w:type="spellEnd"/>
            <w:r w:rsidRPr="0009282C">
              <w:rPr>
                <w:rFonts w:cs="Arial"/>
              </w:rPr>
              <w:t xml:space="preserve"> with BSC vs BSC alone</w:t>
            </w:r>
          </w:p>
        </w:tc>
      </w:tr>
      <w:tr w:rsidR="005830DE" w:rsidRPr="0009282C" w14:paraId="63388269" w14:textId="77777777" w:rsidTr="00D821EC">
        <w:trPr>
          <w:cantSplit/>
        </w:trPr>
        <w:tc>
          <w:tcPr>
            <w:tcW w:w="1145" w:type="pct"/>
            <w:tcMar>
              <w:top w:w="0" w:type="dxa"/>
              <w:bottom w:w="0" w:type="dxa"/>
            </w:tcMar>
            <w:vAlign w:val="center"/>
          </w:tcPr>
          <w:p w14:paraId="58AD7946" w14:textId="77777777" w:rsidR="005830DE" w:rsidRPr="0009282C" w:rsidRDefault="005830DE" w:rsidP="009C3CAF">
            <w:pPr>
              <w:pStyle w:val="TableText0"/>
            </w:pPr>
            <w:r w:rsidRPr="0009282C">
              <w:t>Type of analysis</w:t>
            </w:r>
          </w:p>
        </w:tc>
        <w:tc>
          <w:tcPr>
            <w:tcW w:w="3855" w:type="pct"/>
            <w:tcMar>
              <w:top w:w="0" w:type="dxa"/>
              <w:bottom w:w="0" w:type="dxa"/>
            </w:tcMar>
          </w:tcPr>
          <w:p w14:paraId="12124D9F" w14:textId="77777777" w:rsidR="005830DE" w:rsidRPr="0009282C" w:rsidRDefault="005830DE" w:rsidP="009C3CAF">
            <w:pPr>
              <w:pStyle w:val="TableText0"/>
            </w:pPr>
            <w:r w:rsidRPr="0009282C">
              <w:t>Cost-utility analysis</w:t>
            </w:r>
          </w:p>
        </w:tc>
      </w:tr>
      <w:tr w:rsidR="005830DE" w:rsidRPr="0009282C" w14:paraId="58637AAC" w14:textId="77777777" w:rsidTr="00D821EC">
        <w:trPr>
          <w:cantSplit/>
        </w:trPr>
        <w:tc>
          <w:tcPr>
            <w:tcW w:w="1145" w:type="pct"/>
            <w:tcMar>
              <w:top w:w="0" w:type="dxa"/>
              <w:bottom w:w="0" w:type="dxa"/>
            </w:tcMar>
            <w:vAlign w:val="center"/>
          </w:tcPr>
          <w:p w14:paraId="09EFD216" w14:textId="77777777" w:rsidR="005830DE" w:rsidRPr="0009282C" w:rsidRDefault="005830DE" w:rsidP="009C3CAF">
            <w:pPr>
              <w:pStyle w:val="TableText0"/>
            </w:pPr>
            <w:r w:rsidRPr="0009282C">
              <w:t>Perspective</w:t>
            </w:r>
          </w:p>
        </w:tc>
        <w:tc>
          <w:tcPr>
            <w:tcW w:w="3855" w:type="pct"/>
            <w:tcMar>
              <w:top w:w="0" w:type="dxa"/>
              <w:bottom w:w="0" w:type="dxa"/>
            </w:tcMar>
          </w:tcPr>
          <w:p w14:paraId="505B4499" w14:textId="77777777" w:rsidR="005830DE" w:rsidRPr="0009282C" w:rsidRDefault="005830DE" w:rsidP="009C3CAF">
            <w:pPr>
              <w:pStyle w:val="TableText0"/>
            </w:pPr>
            <w:r w:rsidRPr="0009282C">
              <w:t>Australian healthcare system</w:t>
            </w:r>
          </w:p>
        </w:tc>
      </w:tr>
      <w:tr w:rsidR="005830DE" w:rsidRPr="0009282C" w14:paraId="29C854F8" w14:textId="77777777" w:rsidTr="00D821EC">
        <w:trPr>
          <w:cantSplit/>
        </w:trPr>
        <w:tc>
          <w:tcPr>
            <w:tcW w:w="1145" w:type="pct"/>
            <w:tcMar>
              <w:top w:w="0" w:type="dxa"/>
              <w:bottom w:w="0" w:type="dxa"/>
            </w:tcMar>
            <w:vAlign w:val="center"/>
          </w:tcPr>
          <w:p w14:paraId="7B65F132" w14:textId="77777777" w:rsidR="005830DE" w:rsidRPr="0009282C" w:rsidRDefault="005830DE" w:rsidP="009C3CAF">
            <w:pPr>
              <w:pStyle w:val="TableText0"/>
            </w:pPr>
            <w:r w:rsidRPr="0009282C">
              <w:t>Outcomes</w:t>
            </w:r>
          </w:p>
        </w:tc>
        <w:tc>
          <w:tcPr>
            <w:tcW w:w="3855" w:type="pct"/>
            <w:tcMar>
              <w:top w:w="0" w:type="dxa"/>
              <w:bottom w:w="0" w:type="dxa"/>
            </w:tcMar>
          </w:tcPr>
          <w:p w14:paraId="10E30DC4" w14:textId="7124DF8C" w:rsidR="005830DE" w:rsidRPr="0009282C" w:rsidRDefault="005830DE" w:rsidP="009C3CAF">
            <w:pPr>
              <w:pStyle w:val="NoSpacing"/>
              <w:rPr>
                <w:rFonts w:ascii="Arial Narrow" w:eastAsiaTheme="majorEastAsia" w:hAnsi="Arial Narrow" w:cstheme="majorBidi"/>
                <w:bCs/>
                <w:snapToGrid/>
                <w:sz w:val="20"/>
                <w:szCs w:val="24"/>
                <w:lang w:eastAsia="en-AU"/>
              </w:rPr>
            </w:pPr>
            <w:r w:rsidRPr="0009282C">
              <w:rPr>
                <w:rFonts w:ascii="Arial Narrow" w:eastAsiaTheme="majorEastAsia" w:hAnsi="Arial Narrow" w:cstheme="majorBidi"/>
                <w:bCs/>
                <w:snapToGrid/>
                <w:sz w:val="20"/>
                <w:szCs w:val="24"/>
                <w:lang w:eastAsia="en-AU"/>
              </w:rPr>
              <w:t>LY</w:t>
            </w:r>
            <w:r w:rsidR="00791B0D" w:rsidRPr="0009282C">
              <w:rPr>
                <w:rFonts w:ascii="Arial Narrow" w:eastAsiaTheme="majorEastAsia" w:hAnsi="Arial Narrow" w:cstheme="majorBidi"/>
                <w:bCs/>
                <w:snapToGrid/>
                <w:sz w:val="20"/>
                <w:szCs w:val="24"/>
                <w:lang w:eastAsia="en-AU"/>
              </w:rPr>
              <w:t>s</w:t>
            </w:r>
          </w:p>
          <w:p w14:paraId="7193E2C1" w14:textId="77777777" w:rsidR="005830DE" w:rsidRPr="0009282C" w:rsidRDefault="005830DE" w:rsidP="009C3CAF">
            <w:pPr>
              <w:pStyle w:val="NoSpacing"/>
              <w:rPr>
                <w:rFonts w:ascii="Arial Narrow" w:eastAsiaTheme="majorEastAsia" w:hAnsi="Arial Narrow" w:cstheme="majorBidi"/>
                <w:bCs/>
                <w:snapToGrid/>
                <w:sz w:val="20"/>
                <w:szCs w:val="24"/>
                <w:lang w:eastAsia="en-AU"/>
              </w:rPr>
            </w:pPr>
            <w:r w:rsidRPr="0009282C">
              <w:rPr>
                <w:rFonts w:ascii="Arial Narrow" w:eastAsiaTheme="majorEastAsia" w:hAnsi="Arial Narrow" w:cstheme="majorBidi"/>
                <w:bCs/>
                <w:snapToGrid/>
                <w:sz w:val="20"/>
                <w:szCs w:val="24"/>
                <w:lang w:eastAsia="en-AU"/>
              </w:rPr>
              <w:t>QALYs</w:t>
            </w:r>
          </w:p>
          <w:p w14:paraId="516EFC0D" w14:textId="77777777" w:rsidR="005830DE" w:rsidRPr="0009282C" w:rsidRDefault="005830DE" w:rsidP="009C3CAF">
            <w:pPr>
              <w:pStyle w:val="TableText0"/>
            </w:pPr>
            <w:r w:rsidRPr="0009282C">
              <w:t>Costs</w:t>
            </w:r>
          </w:p>
        </w:tc>
      </w:tr>
      <w:tr w:rsidR="00896110" w:rsidRPr="0009282C" w14:paraId="536F9E92" w14:textId="77777777" w:rsidTr="00D821EC">
        <w:trPr>
          <w:cantSplit/>
        </w:trPr>
        <w:tc>
          <w:tcPr>
            <w:tcW w:w="1145" w:type="pct"/>
            <w:tcMar>
              <w:top w:w="0" w:type="dxa"/>
              <w:bottom w:w="0" w:type="dxa"/>
            </w:tcMar>
            <w:vAlign w:val="center"/>
          </w:tcPr>
          <w:p w14:paraId="431FF6CF" w14:textId="56132AF9" w:rsidR="00896110" w:rsidRPr="0009282C" w:rsidRDefault="00896110" w:rsidP="009C3CAF">
            <w:pPr>
              <w:pStyle w:val="TableText0"/>
            </w:pPr>
            <w:r w:rsidRPr="0009282C">
              <w:t>Patient cohort</w:t>
            </w:r>
          </w:p>
        </w:tc>
        <w:tc>
          <w:tcPr>
            <w:tcW w:w="3855" w:type="pct"/>
            <w:tcMar>
              <w:top w:w="0" w:type="dxa"/>
              <w:bottom w:w="0" w:type="dxa"/>
            </w:tcMar>
          </w:tcPr>
          <w:p w14:paraId="064D5285" w14:textId="786F2CC5" w:rsidR="00B517E0" w:rsidRPr="0009282C" w:rsidRDefault="00896110" w:rsidP="009C3CAF">
            <w:pPr>
              <w:pStyle w:val="TableText0"/>
              <w:rPr>
                <w:iCs/>
              </w:rPr>
            </w:pPr>
            <w:r w:rsidRPr="0009282C">
              <w:t>The model assumed the initial cohort to have 70.6% paediatric patients at a mean initial age of 6.9 years and 29.4% adult patients at a mean initial age of 34.2 years (derived from the ILLUMINATE trials).</w:t>
            </w:r>
            <w:r w:rsidR="00CE3515" w:rsidRPr="0009282C">
              <w:t xml:space="preserve"> </w:t>
            </w:r>
            <w:r w:rsidR="00CE3515" w:rsidRPr="0009282C">
              <w:rPr>
                <w:iCs/>
              </w:rPr>
              <w:t>The cohorts entered the model across different distributions of CKD stages</w:t>
            </w:r>
            <w:r w:rsidR="00E30D5D" w:rsidRPr="0009282C">
              <w:rPr>
                <w:iCs/>
              </w:rPr>
              <w:t xml:space="preserve">. </w:t>
            </w:r>
            <w:r w:rsidR="00B517E0" w:rsidRPr="0009282C">
              <w:rPr>
                <w:iCs/>
              </w:rPr>
              <w:t>Paediatric</w:t>
            </w:r>
            <w:r w:rsidR="00F70AD8" w:rsidRPr="0009282C">
              <w:rPr>
                <w:iCs/>
              </w:rPr>
              <w:t xml:space="preserve">: CKD1-2: </w:t>
            </w:r>
            <w:r w:rsidR="00454585" w:rsidRPr="0009282C">
              <w:rPr>
                <w:iCs/>
              </w:rPr>
              <w:t>22%; CKD3a: 19%; CKD3b: 19%; CKD4: 19%</w:t>
            </w:r>
            <w:r w:rsidR="00945D9A" w:rsidRPr="0009282C">
              <w:rPr>
                <w:iCs/>
              </w:rPr>
              <w:t>; ESKD: 20%</w:t>
            </w:r>
          </w:p>
          <w:p w14:paraId="3C4C3A91" w14:textId="3A3232C6" w:rsidR="00945D9A" w:rsidRPr="0009282C" w:rsidRDefault="00945D9A" w:rsidP="009C3CAF">
            <w:pPr>
              <w:pStyle w:val="TableText0"/>
            </w:pPr>
            <w:r w:rsidRPr="0009282C">
              <w:rPr>
                <w:iCs/>
              </w:rPr>
              <w:t xml:space="preserve">Adult: CKD1-2: </w:t>
            </w:r>
            <w:r w:rsidR="00564F25" w:rsidRPr="0009282C">
              <w:rPr>
                <w:iCs/>
              </w:rPr>
              <w:t>13</w:t>
            </w:r>
            <w:r w:rsidRPr="0009282C">
              <w:rPr>
                <w:iCs/>
              </w:rPr>
              <w:t xml:space="preserve">%; CKD3a: </w:t>
            </w:r>
            <w:r w:rsidR="00564F25" w:rsidRPr="0009282C">
              <w:rPr>
                <w:iCs/>
              </w:rPr>
              <w:t>13</w:t>
            </w:r>
            <w:r w:rsidRPr="0009282C">
              <w:rPr>
                <w:iCs/>
              </w:rPr>
              <w:t xml:space="preserve">%; CKD3b: </w:t>
            </w:r>
            <w:r w:rsidR="00564F25" w:rsidRPr="0009282C">
              <w:rPr>
                <w:iCs/>
              </w:rPr>
              <w:t>13</w:t>
            </w:r>
            <w:r w:rsidRPr="0009282C">
              <w:rPr>
                <w:iCs/>
              </w:rPr>
              <w:t xml:space="preserve">%; CKD4: 19%; ESKD: </w:t>
            </w:r>
            <w:r w:rsidR="00564F25" w:rsidRPr="0009282C">
              <w:rPr>
                <w:iCs/>
              </w:rPr>
              <w:t>42</w:t>
            </w:r>
            <w:r w:rsidRPr="0009282C">
              <w:rPr>
                <w:iCs/>
              </w:rPr>
              <w:t>%</w:t>
            </w:r>
          </w:p>
        </w:tc>
      </w:tr>
      <w:tr w:rsidR="005830DE" w:rsidRPr="0009282C" w14:paraId="745E2A8C" w14:textId="77777777" w:rsidTr="00D821EC">
        <w:trPr>
          <w:cantSplit/>
        </w:trPr>
        <w:tc>
          <w:tcPr>
            <w:tcW w:w="1145" w:type="pct"/>
            <w:tcMar>
              <w:top w:w="0" w:type="dxa"/>
              <w:bottom w:w="0" w:type="dxa"/>
            </w:tcMar>
            <w:vAlign w:val="center"/>
          </w:tcPr>
          <w:p w14:paraId="05706432" w14:textId="77777777" w:rsidR="005830DE" w:rsidRPr="0009282C" w:rsidRDefault="005830DE" w:rsidP="009C3CAF">
            <w:pPr>
              <w:pStyle w:val="TableText0"/>
            </w:pPr>
            <w:r w:rsidRPr="0009282C">
              <w:t>Time horizon</w:t>
            </w:r>
          </w:p>
        </w:tc>
        <w:tc>
          <w:tcPr>
            <w:tcW w:w="3855" w:type="pct"/>
            <w:tcMar>
              <w:top w:w="0" w:type="dxa"/>
              <w:bottom w:w="0" w:type="dxa"/>
            </w:tcMar>
          </w:tcPr>
          <w:p w14:paraId="43C08B2F" w14:textId="13B23715" w:rsidR="005830DE" w:rsidRPr="0009282C" w:rsidRDefault="005830DE" w:rsidP="009C3CAF">
            <w:pPr>
              <w:pStyle w:val="TableText0"/>
            </w:pPr>
            <w:r w:rsidRPr="0009282C">
              <w:t>Lifetime</w:t>
            </w:r>
            <w:r w:rsidR="00251236" w:rsidRPr="0009282C">
              <w:t xml:space="preserve">, </w:t>
            </w:r>
            <w:r w:rsidR="00B17021" w:rsidRPr="0009282C">
              <w:t>allowing for up to</w:t>
            </w:r>
            <w:r w:rsidR="00BC4C1C" w:rsidRPr="0009282C">
              <w:t xml:space="preserve"> </w:t>
            </w:r>
            <w:r w:rsidR="00296BC5" w:rsidRPr="0009282C">
              <w:t xml:space="preserve">100 years (200 </w:t>
            </w:r>
            <w:r w:rsidR="00B17021" w:rsidRPr="0009282C">
              <w:t xml:space="preserve">model </w:t>
            </w:r>
            <w:r w:rsidR="00296BC5" w:rsidRPr="0009282C">
              <w:t xml:space="preserve">cycles) </w:t>
            </w:r>
            <w:r w:rsidR="004E073F" w:rsidRPr="0009282C">
              <w:t xml:space="preserve">regardless of </w:t>
            </w:r>
            <w:r w:rsidR="005F0EF1" w:rsidRPr="0009282C">
              <w:t>patients’ initial age.</w:t>
            </w:r>
          </w:p>
          <w:p w14:paraId="4CA86CAE" w14:textId="5C3E4B3B" w:rsidR="005830DE" w:rsidRPr="0009282C" w:rsidRDefault="005830DE" w:rsidP="009C3CAF">
            <w:pPr>
              <w:pStyle w:val="TableText0"/>
            </w:pPr>
            <w:r w:rsidRPr="0009282C">
              <w:t>Sensitivity analyses include time horizon of 20 years</w:t>
            </w:r>
            <w:r w:rsidR="006D12F1" w:rsidRPr="0009282C">
              <w:t>.</w:t>
            </w:r>
          </w:p>
        </w:tc>
      </w:tr>
      <w:tr w:rsidR="005830DE" w:rsidRPr="0009282C" w14:paraId="5FC934A6" w14:textId="77777777" w:rsidTr="00D821EC">
        <w:trPr>
          <w:cantSplit/>
        </w:trPr>
        <w:tc>
          <w:tcPr>
            <w:tcW w:w="1145" w:type="pct"/>
            <w:tcMar>
              <w:top w:w="0" w:type="dxa"/>
              <w:bottom w:w="0" w:type="dxa"/>
            </w:tcMar>
            <w:vAlign w:val="center"/>
          </w:tcPr>
          <w:p w14:paraId="5B9326CE" w14:textId="77777777" w:rsidR="005830DE" w:rsidRPr="0009282C" w:rsidRDefault="005830DE" w:rsidP="009C3CAF">
            <w:pPr>
              <w:pStyle w:val="TableText0"/>
            </w:pPr>
            <w:r w:rsidRPr="0009282C">
              <w:t>Methods used to generate results</w:t>
            </w:r>
          </w:p>
        </w:tc>
        <w:tc>
          <w:tcPr>
            <w:tcW w:w="3855" w:type="pct"/>
            <w:tcMar>
              <w:top w:w="0" w:type="dxa"/>
              <w:bottom w:w="0" w:type="dxa"/>
            </w:tcMar>
          </w:tcPr>
          <w:p w14:paraId="3744A70B" w14:textId="7E870289" w:rsidR="005830DE" w:rsidRPr="0009282C" w:rsidRDefault="005830DE" w:rsidP="009C3CAF">
            <w:pPr>
              <w:pStyle w:val="TableText0"/>
            </w:pPr>
            <w:r w:rsidRPr="0009282C">
              <w:t>Markov cohort model</w:t>
            </w:r>
          </w:p>
        </w:tc>
      </w:tr>
      <w:tr w:rsidR="005830DE" w:rsidRPr="0009282C" w14:paraId="65014C57" w14:textId="77777777" w:rsidTr="00D821EC">
        <w:trPr>
          <w:cantSplit/>
        </w:trPr>
        <w:tc>
          <w:tcPr>
            <w:tcW w:w="1145" w:type="pct"/>
            <w:tcMar>
              <w:top w:w="0" w:type="dxa"/>
              <w:bottom w:w="0" w:type="dxa"/>
            </w:tcMar>
            <w:vAlign w:val="center"/>
          </w:tcPr>
          <w:p w14:paraId="44F5B479" w14:textId="77777777" w:rsidR="005830DE" w:rsidRPr="0009282C" w:rsidRDefault="005830DE" w:rsidP="009C3CAF">
            <w:pPr>
              <w:pStyle w:val="TableText0"/>
            </w:pPr>
            <w:r w:rsidRPr="0009282C">
              <w:t>Health states</w:t>
            </w:r>
          </w:p>
        </w:tc>
        <w:tc>
          <w:tcPr>
            <w:tcW w:w="3855" w:type="pct"/>
            <w:tcMar>
              <w:top w:w="0" w:type="dxa"/>
              <w:bottom w:w="0" w:type="dxa"/>
            </w:tcMar>
          </w:tcPr>
          <w:p w14:paraId="21195C94" w14:textId="0B150A0F" w:rsidR="00EC5FCB" w:rsidRPr="0009282C" w:rsidRDefault="005830DE" w:rsidP="009C3CAF">
            <w:pPr>
              <w:pStyle w:val="TableText0"/>
            </w:pPr>
            <w:r w:rsidRPr="0009282C">
              <w:t xml:space="preserve">The model incorporates </w:t>
            </w:r>
            <w:r w:rsidR="008F75AE" w:rsidRPr="0009282C">
              <w:t xml:space="preserve">10 </w:t>
            </w:r>
            <w:r w:rsidRPr="0009282C">
              <w:t>health states based on CKD stage (CKD 1</w:t>
            </w:r>
            <w:r w:rsidR="00DC5EFB" w:rsidRPr="0009282C">
              <w:t>-</w:t>
            </w:r>
            <w:r w:rsidRPr="0009282C">
              <w:t>2, CKD 3a, CKD 3b), oxalate levels (for late-stage disease only: CKD 4-OxC, CKD 4-OxU, ESKD-</w:t>
            </w:r>
            <w:proofErr w:type="spellStart"/>
            <w:r w:rsidRPr="0009282C">
              <w:t>OxC</w:t>
            </w:r>
            <w:proofErr w:type="spellEnd"/>
            <w:r w:rsidRPr="0009282C">
              <w:t>, and ESKD-</w:t>
            </w:r>
            <w:proofErr w:type="spellStart"/>
            <w:r w:rsidRPr="0009282C">
              <w:t>OxU</w:t>
            </w:r>
            <w:proofErr w:type="spellEnd"/>
            <w:r w:rsidR="00260F75" w:rsidRPr="0009282C">
              <w:t>)</w:t>
            </w:r>
            <w:r w:rsidRPr="0009282C">
              <w:t xml:space="preserve"> and transplantation status (oxalate controlled or not), plus death.</w:t>
            </w:r>
          </w:p>
        </w:tc>
      </w:tr>
      <w:tr w:rsidR="005830DE" w:rsidRPr="0009282C" w14:paraId="3E126B74" w14:textId="77777777" w:rsidTr="00D821EC">
        <w:trPr>
          <w:cantSplit/>
        </w:trPr>
        <w:tc>
          <w:tcPr>
            <w:tcW w:w="1145" w:type="pct"/>
            <w:tcMar>
              <w:top w:w="0" w:type="dxa"/>
              <w:bottom w:w="0" w:type="dxa"/>
            </w:tcMar>
            <w:vAlign w:val="center"/>
          </w:tcPr>
          <w:p w14:paraId="7DDA96BE" w14:textId="77777777" w:rsidR="005830DE" w:rsidRPr="0009282C" w:rsidRDefault="005830DE" w:rsidP="009C3CAF">
            <w:pPr>
              <w:pStyle w:val="TableText0"/>
            </w:pPr>
            <w:r w:rsidRPr="0009282C">
              <w:t>Cycle length</w:t>
            </w:r>
          </w:p>
        </w:tc>
        <w:tc>
          <w:tcPr>
            <w:tcW w:w="3855" w:type="pct"/>
            <w:tcMar>
              <w:top w:w="0" w:type="dxa"/>
              <w:bottom w:w="0" w:type="dxa"/>
            </w:tcMar>
          </w:tcPr>
          <w:p w14:paraId="45D601DE" w14:textId="77777777" w:rsidR="005830DE" w:rsidRPr="0009282C" w:rsidRDefault="005830DE" w:rsidP="009C3CAF">
            <w:pPr>
              <w:pStyle w:val="TableText0"/>
            </w:pPr>
            <w:r w:rsidRPr="0009282C">
              <w:t>6 months</w:t>
            </w:r>
          </w:p>
        </w:tc>
      </w:tr>
      <w:tr w:rsidR="005830DE" w:rsidRPr="0009282C" w14:paraId="5F3F41A6" w14:textId="77777777" w:rsidTr="00D821EC">
        <w:trPr>
          <w:cantSplit/>
        </w:trPr>
        <w:tc>
          <w:tcPr>
            <w:tcW w:w="1145" w:type="pct"/>
            <w:tcMar>
              <w:top w:w="0" w:type="dxa"/>
              <w:bottom w:w="0" w:type="dxa"/>
            </w:tcMar>
            <w:vAlign w:val="center"/>
          </w:tcPr>
          <w:p w14:paraId="63B117C2" w14:textId="77777777" w:rsidR="005830DE" w:rsidRPr="0009282C" w:rsidRDefault="005830DE" w:rsidP="009C3CAF">
            <w:pPr>
              <w:pStyle w:val="TableText0"/>
            </w:pPr>
            <w:r w:rsidRPr="0009282C">
              <w:t>Transition probabilities</w:t>
            </w:r>
          </w:p>
        </w:tc>
        <w:tc>
          <w:tcPr>
            <w:tcW w:w="3855" w:type="pct"/>
            <w:tcMar>
              <w:top w:w="0" w:type="dxa"/>
              <w:bottom w:w="0" w:type="dxa"/>
            </w:tcMar>
          </w:tcPr>
          <w:p w14:paraId="195FCF04" w14:textId="0A1BD78A" w:rsidR="0010436F" w:rsidRPr="0009282C" w:rsidRDefault="00B67B15" w:rsidP="0010436F">
            <w:pPr>
              <w:pStyle w:val="TableText0"/>
            </w:pPr>
            <w:r w:rsidRPr="0009282C">
              <w:t xml:space="preserve">Changes in </w:t>
            </w:r>
            <w:r w:rsidR="008A5D14" w:rsidRPr="0009282C">
              <w:t xml:space="preserve">plasma </w:t>
            </w:r>
            <w:r w:rsidRPr="0009282C">
              <w:t>oxalate levels were mapped to</w:t>
            </w:r>
            <w:r w:rsidR="00AD085B" w:rsidRPr="0009282C">
              <w:t xml:space="preserve"> transition probabilities signifying</w:t>
            </w:r>
            <w:r w:rsidRPr="0009282C">
              <w:t xml:space="preserve"> </w:t>
            </w:r>
            <w:r w:rsidR="00AD085B" w:rsidRPr="0009282C">
              <w:t>progression of CKD disease stage</w:t>
            </w:r>
            <w:r w:rsidR="002A3821" w:rsidRPr="0009282C">
              <w:t>, based on</w:t>
            </w:r>
            <w:r w:rsidR="005830DE" w:rsidRPr="0009282C">
              <w:t xml:space="preserve"> ILLUMINATE trial</w:t>
            </w:r>
            <w:r w:rsidR="002A3821" w:rsidRPr="0009282C">
              <w:t xml:space="preserve"> data</w:t>
            </w:r>
            <w:r w:rsidR="001A1E86" w:rsidRPr="0009282C">
              <w:t xml:space="preserve"> and</w:t>
            </w:r>
            <w:r w:rsidR="002A3821" w:rsidRPr="0009282C">
              <w:t xml:space="preserve"> </w:t>
            </w:r>
            <w:r w:rsidR="0035111F" w:rsidRPr="0009282C">
              <w:t xml:space="preserve">two </w:t>
            </w:r>
            <w:r w:rsidR="00B410F1" w:rsidRPr="0009282C">
              <w:t>published studies</w:t>
            </w:r>
            <w:r w:rsidR="002972CB" w:rsidRPr="0009282C">
              <w:t xml:space="preserve"> by Singh et al. (</w:t>
            </w:r>
            <w:r w:rsidR="001C29D0" w:rsidRPr="0009282C">
              <w:t>2022</w:t>
            </w:r>
            <w:r w:rsidR="002972CB" w:rsidRPr="0009282C">
              <w:t>)</w:t>
            </w:r>
            <w:r w:rsidR="00B410F1" w:rsidRPr="0009282C">
              <w:t xml:space="preserve"> </w:t>
            </w:r>
            <w:r w:rsidR="002972CB" w:rsidRPr="0009282C">
              <w:t xml:space="preserve">and Shah et al. </w:t>
            </w:r>
            <w:r w:rsidR="00CA3E5A" w:rsidRPr="0009282C">
              <w:t>(</w:t>
            </w:r>
            <w:r w:rsidR="00C652EF" w:rsidRPr="0009282C">
              <w:t>2020</w:t>
            </w:r>
            <w:r w:rsidR="00CA3E5A" w:rsidRPr="0009282C">
              <w:t>)</w:t>
            </w:r>
            <w:r w:rsidR="00933357" w:rsidRPr="0009282C">
              <w:t>.</w:t>
            </w:r>
            <w:r w:rsidR="002972CB" w:rsidRPr="0009282C">
              <w:t xml:space="preserve"> </w:t>
            </w:r>
            <w:r w:rsidR="0046215F" w:rsidRPr="0009282C">
              <w:t xml:space="preserve">Transitions to </w:t>
            </w:r>
            <w:proofErr w:type="spellStart"/>
            <w:r w:rsidR="0046215F" w:rsidRPr="0009282C">
              <w:t>cLKT</w:t>
            </w:r>
            <w:proofErr w:type="spellEnd"/>
            <w:r w:rsidR="0046215F" w:rsidRPr="0009282C">
              <w:t xml:space="preserve"> were calculated based on data from </w:t>
            </w:r>
            <w:r w:rsidR="000F3478" w:rsidRPr="0009282C">
              <w:t xml:space="preserve">Metry et al. (2022) </w:t>
            </w:r>
            <w:r w:rsidR="003C6AE9" w:rsidRPr="0009282C">
              <w:t xml:space="preserve">and re-transplantations were modelled based on data </w:t>
            </w:r>
            <w:r w:rsidR="000B7BE7" w:rsidRPr="0009282C">
              <w:t>from</w:t>
            </w:r>
            <w:r w:rsidR="003C6AE9" w:rsidRPr="0009282C">
              <w:t xml:space="preserve"> </w:t>
            </w:r>
            <w:proofErr w:type="spellStart"/>
            <w:r w:rsidR="003C6AE9" w:rsidRPr="0009282C">
              <w:t>Compagnon</w:t>
            </w:r>
            <w:proofErr w:type="spellEnd"/>
            <w:r w:rsidR="003C6AE9" w:rsidRPr="0009282C">
              <w:t xml:space="preserve"> et al. (2014)</w:t>
            </w:r>
            <w:r w:rsidR="009A0BAE" w:rsidRPr="0009282C">
              <w:t>.</w:t>
            </w:r>
          </w:p>
          <w:p w14:paraId="1BE9466B" w14:textId="692877E3" w:rsidR="00294653" w:rsidRPr="0009282C" w:rsidRDefault="009A0BAE" w:rsidP="0010436F">
            <w:pPr>
              <w:pStyle w:val="TableText0"/>
            </w:pPr>
            <w:r w:rsidRPr="0009282C">
              <w:t>Mortality</w:t>
            </w:r>
            <w:r w:rsidR="00790E34" w:rsidRPr="0009282C">
              <w:t xml:space="preserve"> for patients in C</w:t>
            </w:r>
            <w:r w:rsidR="00B67CAF" w:rsidRPr="0009282C">
              <w:t>K</w:t>
            </w:r>
            <w:r w:rsidR="00790E34" w:rsidRPr="0009282C">
              <w:t>D</w:t>
            </w:r>
            <w:r w:rsidR="00B51C96" w:rsidRPr="0009282C">
              <w:t xml:space="preserve"> </w:t>
            </w:r>
            <w:r w:rsidR="00790E34" w:rsidRPr="0009282C">
              <w:t>1-2</w:t>
            </w:r>
            <w:r w:rsidR="00294653" w:rsidRPr="0009282C">
              <w:t xml:space="preserve"> </w:t>
            </w:r>
            <w:r w:rsidR="00A317AD" w:rsidRPr="0009282C">
              <w:t>was</w:t>
            </w:r>
            <w:r w:rsidR="002F3667" w:rsidRPr="0009282C">
              <w:t xml:space="preserve"> assumed equal to age-and gender-specific general </w:t>
            </w:r>
            <w:r w:rsidR="003D5156" w:rsidRPr="0009282C">
              <w:t>population mortality, derived from</w:t>
            </w:r>
            <w:r w:rsidR="00C11850" w:rsidRPr="0009282C">
              <w:t xml:space="preserve"> Australia</w:t>
            </w:r>
            <w:r w:rsidR="002923B2" w:rsidRPr="0009282C">
              <w:t>n</w:t>
            </w:r>
            <w:r w:rsidR="00C11850" w:rsidRPr="0009282C">
              <w:t xml:space="preserve"> </w:t>
            </w:r>
            <w:r w:rsidR="006335C6" w:rsidRPr="0009282C">
              <w:t>life table</w:t>
            </w:r>
            <w:r w:rsidR="002923B2" w:rsidRPr="0009282C">
              <w:t>s</w:t>
            </w:r>
            <w:r w:rsidR="006335C6" w:rsidRPr="0009282C">
              <w:t>.</w:t>
            </w:r>
            <w:r w:rsidR="008E3164" w:rsidRPr="0009282C">
              <w:t xml:space="preserve"> For higher severity CKD health states, </w:t>
            </w:r>
            <w:r w:rsidR="000F601D" w:rsidRPr="0009282C">
              <w:t>mortality multipliers were applied</w:t>
            </w:r>
            <w:r w:rsidR="00110DC1" w:rsidRPr="0009282C">
              <w:t xml:space="preserve"> to </w:t>
            </w:r>
            <w:r w:rsidR="00E471E1" w:rsidRPr="0009282C">
              <w:t>general population rates,</w:t>
            </w:r>
            <w:r w:rsidR="008E3164" w:rsidRPr="0009282C">
              <w:t xml:space="preserve"> based on data from</w:t>
            </w:r>
            <w:r w:rsidR="000F3478" w:rsidRPr="0009282C">
              <w:t xml:space="preserve"> </w:t>
            </w:r>
            <w:r w:rsidR="00CA65F8" w:rsidRPr="0009282C">
              <w:t>Go et al. (2004)</w:t>
            </w:r>
            <w:r w:rsidR="008E3164" w:rsidRPr="0009282C">
              <w:t xml:space="preserve">. </w:t>
            </w:r>
            <w:r w:rsidR="00E471E1" w:rsidRPr="0009282C">
              <w:t>Mortality post-</w:t>
            </w:r>
            <w:proofErr w:type="spellStart"/>
            <w:r w:rsidR="00B975F7" w:rsidRPr="0009282C">
              <w:t>cLKT</w:t>
            </w:r>
            <w:proofErr w:type="spellEnd"/>
            <w:r w:rsidR="00E471E1" w:rsidRPr="0009282C">
              <w:t xml:space="preserve"> was modelled separately for patients with controlled vs uncontrolled oxalate levels prior to transplantation based on</w:t>
            </w:r>
            <w:r w:rsidR="00B975F7" w:rsidRPr="0009282C">
              <w:t xml:space="preserve"> </w:t>
            </w:r>
            <w:r w:rsidR="00CA65F8" w:rsidRPr="0009282C">
              <w:t>Jamieson (2005).</w:t>
            </w:r>
          </w:p>
        </w:tc>
      </w:tr>
      <w:tr w:rsidR="005830DE" w:rsidRPr="0009282C" w14:paraId="208F0667" w14:textId="77777777" w:rsidTr="00D821EC">
        <w:trPr>
          <w:cantSplit/>
        </w:trPr>
        <w:tc>
          <w:tcPr>
            <w:tcW w:w="1145" w:type="pct"/>
            <w:tcMar>
              <w:top w:w="0" w:type="dxa"/>
              <w:bottom w:w="0" w:type="dxa"/>
            </w:tcMar>
            <w:vAlign w:val="center"/>
          </w:tcPr>
          <w:p w14:paraId="18C661C9" w14:textId="77777777" w:rsidR="005830DE" w:rsidRPr="0009282C" w:rsidRDefault="005830DE" w:rsidP="009C3CAF">
            <w:pPr>
              <w:pStyle w:val="TableText0"/>
            </w:pPr>
            <w:r w:rsidRPr="0009282C">
              <w:t>Exploration method</w:t>
            </w:r>
          </w:p>
        </w:tc>
        <w:tc>
          <w:tcPr>
            <w:tcW w:w="3855" w:type="pct"/>
            <w:tcMar>
              <w:top w:w="0" w:type="dxa"/>
              <w:bottom w:w="0" w:type="dxa"/>
            </w:tcMar>
          </w:tcPr>
          <w:p w14:paraId="1EA7EA9D" w14:textId="31FBDC6E" w:rsidR="005830DE" w:rsidRPr="0009282C" w:rsidRDefault="00500CE6" w:rsidP="009C3CAF">
            <w:pPr>
              <w:pStyle w:val="TableText0"/>
            </w:pPr>
            <w:r w:rsidRPr="0009282C">
              <w:t xml:space="preserve">The model assumed </w:t>
            </w:r>
            <w:r w:rsidR="00E12DE1" w:rsidRPr="0009282C">
              <w:t>that</w:t>
            </w:r>
            <w:r w:rsidRPr="0009282C">
              <w:t xml:space="preserve"> </w:t>
            </w:r>
            <w:proofErr w:type="spellStart"/>
            <w:r w:rsidRPr="0009282C">
              <w:t>lumasiran</w:t>
            </w:r>
            <w:proofErr w:type="spellEnd"/>
            <w:r w:rsidRPr="0009282C">
              <w:t xml:space="preserve"> was 100% effective in </w:t>
            </w:r>
            <w:r w:rsidR="006C3544" w:rsidRPr="0009282C">
              <w:t>stopping CKD progression, based on observations of plasma oxalate</w:t>
            </w:r>
            <w:r w:rsidR="00902D74" w:rsidRPr="0009282C">
              <w:t>. The model assumed</w:t>
            </w:r>
            <w:r w:rsidR="0058345D" w:rsidRPr="0009282C">
              <w:t xml:space="preserve"> that patients </w:t>
            </w:r>
            <w:r w:rsidR="005C7A85" w:rsidRPr="0009282C">
              <w:t>receiving</w:t>
            </w:r>
            <w:r w:rsidR="0058345D" w:rsidRPr="0009282C">
              <w:t xml:space="preserve"> </w:t>
            </w:r>
            <w:proofErr w:type="spellStart"/>
            <w:r w:rsidR="0058345D" w:rsidRPr="0009282C">
              <w:t>lumasiran</w:t>
            </w:r>
            <w:proofErr w:type="spellEnd"/>
            <w:r w:rsidR="0058345D" w:rsidRPr="0009282C">
              <w:t xml:space="preserve"> </w:t>
            </w:r>
            <w:r w:rsidR="005C7A85" w:rsidRPr="0009282C">
              <w:t xml:space="preserve">who do </w:t>
            </w:r>
            <w:r w:rsidR="002F1821" w:rsidRPr="0009282C">
              <w:t>start in, or</w:t>
            </w:r>
            <w:r w:rsidR="005C7A85" w:rsidRPr="0009282C">
              <w:t xml:space="preserve"> progress to </w:t>
            </w:r>
            <w:r w:rsidR="009D2A03" w:rsidRPr="0009282C">
              <w:t xml:space="preserve">the CKD 4-5 stage </w:t>
            </w:r>
            <w:r w:rsidR="005C7A85" w:rsidRPr="0009282C">
              <w:t xml:space="preserve">(due to age-related </w:t>
            </w:r>
            <w:r w:rsidR="00E12DE1" w:rsidRPr="0009282C">
              <w:t>decline</w:t>
            </w:r>
            <w:r w:rsidR="005C7A85" w:rsidRPr="0009282C">
              <w:t xml:space="preserve"> </w:t>
            </w:r>
            <w:r w:rsidR="009D2A03" w:rsidRPr="0009282C">
              <w:t>in</w:t>
            </w:r>
            <w:r w:rsidR="005C7A85" w:rsidRPr="0009282C">
              <w:t xml:space="preserve"> kidney function equivalent to the general population)</w:t>
            </w:r>
            <w:r w:rsidR="002F1821" w:rsidRPr="0009282C">
              <w:t xml:space="preserve"> </w:t>
            </w:r>
            <w:r w:rsidR="00A83E00" w:rsidRPr="0009282C">
              <w:t xml:space="preserve">would be treated with normal-intensity dialysis and would achieve oxalate control </w:t>
            </w:r>
            <w:r w:rsidR="00BD445E" w:rsidRPr="0009282C">
              <w:t xml:space="preserve">within 2 years. </w:t>
            </w:r>
            <w:r w:rsidR="00CF41ED" w:rsidRPr="0009282C">
              <w:t xml:space="preserve">Treatment effectiveness of </w:t>
            </w:r>
            <w:proofErr w:type="spellStart"/>
            <w:r w:rsidR="00CF41ED" w:rsidRPr="0009282C">
              <w:t>lumasiran</w:t>
            </w:r>
            <w:proofErr w:type="spellEnd"/>
            <w:r w:rsidR="00CF41ED" w:rsidRPr="0009282C">
              <w:t xml:space="preserve"> was assumed to be maintained over time, with no loss of therapeutic effect.</w:t>
            </w:r>
            <w:r w:rsidR="00BD445E" w:rsidRPr="0009282C">
              <w:t xml:space="preserve"> </w:t>
            </w:r>
          </w:p>
          <w:p w14:paraId="0DA225C1" w14:textId="5E31983C" w:rsidR="005830DE" w:rsidRPr="0009282C" w:rsidRDefault="00A96D46" w:rsidP="009C3CAF">
            <w:pPr>
              <w:pStyle w:val="TableText0"/>
            </w:pPr>
            <w:r w:rsidRPr="0009282C">
              <w:t xml:space="preserve">Treatment discontinuations were modelled for </w:t>
            </w:r>
            <w:r w:rsidR="00BB5D88" w:rsidRPr="0009282C">
              <w:t>those</w:t>
            </w:r>
            <w:r w:rsidRPr="0009282C">
              <w:t xml:space="preserve"> in </w:t>
            </w:r>
            <w:r w:rsidR="00BB5D88" w:rsidRPr="0009282C">
              <w:t xml:space="preserve">the </w:t>
            </w:r>
            <w:r w:rsidRPr="0009282C">
              <w:t>CKD1-3b health states—a</w:t>
            </w:r>
            <w:r w:rsidR="00D40F1E" w:rsidRPr="0009282C">
              <w:t xml:space="preserve"> time-on-treatment curve was derived from ILLUMINATE A and B patient-level data obtained at the 12-month cut off. Beyond 12 months, time-on-treatment was extrapolated by fitting parametric models to the observed data</w:t>
            </w:r>
            <w:r w:rsidRPr="0009282C">
              <w:t xml:space="preserve">. </w:t>
            </w:r>
            <w:r w:rsidR="00EB739C" w:rsidRPr="0009282C">
              <w:t xml:space="preserve">For patients receiving </w:t>
            </w:r>
            <w:proofErr w:type="spellStart"/>
            <w:r w:rsidR="00EB739C" w:rsidRPr="0009282C">
              <w:t>lumasiran</w:t>
            </w:r>
            <w:proofErr w:type="spellEnd"/>
            <w:r w:rsidR="00EB739C" w:rsidRPr="0009282C">
              <w:t xml:space="preserve"> in the CKD4-5 health states, a</w:t>
            </w:r>
            <w:r w:rsidRPr="0009282C">
              <w:t xml:space="preserve"> discontinuation rate of zero was applied, based on the observation of no discontinuations in ILLUMINATE-C within the first 6 months.</w:t>
            </w:r>
          </w:p>
        </w:tc>
      </w:tr>
      <w:tr w:rsidR="005830DE" w:rsidRPr="0009282C" w14:paraId="3DD8EAF9" w14:textId="77777777" w:rsidTr="00D821EC">
        <w:trPr>
          <w:cantSplit/>
        </w:trPr>
        <w:tc>
          <w:tcPr>
            <w:tcW w:w="1145" w:type="pct"/>
            <w:tcMar>
              <w:top w:w="0" w:type="dxa"/>
              <w:bottom w:w="0" w:type="dxa"/>
            </w:tcMar>
            <w:vAlign w:val="center"/>
          </w:tcPr>
          <w:p w14:paraId="29F5541E" w14:textId="77777777" w:rsidR="005830DE" w:rsidRPr="0009282C" w:rsidRDefault="005830DE" w:rsidP="009C3CAF">
            <w:pPr>
              <w:pStyle w:val="TableText0"/>
              <w:rPr>
                <w:highlight w:val="green"/>
              </w:rPr>
            </w:pPr>
            <w:r w:rsidRPr="0009282C">
              <w:t>Utility values</w:t>
            </w:r>
          </w:p>
        </w:tc>
        <w:tc>
          <w:tcPr>
            <w:tcW w:w="3855" w:type="pct"/>
            <w:tcMar>
              <w:top w:w="0" w:type="dxa"/>
              <w:bottom w:w="0" w:type="dxa"/>
            </w:tcMar>
          </w:tcPr>
          <w:p w14:paraId="19EC0E2B" w14:textId="723CDFBE" w:rsidR="005830DE" w:rsidRPr="0009282C" w:rsidRDefault="00D54988" w:rsidP="009C3CAF">
            <w:pPr>
              <w:pStyle w:val="TableText0"/>
            </w:pPr>
            <w:r w:rsidRPr="0009282C">
              <w:t>Each health state</w:t>
            </w:r>
            <w:r w:rsidR="003968F1" w:rsidRPr="0009282C">
              <w:t xml:space="preserve"> (defined by CKD stage</w:t>
            </w:r>
            <w:r w:rsidR="00D46585" w:rsidRPr="0009282C">
              <w:t xml:space="preserve"> [including post </w:t>
            </w:r>
            <w:proofErr w:type="spellStart"/>
            <w:r w:rsidR="00D46585" w:rsidRPr="0009282C">
              <w:t>cLKT</w:t>
            </w:r>
            <w:proofErr w:type="spellEnd"/>
            <w:r w:rsidR="00D46585" w:rsidRPr="0009282C">
              <w:t xml:space="preserve"> states]</w:t>
            </w:r>
            <w:r w:rsidR="003968F1" w:rsidRPr="0009282C">
              <w:t xml:space="preserve"> and oxalate </w:t>
            </w:r>
            <w:r w:rsidR="00BB6C84" w:rsidRPr="0009282C">
              <w:t>level</w:t>
            </w:r>
            <w:r w:rsidR="003968F1" w:rsidRPr="0009282C">
              <w:t>)</w:t>
            </w:r>
            <w:r w:rsidRPr="0009282C">
              <w:t xml:space="preserve"> was assigned a utility value</w:t>
            </w:r>
            <w:r w:rsidR="004537BF" w:rsidRPr="0009282C">
              <w:t>. Utility values differed depending on the type of dialysis</w:t>
            </w:r>
            <w:r w:rsidR="00963F70" w:rsidRPr="0009282C">
              <w:t xml:space="preserve">, </w:t>
            </w:r>
            <w:r w:rsidR="009459FB" w:rsidRPr="0009282C">
              <w:t xml:space="preserve">which was </w:t>
            </w:r>
            <w:r w:rsidR="00703975" w:rsidRPr="0009282C">
              <w:t>assigned</w:t>
            </w:r>
            <w:r w:rsidR="009459FB" w:rsidRPr="0009282C">
              <w:t xml:space="preserve"> based on treatment </w:t>
            </w:r>
            <w:r w:rsidR="00963F70" w:rsidRPr="0009282C">
              <w:t>received (</w:t>
            </w:r>
            <w:proofErr w:type="spellStart"/>
            <w:r w:rsidR="0093263C" w:rsidRPr="0009282C">
              <w:t>lumasiran</w:t>
            </w:r>
            <w:proofErr w:type="spellEnd"/>
            <w:r w:rsidR="0093263C" w:rsidRPr="0009282C">
              <w:t xml:space="preserve"> or BSC</w:t>
            </w:r>
            <w:r w:rsidR="009459FB" w:rsidRPr="0009282C">
              <w:t>)</w:t>
            </w:r>
            <w:r w:rsidR="004537BF" w:rsidRPr="0009282C">
              <w:t xml:space="preserve">. </w:t>
            </w:r>
            <w:r w:rsidR="00DD65C1" w:rsidRPr="0009282C">
              <w:t xml:space="preserve">The </w:t>
            </w:r>
            <w:r w:rsidR="001C3D04" w:rsidRPr="0009282C">
              <w:t>health state utility value</w:t>
            </w:r>
            <w:r w:rsidR="00DD65C1" w:rsidRPr="0009282C">
              <w:t>s</w:t>
            </w:r>
            <w:r w:rsidR="001D3DD9" w:rsidRPr="0009282C">
              <w:t xml:space="preserve"> were </w:t>
            </w:r>
            <w:r w:rsidR="003763DE" w:rsidRPr="0009282C">
              <w:t>obtained from a variety of sources</w:t>
            </w:r>
            <w:r w:rsidR="00963F70" w:rsidRPr="0009282C">
              <w:t xml:space="preserve">, including </w:t>
            </w:r>
            <w:r w:rsidR="00BA3EA7" w:rsidRPr="0009282C">
              <w:t>pooled patient-level EQ-5D data from the ILLUMINATE A trial</w:t>
            </w:r>
            <w:r w:rsidR="003814BE" w:rsidRPr="0009282C">
              <w:t xml:space="preserve"> (CKD1-3b health states)</w:t>
            </w:r>
            <w:r w:rsidR="00BA3EA7" w:rsidRPr="0009282C">
              <w:t xml:space="preserve">, </w:t>
            </w:r>
            <w:r w:rsidR="00F728F1" w:rsidRPr="0009282C">
              <w:t xml:space="preserve">a vignette study conducted by the </w:t>
            </w:r>
            <w:r w:rsidR="004E5FB1" w:rsidRPr="0009282C">
              <w:t>sponsor</w:t>
            </w:r>
            <w:r w:rsidR="003814BE" w:rsidRPr="0009282C">
              <w:t xml:space="preserve"> </w:t>
            </w:r>
            <w:r w:rsidR="00CF7F88" w:rsidRPr="0009282C">
              <w:t>(CKD 4-5 health states with uncontrolled oxalate on high-intensity dialysis</w:t>
            </w:r>
            <w:r w:rsidR="00310813" w:rsidRPr="0009282C">
              <w:t>, and the post-</w:t>
            </w:r>
            <w:proofErr w:type="spellStart"/>
            <w:r w:rsidR="00310813" w:rsidRPr="0009282C">
              <w:t>cL</w:t>
            </w:r>
            <w:r w:rsidR="005F54D2" w:rsidRPr="0009282C">
              <w:t>K</w:t>
            </w:r>
            <w:r w:rsidR="00310813" w:rsidRPr="0009282C">
              <w:t>T</w:t>
            </w:r>
            <w:proofErr w:type="spellEnd"/>
            <w:r w:rsidR="00310813" w:rsidRPr="0009282C">
              <w:t xml:space="preserve"> states</w:t>
            </w:r>
            <w:r w:rsidR="00CF7F88" w:rsidRPr="0009282C">
              <w:t>)</w:t>
            </w:r>
            <w:r w:rsidR="00F728F1" w:rsidRPr="0009282C">
              <w:t xml:space="preserve">, </w:t>
            </w:r>
            <w:r w:rsidR="003814BE" w:rsidRPr="0009282C">
              <w:t xml:space="preserve">or </w:t>
            </w:r>
            <w:r w:rsidR="004075C3" w:rsidRPr="0009282C">
              <w:t>via</w:t>
            </w:r>
            <w:r w:rsidR="003814BE" w:rsidRPr="0009282C">
              <w:t xml:space="preserve"> adjustments </w:t>
            </w:r>
            <w:r w:rsidR="004075C3" w:rsidRPr="0009282C">
              <w:t>to</w:t>
            </w:r>
            <w:r w:rsidR="00CF7F88" w:rsidRPr="0009282C">
              <w:t xml:space="preserve"> the early</w:t>
            </w:r>
            <w:r w:rsidR="004075C3" w:rsidRPr="0009282C">
              <w:t>-</w:t>
            </w:r>
            <w:r w:rsidR="00CF7F88" w:rsidRPr="0009282C">
              <w:t>stage</w:t>
            </w:r>
            <w:r w:rsidR="004075C3" w:rsidRPr="0009282C">
              <w:t xml:space="preserve"> </w:t>
            </w:r>
            <w:r w:rsidR="000370A5" w:rsidRPr="0009282C">
              <w:t xml:space="preserve">health state utility values </w:t>
            </w:r>
            <w:r w:rsidR="005F54D2" w:rsidRPr="0009282C">
              <w:t>(remaining states)</w:t>
            </w:r>
            <w:r w:rsidR="004075C3" w:rsidRPr="0009282C">
              <w:t>.</w:t>
            </w:r>
            <w:r w:rsidR="00CF7F88" w:rsidRPr="0009282C">
              <w:t xml:space="preserve"> </w:t>
            </w:r>
            <w:r w:rsidR="00DD65C1" w:rsidRPr="0009282C">
              <w:t>The model applied different utilit</w:t>
            </w:r>
            <w:r w:rsidR="00E97E9D" w:rsidRPr="0009282C">
              <w:t>ies</w:t>
            </w:r>
            <w:r w:rsidR="00DD65C1" w:rsidRPr="0009282C">
              <w:t xml:space="preserve"> for paediatric and adult patients</w:t>
            </w:r>
            <w:r w:rsidR="000370A5" w:rsidRPr="0009282C">
              <w:t xml:space="preserve">. </w:t>
            </w:r>
            <w:r w:rsidR="0039093A" w:rsidRPr="0009282C">
              <w:t>T</w:t>
            </w:r>
            <w:r w:rsidR="000370A5" w:rsidRPr="0009282C">
              <w:t xml:space="preserve">he health state utility values are </w:t>
            </w:r>
            <w:r w:rsidR="00741448" w:rsidRPr="0009282C">
              <w:t>listed below.</w:t>
            </w:r>
          </w:p>
          <w:p w14:paraId="03DF30F6" w14:textId="77777777" w:rsidR="00C776FD" w:rsidRPr="0009282C" w:rsidRDefault="00C776FD" w:rsidP="009C3CAF">
            <w:pPr>
              <w:pStyle w:val="TableText0"/>
            </w:pPr>
          </w:p>
          <w:p w14:paraId="4C810690" w14:textId="03FA4C64" w:rsidR="00200C61" w:rsidRPr="0009282C" w:rsidRDefault="001C3D04" w:rsidP="009C3CAF">
            <w:pPr>
              <w:pStyle w:val="TableText0"/>
              <w:rPr>
                <w:u w:val="single"/>
              </w:rPr>
            </w:pPr>
            <w:r w:rsidRPr="0009282C">
              <w:rPr>
                <w:u w:val="single"/>
              </w:rPr>
              <w:t>H</w:t>
            </w:r>
            <w:r w:rsidR="000370A5" w:rsidRPr="0009282C">
              <w:rPr>
                <w:u w:val="single"/>
              </w:rPr>
              <w:t>ealth state utility value</w:t>
            </w:r>
            <w:r w:rsidRPr="0009282C">
              <w:rPr>
                <w:u w:val="single"/>
              </w:rPr>
              <w:t>s</w:t>
            </w:r>
          </w:p>
          <w:p w14:paraId="14DFFC0B" w14:textId="7503B714" w:rsidR="00380EC5" w:rsidRPr="0009282C" w:rsidRDefault="00380EC5" w:rsidP="009C3CAF">
            <w:pPr>
              <w:pStyle w:val="TableText0"/>
              <w:rPr>
                <w:iCs/>
              </w:rPr>
            </w:pPr>
            <w:r w:rsidRPr="0009282C">
              <w:rPr>
                <w:iCs/>
              </w:rPr>
              <w:t xml:space="preserve">Paediatric </w:t>
            </w:r>
          </w:p>
          <w:p w14:paraId="6B823E60" w14:textId="00DD8163" w:rsidR="0006717C" w:rsidRPr="0009282C" w:rsidRDefault="00386EBD" w:rsidP="00737F9C">
            <w:pPr>
              <w:pStyle w:val="TableText0"/>
              <w:numPr>
                <w:ilvl w:val="0"/>
                <w:numId w:val="10"/>
              </w:numPr>
            </w:pPr>
            <w:r w:rsidRPr="0009282C">
              <w:t xml:space="preserve">CKD 1 to 3b: </w:t>
            </w:r>
            <w:r w:rsidR="0027352E" w:rsidRPr="0009282C">
              <w:t>0.851</w:t>
            </w:r>
            <w:r w:rsidR="00380EC5" w:rsidRPr="0009282C">
              <w:t xml:space="preserve"> </w:t>
            </w:r>
          </w:p>
          <w:p w14:paraId="13FF71BF" w14:textId="2BA7EE94" w:rsidR="0068386A" w:rsidRPr="0009282C" w:rsidRDefault="00A92159" w:rsidP="00737F9C">
            <w:pPr>
              <w:pStyle w:val="TableText0"/>
              <w:numPr>
                <w:ilvl w:val="0"/>
                <w:numId w:val="10"/>
              </w:numPr>
            </w:pPr>
            <w:r w:rsidRPr="0009282C">
              <w:t>CKD</w:t>
            </w:r>
            <w:r w:rsidR="0010484D" w:rsidRPr="0009282C">
              <w:t xml:space="preserve"> 4</w:t>
            </w:r>
            <w:r w:rsidR="00E41431" w:rsidRPr="0009282C">
              <w:t>-</w:t>
            </w:r>
            <w:r w:rsidR="004E56E4" w:rsidRPr="0009282C">
              <w:t>Ox</w:t>
            </w:r>
            <w:r w:rsidR="004E56E4" w:rsidRPr="0009282C">
              <w:rPr>
                <w:vertAlign w:val="subscript"/>
              </w:rPr>
              <w:t>U</w:t>
            </w:r>
            <w:r w:rsidR="001B7CF7" w:rsidRPr="0009282C">
              <w:rPr>
                <w:vertAlign w:val="subscript"/>
              </w:rPr>
              <w:t>/C</w:t>
            </w:r>
            <w:r w:rsidR="007C6C19" w:rsidRPr="0009282C">
              <w:rPr>
                <w:vertAlign w:val="subscript"/>
              </w:rPr>
              <w:t xml:space="preserve"> </w:t>
            </w:r>
            <w:r w:rsidR="007C6C19" w:rsidRPr="0009282C">
              <w:t>+</w:t>
            </w:r>
            <w:r w:rsidR="0082145A" w:rsidRPr="0009282C">
              <w:t xml:space="preserve"> </w:t>
            </w:r>
            <w:r w:rsidR="009521B5" w:rsidRPr="0009282C">
              <w:t>normal</w:t>
            </w:r>
            <w:r w:rsidR="00D8180B" w:rsidRPr="0009282C">
              <w:t>-inte</w:t>
            </w:r>
            <w:r w:rsidR="0068386A" w:rsidRPr="0009282C">
              <w:t>nsity</w:t>
            </w:r>
            <w:r w:rsidR="00D8180B" w:rsidRPr="0009282C">
              <w:t xml:space="preserve"> dialysis, </w:t>
            </w:r>
            <w:r w:rsidR="0068386A" w:rsidRPr="0009282C">
              <w:t>CKD 4-Ox</w:t>
            </w:r>
            <w:r w:rsidR="0068386A" w:rsidRPr="0009282C">
              <w:rPr>
                <w:vertAlign w:val="subscript"/>
              </w:rPr>
              <w:t xml:space="preserve">C </w:t>
            </w:r>
            <w:r w:rsidR="0068386A" w:rsidRPr="0009282C">
              <w:t>+ high-intensity dialysis</w:t>
            </w:r>
            <w:r w:rsidR="00620024" w:rsidRPr="0009282C">
              <w:t>: 0.683</w:t>
            </w:r>
            <w:r w:rsidR="00380EC5" w:rsidRPr="0009282C">
              <w:t xml:space="preserve"> </w:t>
            </w:r>
          </w:p>
          <w:p w14:paraId="3C9E55DF" w14:textId="0DB7732D" w:rsidR="0027352E" w:rsidRPr="0009282C" w:rsidRDefault="00A60F92" w:rsidP="00737F9C">
            <w:pPr>
              <w:pStyle w:val="TableText0"/>
              <w:numPr>
                <w:ilvl w:val="0"/>
                <w:numId w:val="10"/>
              </w:numPr>
            </w:pPr>
            <w:r w:rsidRPr="0009282C">
              <w:t>CKD 4-Ox</w:t>
            </w:r>
            <w:r w:rsidRPr="0009282C">
              <w:rPr>
                <w:vertAlign w:val="subscript"/>
              </w:rPr>
              <w:t xml:space="preserve">U </w:t>
            </w:r>
            <w:r w:rsidRPr="0009282C">
              <w:t>+ high-intensity dialysis:</w:t>
            </w:r>
            <w:r w:rsidR="00AD2F54" w:rsidRPr="0009282C">
              <w:t xml:space="preserve"> </w:t>
            </w:r>
            <w:r w:rsidR="00CD6571" w:rsidRPr="0009282C">
              <w:t>0.283</w:t>
            </w:r>
            <w:r w:rsidR="00380EC5" w:rsidRPr="0009282C">
              <w:t xml:space="preserve"> </w:t>
            </w:r>
          </w:p>
          <w:p w14:paraId="3F34F9D4" w14:textId="39D5E97C" w:rsidR="00D7454B" w:rsidRPr="0009282C" w:rsidRDefault="00D7454B" w:rsidP="00737F9C">
            <w:pPr>
              <w:pStyle w:val="TableText0"/>
              <w:numPr>
                <w:ilvl w:val="0"/>
                <w:numId w:val="10"/>
              </w:numPr>
            </w:pPr>
            <w:r w:rsidRPr="0009282C">
              <w:t>CKD 5-Ox</w:t>
            </w:r>
            <w:r w:rsidR="00CB7556" w:rsidRPr="0009282C">
              <w:rPr>
                <w:vertAlign w:val="subscript"/>
              </w:rPr>
              <w:t>U</w:t>
            </w:r>
            <w:r w:rsidRPr="0009282C">
              <w:rPr>
                <w:vertAlign w:val="subscript"/>
              </w:rPr>
              <w:t xml:space="preserve"> </w:t>
            </w:r>
            <w:r w:rsidRPr="0009282C">
              <w:t>+ normal-intensity dialysis</w:t>
            </w:r>
            <w:r w:rsidR="00CB7556" w:rsidRPr="0009282C">
              <w:t>: 0.433</w:t>
            </w:r>
            <w:r w:rsidR="00380EC5" w:rsidRPr="0009282C">
              <w:t xml:space="preserve"> </w:t>
            </w:r>
          </w:p>
          <w:p w14:paraId="526741E2" w14:textId="2F5BCA96" w:rsidR="00CD6571" w:rsidRPr="0009282C" w:rsidRDefault="00614385" w:rsidP="00737F9C">
            <w:pPr>
              <w:pStyle w:val="TableText0"/>
              <w:numPr>
                <w:ilvl w:val="0"/>
                <w:numId w:val="10"/>
              </w:numPr>
            </w:pPr>
            <w:r w:rsidRPr="0009282C">
              <w:t>CKD 5-Ox</w:t>
            </w:r>
            <w:r w:rsidRPr="0009282C">
              <w:rPr>
                <w:vertAlign w:val="subscript"/>
              </w:rPr>
              <w:t xml:space="preserve">C </w:t>
            </w:r>
            <w:r w:rsidRPr="0009282C">
              <w:t xml:space="preserve">+ normal-intensity dialysis, CKD </w:t>
            </w:r>
            <w:r w:rsidR="00E965A9" w:rsidRPr="0009282C">
              <w:t>5</w:t>
            </w:r>
            <w:r w:rsidRPr="0009282C">
              <w:t>-Ox</w:t>
            </w:r>
            <w:r w:rsidRPr="0009282C">
              <w:rPr>
                <w:vertAlign w:val="subscript"/>
              </w:rPr>
              <w:t xml:space="preserve">C </w:t>
            </w:r>
            <w:r w:rsidRPr="0009282C">
              <w:t>+ high-intensity dialysis:</w:t>
            </w:r>
            <w:r w:rsidR="00B801F6" w:rsidRPr="0009282C">
              <w:t xml:space="preserve"> </w:t>
            </w:r>
            <w:r w:rsidR="00E965A9" w:rsidRPr="0009282C">
              <w:t>0.486</w:t>
            </w:r>
            <w:r w:rsidR="0024153F" w:rsidRPr="0009282C">
              <w:t xml:space="preserve"> </w:t>
            </w:r>
          </w:p>
          <w:p w14:paraId="605DA01F" w14:textId="4BCCDE98" w:rsidR="0032367B" w:rsidRPr="0009282C" w:rsidRDefault="0032367B" w:rsidP="00737F9C">
            <w:pPr>
              <w:pStyle w:val="TableText0"/>
              <w:numPr>
                <w:ilvl w:val="0"/>
                <w:numId w:val="10"/>
              </w:numPr>
            </w:pPr>
            <w:r w:rsidRPr="0009282C">
              <w:t>CKD 5-Ox</w:t>
            </w:r>
            <w:r w:rsidRPr="0009282C">
              <w:rPr>
                <w:vertAlign w:val="subscript"/>
              </w:rPr>
              <w:t xml:space="preserve">U </w:t>
            </w:r>
            <w:r w:rsidRPr="0009282C">
              <w:t>+ high-intensity dialysis: 0.202</w:t>
            </w:r>
            <w:r w:rsidR="0024153F" w:rsidRPr="0009282C">
              <w:t xml:space="preserve"> </w:t>
            </w:r>
          </w:p>
          <w:p w14:paraId="40C1291B" w14:textId="1FDCFD85" w:rsidR="00E965A9" w:rsidRPr="0009282C" w:rsidRDefault="0024153F" w:rsidP="00737F9C">
            <w:pPr>
              <w:pStyle w:val="TableText0"/>
              <w:numPr>
                <w:ilvl w:val="0"/>
                <w:numId w:val="10"/>
              </w:numPr>
            </w:pPr>
            <w:r w:rsidRPr="0009282C">
              <w:t xml:space="preserve">Post-LKT: 0.855 </w:t>
            </w:r>
          </w:p>
          <w:p w14:paraId="0FD30680" w14:textId="14D1B7FD" w:rsidR="00380EC5" w:rsidRPr="0009282C" w:rsidRDefault="007B45E7" w:rsidP="00380EC5">
            <w:pPr>
              <w:pStyle w:val="TableText0"/>
              <w:rPr>
                <w:iCs/>
              </w:rPr>
            </w:pPr>
            <w:r w:rsidRPr="0009282C">
              <w:rPr>
                <w:iCs/>
              </w:rPr>
              <w:t>Adult</w:t>
            </w:r>
          </w:p>
          <w:p w14:paraId="1B8E3E05" w14:textId="2EC1FAB0" w:rsidR="00380EC5" w:rsidRPr="0009282C" w:rsidRDefault="008778CB" w:rsidP="00737F9C">
            <w:pPr>
              <w:pStyle w:val="TableText0"/>
              <w:numPr>
                <w:ilvl w:val="0"/>
                <w:numId w:val="10"/>
              </w:numPr>
            </w:pPr>
            <w:r w:rsidRPr="0009282C">
              <w:t xml:space="preserve">CKD 1 to 3b: 0.963 </w:t>
            </w:r>
          </w:p>
          <w:p w14:paraId="7E444B10" w14:textId="56A9830E" w:rsidR="001B3379" w:rsidRPr="0009282C" w:rsidRDefault="001B3379" w:rsidP="00737F9C">
            <w:pPr>
              <w:pStyle w:val="TableText0"/>
              <w:numPr>
                <w:ilvl w:val="0"/>
                <w:numId w:val="10"/>
              </w:numPr>
            </w:pPr>
            <w:r w:rsidRPr="0009282C">
              <w:t>CKD 4-Ox</w:t>
            </w:r>
            <w:r w:rsidRPr="0009282C">
              <w:rPr>
                <w:vertAlign w:val="subscript"/>
              </w:rPr>
              <w:t xml:space="preserve">U </w:t>
            </w:r>
            <w:r w:rsidRPr="0009282C">
              <w:t>+ normal-intensity dialysis</w:t>
            </w:r>
            <w:r w:rsidR="007903D6" w:rsidRPr="0009282C">
              <w:t>: 0.764</w:t>
            </w:r>
            <w:r w:rsidR="003654B7" w:rsidRPr="0009282C">
              <w:t xml:space="preserve"> </w:t>
            </w:r>
          </w:p>
          <w:p w14:paraId="277FB917" w14:textId="24BC827A" w:rsidR="008778CB" w:rsidRPr="0009282C" w:rsidRDefault="0083584F" w:rsidP="00737F9C">
            <w:pPr>
              <w:pStyle w:val="TableText0"/>
              <w:numPr>
                <w:ilvl w:val="0"/>
                <w:numId w:val="10"/>
              </w:numPr>
            </w:pPr>
            <w:r w:rsidRPr="0009282C">
              <w:t>CKD 4-Ox</w:t>
            </w:r>
            <w:r w:rsidRPr="0009282C">
              <w:rPr>
                <w:vertAlign w:val="subscript"/>
              </w:rPr>
              <w:t xml:space="preserve">C </w:t>
            </w:r>
            <w:r w:rsidRPr="0009282C">
              <w:t>+ normal-intensity dialysis, CKD 4-Ox</w:t>
            </w:r>
            <w:r w:rsidRPr="0009282C">
              <w:rPr>
                <w:vertAlign w:val="subscript"/>
              </w:rPr>
              <w:t xml:space="preserve">C </w:t>
            </w:r>
            <w:r w:rsidRPr="0009282C">
              <w:t>+ high-intensity dialysis: 0.</w:t>
            </w:r>
            <w:r w:rsidR="00844637" w:rsidRPr="0009282C">
              <w:t>7</w:t>
            </w:r>
            <w:r w:rsidR="00367FBF" w:rsidRPr="0009282C">
              <w:t xml:space="preserve">83 </w:t>
            </w:r>
          </w:p>
          <w:p w14:paraId="238032E8" w14:textId="5AD96D20" w:rsidR="004F609C" w:rsidRPr="0009282C" w:rsidRDefault="008A3A99" w:rsidP="00737F9C">
            <w:pPr>
              <w:pStyle w:val="TableText0"/>
              <w:numPr>
                <w:ilvl w:val="0"/>
                <w:numId w:val="10"/>
              </w:numPr>
            </w:pPr>
            <w:r w:rsidRPr="0009282C">
              <w:t>CKD 4-Ox</w:t>
            </w:r>
            <w:r w:rsidRPr="0009282C">
              <w:rPr>
                <w:vertAlign w:val="subscript"/>
              </w:rPr>
              <w:t xml:space="preserve">U </w:t>
            </w:r>
            <w:r w:rsidRPr="0009282C">
              <w:t>+ high-intensity dialysis: 0.</w:t>
            </w:r>
            <w:r w:rsidR="00E072F3" w:rsidRPr="0009282C">
              <w:t>586</w:t>
            </w:r>
            <w:r w:rsidR="0078468D" w:rsidRPr="0009282C">
              <w:t xml:space="preserve"> </w:t>
            </w:r>
          </w:p>
          <w:p w14:paraId="2C81853C" w14:textId="7FBB10D1" w:rsidR="007B7410" w:rsidRPr="0009282C" w:rsidRDefault="007B7410" w:rsidP="00737F9C">
            <w:pPr>
              <w:pStyle w:val="TableText0"/>
              <w:numPr>
                <w:ilvl w:val="0"/>
                <w:numId w:val="10"/>
              </w:numPr>
            </w:pPr>
            <w:r w:rsidRPr="0009282C">
              <w:t>CKD 5-Ox</w:t>
            </w:r>
            <w:r w:rsidRPr="0009282C">
              <w:rPr>
                <w:vertAlign w:val="subscript"/>
              </w:rPr>
              <w:t xml:space="preserve">C </w:t>
            </w:r>
            <w:r w:rsidRPr="0009282C">
              <w:t>+ normal-intensity dialysis, CKD 5-Ox</w:t>
            </w:r>
            <w:r w:rsidRPr="0009282C">
              <w:rPr>
                <w:vertAlign w:val="subscript"/>
              </w:rPr>
              <w:t xml:space="preserve">C </w:t>
            </w:r>
            <w:r w:rsidRPr="0009282C">
              <w:t>+ high-intensity dialysis: 0.</w:t>
            </w:r>
            <w:r w:rsidR="00C27C87" w:rsidRPr="0009282C">
              <w:t>575</w:t>
            </w:r>
            <w:r w:rsidRPr="0009282C">
              <w:t xml:space="preserve"> </w:t>
            </w:r>
          </w:p>
          <w:p w14:paraId="55C96397" w14:textId="395686B6" w:rsidR="00387B6A" w:rsidRPr="0009282C" w:rsidRDefault="00387B6A" w:rsidP="00737F9C">
            <w:pPr>
              <w:pStyle w:val="TableText0"/>
              <w:numPr>
                <w:ilvl w:val="0"/>
                <w:numId w:val="10"/>
              </w:numPr>
            </w:pPr>
            <w:r w:rsidRPr="0009282C">
              <w:t xml:space="preserve">CKD </w:t>
            </w:r>
            <w:r w:rsidR="00A805EA" w:rsidRPr="0009282C">
              <w:t>5</w:t>
            </w:r>
            <w:r w:rsidRPr="0009282C">
              <w:t>-Ox</w:t>
            </w:r>
            <w:r w:rsidR="00793F48" w:rsidRPr="0009282C">
              <w:rPr>
                <w:vertAlign w:val="subscript"/>
              </w:rPr>
              <w:t>U</w:t>
            </w:r>
            <w:r w:rsidRPr="0009282C">
              <w:rPr>
                <w:vertAlign w:val="subscript"/>
              </w:rPr>
              <w:t xml:space="preserve"> </w:t>
            </w:r>
            <w:r w:rsidRPr="0009282C">
              <w:t>+ normal-intensity dialysis: 0.</w:t>
            </w:r>
            <w:r w:rsidR="00793F48" w:rsidRPr="0009282C">
              <w:t>532</w:t>
            </w:r>
            <w:r w:rsidRPr="0009282C">
              <w:t xml:space="preserve"> </w:t>
            </w:r>
          </w:p>
          <w:p w14:paraId="24A05FCF" w14:textId="6CD5137F" w:rsidR="00B31ABB" w:rsidRPr="0009282C" w:rsidRDefault="00B31ABB" w:rsidP="00737F9C">
            <w:pPr>
              <w:pStyle w:val="TableText0"/>
              <w:numPr>
                <w:ilvl w:val="0"/>
                <w:numId w:val="10"/>
              </w:numPr>
            </w:pPr>
            <w:r w:rsidRPr="0009282C">
              <w:t>CKD 5-Ox</w:t>
            </w:r>
            <w:r w:rsidRPr="0009282C">
              <w:rPr>
                <w:vertAlign w:val="subscript"/>
              </w:rPr>
              <w:t xml:space="preserve">U </w:t>
            </w:r>
            <w:r w:rsidRPr="0009282C">
              <w:t xml:space="preserve">+ high-intensity dialysis: 0.246 </w:t>
            </w:r>
          </w:p>
          <w:p w14:paraId="43A1571A" w14:textId="06E55C90" w:rsidR="00943B23" w:rsidRPr="0009282C" w:rsidRDefault="00B21869" w:rsidP="00737F9C">
            <w:pPr>
              <w:pStyle w:val="TableText0"/>
              <w:numPr>
                <w:ilvl w:val="0"/>
                <w:numId w:val="10"/>
              </w:numPr>
            </w:pPr>
            <w:r w:rsidRPr="0009282C">
              <w:t xml:space="preserve">Post-LKT: 0.765 </w:t>
            </w:r>
          </w:p>
          <w:p w14:paraId="223AE1F5" w14:textId="77777777" w:rsidR="00561611" w:rsidRPr="0009282C" w:rsidRDefault="00561611" w:rsidP="00561611">
            <w:pPr>
              <w:pStyle w:val="TableText0"/>
            </w:pPr>
          </w:p>
          <w:p w14:paraId="43A8CD4D" w14:textId="072DD143" w:rsidR="005830DE" w:rsidRPr="0009282C" w:rsidRDefault="00A71E0A" w:rsidP="009C3CAF">
            <w:pPr>
              <w:pStyle w:val="TableText0"/>
            </w:pPr>
            <w:r w:rsidRPr="0009282C">
              <w:t xml:space="preserve">Disutility values </w:t>
            </w:r>
            <w:r w:rsidR="002F55DE" w:rsidRPr="0009282C">
              <w:t xml:space="preserve">were applied </w:t>
            </w:r>
            <w:r w:rsidR="0040697F" w:rsidRPr="0009282C">
              <w:t xml:space="preserve">for renal stone events, </w:t>
            </w:r>
            <w:r w:rsidR="009D04B5" w:rsidRPr="0009282C">
              <w:t xml:space="preserve">systemic oxalosis manifestations not captured via the defined </w:t>
            </w:r>
            <w:r w:rsidR="00073F25" w:rsidRPr="0009282C">
              <w:t>health state utility value</w:t>
            </w:r>
            <w:r w:rsidR="009D04B5" w:rsidRPr="0009282C">
              <w:t>, transplant, graft failure and treatment-related AEs</w:t>
            </w:r>
            <w:r w:rsidR="00F17CF3" w:rsidRPr="0009282C">
              <w:t>.</w:t>
            </w:r>
            <w:r w:rsidR="00200C61" w:rsidRPr="0009282C">
              <w:t xml:space="preserve"> </w:t>
            </w:r>
            <w:r w:rsidR="00F17CF3" w:rsidRPr="0009282C">
              <w:t>A caregiver disutility was also included in the model base case</w:t>
            </w:r>
            <w:r w:rsidR="00200C61" w:rsidRPr="0009282C">
              <w:t>, applied to the CKD4 and CKD 5 health states. Inclusion of a caregiver disutility in the base case does not align with</w:t>
            </w:r>
            <w:r w:rsidR="00997FB7" w:rsidRPr="0009282C">
              <w:t xml:space="preserve"> the</w:t>
            </w:r>
            <w:r w:rsidR="00200C61" w:rsidRPr="0009282C">
              <w:t xml:space="preserve"> PBAC </w:t>
            </w:r>
            <w:r w:rsidR="00F25B3F" w:rsidRPr="0009282C">
              <w:t>G</w:t>
            </w:r>
            <w:r w:rsidR="00200C61" w:rsidRPr="0009282C">
              <w:t>uidelines</w:t>
            </w:r>
            <w:r w:rsidR="00FF3557" w:rsidRPr="0009282C">
              <w:t xml:space="preserve"> (Version 5.0)</w:t>
            </w:r>
            <w:r w:rsidR="00200C61" w:rsidRPr="0009282C">
              <w:t>.</w:t>
            </w:r>
            <w:r w:rsidR="00F17CF3" w:rsidRPr="0009282C">
              <w:t xml:space="preserve"> </w:t>
            </w:r>
          </w:p>
        </w:tc>
      </w:tr>
      <w:tr w:rsidR="005830DE" w:rsidRPr="0009282C" w14:paraId="26B341FD" w14:textId="77777777" w:rsidTr="00D821EC">
        <w:trPr>
          <w:cantSplit/>
        </w:trPr>
        <w:tc>
          <w:tcPr>
            <w:tcW w:w="1145" w:type="pct"/>
            <w:tcMar>
              <w:top w:w="0" w:type="dxa"/>
              <w:bottom w:w="0" w:type="dxa"/>
            </w:tcMar>
            <w:vAlign w:val="center"/>
          </w:tcPr>
          <w:p w14:paraId="45BB30CB" w14:textId="77777777" w:rsidR="005830DE" w:rsidRPr="0009282C" w:rsidRDefault="005830DE" w:rsidP="009C3CAF">
            <w:pPr>
              <w:pStyle w:val="TableText0"/>
            </w:pPr>
            <w:r w:rsidRPr="0009282C">
              <w:t>Discount rate</w:t>
            </w:r>
          </w:p>
        </w:tc>
        <w:tc>
          <w:tcPr>
            <w:tcW w:w="3855" w:type="pct"/>
            <w:tcMar>
              <w:top w:w="0" w:type="dxa"/>
              <w:bottom w:w="0" w:type="dxa"/>
            </w:tcMar>
          </w:tcPr>
          <w:p w14:paraId="394BA986" w14:textId="03C1A606" w:rsidR="005830DE" w:rsidRPr="0009282C" w:rsidRDefault="005830DE" w:rsidP="009C3CAF">
            <w:pPr>
              <w:pStyle w:val="TableText0"/>
            </w:pPr>
            <w:r w:rsidRPr="0009282C">
              <w:t xml:space="preserve">5% costs and outcomes </w:t>
            </w:r>
          </w:p>
        </w:tc>
      </w:tr>
    </w:tbl>
    <w:p w14:paraId="16A24C47" w14:textId="00FE90C5" w:rsidR="006F4910" w:rsidRPr="0009282C" w:rsidRDefault="00580660" w:rsidP="001E6A64">
      <w:pPr>
        <w:pStyle w:val="TableFigureFooter"/>
        <w:rPr>
          <w:b/>
          <w:bCs/>
        </w:rPr>
      </w:pPr>
      <w:r w:rsidRPr="0009282C">
        <w:t>Abbreviations:</w:t>
      </w:r>
      <w:r w:rsidR="6A46AB6E" w:rsidRPr="0009282C">
        <w:t xml:space="preserve"> AE</w:t>
      </w:r>
      <w:r w:rsidR="00B17AFD" w:rsidRPr="0009282C">
        <w:t>,</w:t>
      </w:r>
      <w:r w:rsidR="6A46AB6E" w:rsidRPr="0009282C">
        <w:t xml:space="preserve"> adverse event;</w:t>
      </w:r>
      <w:r w:rsidR="6A46AB6E" w:rsidRPr="0009282C">
        <w:rPr>
          <w:b/>
        </w:rPr>
        <w:t xml:space="preserve"> </w:t>
      </w:r>
      <w:r w:rsidR="6A46AB6E" w:rsidRPr="0009282C">
        <w:t>BSC</w:t>
      </w:r>
      <w:r w:rsidR="008C3C2D" w:rsidRPr="0009282C">
        <w:rPr>
          <w:b/>
        </w:rPr>
        <w:t>,</w:t>
      </w:r>
      <w:r w:rsidR="6A46AB6E" w:rsidRPr="0009282C">
        <w:rPr>
          <w:b/>
        </w:rPr>
        <w:t xml:space="preserve"> </w:t>
      </w:r>
      <w:r w:rsidR="6A46AB6E" w:rsidRPr="0009282C">
        <w:t>best supportive care; CKD</w:t>
      </w:r>
      <w:r w:rsidR="008C3C2D" w:rsidRPr="0009282C">
        <w:t>,</w:t>
      </w:r>
      <w:r w:rsidR="6A46AB6E" w:rsidRPr="0009282C">
        <w:t xml:space="preserve"> chronic kidney disease; ESKD</w:t>
      </w:r>
      <w:r w:rsidR="008C3C2D" w:rsidRPr="0009282C">
        <w:t>,</w:t>
      </w:r>
      <w:r w:rsidR="6A46AB6E" w:rsidRPr="0009282C">
        <w:t xml:space="preserve"> end-stage kidney disease;</w:t>
      </w:r>
      <w:r w:rsidR="009F6463" w:rsidRPr="0009282C">
        <w:t xml:space="preserve"> </w:t>
      </w:r>
      <w:proofErr w:type="spellStart"/>
      <w:r w:rsidR="009F6463" w:rsidRPr="0009282C">
        <w:t>c</w:t>
      </w:r>
      <w:r w:rsidR="005979C4" w:rsidRPr="0009282C">
        <w:t>LKT</w:t>
      </w:r>
      <w:proofErr w:type="spellEnd"/>
      <w:r w:rsidR="006051E5" w:rsidRPr="0009282C">
        <w:t>, combined kidney liver transplant; LY</w:t>
      </w:r>
      <w:r w:rsidR="008C3C2D" w:rsidRPr="0009282C">
        <w:t>,</w:t>
      </w:r>
      <w:r w:rsidR="006051E5" w:rsidRPr="0009282C">
        <w:t xml:space="preserve"> life-years; </w:t>
      </w:r>
      <w:r w:rsidR="001C5890" w:rsidRPr="0009282C">
        <w:t>NR: no</w:t>
      </w:r>
      <w:r w:rsidR="00E24B6F" w:rsidRPr="0009282C">
        <w:t xml:space="preserve">t reported; </w:t>
      </w:r>
      <w:proofErr w:type="spellStart"/>
      <w:r w:rsidR="6A46AB6E" w:rsidRPr="0009282C">
        <w:t>OxC</w:t>
      </w:r>
      <w:proofErr w:type="spellEnd"/>
      <w:r w:rsidR="008C3C2D" w:rsidRPr="0009282C">
        <w:t>,</w:t>
      </w:r>
      <w:r w:rsidR="6A46AB6E" w:rsidRPr="0009282C">
        <w:t xml:space="preserve"> controlled oxalate levels; </w:t>
      </w:r>
      <w:proofErr w:type="spellStart"/>
      <w:r w:rsidR="6A46AB6E" w:rsidRPr="0009282C">
        <w:t>OxU</w:t>
      </w:r>
      <w:proofErr w:type="spellEnd"/>
      <w:r w:rsidR="008C3C2D" w:rsidRPr="0009282C">
        <w:t>,</w:t>
      </w:r>
      <w:r w:rsidR="6A46AB6E" w:rsidRPr="0009282C">
        <w:t xml:space="preserve"> uncontrolled oxalate levels; QALY</w:t>
      </w:r>
      <w:r w:rsidR="008C3C2D" w:rsidRPr="0009282C">
        <w:t>,</w:t>
      </w:r>
      <w:r w:rsidR="6A46AB6E" w:rsidRPr="0009282C">
        <w:t xml:space="preserve"> quality-adjusted life-years</w:t>
      </w:r>
      <w:r w:rsidR="006A0019" w:rsidRPr="0009282C">
        <w:t>; SD</w:t>
      </w:r>
      <w:r w:rsidR="008C3C2D" w:rsidRPr="0009282C">
        <w:t>,</w:t>
      </w:r>
      <w:r w:rsidR="006A0019" w:rsidRPr="0009282C">
        <w:t xml:space="preserve"> standard deviation.</w:t>
      </w:r>
    </w:p>
    <w:p w14:paraId="5098024F" w14:textId="447B283A" w:rsidR="005830DE" w:rsidRPr="0009282C" w:rsidRDefault="00580660" w:rsidP="001E6A64">
      <w:pPr>
        <w:pStyle w:val="TableFigureFooter"/>
      </w:pPr>
      <w:r w:rsidRPr="0009282C">
        <w:t>Source:</w:t>
      </w:r>
      <w:r w:rsidR="006F4910" w:rsidRPr="0009282C">
        <w:t xml:space="preserve"> Table 3.1 </w:t>
      </w:r>
      <w:r w:rsidR="00635909" w:rsidRPr="0009282C">
        <w:t>and Table 3.33</w:t>
      </w:r>
      <w:r w:rsidR="002F6C25" w:rsidRPr="0009282C">
        <w:t>, p</w:t>
      </w:r>
      <w:r w:rsidR="00E736B7" w:rsidRPr="0009282C">
        <w:t xml:space="preserve">99 </w:t>
      </w:r>
      <w:r w:rsidR="006F4910" w:rsidRPr="0009282C">
        <w:t>of the submission</w:t>
      </w:r>
      <w:r w:rsidR="00B17AFD" w:rsidRPr="0009282C">
        <w:t>.</w:t>
      </w:r>
    </w:p>
    <w:p w14:paraId="7577C28D" w14:textId="51B88B30" w:rsidR="00727F92" w:rsidRPr="0009282C" w:rsidRDefault="005830DE" w:rsidP="00EC48DC">
      <w:pPr>
        <w:pStyle w:val="3-BodyText"/>
      </w:pPr>
      <w:r w:rsidRPr="0009282C">
        <w:t xml:space="preserve">The </w:t>
      </w:r>
      <w:r w:rsidR="00AE5B0F" w:rsidRPr="0009282C">
        <w:t xml:space="preserve">economic </w:t>
      </w:r>
      <w:r w:rsidRPr="0009282C">
        <w:t xml:space="preserve">model applied </w:t>
      </w:r>
      <w:r w:rsidR="006610C4" w:rsidRPr="0009282C">
        <w:t>a</w:t>
      </w:r>
      <w:r w:rsidRPr="0009282C">
        <w:t xml:space="preserve"> lifetime </w:t>
      </w:r>
      <w:r w:rsidR="00CB797A" w:rsidRPr="0009282C">
        <w:t xml:space="preserve">time </w:t>
      </w:r>
      <w:r w:rsidRPr="0009282C">
        <w:t xml:space="preserve">horizon with </w:t>
      </w:r>
      <w:r w:rsidR="00097EFC" w:rsidRPr="0009282C">
        <w:t xml:space="preserve">a </w:t>
      </w:r>
      <w:r w:rsidRPr="0009282C">
        <w:t>6-month cycle length. The patients transitioned through</w:t>
      </w:r>
      <w:r w:rsidR="009B513A" w:rsidRPr="0009282C">
        <w:t xml:space="preserve"> </w:t>
      </w:r>
      <w:r w:rsidRPr="0009282C">
        <w:t>health states defined by CKD stages</w:t>
      </w:r>
      <w:r w:rsidR="005877D5" w:rsidRPr="0009282C">
        <w:t xml:space="preserve"> (</w:t>
      </w:r>
      <w:r w:rsidR="005877D5" w:rsidRPr="0009282C">
        <w:fldChar w:fldCharType="begin" w:fldLock="1"/>
      </w:r>
      <w:r w:rsidR="005877D5" w:rsidRPr="0009282C">
        <w:instrText xml:space="preserve"> REF _Ref190586160 \h </w:instrText>
      </w:r>
      <w:r w:rsidR="005877D5" w:rsidRPr="0009282C">
        <w:rPr>
          <w:szCs w:val="24"/>
        </w:rPr>
        <w:fldChar w:fldCharType="separate"/>
      </w:r>
      <w:r w:rsidR="00771DFF" w:rsidRPr="0009282C">
        <w:rPr>
          <w:iCs/>
          <w:szCs w:val="20"/>
        </w:rPr>
        <w:t xml:space="preserve">Figure </w:t>
      </w:r>
      <w:r w:rsidR="00771DFF">
        <w:rPr>
          <w:iCs/>
          <w:noProof/>
          <w:szCs w:val="20"/>
        </w:rPr>
        <w:t>2</w:t>
      </w:r>
      <w:r w:rsidR="005877D5" w:rsidRPr="0009282C">
        <w:fldChar w:fldCharType="end"/>
      </w:r>
      <w:r w:rsidR="005877D5" w:rsidRPr="0009282C">
        <w:t>)</w:t>
      </w:r>
      <w:r w:rsidRPr="0009282C">
        <w:t>. Plasma oxalate levels and transplant status were used to further stratify late CKD stages (4</w:t>
      </w:r>
      <w:r w:rsidR="005D7859">
        <w:t xml:space="preserve"> </w:t>
      </w:r>
      <w:r w:rsidRPr="0009282C">
        <w:t xml:space="preserve">and 5). All patients </w:t>
      </w:r>
      <w:r w:rsidR="008B3C8D" w:rsidRPr="0009282C">
        <w:t>in the model could transition</w:t>
      </w:r>
      <w:r w:rsidRPr="0009282C">
        <w:t xml:space="preserve"> </w:t>
      </w:r>
      <w:r w:rsidR="008B3C8D" w:rsidRPr="0009282C">
        <w:t xml:space="preserve">to </w:t>
      </w:r>
      <w:r w:rsidRPr="0009282C">
        <w:t xml:space="preserve">death. </w:t>
      </w:r>
      <w:r w:rsidR="00727F92" w:rsidRPr="0009282C">
        <w:t>These health states were able to capture key clinical events, costs and quality of life changes for patients’ disease progression.</w:t>
      </w:r>
      <w:r w:rsidR="00EC228F" w:rsidRPr="0009282C">
        <w:t xml:space="preserve"> The model </w:t>
      </w:r>
      <w:r w:rsidR="00106FE1" w:rsidRPr="0009282C">
        <w:t xml:space="preserve">assumed </w:t>
      </w:r>
      <w:r w:rsidR="00EC228F" w:rsidRPr="0009282C">
        <w:t xml:space="preserve">that both paediatric and adult patients follow a similar pathway for disease progression. There were no structural variations for different age groups, which </w:t>
      </w:r>
      <w:r w:rsidR="00C21796" w:rsidRPr="0009282C">
        <w:t>t</w:t>
      </w:r>
      <w:r w:rsidR="007E7520" w:rsidRPr="0009282C">
        <w:t xml:space="preserve">he evaluators </w:t>
      </w:r>
      <w:r w:rsidR="00085450" w:rsidRPr="0009282C">
        <w:t xml:space="preserve">considered </w:t>
      </w:r>
      <w:r w:rsidR="00EC228F" w:rsidRPr="0009282C">
        <w:t>to be a reasonable simplification in the modelling design.</w:t>
      </w:r>
      <w:r w:rsidR="00727F92" w:rsidRPr="0009282C">
        <w:t xml:space="preserve"> </w:t>
      </w:r>
      <w:r w:rsidR="00DE7B60" w:rsidRPr="0009282C">
        <w:t>The ESC noted that</w:t>
      </w:r>
      <w:r w:rsidR="004F2CC0" w:rsidRPr="0009282C">
        <w:t xml:space="preserve"> the</w:t>
      </w:r>
      <w:r w:rsidR="00DE7B60" w:rsidRPr="0009282C">
        <w:t xml:space="preserve"> extrapolation</w:t>
      </w:r>
      <w:r w:rsidR="004F2CC0" w:rsidRPr="0009282C">
        <w:t xml:space="preserve"> </w:t>
      </w:r>
      <w:r w:rsidR="006B5676" w:rsidRPr="0009282C">
        <w:t>of</w:t>
      </w:r>
      <w:r w:rsidR="004F2CC0" w:rsidRPr="0009282C">
        <w:t xml:space="preserve"> short</w:t>
      </w:r>
      <w:r w:rsidR="006B5676" w:rsidRPr="0009282C">
        <w:t>-</w:t>
      </w:r>
      <w:r w:rsidR="004F2CC0" w:rsidRPr="0009282C">
        <w:t>term clinical data</w:t>
      </w:r>
      <w:r w:rsidR="00DE7B60" w:rsidRPr="0009282C">
        <w:t xml:space="preserve"> over </w:t>
      </w:r>
      <w:r w:rsidR="006B5676" w:rsidRPr="0009282C">
        <w:t xml:space="preserve">a </w:t>
      </w:r>
      <w:r w:rsidR="00DE7B60" w:rsidRPr="0009282C">
        <w:t>lifetime introduce</w:t>
      </w:r>
      <w:r w:rsidR="004F2CC0" w:rsidRPr="0009282C">
        <w:t>d</w:t>
      </w:r>
      <w:r w:rsidR="00DE7B60" w:rsidRPr="0009282C">
        <w:t xml:space="preserve"> uncertainty. However,</w:t>
      </w:r>
      <w:r w:rsidR="00CA5E64" w:rsidRPr="0009282C">
        <w:t xml:space="preserve"> it was</w:t>
      </w:r>
      <w:r w:rsidR="00DE7B60" w:rsidRPr="0009282C">
        <w:t xml:space="preserve"> noted that the model was not sensitive to reducing the time horizon </w:t>
      </w:r>
      <w:r w:rsidR="006B5676" w:rsidRPr="0009282C">
        <w:t xml:space="preserve">from a lifetime </w:t>
      </w:r>
      <w:r w:rsidR="00DE7B60" w:rsidRPr="0009282C">
        <w:t>to 20 years.</w:t>
      </w:r>
      <w:r w:rsidR="005F084B" w:rsidRPr="0009282C">
        <w:t xml:space="preserve"> </w:t>
      </w:r>
      <w:r w:rsidR="00DE7B60" w:rsidRPr="0009282C">
        <w:t>Overall, t</w:t>
      </w:r>
      <w:r w:rsidR="005F084B" w:rsidRPr="0009282C">
        <w:t>he ESC considered that the choice of the health states, the time horizon and the cycle length were likely reasonable</w:t>
      </w:r>
      <w:r w:rsidR="00E143BF" w:rsidRPr="0009282C">
        <w:t>.</w:t>
      </w:r>
      <w:r w:rsidR="006F7A01" w:rsidRPr="0009282C">
        <w:t xml:space="preserve"> </w:t>
      </w:r>
    </w:p>
    <w:p w14:paraId="7BE78E6E" w14:textId="564F6E36" w:rsidR="00DE2BFC" w:rsidRPr="0009282C" w:rsidRDefault="00DE2BFC" w:rsidP="006759A6">
      <w:pPr>
        <w:pStyle w:val="Caption"/>
        <w:rPr>
          <w:iCs/>
        </w:rPr>
      </w:pPr>
      <w:bookmarkStart w:id="60" w:name="_Ref190586160"/>
      <w:r w:rsidRPr="0009282C">
        <w:rPr>
          <w:iCs/>
          <w:szCs w:val="20"/>
        </w:rPr>
        <w:t xml:space="preserve">Figure </w:t>
      </w:r>
      <w:r w:rsidRPr="0009282C">
        <w:rPr>
          <w:iCs/>
          <w:szCs w:val="20"/>
        </w:rPr>
        <w:fldChar w:fldCharType="begin" w:fldLock="1"/>
      </w:r>
      <w:r w:rsidRPr="0009282C">
        <w:rPr>
          <w:iCs/>
          <w:szCs w:val="20"/>
        </w:rPr>
        <w:instrText xml:space="preserve"> SEQ Figure \* ARABIC </w:instrText>
      </w:r>
      <w:r w:rsidRPr="0009282C">
        <w:rPr>
          <w:iCs/>
          <w:szCs w:val="20"/>
        </w:rPr>
        <w:fldChar w:fldCharType="separate"/>
      </w:r>
      <w:r w:rsidR="00771DFF">
        <w:rPr>
          <w:iCs/>
          <w:noProof/>
          <w:szCs w:val="20"/>
        </w:rPr>
        <w:t>2</w:t>
      </w:r>
      <w:r w:rsidRPr="0009282C">
        <w:rPr>
          <w:iCs/>
          <w:szCs w:val="20"/>
        </w:rPr>
        <w:fldChar w:fldCharType="end"/>
      </w:r>
      <w:bookmarkEnd w:id="60"/>
      <w:r w:rsidRPr="0009282C">
        <w:rPr>
          <w:iCs/>
          <w:szCs w:val="20"/>
        </w:rPr>
        <w:t>:</w:t>
      </w:r>
      <w:r w:rsidRPr="0009282C">
        <w:rPr>
          <w:iCs/>
          <w:szCs w:val="20"/>
        </w:rPr>
        <w:tab/>
      </w:r>
      <w:r w:rsidR="006759A6" w:rsidRPr="0009282C">
        <w:rPr>
          <w:iCs/>
          <w:szCs w:val="20"/>
        </w:rPr>
        <w:t>Markov model structure</w:t>
      </w:r>
    </w:p>
    <w:p w14:paraId="4A4B02B8" w14:textId="5C09FDEE" w:rsidR="00DE2BFC" w:rsidRPr="0009282C" w:rsidRDefault="00940094" w:rsidP="00AD3A9C">
      <w:pPr>
        <w:pStyle w:val="3-BodyText"/>
        <w:numPr>
          <w:ilvl w:val="0"/>
          <w:numId w:val="0"/>
        </w:numPr>
        <w:spacing w:before="0" w:after="0"/>
      </w:pPr>
      <w:r w:rsidRPr="0009282C">
        <w:rPr>
          <w:noProof/>
        </w:rPr>
        <w:drawing>
          <wp:inline distT="0" distB="0" distL="0" distR="0" wp14:anchorId="065F6A4F" wp14:editId="157DF9D2">
            <wp:extent cx="2895600" cy="3270250"/>
            <wp:effectExtent l="0" t="0" r="0" b="6350"/>
            <wp:docPr id="3073" name="Picture 47992839" descr="Diagram&#10;&#10;Description automatically generated">
              <a:extLst xmlns:a="http://schemas.openxmlformats.org/drawingml/2006/main">
                <a:ext uri="{FF2B5EF4-FFF2-40B4-BE49-F238E27FC236}">
                  <a16:creationId xmlns:a16="http://schemas.microsoft.com/office/drawing/2014/main" id="{3B6E69CB-4A85-4862-88A3-72390C076A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47992839" descr="Diagram&#10;&#10;Description automatically generated">
                      <a:extLst>
                        <a:ext uri="{FF2B5EF4-FFF2-40B4-BE49-F238E27FC236}">
                          <a16:creationId xmlns:a16="http://schemas.microsoft.com/office/drawing/2014/main" id="{3B6E69CB-4A85-4862-88A3-72390C076AF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3270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83A260A" w14:textId="5B77E1BC" w:rsidR="00F77D96" w:rsidRPr="0009282C" w:rsidRDefault="00F77D96" w:rsidP="001E6A64">
      <w:pPr>
        <w:pStyle w:val="TableFigureFooter"/>
      </w:pPr>
      <w:r w:rsidRPr="0009282C">
        <w:t xml:space="preserve">Source: </w:t>
      </w:r>
      <w:r w:rsidR="00C64267" w:rsidRPr="0009282C">
        <w:t>Figure 3.2, p</w:t>
      </w:r>
      <w:r w:rsidR="0066380F" w:rsidRPr="0009282C">
        <w:t>103 of the submission</w:t>
      </w:r>
    </w:p>
    <w:p w14:paraId="7BC1A094" w14:textId="7E927063" w:rsidR="00345599" w:rsidRPr="0009282C" w:rsidRDefault="005877D5" w:rsidP="001E6A64">
      <w:pPr>
        <w:pStyle w:val="TableFigureFooter"/>
      </w:pPr>
      <w:r w:rsidRPr="0009282C">
        <w:t xml:space="preserve">Abbreviations: </w:t>
      </w:r>
      <w:r w:rsidR="00345599" w:rsidRPr="0009282C">
        <w:t xml:space="preserve">CKD, chronic kidney disease; </w:t>
      </w:r>
      <w:proofErr w:type="spellStart"/>
      <w:r w:rsidR="00345599" w:rsidRPr="0009282C">
        <w:t>cLKT</w:t>
      </w:r>
      <w:proofErr w:type="spellEnd"/>
      <w:r w:rsidR="00345599" w:rsidRPr="0009282C">
        <w:t xml:space="preserve"> combined liver–kidney transplantation; ESKD end-stage kidney disease; </w:t>
      </w:r>
      <w:proofErr w:type="spellStart"/>
      <w:r w:rsidR="00345599" w:rsidRPr="0009282C">
        <w:t>OxC</w:t>
      </w:r>
      <w:proofErr w:type="spellEnd"/>
      <w:r w:rsidR="00345599" w:rsidRPr="0009282C">
        <w:t xml:space="preserve">, controlled oxalate levels; </w:t>
      </w:r>
      <w:proofErr w:type="spellStart"/>
      <w:r w:rsidR="00345599" w:rsidRPr="0009282C">
        <w:t>OxU</w:t>
      </w:r>
      <w:proofErr w:type="spellEnd"/>
      <w:r w:rsidR="00345599" w:rsidRPr="0009282C">
        <w:t>, uncontrolled oxalate levels; PH1, primary hyperoxaluria type 1</w:t>
      </w:r>
    </w:p>
    <w:p w14:paraId="67C0178F" w14:textId="17FA71E6" w:rsidR="00345599" w:rsidRPr="0009282C" w:rsidRDefault="00345599" w:rsidP="001E6A64">
      <w:pPr>
        <w:pStyle w:val="TableFigureFooter"/>
      </w:pPr>
      <w:r w:rsidRPr="0009282C">
        <w:t xml:space="preserve">Notes: </w:t>
      </w:r>
      <w:r w:rsidR="005877D5" w:rsidRPr="0009282C">
        <w:t xml:space="preserve">A threshold of 50 </w:t>
      </w:r>
      <w:proofErr w:type="spellStart"/>
      <w:r w:rsidR="005877D5" w:rsidRPr="0009282C">
        <w:t>μmol</w:t>
      </w:r>
      <w:proofErr w:type="spellEnd"/>
      <w:r w:rsidR="005877D5" w:rsidRPr="0009282C">
        <w:t>/L was used to distinguish controlled vs. uncontrolled oxalate based on the treatment target in PH1 identified from the literature</w:t>
      </w:r>
    </w:p>
    <w:p w14:paraId="22744CCC" w14:textId="6D02C6D1" w:rsidR="00BB5C27" w:rsidRPr="0009282C" w:rsidRDefault="005830DE" w:rsidP="00EC48DC">
      <w:pPr>
        <w:pStyle w:val="3-BodyText"/>
      </w:pPr>
      <w:r w:rsidRPr="0009282C">
        <w:rPr>
          <w:bCs/>
        </w:rPr>
        <w:t>The cohort</w:t>
      </w:r>
      <w:r w:rsidR="00D20FB2" w:rsidRPr="0009282C">
        <w:rPr>
          <w:bCs/>
        </w:rPr>
        <w:t>s</w:t>
      </w:r>
      <w:r w:rsidRPr="0009282C">
        <w:rPr>
          <w:bCs/>
        </w:rPr>
        <w:t xml:space="preserve"> </w:t>
      </w:r>
      <w:r w:rsidR="00171A20" w:rsidRPr="0009282C">
        <w:t>entered the model across</w:t>
      </w:r>
      <w:r w:rsidRPr="0009282C">
        <w:t xml:space="preserve"> different</w:t>
      </w:r>
      <w:r w:rsidRPr="0009282C">
        <w:rPr>
          <w:bCs/>
        </w:rPr>
        <w:t xml:space="preserve"> </w:t>
      </w:r>
      <w:r w:rsidRPr="0009282C">
        <w:t>distribution</w:t>
      </w:r>
      <w:r w:rsidR="00171A20" w:rsidRPr="0009282C">
        <w:t>s</w:t>
      </w:r>
      <w:r w:rsidRPr="0009282C">
        <w:t xml:space="preserve"> of CKD stages, with more early-stage disease in paediatric patients compared to adults</w:t>
      </w:r>
      <w:r w:rsidR="00CD412A" w:rsidRPr="0009282C">
        <w:t xml:space="preserve"> (see </w:t>
      </w:r>
      <w:r w:rsidR="00CD412A" w:rsidRPr="0009282C">
        <w:fldChar w:fldCharType="begin" w:fldLock="1"/>
      </w:r>
      <w:r w:rsidR="00CD412A" w:rsidRPr="0009282C">
        <w:instrText xml:space="preserve"> REF _Ref187324959 \h </w:instrText>
      </w:r>
      <w:r w:rsidR="00CD412A" w:rsidRPr="0009282C">
        <w:fldChar w:fldCharType="separate"/>
      </w:r>
      <w:r w:rsidR="00771DFF" w:rsidRPr="0009282C">
        <w:t xml:space="preserve">Table </w:t>
      </w:r>
      <w:r w:rsidR="00771DFF">
        <w:rPr>
          <w:noProof/>
        </w:rPr>
        <w:t>10</w:t>
      </w:r>
      <w:r w:rsidR="00CD412A" w:rsidRPr="0009282C">
        <w:fldChar w:fldCharType="end"/>
      </w:r>
      <w:r w:rsidR="00CD412A" w:rsidRPr="0009282C">
        <w:t>)</w:t>
      </w:r>
      <w:r w:rsidRPr="0009282C">
        <w:t>.</w:t>
      </w:r>
      <w:r w:rsidRPr="0009282C">
        <w:rPr>
          <w:bCs/>
        </w:rPr>
        <w:t xml:space="preserve"> </w:t>
      </w:r>
    </w:p>
    <w:p w14:paraId="263ABBAA" w14:textId="66270656" w:rsidR="00DC15CA" w:rsidRPr="0009282C" w:rsidRDefault="008F35DD" w:rsidP="00EC48DC">
      <w:pPr>
        <w:pStyle w:val="3-BodyText"/>
      </w:pPr>
      <w:r w:rsidRPr="0009282C">
        <w:t xml:space="preserve">The </w:t>
      </w:r>
      <w:r w:rsidR="003526AD" w:rsidRPr="0009282C">
        <w:t xml:space="preserve">starting </w:t>
      </w:r>
      <w:r w:rsidR="001430F9" w:rsidRPr="0009282C">
        <w:t>CKD distributions were</w:t>
      </w:r>
      <w:r w:rsidRPr="0009282C">
        <w:t xml:space="preserve"> informed by Singh et al. (2022) and modified based on input from Australian PH1</w:t>
      </w:r>
      <w:r w:rsidR="0055663C" w:rsidRPr="0009282C">
        <w:t xml:space="preserve"> experienced</w:t>
      </w:r>
      <w:r w:rsidRPr="0009282C">
        <w:t xml:space="preserve"> </w:t>
      </w:r>
      <w:r w:rsidR="008742C3" w:rsidRPr="0009282C">
        <w:t>specialists</w:t>
      </w:r>
      <w:r w:rsidRPr="0009282C">
        <w:t>. Compared with Singh et al.</w:t>
      </w:r>
      <w:r w:rsidR="00350BDE" w:rsidRPr="0009282C">
        <w:t xml:space="preserve"> (2022)</w:t>
      </w:r>
      <w:r w:rsidRPr="0009282C">
        <w:t xml:space="preserve"> the </w:t>
      </w:r>
      <w:r w:rsidR="000E3791" w:rsidRPr="0009282C">
        <w:t>specialists</w:t>
      </w:r>
      <w:r w:rsidRPr="0009282C">
        <w:t xml:space="preserve"> suggested that a </w:t>
      </w:r>
      <w:r w:rsidR="001430F9" w:rsidRPr="0009282C">
        <w:t>larger</w:t>
      </w:r>
      <w:r w:rsidRPr="0009282C">
        <w:t xml:space="preserve"> proportion of patients with PH1 in Australia present in CKD 3 and CKD 4, while a smaller proportion present in CKD 1</w:t>
      </w:r>
      <w:r w:rsidR="007308F5" w:rsidRPr="0009282C">
        <w:t>-</w:t>
      </w:r>
      <w:r w:rsidRPr="0009282C">
        <w:t>2. Therefore, the distributions published by Singh et al.</w:t>
      </w:r>
      <w:r w:rsidR="00F10DB0" w:rsidRPr="0009282C">
        <w:t xml:space="preserve"> (2022)</w:t>
      </w:r>
      <w:r w:rsidRPr="0009282C">
        <w:t xml:space="preserve"> were modified by halving the proportion of the cohort in CKD 1</w:t>
      </w:r>
      <w:r w:rsidR="007308F5" w:rsidRPr="0009282C">
        <w:t>-</w:t>
      </w:r>
      <w:r w:rsidRPr="0009282C">
        <w:t xml:space="preserve">2 and redistributing this proportion equally across the CKD 3 and CKD 4 health stages. Patients entering the model in the late-stage health states were assumed to have uncontrolled oxalate levels, i.e., higher than the threshold of 50 </w:t>
      </w:r>
      <w:proofErr w:type="spellStart"/>
      <w:r w:rsidRPr="0009282C">
        <w:t>μmol</w:t>
      </w:r>
      <w:proofErr w:type="spellEnd"/>
      <w:r w:rsidRPr="0009282C">
        <w:t>/L.</w:t>
      </w:r>
    </w:p>
    <w:p w14:paraId="0909E78B" w14:textId="07F01E32" w:rsidR="00351581" w:rsidRPr="0009282C" w:rsidRDefault="00157956" w:rsidP="00916930">
      <w:pPr>
        <w:pStyle w:val="3-BodyText"/>
        <w:rPr>
          <w:iCs/>
        </w:rPr>
      </w:pPr>
      <w:r w:rsidRPr="0009282C">
        <w:t xml:space="preserve">Changes in </w:t>
      </w:r>
      <w:r w:rsidR="008A5D14" w:rsidRPr="0009282C">
        <w:t xml:space="preserve">plasma </w:t>
      </w:r>
      <w:r w:rsidRPr="0009282C">
        <w:t xml:space="preserve">oxalate levels were mapped to transition probabilities </w:t>
      </w:r>
      <w:r w:rsidR="00C353DA" w:rsidRPr="0009282C">
        <w:t>for</w:t>
      </w:r>
      <w:r w:rsidRPr="0009282C">
        <w:t xml:space="preserve"> progression of CKD disease stage, based on ILLUMINATE trial data and two </w:t>
      </w:r>
      <w:r w:rsidR="00375922" w:rsidRPr="0009282C">
        <w:t>observational</w:t>
      </w:r>
      <w:r w:rsidRPr="0009282C">
        <w:t xml:space="preserve"> studies</w:t>
      </w:r>
      <w:r w:rsidR="006E27A2" w:rsidRPr="0009282C">
        <w:t xml:space="preserve">, </w:t>
      </w:r>
      <w:r w:rsidRPr="0009282C">
        <w:t>Shah et al. (2020)</w:t>
      </w:r>
      <w:r w:rsidR="00C353DA" w:rsidRPr="0009282C">
        <w:t xml:space="preserve"> and Singh et al. (2022)</w:t>
      </w:r>
      <w:r w:rsidR="008A5D14" w:rsidRPr="0009282C">
        <w:t xml:space="preserve">. </w:t>
      </w:r>
      <w:r w:rsidR="0004409E" w:rsidRPr="0009282C">
        <w:t>According to Shah et al., there is a mean absolute eGFR decrease of 1.27 mL/min/1.73 m</w:t>
      </w:r>
      <w:r w:rsidR="0004409E" w:rsidRPr="0009282C">
        <w:rPr>
          <w:vertAlign w:val="superscript"/>
        </w:rPr>
        <w:t>2</w:t>
      </w:r>
      <w:r w:rsidR="0004409E" w:rsidRPr="0009282C">
        <w:t xml:space="preserve"> per 1</w:t>
      </w:r>
      <w:r w:rsidR="00351878">
        <w:t> </w:t>
      </w:r>
      <w:proofErr w:type="spellStart"/>
      <w:r w:rsidR="0004409E" w:rsidRPr="0009282C">
        <w:t>μmol</w:t>
      </w:r>
      <w:proofErr w:type="spellEnd"/>
      <w:r w:rsidR="0004409E" w:rsidRPr="0009282C">
        <w:t>/L increase in plasma oxalate. Together, these values were used to estimate the transition rate per cycle across pre-ESKD health states (from CKD 1</w:t>
      </w:r>
      <w:r w:rsidR="00145503" w:rsidRPr="0009282C">
        <w:t>-</w:t>
      </w:r>
      <w:r w:rsidR="0004409E" w:rsidRPr="0009282C">
        <w:t xml:space="preserve">2 to CKD 3a, from CKD 3a to CKD 3b, and from CKD 3b to CKD 4) in the BSC cohort. </w:t>
      </w:r>
      <w:r w:rsidR="00FC5BFF" w:rsidRPr="0009282C">
        <w:t>For example,</w:t>
      </w:r>
      <w:r w:rsidR="00686D7B" w:rsidRPr="0009282C">
        <w:t xml:space="preserve"> t</w:t>
      </w:r>
      <w:r w:rsidR="009F1943" w:rsidRPr="0009282C">
        <w:t>he</w:t>
      </w:r>
      <w:r w:rsidR="00752EDE" w:rsidRPr="0009282C">
        <w:t xml:space="preserve"> increase in plasma oxalate concentration </w:t>
      </w:r>
      <w:r w:rsidR="00E869CD" w:rsidRPr="0009282C">
        <w:t>(</w:t>
      </w:r>
      <w:r w:rsidR="00752EDE" w:rsidRPr="0009282C">
        <w:t xml:space="preserve">2.23 </w:t>
      </w:r>
      <w:proofErr w:type="spellStart"/>
      <w:r w:rsidR="00FF2967" w:rsidRPr="0009282C">
        <w:t>μmol</w:t>
      </w:r>
      <w:proofErr w:type="spellEnd"/>
      <w:r w:rsidR="00FF2967" w:rsidRPr="0009282C">
        <w:t>/L</w:t>
      </w:r>
      <w:r w:rsidR="00E869CD" w:rsidRPr="0009282C">
        <w:t>)</w:t>
      </w:r>
      <w:r w:rsidR="00752EDE" w:rsidRPr="0009282C">
        <w:t xml:space="preserve"> </w:t>
      </w:r>
      <w:r w:rsidR="0089372A" w:rsidRPr="0009282C">
        <w:t xml:space="preserve">calculated </w:t>
      </w:r>
      <w:r w:rsidR="00E869CD" w:rsidRPr="0009282C">
        <w:t>for the</w:t>
      </w:r>
      <w:r w:rsidR="00752EDE" w:rsidRPr="0009282C">
        <w:t xml:space="preserve"> placebo </w:t>
      </w:r>
      <w:r w:rsidR="00E869CD" w:rsidRPr="0009282C">
        <w:t>arm of the ILLUMINATE-A trial</w:t>
      </w:r>
      <w:r w:rsidR="00752EDE" w:rsidRPr="0009282C">
        <w:t xml:space="preserve"> corresponded to a per-cycle decrease in eGFR of 2.83</w:t>
      </w:r>
      <w:r w:rsidR="00540DCB">
        <w:t> </w:t>
      </w:r>
      <w:r w:rsidR="00752EDE" w:rsidRPr="0009282C">
        <w:t>units based on the relationship between oxalate and eGFR quantified by Shah et al (2021).</w:t>
      </w:r>
      <w:r w:rsidR="00064859" w:rsidRPr="0009282C">
        <w:t xml:space="preserve"> </w:t>
      </w:r>
      <w:r w:rsidR="00AC0583" w:rsidRPr="0009282C">
        <w:t xml:space="preserve">The ESC noted that the 2.23 </w:t>
      </w:r>
      <w:proofErr w:type="spellStart"/>
      <w:r w:rsidR="00CC6D9B" w:rsidRPr="0009282C">
        <w:t>μmol</w:t>
      </w:r>
      <w:proofErr w:type="spellEnd"/>
      <w:r w:rsidR="00CC6D9B" w:rsidRPr="0009282C">
        <w:t>/L</w:t>
      </w:r>
      <w:r w:rsidR="00CC6D9B" w:rsidRPr="0009282C" w:rsidDel="00CC6D9B">
        <w:t xml:space="preserve"> </w:t>
      </w:r>
      <w:r w:rsidR="00AC0583" w:rsidRPr="0009282C">
        <w:t xml:space="preserve">applied to this calculation could not be verified. </w:t>
      </w:r>
      <w:r w:rsidR="00EF6E15" w:rsidRPr="0009282C">
        <w:t xml:space="preserve">The pre-PBAC response </w:t>
      </w:r>
      <w:r w:rsidR="00230975" w:rsidRPr="0009282C">
        <w:t xml:space="preserve">clarified that </w:t>
      </w:r>
      <w:r w:rsidR="00FB7441" w:rsidRPr="0009282C">
        <w:t xml:space="preserve">the patients included </w:t>
      </w:r>
      <w:r w:rsidR="00A65B34" w:rsidRPr="0009282C">
        <w:t xml:space="preserve">in the </w:t>
      </w:r>
      <w:r w:rsidR="00FB7441" w:rsidRPr="0009282C">
        <w:t>analysis</w:t>
      </w:r>
      <w:r w:rsidR="00A65B34" w:rsidRPr="0009282C">
        <w:t xml:space="preserve"> conducted</w:t>
      </w:r>
      <w:r w:rsidR="00FB7441" w:rsidRPr="0009282C">
        <w:t xml:space="preserve"> </w:t>
      </w:r>
      <w:r w:rsidR="00B21EC5" w:rsidRPr="0009282C">
        <w:t>for the economic</w:t>
      </w:r>
      <w:r w:rsidR="006623CB" w:rsidRPr="0009282C">
        <w:t xml:space="preserve"> model</w:t>
      </w:r>
      <w:r w:rsidR="00B21EC5" w:rsidRPr="0009282C">
        <w:t xml:space="preserve"> </w:t>
      </w:r>
      <w:r w:rsidR="00FB7441" w:rsidRPr="0009282C">
        <w:t xml:space="preserve">differed to that presented in the </w:t>
      </w:r>
      <w:r w:rsidR="00300BEE" w:rsidRPr="0009282C">
        <w:t xml:space="preserve">CSR and </w:t>
      </w:r>
      <w:r w:rsidR="00FE2E1B" w:rsidRPr="0009282C">
        <w:t xml:space="preserve">the </w:t>
      </w:r>
      <w:r w:rsidR="00FB7441" w:rsidRPr="0009282C">
        <w:t>submission</w:t>
      </w:r>
      <w:r w:rsidR="00A65B34" w:rsidRPr="0009282C">
        <w:t xml:space="preserve"> (</w:t>
      </w:r>
      <w:r w:rsidR="00300BEE" w:rsidRPr="0009282C">
        <w:fldChar w:fldCharType="begin" w:fldLock="1"/>
      </w:r>
      <w:r w:rsidR="00300BEE" w:rsidRPr="0009282C">
        <w:instrText xml:space="preserve"> REF _Ref193713028 \h </w:instrText>
      </w:r>
      <w:r w:rsidR="00300BEE" w:rsidRPr="0009282C">
        <w:fldChar w:fldCharType="separate"/>
      </w:r>
      <w:r w:rsidR="00771DFF" w:rsidRPr="0009282C">
        <w:t xml:space="preserve">Table </w:t>
      </w:r>
      <w:r w:rsidR="00771DFF">
        <w:rPr>
          <w:noProof/>
        </w:rPr>
        <w:t>4</w:t>
      </w:r>
      <w:r w:rsidR="00300BEE" w:rsidRPr="0009282C">
        <w:fldChar w:fldCharType="end"/>
      </w:r>
      <w:r w:rsidR="00240BD8" w:rsidRPr="0009282C">
        <w:t>)</w:t>
      </w:r>
      <w:r w:rsidR="00427C75" w:rsidRPr="0009282C">
        <w:t xml:space="preserve">. The </w:t>
      </w:r>
      <w:r w:rsidR="006275F9" w:rsidRPr="0009282C">
        <w:t xml:space="preserve">assumed increase </w:t>
      </w:r>
      <w:r w:rsidR="00FE2E1B" w:rsidRPr="0009282C">
        <w:t>in plasma oxalate of</w:t>
      </w:r>
      <w:r w:rsidR="006275F9" w:rsidRPr="0009282C">
        <w:t xml:space="preserve"> </w:t>
      </w:r>
      <w:r w:rsidR="00427C75" w:rsidRPr="0009282C">
        <w:t xml:space="preserve">2.23 </w:t>
      </w:r>
      <w:proofErr w:type="spellStart"/>
      <w:r w:rsidR="00D5708E" w:rsidRPr="0009282C">
        <w:t>μmol</w:t>
      </w:r>
      <w:proofErr w:type="spellEnd"/>
      <w:r w:rsidR="00D5708E" w:rsidRPr="0009282C">
        <w:t xml:space="preserve">/L </w:t>
      </w:r>
      <w:r w:rsidR="00427C75" w:rsidRPr="0009282C">
        <w:t>applied to the economic model was higher tha</w:t>
      </w:r>
      <w:r w:rsidR="00FE2E1B" w:rsidRPr="0009282C">
        <w:t xml:space="preserve">n the </w:t>
      </w:r>
      <w:r w:rsidR="00240BD8" w:rsidRPr="0009282C">
        <w:t>change from baseline to Month 6</w:t>
      </w:r>
      <w:r w:rsidR="006275F9" w:rsidRPr="0009282C">
        <w:t xml:space="preserve"> presented in the</w:t>
      </w:r>
      <w:r w:rsidR="00FE2E1B" w:rsidRPr="0009282C">
        <w:t xml:space="preserve"> </w:t>
      </w:r>
      <w:r w:rsidR="00FE2E1B" w:rsidRPr="003F4FB1">
        <w:t>CSR</w:t>
      </w:r>
      <w:r w:rsidR="00240BD8" w:rsidRPr="003F4FB1">
        <w:t xml:space="preserve"> (</w:t>
      </w:r>
      <w:r w:rsidR="00FF2967" w:rsidRPr="003F4FB1">
        <w:t xml:space="preserve">1.25 </w:t>
      </w:r>
      <w:proofErr w:type="spellStart"/>
      <w:r w:rsidR="00FF2967" w:rsidRPr="003F4FB1">
        <w:t>μmol</w:t>
      </w:r>
      <w:proofErr w:type="spellEnd"/>
      <w:r w:rsidR="00FF2967" w:rsidRPr="0009282C">
        <w:t>/L)</w:t>
      </w:r>
      <w:r w:rsidR="00B21EC5" w:rsidRPr="0009282C">
        <w:t>.</w:t>
      </w:r>
    </w:p>
    <w:p w14:paraId="06AB30D0" w14:textId="4FDC0479" w:rsidR="007349A6" w:rsidRPr="0009282C" w:rsidRDefault="00064859" w:rsidP="00EC48DC">
      <w:pPr>
        <w:pStyle w:val="3-BodyText"/>
        <w:rPr>
          <w:iCs/>
        </w:rPr>
      </w:pPr>
      <w:r w:rsidRPr="0009282C">
        <w:rPr>
          <w:iCs/>
        </w:rPr>
        <w:t>Transition from CKD</w:t>
      </w:r>
      <w:r w:rsidR="0012679B" w:rsidRPr="0009282C">
        <w:rPr>
          <w:iCs/>
        </w:rPr>
        <w:t xml:space="preserve"> </w:t>
      </w:r>
      <w:r w:rsidR="00C75844" w:rsidRPr="0009282C">
        <w:rPr>
          <w:iCs/>
        </w:rPr>
        <w:t>4 to ESKD was based on the mean annual de</w:t>
      </w:r>
      <w:r w:rsidR="00BA1E3F" w:rsidRPr="0009282C">
        <w:rPr>
          <w:iCs/>
        </w:rPr>
        <w:t>c</w:t>
      </w:r>
      <w:r w:rsidR="00C75844" w:rsidRPr="0009282C">
        <w:rPr>
          <w:iCs/>
        </w:rPr>
        <w:t>line in eGFR reported by Singh et al</w:t>
      </w:r>
      <w:r w:rsidR="00BA1E3F" w:rsidRPr="0009282C">
        <w:rPr>
          <w:iCs/>
        </w:rPr>
        <w:t>. (2022)</w:t>
      </w:r>
      <w:r w:rsidR="00814490" w:rsidRPr="0009282C">
        <w:rPr>
          <w:iCs/>
        </w:rPr>
        <w:t xml:space="preserve"> </w:t>
      </w:r>
      <w:r w:rsidR="002B69D0" w:rsidRPr="0009282C">
        <w:rPr>
          <w:iCs/>
        </w:rPr>
        <w:t xml:space="preserve">for patients with PH1 who were in CKD 4 </w:t>
      </w:r>
      <w:r w:rsidR="00540DCB" w:rsidRPr="0009282C">
        <w:rPr>
          <w:iCs/>
        </w:rPr>
        <w:t>(</w:t>
      </w:r>
      <w:r w:rsidR="00540DCB">
        <w:rPr>
          <w:iCs/>
        </w:rPr>
        <w:noBreakHyphen/>
      </w:r>
      <w:r w:rsidR="00814490" w:rsidRPr="0009282C">
        <w:rPr>
          <w:iCs/>
        </w:rPr>
        <w:t>16.6 mL/min/1.73 m</w:t>
      </w:r>
      <w:r w:rsidR="00814490" w:rsidRPr="0009282C">
        <w:rPr>
          <w:iCs/>
          <w:vertAlign w:val="superscript"/>
        </w:rPr>
        <w:t>2</w:t>
      </w:r>
      <w:r w:rsidR="00814490" w:rsidRPr="0009282C">
        <w:rPr>
          <w:iCs/>
        </w:rPr>
        <w:t>)</w:t>
      </w:r>
      <w:r w:rsidR="00BA1E3F" w:rsidRPr="0009282C">
        <w:rPr>
          <w:iCs/>
        </w:rPr>
        <w:t xml:space="preserve">. </w:t>
      </w:r>
      <w:r w:rsidR="004A7971" w:rsidRPr="0009282C">
        <w:rPr>
          <w:iCs/>
        </w:rPr>
        <w:t xml:space="preserve">The per-cycle change in eGFR for CKD 4 was obtained by dividing the mean annual change by two (i.e., </w:t>
      </w:r>
      <w:r w:rsidR="000D409D" w:rsidRPr="0009282C">
        <w:rPr>
          <w:iCs/>
        </w:rPr>
        <w:t>-</w:t>
      </w:r>
      <w:r w:rsidR="004A7971" w:rsidRPr="0009282C">
        <w:rPr>
          <w:iCs/>
        </w:rPr>
        <w:t>8.3 mL/min/1.</w:t>
      </w:r>
      <w:r w:rsidR="00FB7988" w:rsidRPr="0009282C">
        <w:rPr>
          <w:iCs/>
        </w:rPr>
        <w:t>73</w:t>
      </w:r>
      <w:r w:rsidR="00FB7988">
        <w:rPr>
          <w:iCs/>
        </w:rPr>
        <w:t> </w:t>
      </w:r>
      <w:r w:rsidR="004A7971" w:rsidRPr="0009282C">
        <w:rPr>
          <w:iCs/>
        </w:rPr>
        <w:t>m</w:t>
      </w:r>
      <w:r w:rsidR="004A7971" w:rsidRPr="00FB7988">
        <w:rPr>
          <w:iCs/>
          <w:vertAlign w:val="superscript"/>
        </w:rPr>
        <w:t>2</w:t>
      </w:r>
      <w:r w:rsidR="004A7971" w:rsidRPr="0009282C">
        <w:rPr>
          <w:iCs/>
        </w:rPr>
        <w:t>) to match the 6</w:t>
      </w:r>
      <w:r w:rsidR="00FB7988">
        <w:rPr>
          <w:iCs/>
        </w:rPr>
        <w:noBreakHyphen/>
      </w:r>
      <w:r w:rsidR="004A7971" w:rsidRPr="0009282C">
        <w:rPr>
          <w:iCs/>
        </w:rPr>
        <w:t>month model cycle length.</w:t>
      </w:r>
      <w:r w:rsidR="00B9636D" w:rsidRPr="0009282C">
        <w:rPr>
          <w:iCs/>
        </w:rPr>
        <w:t xml:space="preserve"> </w:t>
      </w:r>
    </w:p>
    <w:p w14:paraId="2FCFD2E1" w14:textId="72B84E3A" w:rsidR="00DD4A13" w:rsidRPr="0009282C" w:rsidRDefault="00FC43DA" w:rsidP="00056937">
      <w:pPr>
        <w:pStyle w:val="3-BodyText"/>
        <w:rPr>
          <w:iCs/>
        </w:rPr>
      </w:pPr>
      <w:r w:rsidRPr="0009282C">
        <w:t>The</w:t>
      </w:r>
      <w:r w:rsidR="006E5E1A" w:rsidRPr="0009282C">
        <w:t xml:space="preserve"> </w:t>
      </w:r>
      <w:r w:rsidR="008F6A42" w:rsidRPr="0009282C">
        <w:t xml:space="preserve">ESC </w:t>
      </w:r>
      <w:r w:rsidR="006E5E1A" w:rsidRPr="0009282C">
        <w:t xml:space="preserve">noted </w:t>
      </w:r>
      <w:r w:rsidR="00553CB5" w:rsidRPr="0009282C">
        <w:t xml:space="preserve">that </w:t>
      </w:r>
      <w:r w:rsidR="005830DE" w:rsidRPr="0009282C">
        <w:t xml:space="preserve">plasma oxalate results </w:t>
      </w:r>
      <w:r w:rsidR="00371E79" w:rsidRPr="0009282C">
        <w:t xml:space="preserve">can </w:t>
      </w:r>
      <w:r w:rsidR="00F57F0C" w:rsidRPr="0009282C">
        <w:t xml:space="preserve">vary substantially due to the use of different analytes, the lack of calibrators and the lack of appropriate quality assurance material </w:t>
      </w:r>
      <w:r w:rsidR="00F57F0C" w:rsidRPr="0009282C">
        <w:rPr>
          <w:noProof/>
        </w:rPr>
        <w:t>(Stokes et al. 2020)</w:t>
      </w:r>
      <w:r w:rsidR="00966C8A" w:rsidRPr="0009282C">
        <w:rPr>
          <w:noProof/>
        </w:rPr>
        <w:t xml:space="preserve"> and </w:t>
      </w:r>
      <w:r w:rsidR="005305CF" w:rsidRPr="0009282C">
        <w:rPr>
          <w:noProof/>
        </w:rPr>
        <w:t xml:space="preserve">in clinical practice urinary oxalate excretion is </w:t>
      </w:r>
      <w:r w:rsidR="001D3A0E" w:rsidRPr="0009282C">
        <w:rPr>
          <w:noProof/>
        </w:rPr>
        <w:t xml:space="preserve">generally </w:t>
      </w:r>
      <w:r w:rsidR="005305CF" w:rsidRPr="0009282C">
        <w:rPr>
          <w:noProof/>
        </w:rPr>
        <w:t xml:space="preserve">a more widely accepted marker </w:t>
      </w:r>
      <w:r w:rsidR="001D3A0E" w:rsidRPr="0009282C">
        <w:rPr>
          <w:noProof/>
        </w:rPr>
        <w:t xml:space="preserve">to predict </w:t>
      </w:r>
      <w:r w:rsidR="005305CF" w:rsidRPr="0009282C">
        <w:rPr>
          <w:noProof/>
        </w:rPr>
        <w:t>kidney function</w:t>
      </w:r>
      <w:r w:rsidR="006E5E1A" w:rsidRPr="0009282C">
        <w:rPr>
          <w:noProof/>
        </w:rPr>
        <w:t xml:space="preserve"> decline</w:t>
      </w:r>
      <w:r w:rsidR="005830DE" w:rsidRPr="0009282C">
        <w:t xml:space="preserve">.The </w:t>
      </w:r>
      <w:r w:rsidR="001279F9" w:rsidRPr="0009282C">
        <w:t>ESC</w:t>
      </w:r>
      <w:r w:rsidR="008C143C" w:rsidRPr="0009282C">
        <w:t xml:space="preserve"> also</w:t>
      </w:r>
      <w:r w:rsidR="001279F9" w:rsidRPr="0009282C">
        <w:t xml:space="preserve"> noted that the </w:t>
      </w:r>
      <w:r w:rsidR="00D90C54" w:rsidRPr="0009282C">
        <w:t xml:space="preserve">evaluation considered that the </w:t>
      </w:r>
      <w:r w:rsidR="005830DE" w:rsidRPr="0009282C">
        <w:t>quality of reporting for this outcome was poor, with many unverifiable values used in the model</w:t>
      </w:r>
      <w:r w:rsidR="001279F9" w:rsidRPr="0009282C">
        <w:t xml:space="preserve">, and </w:t>
      </w:r>
      <w:r w:rsidR="00ED73EE" w:rsidRPr="0009282C">
        <w:t xml:space="preserve">for this reason the </w:t>
      </w:r>
      <w:r w:rsidR="005830DE" w:rsidRPr="0009282C">
        <w:t xml:space="preserve">plasma oxalate as a surrogate outcome used to build the model was unlikely to be appropriate, which made the economic </w:t>
      </w:r>
      <w:r w:rsidR="00F34790" w:rsidRPr="0009282C">
        <w:t xml:space="preserve">model </w:t>
      </w:r>
      <w:r w:rsidR="005830DE" w:rsidRPr="0009282C">
        <w:t xml:space="preserve">highly uncertain. </w:t>
      </w:r>
      <w:r w:rsidR="00A616F5" w:rsidRPr="0009282C">
        <w:t xml:space="preserve">The PSCR </w:t>
      </w:r>
      <w:r w:rsidR="004E7F63" w:rsidRPr="0009282C">
        <w:t>stated</w:t>
      </w:r>
      <w:r w:rsidR="00EE1DD4" w:rsidRPr="0009282C">
        <w:t xml:space="preserve"> change in</w:t>
      </w:r>
      <w:r w:rsidR="004E7F63" w:rsidRPr="0009282C">
        <w:t xml:space="preserve"> </w:t>
      </w:r>
      <w:r w:rsidR="00EE1DD4" w:rsidRPr="0009282C">
        <w:t>eGFR is gradual and therefore its assessment</w:t>
      </w:r>
      <w:r w:rsidR="004A3F5B" w:rsidRPr="0009282C">
        <w:t>, in a realistic time frame for a clinical trial, is not feasible in PH1</w:t>
      </w:r>
      <w:r w:rsidR="00EE1DD4" w:rsidRPr="0009282C">
        <w:t xml:space="preserve">. </w:t>
      </w:r>
      <w:r w:rsidR="004A3F5B" w:rsidRPr="0009282C">
        <w:t>The PSCR</w:t>
      </w:r>
      <w:r w:rsidR="00392C2A" w:rsidRPr="0009282C">
        <w:t xml:space="preserve"> also</w:t>
      </w:r>
      <w:r w:rsidR="004A3F5B" w:rsidRPr="0009282C">
        <w:t xml:space="preserve"> stated that </w:t>
      </w:r>
      <w:r w:rsidR="00F76A26" w:rsidRPr="0009282C">
        <w:t xml:space="preserve">as </w:t>
      </w:r>
      <w:r w:rsidR="00BB2F6F" w:rsidRPr="0009282C">
        <w:t>there are</w:t>
      </w:r>
      <w:r w:rsidR="00ED5AC3" w:rsidRPr="0009282C">
        <w:t xml:space="preserve"> no studies available that define the relationship between changes in urinary oxalate and eGFR</w:t>
      </w:r>
      <w:r w:rsidR="00BB2F6F" w:rsidRPr="0009282C">
        <w:t xml:space="preserve">, </w:t>
      </w:r>
      <w:r w:rsidR="00ED5AC3" w:rsidRPr="0009282C">
        <w:t xml:space="preserve">urinary oxalate data </w:t>
      </w:r>
      <w:r w:rsidR="004E7F63" w:rsidRPr="0009282C">
        <w:t>could</w:t>
      </w:r>
      <w:r w:rsidR="00ED5AC3" w:rsidRPr="0009282C">
        <w:t xml:space="preserve"> not </w:t>
      </w:r>
      <w:r w:rsidR="004E7F63" w:rsidRPr="0009282C">
        <w:t xml:space="preserve">be </w:t>
      </w:r>
      <w:r w:rsidR="00ED5AC3" w:rsidRPr="0009282C">
        <w:t xml:space="preserve">used directly to model changes in eGFR over time in the economic model. </w:t>
      </w:r>
      <w:r w:rsidR="00F76A26" w:rsidRPr="0009282C">
        <w:t>The PSCR stated that</w:t>
      </w:r>
      <w:r w:rsidR="00ED5AC3" w:rsidRPr="0009282C">
        <w:t xml:space="preserve"> the mapping of plasma oxalate is clinically valid </w:t>
      </w:r>
      <w:r w:rsidR="00F76A26" w:rsidRPr="0009282C">
        <w:t>and</w:t>
      </w:r>
      <w:r w:rsidR="00EF05F2" w:rsidRPr="0009282C">
        <w:t xml:space="preserve"> there is</w:t>
      </w:r>
      <w:r w:rsidR="00ED5AC3" w:rsidRPr="0009282C">
        <w:t xml:space="preserve"> widely published association of plasma oxalate and eGFR. </w:t>
      </w:r>
      <w:r w:rsidR="00ED73EE" w:rsidRPr="0009282C">
        <w:t>O</w:t>
      </w:r>
      <w:r w:rsidR="00D90C54" w:rsidRPr="0009282C">
        <w:t>verall</w:t>
      </w:r>
      <w:r w:rsidR="00ED73EE" w:rsidRPr="0009282C">
        <w:t>,</w:t>
      </w:r>
      <w:r w:rsidR="00D90C54" w:rsidRPr="0009282C">
        <w:t xml:space="preserve"> the ESC considered that while the transformation calculations were complex and associated with some uncertainty, the use of plasma oxalate in the economic model was likely reasonable.</w:t>
      </w:r>
      <w:r w:rsidR="002E1F6C" w:rsidRPr="0009282C">
        <w:t xml:space="preserve"> </w:t>
      </w:r>
      <w:r w:rsidR="00056937" w:rsidRPr="0009282C">
        <w:rPr>
          <w:iCs/>
        </w:rPr>
        <w:t>However, t</w:t>
      </w:r>
      <w:r w:rsidR="00364830" w:rsidRPr="0009282C">
        <w:rPr>
          <w:iCs/>
        </w:rPr>
        <w:t>he ESC considered that the studies sourced for the mapping calculations had separate limitations and uncertainties and how these collectively compounded and impacted the economic model was unclear.</w:t>
      </w:r>
    </w:p>
    <w:p w14:paraId="518AFBDC" w14:textId="62DC7246" w:rsidR="006753EA" w:rsidRPr="0009282C" w:rsidRDefault="006753EA" w:rsidP="00EC48DC">
      <w:pPr>
        <w:pStyle w:val="3-BodyText"/>
      </w:pPr>
      <w:r w:rsidRPr="0009282C">
        <w:t>The</w:t>
      </w:r>
      <w:r w:rsidR="00710429" w:rsidRPr="0009282C">
        <w:t xml:space="preserve"> evaluation considered that the</w:t>
      </w:r>
      <w:r w:rsidRPr="0009282C">
        <w:t xml:space="preserve"> modelled kidney function decline in the BSC arm was associated with a number of </w:t>
      </w:r>
      <w:r w:rsidR="00710429" w:rsidRPr="0009282C">
        <w:t>issues</w:t>
      </w:r>
      <w:r w:rsidRPr="0009282C">
        <w:t xml:space="preserve">. Firstly, patients in the CKD1-2 health states in the BSC arm were subject to a ~50% faster rate of disease progression than what was reported in Singh et al. 2022. Moreover, the submission applied a population background kidney function decline for patients &gt;30 years in the BSC arm in addition to the disease progression modelled based on data from PH1 patient cohorts, exacerbating disease progression. </w:t>
      </w:r>
      <w:r w:rsidR="009D77E3" w:rsidRPr="0009282C">
        <w:t>The ESC considered that</w:t>
      </w:r>
      <w:r w:rsidR="0069144C" w:rsidRPr="0009282C">
        <w:t xml:space="preserve"> applying </w:t>
      </w:r>
      <w:r w:rsidR="007064A3" w:rsidRPr="0009282C">
        <w:t xml:space="preserve">PH1 decline in addition to </w:t>
      </w:r>
      <w:r w:rsidR="0073510B" w:rsidRPr="0009282C">
        <w:t xml:space="preserve">the </w:t>
      </w:r>
      <w:r w:rsidR="007064A3" w:rsidRPr="0009282C">
        <w:t xml:space="preserve">background population </w:t>
      </w:r>
      <w:r w:rsidR="0073510B" w:rsidRPr="0009282C">
        <w:t xml:space="preserve">decline </w:t>
      </w:r>
      <w:r w:rsidR="007064A3" w:rsidRPr="0009282C">
        <w:t xml:space="preserve">was likely double counting and therefore </w:t>
      </w:r>
      <w:r w:rsidR="000809E1" w:rsidRPr="0009282C">
        <w:t>overestimated</w:t>
      </w:r>
      <w:r w:rsidR="0073510B" w:rsidRPr="0009282C">
        <w:t xml:space="preserve"> the</w:t>
      </w:r>
      <w:r w:rsidR="000809E1" w:rsidRPr="0009282C">
        <w:t xml:space="preserve"> disease progression</w:t>
      </w:r>
      <w:r w:rsidR="0083283A" w:rsidRPr="0009282C">
        <w:t xml:space="preserve"> in the BSC arm</w:t>
      </w:r>
      <w:r w:rsidR="000809E1" w:rsidRPr="0009282C">
        <w:t xml:space="preserve">. </w:t>
      </w:r>
    </w:p>
    <w:p w14:paraId="38A5C291" w14:textId="0DFFC306" w:rsidR="00B16D61" w:rsidRPr="0009282C" w:rsidRDefault="005830DE" w:rsidP="00EC48DC">
      <w:pPr>
        <w:pStyle w:val="3-BodyText"/>
      </w:pPr>
      <w:r w:rsidRPr="0009282C">
        <w:t xml:space="preserve">Patients in </w:t>
      </w:r>
      <w:r w:rsidR="00AF7A3B" w:rsidRPr="0009282C">
        <w:t xml:space="preserve">the </w:t>
      </w:r>
      <w:proofErr w:type="spellStart"/>
      <w:r w:rsidRPr="0009282C">
        <w:t>lumasiran</w:t>
      </w:r>
      <w:proofErr w:type="spellEnd"/>
      <w:r w:rsidRPr="0009282C">
        <w:t xml:space="preserve"> arm</w:t>
      </w:r>
      <w:r w:rsidR="00BB3AE0" w:rsidRPr="0009282C">
        <w:t xml:space="preserve"> </w:t>
      </w:r>
      <w:r w:rsidR="00165796" w:rsidRPr="0009282C">
        <w:t xml:space="preserve">of the model </w:t>
      </w:r>
      <w:r w:rsidR="00BB3AE0" w:rsidRPr="0009282C">
        <w:t>had a complete halt of disease progression (100% effective)</w:t>
      </w:r>
      <w:r w:rsidR="00D07CB3" w:rsidRPr="0009282C">
        <w:t xml:space="preserve">, </w:t>
      </w:r>
      <w:r w:rsidR="0072295B" w:rsidRPr="0009282C">
        <w:t>with patients</w:t>
      </w:r>
      <w:r w:rsidR="00D07CB3" w:rsidRPr="0009282C">
        <w:t xml:space="preserve"> not progress</w:t>
      </w:r>
      <w:r w:rsidR="0072295B" w:rsidRPr="0009282C">
        <w:t>ing</w:t>
      </w:r>
      <w:r w:rsidR="00D07CB3" w:rsidRPr="0009282C">
        <w:t xml:space="preserve"> until the age of 30,</w:t>
      </w:r>
      <w:r w:rsidR="00756391" w:rsidRPr="0009282C">
        <w:t xml:space="preserve"> then</w:t>
      </w:r>
      <w:r w:rsidR="00D07CB3" w:rsidRPr="0009282C">
        <w:t xml:space="preserve"> </w:t>
      </w:r>
      <w:r w:rsidR="00CE7AB7" w:rsidRPr="0009282C">
        <w:t>the population background kidney function decline was assumed</w:t>
      </w:r>
      <w:r w:rsidRPr="0009282C">
        <w:t xml:space="preserve">. </w:t>
      </w:r>
      <w:r w:rsidR="00756391" w:rsidRPr="0009282C">
        <w:t xml:space="preserve">The </w:t>
      </w:r>
      <w:r w:rsidR="00066DF6" w:rsidRPr="0009282C">
        <w:t>a</w:t>
      </w:r>
      <w:r w:rsidR="00756391" w:rsidRPr="0009282C">
        <w:t>ssumption</w:t>
      </w:r>
      <w:r w:rsidR="00066DF6" w:rsidRPr="0009282C">
        <w:t xml:space="preserve"> of</w:t>
      </w:r>
      <w:r w:rsidR="00756391" w:rsidRPr="0009282C">
        <w:t xml:space="preserve"> 100% efficacy was based on the effects in oxalate control from the ILLUMINATE A trial. </w:t>
      </w:r>
      <w:r w:rsidRPr="0009282C">
        <w:t xml:space="preserve">However, </w:t>
      </w:r>
      <w:r w:rsidR="00844AA4" w:rsidRPr="0009282C">
        <w:t>t</w:t>
      </w:r>
      <w:r w:rsidR="00B16D61" w:rsidRPr="0009282C">
        <w:t xml:space="preserve">he pivotal </w:t>
      </w:r>
      <w:r w:rsidR="00B16D61" w:rsidRPr="0009282C">
        <w:rPr>
          <w:color w:val="000000" w:themeColor="text1"/>
        </w:rPr>
        <w:t xml:space="preserve">trials and the clinical evidence base were limited, which prevented </w:t>
      </w:r>
      <w:r w:rsidR="00B16D61" w:rsidRPr="0009282C">
        <w:t xml:space="preserve">any reliable extrapolation modelling of the drug effectiveness in the long-term. The </w:t>
      </w:r>
      <w:r w:rsidR="00086C31" w:rsidRPr="0009282C">
        <w:t>short</w:t>
      </w:r>
      <w:r w:rsidR="00B16D61" w:rsidRPr="0009282C">
        <w:t xml:space="preserve">-term effectiveness of </w:t>
      </w:r>
      <w:proofErr w:type="spellStart"/>
      <w:r w:rsidR="00B16D61" w:rsidRPr="0009282C">
        <w:t>lumasiran</w:t>
      </w:r>
      <w:proofErr w:type="spellEnd"/>
      <w:r w:rsidR="00B16D61" w:rsidRPr="0009282C">
        <w:t xml:space="preserve"> was assumed to last for a lifetime. The submission justified this assumption based on the following: 1) data from extension studies showing sustained therapeutic effect over the duration of follow-up (to 60 months) in patients treated with </w:t>
      </w:r>
      <w:proofErr w:type="spellStart"/>
      <w:r w:rsidR="00B16D61" w:rsidRPr="0009282C">
        <w:t>lumasiran</w:t>
      </w:r>
      <w:proofErr w:type="spellEnd"/>
      <w:r w:rsidR="00B16D61" w:rsidRPr="0009282C">
        <w:t xml:space="preserve">, including sustained kidney function as measured by eGFR; 2) the mechanism of action of </w:t>
      </w:r>
      <w:proofErr w:type="spellStart"/>
      <w:r w:rsidR="00B16D61" w:rsidRPr="0009282C">
        <w:t>lumasiran</w:t>
      </w:r>
      <w:proofErr w:type="spellEnd"/>
      <w:r w:rsidR="00B16D61" w:rsidRPr="0009282C">
        <w:t xml:space="preserve">, which selectively and durably silences the mRNA for the enzyme glycolate oxidase in the liver; 3) lack of evidence from preclinical or clinical studies to suggest the potential for tachyphylaxis (rapidly diminishing response to successive doses) with </w:t>
      </w:r>
      <w:proofErr w:type="spellStart"/>
      <w:r w:rsidR="00B16D61" w:rsidRPr="0009282C">
        <w:t>lumasiran</w:t>
      </w:r>
      <w:proofErr w:type="spellEnd"/>
      <w:r w:rsidR="00B16D61" w:rsidRPr="0009282C">
        <w:t>; 4) lack of recognised mechanisms by which the biological pathways responsible for PH1 could adapt, so that patients develop tolerance to chronic administration of hepatic glycolate oxidase enzyme RNAi-silencing therapeutics.</w:t>
      </w:r>
      <w:r w:rsidR="00B16D61" w:rsidRPr="0009282C">
        <w:rPr>
          <w:color w:val="000000" w:themeColor="text1"/>
        </w:rPr>
        <w:t xml:space="preserve"> </w:t>
      </w:r>
      <w:r w:rsidR="00B16D61" w:rsidRPr="0009282C">
        <w:t xml:space="preserve">In the absence of robust clinical data, these assumptions were subject to a number of uncertainties and the </w:t>
      </w:r>
      <w:r w:rsidR="003252B8" w:rsidRPr="0009282C">
        <w:t xml:space="preserve">economic </w:t>
      </w:r>
      <w:r w:rsidR="00B16D61" w:rsidRPr="0009282C">
        <w:t xml:space="preserve">model was not programmed to allow the examination </w:t>
      </w:r>
      <w:r w:rsidR="00793408" w:rsidRPr="0009282C">
        <w:t>of a</w:t>
      </w:r>
      <w:r w:rsidR="00B16D61" w:rsidRPr="0009282C">
        <w:t xml:space="preserve"> scenario of potential long</w:t>
      </w:r>
      <w:r w:rsidR="0034425A" w:rsidRPr="0009282C">
        <w:t>-</w:t>
      </w:r>
      <w:r w:rsidR="00B16D61" w:rsidRPr="0009282C">
        <w:t>term treatment waning.</w:t>
      </w:r>
    </w:p>
    <w:p w14:paraId="2DFC299B" w14:textId="156B5AEB" w:rsidR="008655E7" w:rsidRPr="0009282C" w:rsidRDefault="00374D23" w:rsidP="0034425A">
      <w:pPr>
        <w:pStyle w:val="3-BodyText"/>
        <w:rPr>
          <w:iCs/>
        </w:rPr>
      </w:pPr>
      <w:r w:rsidRPr="0009282C">
        <w:rPr>
          <w:iCs/>
        </w:rPr>
        <w:t xml:space="preserve">Transition from CKD4 to </w:t>
      </w:r>
      <w:r w:rsidR="00967B0F" w:rsidRPr="0009282C">
        <w:rPr>
          <w:iCs/>
        </w:rPr>
        <w:t>CKD5/</w:t>
      </w:r>
      <w:r w:rsidRPr="0009282C">
        <w:rPr>
          <w:iCs/>
        </w:rPr>
        <w:t>ESKD</w:t>
      </w:r>
      <w:r w:rsidR="00FC2838" w:rsidRPr="0009282C">
        <w:rPr>
          <w:iCs/>
        </w:rPr>
        <w:t xml:space="preserve"> health states in the </w:t>
      </w:r>
      <w:proofErr w:type="spellStart"/>
      <w:r w:rsidR="00FC2838" w:rsidRPr="0009282C">
        <w:rPr>
          <w:iCs/>
        </w:rPr>
        <w:t>lumasi</w:t>
      </w:r>
      <w:r w:rsidR="00162279" w:rsidRPr="0009282C">
        <w:rPr>
          <w:iCs/>
        </w:rPr>
        <w:t>r</w:t>
      </w:r>
      <w:r w:rsidR="00FC2838" w:rsidRPr="0009282C">
        <w:rPr>
          <w:iCs/>
        </w:rPr>
        <w:t>an</w:t>
      </w:r>
      <w:proofErr w:type="spellEnd"/>
      <w:r w:rsidR="00FC2838" w:rsidRPr="0009282C">
        <w:rPr>
          <w:iCs/>
        </w:rPr>
        <w:t xml:space="preserve"> arm were based on the observed effects of </w:t>
      </w:r>
      <w:proofErr w:type="spellStart"/>
      <w:r w:rsidR="00FC2838" w:rsidRPr="0009282C">
        <w:rPr>
          <w:iCs/>
        </w:rPr>
        <w:t>lumasiran</w:t>
      </w:r>
      <w:proofErr w:type="spellEnd"/>
      <w:r w:rsidR="00FC2838" w:rsidRPr="0009282C">
        <w:rPr>
          <w:iCs/>
        </w:rPr>
        <w:t xml:space="preserve"> on plasma oxalate in ILLUMINATE-C.</w:t>
      </w:r>
      <w:r w:rsidR="009F5E42" w:rsidRPr="0009282C">
        <w:rPr>
          <w:iCs/>
        </w:rPr>
        <w:t xml:space="preserve"> </w:t>
      </w:r>
      <w:bookmarkStart w:id="61" w:name="_Hlk190586094"/>
    </w:p>
    <w:p w14:paraId="64F5EA68" w14:textId="239DF597" w:rsidR="005830DE" w:rsidRPr="0009282C" w:rsidRDefault="007E5972" w:rsidP="0034425A">
      <w:pPr>
        <w:pStyle w:val="3-BodyText"/>
        <w:rPr>
          <w:iCs/>
        </w:rPr>
      </w:pPr>
      <w:r w:rsidRPr="0009282C">
        <w:rPr>
          <w:iCs/>
        </w:rPr>
        <w:t xml:space="preserve">For </w:t>
      </w:r>
      <w:r w:rsidR="008655E7" w:rsidRPr="0009282C">
        <w:rPr>
          <w:iCs/>
        </w:rPr>
        <w:t>the CKD</w:t>
      </w:r>
      <w:r w:rsidR="00B957A1" w:rsidRPr="0009282C">
        <w:rPr>
          <w:iCs/>
        </w:rPr>
        <w:t>4 and ESKD health</w:t>
      </w:r>
      <w:r w:rsidRPr="0009282C">
        <w:rPr>
          <w:iCs/>
        </w:rPr>
        <w:t xml:space="preserve"> states, a</w:t>
      </w:r>
      <w:r w:rsidR="009F5E42" w:rsidRPr="0009282C">
        <w:rPr>
          <w:iCs/>
        </w:rPr>
        <w:t xml:space="preserve"> threshold of 50 </w:t>
      </w:r>
      <w:proofErr w:type="spellStart"/>
      <w:r w:rsidR="009F5E42" w:rsidRPr="0009282C">
        <w:rPr>
          <w:iCs/>
        </w:rPr>
        <w:t>μmol</w:t>
      </w:r>
      <w:proofErr w:type="spellEnd"/>
      <w:r w:rsidR="009F5E42" w:rsidRPr="0009282C">
        <w:rPr>
          <w:iCs/>
        </w:rPr>
        <w:t xml:space="preserve">/L was used to distinguish </w:t>
      </w:r>
      <w:r w:rsidR="00E66147" w:rsidRPr="0009282C">
        <w:rPr>
          <w:iCs/>
        </w:rPr>
        <w:t xml:space="preserve">between </w:t>
      </w:r>
      <w:r w:rsidR="009F5E42" w:rsidRPr="0009282C">
        <w:rPr>
          <w:iCs/>
        </w:rPr>
        <w:t>controlled vs. uncontrolled oxalate based on the treatment target in PH1 identified from the literature</w:t>
      </w:r>
      <w:bookmarkEnd w:id="61"/>
      <w:r w:rsidRPr="0009282C">
        <w:rPr>
          <w:iCs/>
        </w:rPr>
        <w:t>.</w:t>
      </w:r>
      <w:r w:rsidR="00B11048" w:rsidRPr="00B11048">
        <w:rPr>
          <w:rStyle w:val="Heading8Char"/>
        </w:rPr>
        <w:t xml:space="preserve"> </w:t>
      </w:r>
      <w:r w:rsidR="00B11048" w:rsidRPr="00B11048">
        <w:rPr>
          <w:rStyle w:val="FootnoteReference"/>
        </w:rPr>
        <w:footnoteReference w:id="11"/>
      </w:r>
      <w:r w:rsidR="00B11048" w:rsidRPr="00B11048">
        <w:rPr>
          <w:vertAlign w:val="superscript"/>
        </w:rPr>
        <w:t>,</w:t>
      </w:r>
      <w:r w:rsidR="00B11048" w:rsidRPr="00B11048">
        <w:rPr>
          <w:rStyle w:val="FootnoteReference"/>
        </w:rPr>
        <w:footnoteReference w:id="12"/>
      </w:r>
      <w:r w:rsidR="00B11048" w:rsidRPr="00B11048">
        <w:rPr>
          <w:vertAlign w:val="superscript"/>
        </w:rPr>
        <w:t>,</w:t>
      </w:r>
      <w:r w:rsidR="00B11048" w:rsidRPr="00B11048">
        <w:rPr>
          <w:rStyle w:val="FootnoteReference"/>
        </w:rPr>
        <w:footnoteReference w:id="13"/>
      </w:r>
      <w:r w:rsidR="008F1BD8" w:rsidRPr="0009282C">
        <w:rPr>
          <w:iCs/>
        </w:rPr>
        <w:t xml:space="preserve"> </w:t>
      </w:r>
      <w:r w:rsidR="00301733" w:rsidRPr="0009282C">
        <w:rPr>
          <w:iCs/>
        </w:rPr>
        <w:t xml:space="preserve">All patients in the BSC arm were assumed to have uncontrolled </w:t>
      </w:r>
      <w:r w:rsidR="00792717" w:rsidRPr="0009282C">
        <w:rPr>
          <w:iCs/>
        </w:rPr>
        <w:t>oxalate.</w:t>
      </w:r>
      <w:r w:rsidR="00792717" w:rsidRPr="0009282C">
        <w:t xml:space="preserve"> </w:t>
      </w:r>
      <w:r w:rsidR="005830DE" w:rsidRPr="0009282C">
        <w:rPr>
          <w:iCs/>
        </w:rPr>
        <w:t xml:space="preserve">For </w:t>
      </w:r>
      <w:r w:rsidR="008F1BD8" w:rsidRPr="0009282C">
        <w:rPr>
          <w:iCs/>
        </w:rPr>
        <w:t xml:space="preserve">these </w:t>
      </w:r>
      <w:r w:rsidR="005830DE" w:rsidRPr="0009282C">
        <w:rPr>
          <w:iCs/>
        </w:rPr>
        <w:t xml:space="preserve">late CKD stages, the </w:t>
      </w:r>
      <w:r w:rsidR="00DF7E38" w:rsidRPr="0009282C">
        <w:rPr>
          <w:iCs/>
        </w:rPr>
        <w:t xml:space="preserve">economic </w:t>
      </w:r>
      <w:r w:rsidR="005830DE" w:rsidRPr="0009282C">
        <w:rPr>
          <w:iCs/>
        </w:rPr>
        <w:t xml:space="preserve">model </w:t>
      </w:r>
      <w:r w:rsidR="008F1BD8" w:rsidRPr="0009282C">
        <w:rPr>
          <w:iCs/>
        </w:rPr>
        <w:t xml:space="preserve">may </w:t>
      </w:r>
      <w:r w:rsidR="00DF7E38" w:rsidRPr="0009282C">
        <w:rPr>
          <w:iCs/>
        </w:rPr>
        <w:t xml:space="preserve">not reflect </w:t>
      </w:r>
      <w:r w:rsidR="005830DE" w:rsidRPr="0009282C">
        <w:rPr>
          <w:iCs/>
        </w:rPr>
        <w:t xml:space="preserve">current </w:t>
      </w:r>
      <w:r w:rsidR="004D1BB1" w:rsidRPr="0009282C">
        <w:rPr>
          <w:iCs/>
        </w:rPr>
        <w:t xml:space="preserve">clinical </w:t>
      </w:r>
      <w:r w:rsidR="005830DE" w:rsidRPr="0009282C">
        <w:rPr>
          <w:iCs/>
        </w:rPr>
        <w:t>practice</w:t>
      </w:r>
      <w:r w:rsidR="001E6878" w:rsidRPr="0009282C">
        <w:rPr>
          <w:iCs/>
        </w:rPr>
        <w:t xml:space="preserve"> in Australia</w:t>
      </w:r>
      <w:r w:rsidR="005830DE" w:rsidRPr="0009282C">
        <w:rPr>
          <w:iCs/>
        </w:rPr>
        <w:t xml:space="preserve">. </w:t>
      </w:r>
      <w:r w:rsidR="00D64347" w:rsidRPr="0009282C">
        <w:rPr>
          <w:iCs/>
        </w:rPr>
        <w:t>P</w:t>
      </w:r>
      <w:r w:rsidR="005830DE" w:rsidRPr="0009282C">
        <w:rPr>
          <w:iCs/>
        </w:rPr>
        <w:t xml:space="preserve">atients </w:t>
      </w:r>
      <w:r w:rsidR="00D64347" w:rsidRPr="0009282C">
        <w:rPr>
          <w:iCs/>
        </w:rPr>
        <w:t>in</w:t>
      </w:r>
      <w:r w:rsidR="005830DE" w:rsidRPr="0009282C">
        <w:rPr>
          <w:iCs/>
        </w:rPr>
        <w:t xml:space="preserve"> CKD5 </w:t>
      </w:r>
      <w:r w:rsidR="008F1BD8" w:rsidRPr="0009282C">
        <w:rPr>
          <w:iCs/>
        </w:rPr>
        <w:t>could</w:t>
      </w:r>
      <w:r w:rsidR="005830DE" w:rsidRPr="0009282C">
        <w:rPr>
          <w:iCs/>
        </w:rPr>
        <w:t xml:space="preserve"> receive consistent intensive dialysis for prolonged period</w:t>
      </w:r>
      <w:r w:rsidR="002C2137" w:rsidRPr="0009282C">
        <w:rPr>
          <w:iCs/>
        </w:rPr>
        <w:t>s, and</w:t>
      </w:r>
      <w:r w:rsidR="005830DE" w:rsidRPr="0009282C">
        <w:rPr>
          <w:iCs/>
        </w:rPr>
        <w:t xml:space="preserve"> up to 80% of their </w:t>
      </w:r>
      <w:r w:rsidR="00001044" w:rsidRPr="0009282C">
        <w:rPr>
          <w:iCs/>
        </w:rPr>
        <w:t>lifetime</w:t>
      </w:r>
      <w:r w:rsidR="005830DE" w:rsidRPr="0009282C">
        <w:rPr>
          <w:iCs/>
        </w:rPr>
        <w:t xml:space="preserve"> or 20</w:t>
      </w:r>
      <w:r w:rsidR="00485A08">
        <w:rPr>
          <w:iCs/>
        </w:rPr>
        <w:t> </w:t>
      </w:r>
      <w:r w:rsidR="005830DE" w:rsidRPr="0009282C">
        <w:rPr>
          <w:iCs/>
        </w:rPr>
        <w:t xml:space="preserve">years until they die. This </w:t>
      </w:r>
      <w:r w:rsidR="009A442A" w:rsidRPr="0009282C">
        <w:rPr>
          <w:iCs/>
        </w:rPr>
        <w:t xml:space="preserve">was </w:t>
      </w:r>
      <w:r w:rsidR="008F1BD8" w:rsidRPr="0009282C">
        <w:rPr>
          <w:iCs/>
        </w:rPr>
        <w:t xml:space="preserve">likely </w:t>
      </w:r>
      <w:r w:rsidR="009A442A" w:rsidRPr="0009282C">
        <w:rPr>
          <w:iCs/>
        </w:rPr>
        <w:t xml:space="preserve">not </w:t>
      </w:r>
      <w:r w:rsidR="007D0986" w:rsidRPr="0009282C">
        <w:rPr>
          <w:iCs/>
        </w:rPr>
        <w:t>justified</w:t>
      </w:r>
      <w:r w:rsidR="005830DE" w:rsidRPr="0009282C">
        <w:rPr>
          <w:iCs/>
        </w:rPr>
        <w:t>.</w:t>
      </w:r>
      <w:r w:rsidR="002A29D8" w:rsidRPr="0009282C">
        <w:rPr>
          <w:iCs/>
        </w:rPr>
        <w:t xml:space="preserve"> </w:t>
      </w:r>
      <w:r w:rsidR="00A85970" w:rsidRPr="0009282C">
        <w:rPr>
          <w:iCs/>
        </w:rPr>
        <w:t>A</w:t>
      </w:r>
      <w:r w:rsidR="000F38DF" w:rsidRPr="0009282C">
        <w:rPr>
          <w:iCs/>
        </w:rPr>
        <w:t>n annual transplant probability of 0.8%</w:t>
      </w:r>
      <w:r w:rsidR="00394BC0" w:rsidRPr="0009282C">
        <w:rPr>
          <w:iCs/>
        </w:rPr>
        <w:t xml:space="preserve"> </w:t>
      </w:r>
      <w:r w:rsidR="00394BC0" w:rsidRPr="0009282C">
        <w:t>(Metry et al 2022</w:t>
      </w:r>
      <w:r w:rsidR="0056563B" w:rsidRPr="0056563B">
        <w:rPr>
          <w:rStyle w:val="FootnoteReference"/>
          <w:iCs/>
        </w:rPr>
        <w:footnoteReference w:id="14"/>
      </w:r>
      <w:r w:rsidR="00394BC0" w:rsidRPr="0009282C">
        <w:t>)</w:t>
      </w:r>
      <w:r w:rsidR="000F38DF" w:rsidRPr="0009282C">
        <w:rPr>
          <w:iCs/>
        </w:rPr>
        <w:t xml:space="preserve"> was </w:t>
      </w:r>
      <w:r w:rsidR="003A11AB" w:rsidRPr="0009282C">
        <w:rPr>
          <w:iCs/>
        </w:rPr>
        <w:t xml:space="preserve">applied </w:t>
      </w:r>
      <w:r w:rsidR="00A02800" w:rsidRPr="0009282C">
        <w:rPr>
          <w:iCs/>
        </w:rPr>
        <w:t xml:space="preserve">to </w:t>
      </w:r>
      <w:r w:rsidR="003A11AB" w:rsidRPr="0009282C">
        <w:rPr>
          <w:iCs/>
        </w:rPr>
        <w:t>all patients in any of the CKD4 or 5 health states</w:t>
      </w:r>
      <w:r w:rsidR="009820C0" w:rsidRPr="0009282C">
        <w:t>, regardless of adequate oxalate control</w:t>
      </w:r>
      <w:r w:rsidR="009A442A" w:rsidRPr="0009282C">
        <w:t>.</w:t>
      </w:r>
      <w:r w:rsidR="002A29D8" w:rsidRPr="0009282C">
        <w:t xml:space="preserve"> </w:t>
      </w:r>
      <w:r w:rsidR="009820C0" w:rsidRPr="0009282C">
        <w:t>Patients in early CKD stages were assumed to not be considered for transplant. The submission did not distinguish between a combined or sequential transplant, and CKD4 and 5 patients also shared the same transplant priority via the same probability. Th</w:t>
      </w:r>
      <w:r w:rsidR="00B11930" w:rsidRPr="0009282C">
        <w:t>e ESC considered that th</w:t>
      </w:r>
      <w:r w:rsidR="009820C0" w:rsidRPr="0009282C">
        <w:t>ese assumptions</w:t>
      </w:r>
      <w:r w:rsidR="00915082" w:rsidRPr="0009282C">
        <w:t xml:space="preserve"> and the applicability of </w:t>
      </w:r>
      <w:r w:rsidR="00342939" w:rsidRPr="0009282C">
        <w:t>a transplant</w:t>
      </w:r>
      <w:r w:rsidR="00915082" w:rsidRPr="0009282C">
        <w:t xml:space="preserve"> rate</w:t>
      </w:r>
      <w:r w:rsidR="00342939" w:rsidRPr="0009282C">
        <w:t>,</w:t>
      </w:r>
      <w:r w:rsidR="00915082" w:rsidRPr="0009282C">
        <w:t xml:space="preserve"> </w:t>
      </w:r>
      <w:r w:rsidR="00342939" w:rsidRPr="0009282C">
        <w:t xml:space="preserve">based on European data from 1978−2018, </w:t>
      </w:r>
      <w:r w:rsidR="00915082" w:rsidRPr="0009282C">
        <w:t>to the Australian setting</w:t>
      </w:r>
      <w:r w:rsidR="009820C0" w:rsidRPr="0009282C">
        <w:t xml:space="preserve"> were all subject to</w:t>
      </w:r>
      <w:r w:rsidR="00B11930" w:rsidRPr="0009282C">
        <w:t xml:space="preserve"> </w:t>
      </w:r>
      <w:r w:rsidR="009820C0" w:rsidRPr="0009282C">
        <w:t>uncertainty</w:t>
      </w:r>
      <w:r w:rsidR="00915082" w:rsidRPr="0009282C">
        <w:t>.</w:t>
      </w:r>
    </w:p>
    <w:p w14:paraId="19110CAC" w14:textId="069B80BA" w:rsidR="005830DE" w:rsidRPr="0009282C" w:rsidRDefault="00046E0D" w:rsidP="00EC48DC">
      <w:pPr>
        <w:pStyle w:val="3-BodyText"/>
      </w:pPr>
      <w:r w:rsidRPr="0009282C">
        <w:t xml:space="preserve">Treatment discontinuations were modelled in the early CKD health states (CKD1–3b) </w:t>
      </w:r>
      <w:r w:rsidR="0030360C" w:rsidRPr="0009282C">
        <w:t>using patient-level data from the ILLUMATE</w:t>
      </w:r>
      <w:r w:rsidR="0018254F" w:rsidRPr="0009282C">
        <w:t>-</w:t>
      </w:r>
      <w:r w:rsidR="0030360C" w:rsidRPr="0009282C">
        <w:t xml:space="preserve">A and </w:t>
      </w:r>
      <w:r w:rsidR="0018254F" w:rsidRPr="0009282C">
        <w:t>-</w:t>
      </w:r>
      <w:r w:rsidR="0030360C" w:rsidRPr="0009282C">
        <w:t xml:space="preserve">B trials, </w:t>
      </w:r>
      <w:r w:rsidR="00EA0734" w:rsidRPr="0009282C">
        <w:t>extrapolated through the fitting of parametric models to the observed data. Treatment discontinuations were</w:t>
      </w:r>
      <w:r w:rsidRPr="0009282C">
        <w:t xml:space="preserve"> not </w:t>
      </w:r>
      <w:r w:rsidR="00EA0734" w:rsidRPr="0009282C">
        <w:t xml:space="preserve">modelled </w:t>
      </w:r>
      <w:r w:rsidRPr="0009282C">
        <w:t>in the late-stage heath states (CKD4–5)</w:t>
      </w:r>
      <w:r w:rsidR="00EA0734" w:rsidRPr="0009282C">
        <w:t>, based on the observation of no discontinuations in ILLUMINATE-C within the first 6 months.</w:t>
      </w:r>
      <w:r w:rsidR="00D74E0F" w:rsidRPr="0009282C">
        <w:t xml:space="preserve"> </w:t>
      </w:r>
      <w:r w:rsidR="00D74E0F" w:rsidRPr="0009282C">
        <w:rPr>
          <w:iCs/>
        </w:rPr>
        <w:t>The extrapolation of the patient-level data from the ILLUMINATE</w:t>
      </w:r>
      <w:r w:rsidR="00C00482" w:rsidRPr="0009282C">
        <w:rPr>
          <w:iCs/>
        </w:rPr>
        <w:t>-</w:t>
      </w:r>
      <w:r w:rsidR="00D74E0F" w:rsidRPr="0009282C">
        <w:rPr>
          <w:iCs/>
        </w:rPr>
        <w:t xml:space="preserve">A and </w:t>
      </w:r>
      <w:r w:rsidR="00C00482" w:rsidRPr="0009282C">
        <w:rPr>
          <w:iCs/>
        </w:rPr>
        <w:t>-</w:t>
      </w:r>
      <w:r w:rsidR="00D74E0F" w:rsidRPr="0009282C">
        <w:rPr>
          <w:iCs/>
        </w:rPr>
        <w:t xml:space="preserve">B trials to inform treatment discontinuation in the early-stage health states </w:t>
      </w:r>
      <w:r w:rsidR="00243F99" w:rsidRPr="0009282C">
        <w:rPr>
          <w:iCs/>
        </w:rPr>
        <w:t xml:space="preserve">was </w:t>
      </w:r>
      <w:r w:rsidR="00D74E0F" w:rsidRPr="0009282C">
        <w:rPr>
          <w:iCs/>
        </w:rPr>
        <w:t xml:space="preserve">appropriate; nevertheless, the extrapolations were based on 12-month trial data therefore their long-term </w:t>
      </w:r>
      <w:r w:rsidR="006B7CC1" w:rsidRPr="0009282C">
        <w:rPr>
          <w:iCs/>
        </w:rPr>
        <w:t xml:space="preserve">applicability </w:t>
      </w:r>
      <w:r w:rsidR="00D74E0F" w:rsidRPr="0009282C">
        <w:rPr>
          <w:iCs/>
        </w:rPr>
        <w:t xml:space="preserve">is unclear. There is </w:t>
      </w:r>
      <w:r w:rsidR="00394DD1" w:rsidRPr="0009282C">
        <w:rPr>
          <w:iCs/>
        </w:rPr>
        <w:t>a high degree of</w:t>
      </w:r>
      <w:r w:rsidR="00D74E0F" w:rsidRPr="0009282C">
        <w:rPr>
          <w:iCs/>
        </w:rPr>
        <w:t xml:space="preserve"> uncertainty in assuming patients with late-stage disease do not discontinue treatment.</w:t>
      </w:r>
      <w:r w:rsidR="00EB1CC8" w:rsidRPr="0009282C">
        <w:rPr>
          <w:iCs/>
        </w:rPr>
        <w:t xml:space="preserve"> </w:t>
      </w:r>
      <w:r w:rsidR="0073482A" w:rsidRPr="0009282C">
        <w:rPr>
          <w:iCs/>
        </w:rPr>
        <w:t xml:space="preserve">Nevertheless, </w:t>
      </w:r>
      <w:r w:rsidR="003D1039" w:rsidRPr="0009282C">
        <w:rPr>
          <w:iCs/>
        </w:rPr>
        <w:t>this assumption</w:t>
      </w:r>
      <w:r w:rsidR="00CD4CF8" w:rsidRPr="0009282C">
        <w:rPr>
          <w:iCs/>
        </w:rPr>
        <w:t xml:space="preserve"> appears to favour the comparator; adding treatment discontinuations for these late disease stages </w:t>
      </w:r>
      <w:r w:rsidR="003D1039" w:rsidRPr="0009282C">
        <w:rPr>
          <w:iCs/>
        </w:rPr>
        <w:t xml:space="preserve">reduces the </w:t>
      </w:r>
      <w:r w:rsidR="00417040" w:rsidRPr="0009282C">
        <w:rPr>
          <w:iCs/>
        </w:rPr>
        <w:t>incremental cost-effectiveness ratio (</w:t>
      </w:r>
      <w:r w:rsidR="003D1039" w:rsidRPr="0009282C">
        <w:rPr>
          <w:iCs/>
        </w:rPr>
        <w:t>ICER</w:t>
      </w:r>
      <w:r w:rsidR="00417040" w:rsidRPr="0009282C">
        <w:rPr>
          <w:iCs/>
        </w:rPr>
        <w:t>)</w:t>
      </w:r>
      <w:r w:rsidR="003D1039" w:rsidRPr="0009282C">
        <w:rPr>
          <w:iCs/>
        </w:rPr>
        <w:t>.</w:t>
      </w:r>
    </w:p>
    <w:p w14:paraId="5565EBD3" w14:textId="570AD652" w:rsidR="00EF331A" w:rsidRPr="0009282C" w:rsidRDefault="004D2EE0" w:rsidP="00EC48DC">
      <w:pPr>
        <w:pStyle w:val="3-BodyText"/>
        <w:rPr>
          <w:iCs/>
          <w:color w:val="000000" w:themeColor="text1"/>
        </w:rPr>
      </w:pPr>
      <w:r w:rsidRPr="0009282C">
        <w:rPr>
          <w:iCs/>
        </w:rPr>
        <w:t>M</w:t>
      </w:r>
      <w:r w:rsidR="001D77BE" w:rsidRPr="0009282C">
        <w:rPr>
          <w:iCs/>
        </w:rPr>
        <w:t xml:space="preserve">ortality multipliers </w:t>
      </w:r>
      <w:r w:rsidRPr="0009282C">
        <w:rPr>
          <w:iCs/>
        </w:rPr>
        <w:t>were applied to</w:t>
      </w:r>
      <w:r w:rsidR="00CC1FF8" w:rsidRPr="0009282C">
        <w:rPr>
          <w:iCs/>
        </w:rPr>
        <w:t xml:space="preserve"> the</w:t>
      </w:r>
      <w:r w:rsidR="001D77BE" w:rsidRPr="0009282C">
        <w:rPr>
          <w:iCs/>
        </w:rPr>
        <w:t xml:space="preserve"> general population mortality </w:t>
      </w:r>
      <w:r w:rsidRPr="0009282C">
        <w:rPr>
          <w:iCs/>
        </w:rPr>
        <w:t>according to</w:t>
      </w:r>
      <w:r w:rsidR="00544554" w:rsidRPr="0009282C">
        <w:rPr>
          <w:iCs/>
        </w:rPr>
        <w:t xml:space="preserve"> CKD health state </w:t>
      </w:r>
      <w:r w:rsidRPr="0009282C">
        <w:rPr>
          <w:iCs/>
        </w:rPr>
        <w:t>membership</w:t>
      </w:r>
      <w:r w:rsidR="00CC1FF8" w:rsidRPr="0009282C">
        <w:rPr>
          <w:iCs/>
        </w:rPr>
        <w:t>. The multipliers</w:t>
      </w:r>
      <w:r w:rsidR="00544554" w:rsidRPr="0009282C">
        <w:rPr>
          <w:iCs/>
        </w:rPr>
        <w:t xml:space="preserve"> were based on</w:t>
      </w:r>
      <w:r w:rsidR="001D77BE" w:rsidRPr="0009282C">
        <w:rPr>
          <w:iCs/>
        </w:rPr>
        <w:t xml:space="preserve"> </w:t>
      </w:r>
      <w:r w:rsidR="009C44E6" w:rsidRPr="0009282C">
        <w:rPr>
          <w:iCs/>
        </w:rPr>
        <w:t>a</w:t>
      </w:r>
      <w:r w:rsidR="001D77BE" w:rsidRPr="0009282C">
        <w:rPr>
          <w:iCs/>
        </w:rPr>
        <w:t xml:space="preserve"> retrospective database analysis by Go et al. (2004)</w:t>
      </w:r>
      <w:r w:rsidR="00F8060C" w:rsidRPr="0009282C">
        <w:rPr>
          <w:rStyle w:val="FootnoteReference"/>
          <w:iCs/>
        </w:rPr>
        <w:footnoteReference w:id="15"/>
      </w:r>
      <w:r w:rsidR="001D77BE" w:rsidRPr="0009282C">
        <w:rPr>
          <w:iCs/>
        </w:rPr>
        <w:t xml:space="preserve"> of longitudinal eGFR data</w:t>
      </w:r>
      <w:r w:rsidR="002B5151" w:rsidRPr="0009282C">
        <w:rPr>
          <w:iCs/>
        </w:rPr>
        <w:t xml:space="preserve"> (CKD1-2: 1.0; CKD3a: 1.2</w:t>
      </w:r>
      <w:r w:rsidR="00A1783C" w:rsidRPr="0009282C">
        <w:rPr>
          <w:iCs/>
        </w:rPr>
        <w:t>; CKD3b: 1.8; CKD</w:t>
      </w:r>
      <w:r w:rsidR="00FB73D1" w:rsidRPr="0009282C">
        <w:rPr>
          <w:iCs/>
        </w:rPr>
        <w:t xml:space="preserve">4: 3.2; </w:t>
      </w:r>
      <w:r w:rsidR="00A73869" w:rsidRPr="0009282C">
        <w:rPr>
          <w:iCs/>
        </w:rPr>
        <w:t>CKD5</w:t>
      </w:r>
      <w:r w:rsidR="00FB73D1" w:rsidRPr="0009282C">
        <w:rPr>
          <w:iCs/>
        </w:rPr>
        <w:t>: 5.9)</w:t>
      </w:r>
      <w:r w:rsidR="001D77BE" w:rsidRPr="0009282C">
        <w:rPr>
          <w:iCs/>
        </w:rPr>
        <w:t xml:space="preserve">. </w:t>
      </w:r>
      <w:r w:rsidR="00EF331A" w:rsidRPr="0009282C">
        <w:rPr>
          <w:iCs/>
        </w:rPr>
        <w:t>The ESC considered that the applicability of Go et al. (2004)</w:t>
      </w:r>
      <w:r w:rsidR="00AA77EA" w:rsidRPr="0009282C">
        <w:rPr>
          <w:iCs/>
        </w:rPr>
        <w:t xml:space="preserve"> to the CKD 3a and 3b health states was uncertain.</w:t>
      </w:r>
    </w:p>
    <w:p w14:paraId="0D96C9C8" w14:textId="631D5514" w:rsidR="00510993" w:rsidRPr="0009282C" w:rsidRDefault="003C10CB" w:rsidP="00EC48DC">
      <w:pPr>
        <w:pStyle w:val="3-BodyText"/>
      </w:pPr>
      <w:r w:rsidRPr="0009282C">
        <w:rPr>
          <w:iCs/>
        </w:rPr>
        <w:t>Data</w:t>
      </w:r>
      <w:r w:rsidRPr="0009282C">
        <w:t xml:space="preserve"> </w:t>
      </w:r>
      <w:r w:rsidRPr="0009282C">
        <w:rPr>
          <w:iCs/>
        </w:rPr>
        <w:t>published by Jamieson et al. (2005)</w:t>
      </w:r>
      <w:r w:rsidR="00B55D1C" w:rsidRPr="0009282C">
        <w:rPr>
          <w:rStyle w:val="FootnoteReference"/>
          <w:iCs/>
        </w:rPr>
        <w:footnoteReference w:id="16"/>
      </w:r>
      <w:r w:rsidRPr="0009282C">
        <w:rPr>
          <w:iCs/>
        </w:rPr>
        <w:t xml:space="preserve"> were used to model overall survival following transplantation. Kaplan</w:t>
      </w:r>
      <w:r w:rsidR="00AC5D11" w:rsidRPr="0009282C">
        <w:rPr>
          <w:iCs/>
        </w:rPr>
        <w:t>-</w:t>
      </w:r>
      <w:r w:rsidRPr="0009282C">
        <w:rPr>
          <w:iCs/>
        </w:rPr>
        <w:t>Meier (KM) curves were digitised, and patient-level data were reconstructed via the Guyot method (based on the published number at risk).</w:t>
      </w:r>
      <w:r w:rsidR="00B227B4" w:rsidRPr="0009282C">
        <w:rPr>
          <w:iCs/>
        </w:rPr>
        <w:t xml:space="preserve"> </w:t>
      </w:r>
      <w:r w:rsidR="00A33A41" w:rsidRPr="0009282C">
        <w:rPr>
          <w:iCs/>
        </w:rPr>
        <w:t>The submission assumed that patients in better clinical condition before transplant would have better post-transplant outcomes</w:t>
      </w:r>
      <w:r w:rsidR="00C1010F" w:rsidRPr="0009282C">
        <w:rPr>
          <w:iCs/>
        </w:rPr>
        <w:t xml:space="preserve"> </w:t>
      </w:r>
      <w:r w:rsidR="00A33A41" w:rsidRPr="0009282C">
        <w:rPr>
          <w:iCs/>
        </w:rPr>
        <w:t>compared to those</w:t>
      </w:r>
      <w:r w:rsidR="00AB4E6B" w:rsidRPr="0009282C">
        <w:rPr>
          <w:iCs/>
        </w:rPr>
        <w:t xml:space="preserve"> that</w:t>
      </w:r>
      <w:r w:rsidR="00C1010F" w:rsidRPr="0009282C">
        <w:rPr>
          <w:iCs/>
        </w:rPr>
        <w:t xml:space="preserve"> </w:t>
      </w:r>
      <w:r w:rsidR="005E0EBD" w:rsidRPr="0009282C">
        <w:rPr>
          <w:iCs/>
        </w:rPr>
        <w:t>were in</w:t>
      </w:r>
      <w:r w:rsidR="00C1010F" w:rsidRPr="0009282C">
        <w:rPr>
          <w:iCs/>
        </w:rPr>
        <w:t xml:space="preserve"> </w:t>
      </w:r>
      <w:r w:rsidR="00AB4E6B" w:rsidRPr="0009282C">
        <w:rPr>
          <w:iCs/>
        </w:rPr>
        <w:t>a worse clinical condition</w:t>
      </w:r>
      <w:r w:rsidR="00A33A41" w:rsidRPr="0009282C">
        <w:t xml:space="preserve">. </w:t>
      </w:r>
      <w:r w:rsidR="004163BA" w:rsidRPr="0009282C">
        <w:t>Mortality post-transplantation was</w:t>
      </w:r>
      <w:r w:rsidR="005E0EBD" w:rsidRPr="0009282C">
        <w:t xml:space="preserve"> </w:t>
      </w:r>
      <w:r w:rsidR="005E0EBD" w:rsidRPr="0009282C">
        <w:rPr>
          <w:iCs/>
        </w:rPr>
        <w:t>therefore</w:t>
      </w:r>
      <w:r w:rsidR="004163BA" w:rsidRPr="0009282C">
        <w:t xml:space="preserve"> modelled separately for patients with controlled vs uncontrolled oxalate levels prior to transplantation.</w:t>
      </w:r>
      <w:r w:rsidR="00D74E0F" w:rsidRPr="0009282C">
        <w:t xml:space="preserve"> The </w:t>
      </w:r>
      <w:r w:rsidR="006E353E" w:rsidRPr="0009282C">
        <w:rPr>
          <w:iCs/>
        </w:rPr>
        <w:t>ESC noted that the</w:t>
      </w:r>
      <w:r w:rsidR="006E353E" w:rsidRPr="0009282C">
        <w:t xml:space="preserve"> </w:t>
      </w:r>
      <w:r w:rsidR="00D74E0F" w:rsidRPr="0009282C">
        <w:t xml:space="preserve">use of different survival outcomes depending on oxalate control </w:t>
      </w:r>
      <w:r w:rsidR="006E353E" w:rsidRPr="0009282C">
        <w:rPr>
          <w:iCs/>
        </w:rPr>
        <w:t>assumes</w:t>
      </w:r>
      <w:r w:rsidR="006E353E" w:rsidRPr="0009282C">
        <w:t xml:space="preserve"> </w:t>
      </w:r>
      <w:r w:rsidR="00D74E0F" w:rsidRPr="0009282C">
        <w:t xml:space="preserve">improved post-transplantation outcomes for patients in the </w:t>
      </w:r>
      <w:proofErr w:type="spellStart"/>
      <w:r w:rsidR="00D74E0F" w:rsidRPr="0009282C">
        <w:t>lumasiran</w:t>
      </w:r>
      <w:proofErr w:type="spellEnd"/>
      <w:r w:rsidR="00D74E0F" w:rsidRPr="0009282C">
        <w:t xml:space="preserve"> arm relative to the BSC arm, given the majority of patients in the </w:t>
      </w:r>
      <w:proofErr w:type="spellStart"/>
      <w:r w:rsidR="00D74E0F" w:rsidRPr="0009282C">
        <w:t>lumasiran</w:t>
      </w:r>
      <w:proofErr w:type="spellEnd"/>
      <w:r w:rsidR="00D74E0F" w:rsidRPr="0009282C">
        <w:t xml:space="preserve"> arm receive transplantation from a controlled oxalate state, while all patients in the BSC arm receive transplantation from an uncontrolled oxalate state. </w:t>
      </w:r>
      <w:r w:rsidR="003C0D43" w:rsidRPr="0009282C">
        <w:rPr>
          <w:iCs/>
        </w:rPr>
        <w:t xml:space="preserve">The ESC considered </w:t>
      </w:r>
      <w:r w:rsidR="00982996" w:rsidRPr="0009282C">
        <w:rPr>
          <w:iCs/>
        </w:rPr>
        <w:t>there was some</w:t>
      </w:r>
      <w:r w:rsidR="00D74E0F" w:rsidRPr="0009282C">
        <w:rPr>
          <w:iCs/>
        </w:rPr>
        <w:t xml:space="preserve"> </w:t>
      </w:r>
      <w:r w:rsidR="00982996" w:rsidRPr="0009282C">
        <w:rPr>
          <w:iCs/>
        </w:rPr>
        <w:t>uncertainty related to</w:t>
      </w:r>
      <w:r w:rsidR="008A2B11" w:rsidRPr="0009282C">
        <w:rPr>
          <w:iCs/>
        </w:rPr>
        <w:t xml:space="preserve"> whether th</w:t>
      </w:r>
      <w:r w:rsidR="00004BD2" w:rsidRPr="0009282C">
        <w:rPr>
          <w:iCs/>
        </w:rPr>
        <w:t>ese projected outcomes</w:t>
      </w:r>
      <w:r w:rsidR="00D74E0F" w:rsidRPr="0009282C">
        <w:rPr>
          <w:iCs/>
        </w:rPr>
        <w:t xml:space="preserve"> reflect the true benefits of </w:t>
      </w:r>
      <w:proofErr w:type="spellStart"/>
      <w:r w:rsidR="00D74E0F" w:rsidRPr="0009282C">
        <w:rPr>
          <w:iCs/>
        </w:rPr>
        <w:t>lumasiran</w:t>
      </w:r>
      <w:proofErr w:type="spellEnd"/>
      <w:r w:rsidR="00D74E0F" w:rsidRPr="0009282C">
        <w:rPr>
          <w:iCs/>
        </w:rPr>
        <w:t xml:space="preserve"> post-transplant</w:t>
      </w:r>
      <w:r w:rsidR="00CE4E60" w:rsidRPr="0009282C">
        <w:rPr>
          <w:iCs/>
        </w:rPr>
        <w:t>ation</w:t>
      </w:r>
      <w:r w:rsidR="003C0D43" w:rsidRPr="0009282C">
        <w:rPr>
          <w:iCs/>
        </w:rPr>
        <w:t xml:space="preserve">, however </w:t>
      </w:r>
      <w:r w:rsidR="00982996" w:rsidRPr="0009282C">
        <w:rPr>
          <w:iCs/>
        </w:rPr>
        <w:t>considered the modelled mortality was likely reasonable.</w:t>
      </w:r>
    </w:p>
    <w:p w14:paraId="6A5FEBC4" w14:textId="2E999234" w:rsidR="006A03B2" w:rsidRPr="0009282C" w:rsidRDefault="00AE478B" w:rsidP="00EC48DC">
      <w:pPr>
        <w:pStyle w:val="3-BodyText"/>
      </w:pPr>
      <w:r w:rsidRPr="0009282C">
        <w:t xml:space="preserve">The </w:t>
      </w:r>
      <w:r w:rsidR="00061E71" w:rsidRPr="0009282C">
        <w:t>likelihood of</w:t>
      </w:r>
      <w:r w:rsidRPr="0009282C">
        <w:t xml:space="preserve"> complications associated with systemic oxalosis in patients with late-stage CKD and uncontrolled oxalate was obtained from a survey of UK PH1</w:t>
      </w:r>
      <w:r w:rsidR="00A37257" w:rsidRPr="0009282C">
        <w:t xml:space="preserve"> </w:t>
      </w:r>
      <w:r w:rsidRPr="0009282C">
        <w:t>clinical experts (</w:t>
      </w:r>
      <w:r w:rsidR="00C36AE1" w:rsidRPr="0009282C">
        <w:t xml:space="preserve">the </w:t>
      </w:r>
      <w:r w:rsidR="00823DB7" w:rsidRPr="0009282C">
        <w:t>sponsor</w:t>
      </w:r>
      <w:r w:rsidR="00C36AE1" w:rsidRPr="0009282C">
        <w:t xml:space="preserve"> consulted with Australian PH1 experts</w:t>
      </w:r>
      <w:r w:rsidR="00676623" w:rsidRPr="0009282C">
        <w:t>, who</w:t>
      </w:r>
      <w:r w:rsidR="00C36AE1" w:rsidRPr="0009282C">
        <w:t xml:space="preserve"> </w:t>
      </w:r>
      <w:r w:rsidR="00F05886" w:rsidRPr="0009282C">
        <w:t xml:space="preserve">were stated to </w:t>
      </w:r>
      <w:r w:rsidRPr="0009282C">
        <w:t xml:space="preserve">validate </w:t>
      </w:r>
      <w:r w:rsidR="00C36AE1" w:rsidRPr="0009282C">
        <w:t xml:space="preserve">these assumptions </w:t>
      </w:r>
      <w:r w:rsidRPr="0009282C">
        <w:t xml:space="preserve">as </w:t>
      </w:r>
      <w:r w:rsidR="00A95730" w:rsidRPr="0009282C">
        <w:t>reasonably</w:t>
      </w:r>
      <w:r w:rsidRPr="0009282C">
        <w:t xml:space="preserve"> representative of Australian patients</w:t>
      </w:r>
      <w:r w:rsidR="00EB3F3C" w:rsidRPr="0009282C">
        <w:t xml:space="preserve">; </w:t>
      </w:r>
      <w:r w:rsidR="009A3B34" w:rsidRPr="0009282C">
        <w:t xml:space="preserve">this </w:t>
      </w:r>
      <w:r w:rsidR="00EB3F3C" w:rsidRPr="0009282C">
        <w:t xml:space="preserve">communication </w:t>
      </w:r>
      <w:r w:rsidR="009A3B34" w:rsidRPr="0009282C">
        <w:t xml:space="preserve">was </w:t>
      </w:r>
      <w:r w:rsidR="00EB3F3C" w:rsidRPr="0009282C">
        <w:t xml:space="preserve">not provided with </w:t>
      </w:r>
      <w:r w:rsidR="007C39D6" w:rsidRPr="0009282C">
        <w:t xml:space="preserve">the </w:t>
      </w:r>
      <w:r w:rsidR="00EB3F3C" w:rsidRPr="0009282C">
        <w:t>submission</w:t>
      </w:r>
      <w:r w:rsidRPr="0009282C">
        <w:t>).</w:t>
      </w:r>
      <w:r w:rsidR="0065227A" w:rsidRPr="0009282C">
        <w:t xml:space="preserve"> </w:t>
      </w:r>
      <w:r w:rsidR="007908B7" w:rsidRPr="0009282C">
        <w:rPr>
          <w:iCs/>
        </w:rPr>
        <w:t>The submission stated that g</w:t>
      </w:r>
      <w:r w:rsidR="00AD066C" w:rsidRPr="0009282C">
        <w:rPr>
          <w:iCs/>
        </w:rPr>
        <w:t>iven that systemic oxalosis is associated with incomplete renal clearance of oxalate, which is typically observed after CKD 3b in PH1</w:t>
      </w:r>
      <w:r w:rsidR="0080260B" w:rsidRPr="0009282C">
        <w:rPr>
          <w:iCs/>
        </w:rPr>
        <w:t xml:space="preserve">, no systemic oxalosis complications were assumed to occur for CKD 1–3b health states. The </w:t>
      </w:r>
      <w:r w:rsidR="001F18AC" w:rsidRPr="0009282C">
        <w:rPr>
          <w:iCs/>
        </w:rPr>
        <w:t>probability</w:t>
      </w:r>
      <w:r w:rsidR="0080260B" w:rsidRPr="0009282C">
        <w:rPr>
          <w:iCs/>
        </w:rPr>
        <w:t xml:space="preserve"> of </w:t>
      </w:r>
      <w:r w:rsidR="0076311E" w:rsidRPr="0009282C">
        <w:rPr>
          <w:iCs/>
        </w:rPr>
        <w:t xml:space="preserve">experiencing </w:t>
      </w:r>
      <w:r w:rsidR="0080260B" w:rsidRPr="0009282C">
        <w:rPr>
          <w:iCs/>
        </w:rPr>
        <w:t xml:space="preserve">systemic </w:t>
      </w:r>
      <w:r w:rsidR="003A0EC5" w:rsidRPr="0009282C">
        <w:rPr>
          <w:iCs/>
        </w:rPr>
        <w:t>oxalosis</w:t>
      </w:r>
      <w:r w:rsidR="0080260B" w:rsidRPr="0009282C">
        <w:rPr>
          <w:iCs/>
        </w:rPr>
        <w:t xml:space="preserve"> complications</w:t>
      </w:r>
      <w:r w:rsidR="003A0EC5" w:rsidRPr="0009282C">
        <w:rPr>
          <w:iCs/>
        </w:rPr>
        <w:t xml:space="preserve"> in the</w:t>
      </w:r>
      <w:r w:rsidR="0076311E" w:rsidRPr="0009282C">
        <w:rPr>
          <w:iCs/>
        </w:rPr>
        <w:t xml:space="preserve"> economic</w:t>
      </w:r>
      <w:r w:rsidR="003A0EC5" w:rsidRPr="0009282C">
        <w:rPr>
          <w:iCs/>
        </w:rPr>
        <w:t xml:space="preserve"> model is shown in</w:t>
      </w:r>
      <w:r w:rsidR="001F18AC" w:rsidRPr="0009282C">
        <w:t xml:space="preserve"> </w:t>
      </w:r>
      <w:r w:rsidR="001F18AC" w:rsidRPr="0009282C">
        <w:fldChar w:fldCharType="begin" w:fldLock="1"/>
      </w:r>
      <w:r w:rsidR="001F18AC" w:rsidRPr="0009282C">
        <w:instrText xml:space="preserve"> REF _Ref190590737 \h </w:instrText>
      </w:r>
      <w:r w:rsidR="001F18AC" w:rsidRPr="0009282C">
        <w:fldChar w:fldCharType="separate"/>
      </w:r>
      <w:r w:rsidR="00771DFF" w:rsidRPr="0009282C">
        <w:rPr>
          <w:iCs/>
        </w:rPr>
        <w:t xml:space="preserve">Table </w:t>
      </w:r>
      <w:r w:rsidR="00771DFF">
        <w:rPr>
          <w:iCs/>
          <w:noProof/>
        </w:rPr>
        <w:t>11</w:t>
      </w:r>
      <w:r w:rsidR="001F18AC" w:rsidRPr="0009282C">
        <w:fldChar w:fldCharType="end"/>
      </w:r>
      <w:r w:rsidR="001F18AC" w:rsidRPr="0009282C">
        <w:t>.</w:t>
      </w:r>
      <w:r w:rsidR="0080260B" w:rsidRPr="0009282C">
        <w:t xml:space="preserve"> </w:t>
      </w:r>
      <w:r w:rsidR="006068DC" w:rsidRPr="0009282C">
        <w:rPr>
          <w:iCs/>
        </w:rPr>
        <w:t>A 20% relative reduction</w:t>
      </w:r>
      <w:r w:rsidR="006042F3" w:rsidRPr="0009282C">
        <w:rPr>
          <w:iCs/>
        </w:rPr>
        <w:t xml:space="preserve"> was applied</w:t>
      </w:r>
      <w:r w:rsidR="006068DC" w:rsidRPr="0009282C">
        <w:rPr>
          <w:iCs/>
        </w:rPr>
        <w:t xml:space="preserve"> to the values observed in</w:t>
      </w:r>
      <w:r w:rsidR="00E043FF" w:rsidRPr="0009282C">
        <w:rPr>
          <w:iCs/>
        </w:rPr>
        <w:t xml:space="preserve"> patients with</w:t>
      </w:r>
      <w:r w:rsidR="006068DC" w:rsidRPr="0009282C">
        <w:rPr>
          <w:iCs/>
        </w:rPr>
        <w:t xml:space="preserve"> late-stage CKD </w:t>
      </w:r>
      <w:r w:rsidR="00E043FF" w:rsidRPr="0009282C">
        <w:rPr>
          <w:iCs/>
        </w:rPr>
        <w:t>and</w:t>
      </w:r>
      <w:r w:rsidR="0042163B" w:rsidRPr="0009282C">
        <w:rPr>
          <w:iCs/>
        </w:rPr>
        <w:t xml:space="preserve"> </w:t>
      </w:r>
      <w:r w:rsidR="006379A6" w:rsidRPr="0009282C">
        <w:rPr>
          <w:iCs/>
        </w:rPr>
        <w:t>un</w:t>
      </w:r>
      <w:r w:rsidR="0042163B" w:rsidRPr="0009282C">
        <w:rPr>
          <w:iCs/>
        </w:rPr>
        <w:t xml:space="preserve">controlled oxalate levels to estimate the probability of complications for patients </w:t>
      </w:r>
      <w:r w:rsidR="006068DC" w:rsidRPr="0009282C">
        <w:rPr>
          <w:iCs/>
        </w:rPr>
        <w:t xml:space="preserve">with controlled oxalate levels. </w:t>
      </w:r>
      <w:r w:rsidR="00D71FCA" w:rsidRPr="0009282C">
        <w:rPr>
          <w:iCs/>
        </w:rPr>
        <w:t xml:space="preserve">Whether systemic oxalosis outcomes for patients treated with </w:t>
      </w:r>
      <w:proofErr w:type="spellStart"/>
      <w:r w:rsidR="00D71FCA" w:rsidRPr="0009282C">
        <w:rPr>
          <w:iCs/>
        </w:rPr>
        <w:t>lumasiran</w:t>
      </w:r>
      <w:proofErr w:type="spellEnd"/>
      <w:r w:rsidR="00D71FCA" w:rsidRPr="0009282C">
        <w:rPr>
          <w:iCs/>
        </w:rPr>
        <w:t xml:space="preserve"> differ is unknown, with no evidence provided to support the assumption.</w:t>
      </w:r>
    </w:p>
    <w:p w14:paraId="0335AF81" w14:textId="5CE9C2E2" w:rsidR="00BD5992" w:rsidRPr="0009282C" w:rsidRDefault="000D35C2" w:rsidP="00BD5992">
      <w:pPr>
        <w:pStyle w:val="Caption"/>
        <w:rPr>
          <w:iCs/>
        </w:rPr>
      </w:pPr>
      <w:bookmarkStart w:id="62" w:name="_Ref190590737"/>
      <w:r w:rsidRPr="0009282C">
        <w:rPr>
          <w:iCs/>
        </w:rPr>
        <w:t xml:space="preserve">Table </w:t>
      </w:r>
      <w:r w:rsidRPr="0009282C">
        <w:rPr>
          <w:iCs/>
        </w:rPr>
        <w:fldChar w:fldCharType="begin" w:fldLock="1"/>
      </w:r>
      <w:r w:rsidRPr="0009282C">
        <w:rPr>
          <w:iCs/>
        </w:rPr>
        <w:instrText xml:space="preserve"> SEQ Table \* ARABIC </w:instrText>
      </w:r>
      <w:r w:rsidRPr="0009282C">
        <w:rPr>
          <w:iCs/>
        </w:rPr>
        <w:fldChar w:fldCharType="separate"/>
      </w:r>
      <w:r w:rsidR="00771DFF">
        <w:rPr>
          <w:iCs/>
          <w:noProof/>
        </w:rPr>
        <w:t>11</w:t>
      </w:r>
      <w:r w:rsidRPr="0009282C">
        <w:rPr>
          <w:iCs/>
          <w:noProof/>
        </w:rPr>
        <w:fldChar w:fldCharType="end"/>
      </w:r>
      <w:bookmarkEnd w:id="62"/>
      <w:r w:rsidRPr="0009282C">
        <w:rPr>
          <w:iCs/>
        </w:rPr>
        <w:t xml:space="preserve">: </w:t>
      </w:r>
      <w:r w:rsidR="00216EB7" w:rsidRPr="0009282C">
        <w:rPr>
          <w:iCs/>
        </w:rPr>
        <w:t>Probability</w:t>
      </w:r>
      <w:r w:rsidR="00BD5992" w:rsidRPr="0009282C">
        <w:rPr>
          <w:iCs/>
        </w:rPr>
        <w:t xml:space="preserve"> of systemic oxalosis complications in CKD 4 and ESKD health states</w:t>
      </w:r>
    </w:p>
    <w:tbl>
      <w:tblPr>
        <w:tblStyle w:val="Submissionstandard"/>
        <w:tblW w:w="5000" w:type="pct"/>
        <w:tblLook w:val="04A0" w:firstRow="1" w:lastRow="0" w:firstColumn="1" w:lastColumn="0" w:noHBand="0" w:noVBand="1"/>
      </w:tblPr>
      <w:tblGrid>
        <w:gridCol w:w="3432"/>
        <w:gridCol w:w="1455"/>
        <w:gridCol w:w="1403"/>
        <w:gridCol w:w="1405"/>
        <w:gridCol w:w="1322"/>
      </w:tblGrid>
      <w:tr w:rsidR="00BD5992" w:rsidRPr="0009282C" w14:paraId="6999B465" w14:textId="77777777" w:rsidTr="00094070">
        <w:trPr>
          <w:cnfStyle w:val="100000000000" w:firstRow="1" w:lastRow="0" w:firstColumn="0" w:lastColumn="0" w:oddVBand="0" w:evenVBand="0" w:oddHBand="0" w:evenHBand="0" w:firstRowFirstColumn="0" w:firstRowLastColumn="0" w:lastRowFirstColumn="0" w:lastRowLastColumn="0"/>
          <w:trHeight w:val="350"/>
        </w:trPr>
        <w:tc>
          <w:tcPr>
            <w:tcW w:w="1903" w:type="pct"/>
            <w:vMerge w:val="restart"/>
            <w:shd w:val="clear" w:color="auto" w:fill="auto"/>
          </w:tcPr>
          <w:p w14:paraId="3D9AA8E7"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Systemic oxalosis complication</w:t>
            </w:r>
          </w:p>
        </w:tc>
        <w:tc>
          <w:tcPr>
            <w:tcW w:w="3097" w:type="pct"/>
            <w:gridSpan w:val="4"/>
            <w:shd w:val="clear" w:color="auto" w:fill="auto"/>
          </w:tcPr>
          <w:p w14:paraId="714E72DE" w14:textId="00C8EE57" w:rsidR="00BD5992" w:rsidRPr="0009282C" w:rsidRDefault="00216EB7" w:rsidP="00FF7822">
            <w:pPr>
              <w:pStyle w:val="TableLeft"/>
              <w:jc w:val="center"/>
              <w:rPr>
                <w:rFonts w:ascii="Arial Narrow" w:hAnsi="Arial Narrow"/>
                <w:bCs/>
                <w:iCs/>
                <w:lang w:val="en-AU"/>
              </w:rPr>
            </w:pPr>
            <w:r w:rsidRPr="0009282C">
              <w:rPr>
                <w:rFonts w:ascii="Arial Narrow" w:hAnsi="Arial Narrow"/>
                <w:bCs/>
                <w:iCs/>
                <w:lang w:val="en-AU"/>
              </w:rPr>
              <w:t>Probability</w:t>
            </w:r>
            <w:r w:rsidR="00BD5992" w:rsidRPr="0009282C">
              <w:rPr>
                <w:rFonts w:ascii="Arial Narrow" w:hAnsi="Arial Narrow"/>
                <w:bCs/>
                <w:iCs/>
                <w:lang w:val="en-AU"/>
              </w:rPr>
              <w:t xml:space="preserve"> per cycle</w:t>
            </w:r>
          </w:p>
        </w:tc>
      </w:tr>
      <w:tr w:rsidR="00094070" w:rsidRPr="0009282C" w14:paraId="458E09DF" w14:textId="77777777" w:rsidTr="2BF6EB93">
        <w:trPr>
          <w:trHeight w:val="349"/>
        </w:trPr>
        <w:tc>
          <w:tcPr>
            <w:tcW w:w="1903" w:type="pct"/>
            <w:vMerge/>
          </w:tcPr>
          <w:p w14:paraId="48AA695F" w14:textId="77777777" w:rsidR="00BD5992" w:rsidRPr="0009282C" w:rsidRDefault="00BD5992" w:rsidP="00FF7822">
            <w:pPr>
              <w:pStyle w:val="TableLeft"/>
              <w:rPr>
                <w:rFonts w:ascii="Arial Narrow" w:eastAsia="MS Mincho" w:hAnsi="Arial Narrow"/>
                <w:iCs/>
                <w:lang w:val="en-AU"/>
              </w:rPr>
            </w:pPr>
          </w:p>
        </w:tc>
        <w:tc>
          <w:tcPr>
            <w:tcW w:w="807" w:type="pct"/>
            <w:shd w:val="clear" w:color="auto" w:fill="auto"/>
          </w:tcPr>
          <w:p w14:paraId="4C9943D1" w14:textId="77777777" w:rsidR="00BD5992" w:rsidRPr="0009282C" w:rsidRDefault="00BD5992" w:rsidP="00FF7822">
            <w:pPr>
              <w:pStyle w:val="TableLeft"/>
              <w:jc w:val="center"/>
              <w:rPr>
                <w:rFonts w:ascii="Arial Narrow" w:hAnsi="Arial Narrow"/>
                <w:b/>
                <w:bCs/>
                <w:iCs/>
                <w:lang w:val="en-AU"/>
              </w:rPr>
            </w:pPr>
            <w:r w:rsidRPr="0009282C">
              <w:rPr>
                <w:rFonts w:ascii="Arial Narrow" w:hAnsi="Arial Narrow"/>
                <w:b/>
                <w:bCs/>
                <w:iCs/>
                <w:lang w:val="en-AU"/>
              </w:rPr>
              <w:t>CKD 4-Ox</w:t>
            </w:r>
            <w:r w:rsidRPr="0009282C">
              <w:rPr>
                <w:rFonts w:ascii="Arial Narrow" w:hAnsi="Arial Narrow"/>
                <w:b/>
                <w:bCs/>
                <w:iCs/>
                <w:vertAlign w:val="subscript"/>
                <w:lang w:val="en-AU"/>
              </w:rPr>
              <w:t>U</w:t>
            </w:r>
          </w:p>
        </w:tc>
        <w:tc>
          <w:tcPr>
            <w:tcW w:w="778" w:type="pct"/>
            <w:shd w:val="clear" w:color="auto" w:fill="auto"/>
          </w:tcPr>
          <w:p w14:paraId="2ECB8EC1" w14:textId="77777777" w:rsidR="00BD5992" w:rsidRPr="0009282C" w:rsidRDefault="00BD5992" w:rsidP="00FF7822">
            <w:pPr>
              <w:pStyle w:val="TableLeft"/>
              <w:jc w:val="center"/>
              <w:rPr>
                <w:rFonts w:ascii="Arial Narrow" w:hAnsi="Arial Narrow"/>
                <w:b/>
                <w:lang w:val="en-AU"/>
              </w:rPr>
            </w:pPr>
            <w:r w:rsidRPr="0009282C">
              <w:rPr>
                <w:rFonts w:ascii="Arial Narrow" w:hAnsi="Arial Narrow"/>
                <w:b/>
                <w:lang w:val="en-AU"/>
              </w:rPr>
              <w:t>ESKD-</w:t>
            </w:r>
            <w:proofErr w:type="spellStart"/>
            <w:r w:rsidRPr="0009282C">
              <w:rPr>
                <w:rFonts w:ascii="Arial Narrow" w:hAnsi="Arial Narrow"/>
                <w:b/>
                <w:lang w:val="en-AU"/>
              </w:rPr>
              <w:t>Ox</w:t>
            </w:r>
            <w:r w:rsidRPr="0009282C">
              <w:rPr>
                <w:rFonts w:ascii="Arial Narrow" w:hAnsi="Arial Narrow"/>
                <w:b/>
                <w:vertAlign w:val="subscript"/>
                <w:lang w:val="en-AU"/>
              </w:rPr>
              <w:t>U</w:t>
            </w:r>
            <w:proofErr w:type="spellEnd"/>
          </w:p>
        </w:tc>
        <w:tc>
          <w:tcPr>
            <w:tcW w:w="779" w:type="pct"/>
            <w:shd w:val="clear" w:color="auto" w:fill="auto"/>
          </w:tcPr>
          <w:p w14:paraId="5230562F" w14:textId="77777777" w:rsidR="00BD5992" w:rsidRPr="0009282C" w:rsidRDefault="00BD5992" w:rsidP="00FF7822">
            <w:pPr>
              <w:pStyle w:val="TableLeft"/>
              <w:jc w:val="center"/>
              <w:rPr>
                <w:rFonts w:ascii="Arial Narrow" w:hAnsi="Arial Narrow"/>
                <w:b/>
                <w:bCs/>
                <w:iCs/>
                <w:lang w:val="en-AU"/>
              </w:rPr>
            </w:pPr>
            <w:r w:rsidRPr="0009282C">
              <w:rPr>
                <w:rFonts w:ascii="Arial Narrow" w:hAnsi="Arial Narrow"/>
                <w:b/>
                <w:bCs/>
                <w:iCs/>
                <w:lang w:val="en-AU"/>
              </w:rPr>
              <w:t>CKD 4-Ox</w:t>
            </w:r>
            <w:r w:rsidRPr="0009282C">
              <w:rPr>
                <w:rFonts w:ascii="Arial Narrow" w:hAnsi="Arial Narrow"/>
                <w:b/>
                <w:bCs/>
                <w:iCs/>
                <w:vertAlign w:val="subscript"/>
                <w:lang w:val="en-AU"/>
              </w:rPr>
              <w:t>C</w:t>
            </w:r>
          </w:p>
        </w:tc>
        <w:tc>
          <w:tcPr>
            <w:tcW w:w="733" w:type="pct"/>
            <w:shd w:val="clear" w:color="auto" w:fill="auto"/>
          </w:tcPr>
          <w:p w14:paraId="23671B46" w14:textId="77777777" w:rsidR="00BD5992" w:rsidRPr="0009282C" w:rsidRDefault="00BD5992" w:rsidP="00FF7822">
            <w:pPr>
              <w:pStyle w:val="TableLeft"/>
              <w:jc w:val="center"/>
              <w:rPr>
                <w:rFonts w:ascii="Arial Narrow" w:hAnsi="Arial Narrow"/>
                <w:b/>
                <w:lang w:val="en-AU"/>
              </w:rPr>
            </w:pPr>
            <w:r w:rsidRPr="0009282C">
              <w:rPr>
                <w:rFonts w:ascii="Arial Narrow" w:hAnsi="Arial Narrow"/>
                <w:b/>
                <w:lang w:val="en-AU"/>
              </w:rPr>
              <w:t>ESKD-</w:t>
            </w:r>
            <w:proofErr w:type="spellStart"/>
            <w:r w:rsidRPr="0009282C">
              <w:rPr>
                <w:rFonts w:ascii="Arial Narrow" w:hAnsi="Arial Narrow"/>
                <w:b/>
                <w:lang w:val="en-AU"/>
              </w:rPr>
              <w:t>Ox</w:t>
            </w:r>
            <w:r w:rsidRPr="0009282C">
              <w:rPr>
                <w:rFonts w:ascii="Arial Narrow" w:hAnsi="Arial Narrow"/>
                <w:b/>
                <w:vertAlign w:val="subscript"/>
                <w:lang w:val="en-AU"/>
              </w:rPr>
              <w:t>C</w:t>
            </w:r>
            <w:proofErr w:type="spellEnd"/>
          </w:p>
        </w:tc>
      </w:tr>
      <w:tr w:rsidR="00BD5992" w:rsidRPr="0009282C" w14:paraId="2285FADA" w14:textId="77777777" w:rsidTr="00094070">
        <w:tc>
          <w:tcPr>
            <w:tcW w:w="1903" w:type="pct"/>
          </w:tcPr>
          <w:p w14:paraId="751D87C0"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Bone</w:t>
            </w:r>
          </w:p>
        </w:tc>
        <w:tc>
          <w:tcPr>
            <w:tcW w:w="807" w:type="pct"/>
          </w:tcPr>
          <w:p w14:paraId="08EDC57E"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30%</w:t>
            </w:r>
          </w:p>
        </w:tc>
        <w:tc>
          <w:tcPr>
            <w:tcW w:w="778" w:type="pct"/>
          </w:tcPr>
          <w:p w14:paraId="24BE2640"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80%</w:t>
            </w:r>
          </w:p>
        </w:tc>
        <w:tc>
          <w:tcPr>
            <w:tcW w:w="779" w:type="pct"/>
          </w:tcPr>
          <w:p w14:paraId="2DCE36EC"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24%</w:t>
            </w:r>
          </w:p>
        </w:tc>
        <w:tc>
          <w:tcPr>
            <w:tcW w:w="733" w:type="pct"/>
          </w:tcPr>
          <w:p w14:paraId="5B1DD51F"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64%</w:t>
            </w:r>
          </w:p>
        </w:tc>
      </w:tr>
      <w:tr w:rsidR="00BD5992" w:rsidRPr="0009282C" w14:paraId="1A6D0201" w14:textId="77777777" w:rsidTr="00094070">
        <w:tc>
          <w:tcPr>
            <w:tcW w:w="1903" w:type="pct"/>
          </w:tcPr>
          <w:p w14:paraId="08F548F4"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Cardiac</w:t>
            </w:r>
          </w:p>
        </w:tc>
        <w:tc>
          <w:tcPr>
            <w:tcW w:w="807" w:type="pct"/>
          </w:tcPr>
          <w:p w14:paraId="44FC5E41"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15%</w:t>
            </w:r>
          </w:p>
        </w:tc>
        <w:tc>
          <w:tcPr>
            <w:tcW w:w="778" w:type="pct"/>
          </w:tcPr>
          <w:p w14:paraId="20B8C47F"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40%</w:t>
            </w:r>
          </w:p>
        </w:tc>
        <w:tc>
          <w:tcPr>
            <w:tcW w:w="779" w:type="pct"/>
          </w:tcPr>
          <w:p w14:paraId="6B5710A7"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12%</w:t>
            </w:r>
          </w:p>
        </w:tc>
        <w:tc>
          <w:tcPr>
            <w:tcW w:w="733" w:type="pct"/>
          </w:tcPr>
          <w:p w14:paraId="0626D2AE" w14:textId="77777777" w:rsidR="00BD5992" w:rsidRPr="0009282C" w:rsidRDefault="00BD5992" w:rsidP="00FF7822">
            <w:pPr>
              <w:pStyle w:val="TableLeft"/>
              <w:jc w:val="center"/>
              <w:rPr>
                <w:rFonts w:ascii="Arial Narrow" w:hAnsi="Arial Narrow"/>
                <w:iCs/>
                <w:lang w:val="en-AU"/>
              </w:rPr>
            </w:pPr>
            <w:r w:rsidRPr="0009282C">
              <w:rPr>
                <w:rFonts w:ascii="Arial Narrow" w:hAnsi="Arial Narrow"/>
                <w:iCs/>
                <w:lang w:val="en-AU"/>
              </w:rPr>
              <w:t>32%</w:t>
            </w:r>
          </w:p>
        </w:tc>
      </w:tr>
      <w:tr w:rsidR="00BD5992" w:rsidRPr="0009282C" w14:paraId="0D958B50" w14:textId="77777777" w:rsidTr="00094070">
        <w:tc>
          <w:tcPr>
            <w:tcW w:w="1903" w:type="pct"/>
          </w:tcPr>
          <w:p w14:paraId="62F29AF5"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Cutaneous and vascular</w:t>
            </w:r>
          </w:p>
        </w:tc>
        <w:tc>
          <w:tcPr>
            <w:tcW w:w="807" w:type="pct"/>
          </w:tcPr>
          <w:p w14:paraId="102F847F"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15%</w:t>
            </w:r>
          </w:p>
        </w:tc>
        <w:tc>
          <w:tcPr>
            <w:tcW w:w="778" w:type="pct"/>
          </w:tcPr>
          <w:p w14:paraId="09FAA74D"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35%</w:t>
            </w:r>
          </w:p>
        </w:tc>
        <w:tc>
          <w:tcPr>
            <w:tcW w:w="779" w:type="pct"/>
          </w:tcPr>
          <w:p w14:paraId="6FF0DA0F"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12%</w:t>
            </w:r>
          </w:p>
        </w:tc>
        <w:tc>
          <w:tcPr>
            <w:tcW w:w="733" w:type="pct"/>
          </w:tcPr>
          <w:p w14:paraId="05EA6E49"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28%</w:t>
            </w:r>
          </w:p>
        </w:tc>
      </w:tr>
      <w:tr w:rsidR="00BD5992" w:rsidRPr="0009282C" w14:paraId="06262407" w14:textId="77777777" w:rsidTr="00094070">
        <w:tc>
          <w:tcPr>
            <w:tcW w:w="1903" w:type="pct"/>
          </w:tcPr>
          <w:p w14:paraId="3D0E36A8"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Ophthalmic</w:t>
            </w:r>
          </w:p>
        </w:tc>
        <w:tc>
          <w:tcPr>
            <w:tcW w:w="807" w:type="pct"/>
          </w:tcPr>
          <w:p w14:paraId="6553A684"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18%</w:t>
            </w:r>
          </w:p>
        </w:tc>
        <w:tc>
          <w:tcPr>
            <w:tcW w:w="778" w:type="pct"/>
          </w:tcPr>
          <w:p w14:paraId="55280DD6"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40%</w:t>
            </w:r>
          </w:p>
        </w:tc>
        <w:tc>
          <w:tcPr>
            <w:tcW w:w="779" w:type="pct"/>
          </w:tcPr>
          <w:p w14:paraId="7CA7BC8E"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14%</w:t>
            </w:r>
          </w:p>
        </w:tc>
        <w:tc>
          <w:tcPr>
            <w:tcW w:w="733" w:type="pct"/>
          </w:tcPr>
          <w:p w14:paraId="49F9906B"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32%</w:t>
            </w:r>
          </w:p>
        </w:tc>
      </w:tr>
      <w:tr w:rsidR="00BD5992" w:rsidRPr="0009282C" w14:paraId="283C28C1" w14:textId="77777777" w:rsidTr="00094070">
        <w:tc>
          <w:tcPr>
            <w:tcW w:w="1903" w:type="pct"/>
          </w:tcPr>
          <w:p w14:paraId="0040DB24" w14:textId="77777777" w:rsidR="00BD5992" w:rsidRPr="0009282C" w:rsidRDefault="00BD5992" w:rsidP="00FF7822">
            <w:pPr>
              <w:pStyle w:val="TableLeft"/>
              <w:rPr>
                <w:rFonts w:ascii="Arial Narrow" w:eastAsia="MS Mincho" w:hAnsi="Arial Narrow"/>
                <w:iCs/>
                <w:lang w:val="en-AU"/>
              </w:rPr>
            </w:pPr>
            <w:r w:rsidRPr="0009282C">
              <w:rPr>
                <w:rFonts w:ascii="Arial Narrow" w:eastAsia="MS Mincho" w:hAnsi="Arial Narrow"/>
                <w:iCs/>
                <w:lang w:val="en-AU"/>
              </w:rPr>
              <w:t>Neurologic</w:t>
            </w:r>
          </w:p>
        </w:tc>
        <w:tc>
          <w:tcPr>
            <w:tcW w:w="807" w:type="pct"/>
          </w:tcPr>
          <w:p w14:paraId="5323A934"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18%</w:t>
            </w:r>
          </w:p>
        </w:tc>
        <w:tc>
          <w:tcPr>
            <w:tcW w:w="778" w:type="pct"/>
          </w:tcPr>
          <w:p w14:paraId="1A1F016B"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40%</w:t>
            </w:r>
          </w:p>
        </w:tc>
        <w:tc>
          <w:tcPr>
            <w:tcW w:w="779" w:type="pct"/>
          </w:tcPr>
          <w:p w14:paraId="32861959"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14%</w:t>
            </w:r>
          </w:p>
        </w:tc>
        <w:tc>
          <w:tcPr>
            <w:tcW w:w="733" w:type="pct"/>
          </w:tcPr>
          <w:p w14:paraId="5D873D01" w14:textId="77777777" w:rsidR="00BD5992" w:rsidRPr="0009282C" w:rsidRDefault="00BD5992" w:rsidP="00FF7822">
            <w:pPr>
              <w:pStyle w:val="TableLeft"/>
              <w:jc w:val="center"/>
              <w:rPr>
                <w:rFonts w:ascii="Arial Narrow" w:eastAsia="MS Mincho" w:hAnsi="Arial Narrow"/>
                <w:iCs/>
                <w:lang w:val="en-AU"/>
              </w:rPr>
            </w:pPr>
            <w:r w:rsidRPr="0009282C">
              <w:rPr>
                <w:rFonts w:ascii="Arial Narrow" w:eastAsia="MS Mincho" w:hAnsi="Arial Narrow"/>
                <w:iCs/>
                <w:lang w:val="en-AU"/>
              </w:rPr>
              <w:t>32%</w:t>
            </w:r>
          </w:p>
        </w:tc>
      </w:tr>
    </w:tbl>
    <w:p w14:paraId="26F44257" w14:textId="2B965D9C" w:rsidR="00BD5992" w:rsidRPr="0009282C" w:rsidRDefault="00BD5992" w:rsidP="001E6A64">
      <w:pPr>
        <w:pStyle w:val="TableFigureFooter"/>
      </w:pPr>
      <w:r w:rsidRPr="0009282C">
        <w:t xml:space="preserve">Abbreviations: CKD, chronic kidney disease; ESKD, end-stage kidney disease; </w:t>
      </w:r>
      <w:proofErr w:type="spellStart"/>
      <w:r w:rsidRPr="0009282C">
        <w:t>OxC</w:t>
      </w:r>
      <w:proofErr w:type="spellEnd"/>
      <w:r w:rsidRPr="0009282C">
        <w:t xml:space="preserve">, controlled oxalate levels; </w:t>
      </w:r>
      <w:proofErr w:type="spellStart"/>
      <w:r w:rsidRPr="0009282C">
        <w:t>OxU</w:t>
      </w:r>
      <w:proofErr w:type="spellEnd"/>
      <w:r w:rsidRPr="0009282C">
        <w:t>, uncontrolled oxalate levels</w:t>
      </w:r>
      <w:r w:rsidRPr="0009282C">
        <w:br/>
        <w:t>Source: Table 3.19</w:t>
      </w:r>
      <w:r w:rsidR="00216EB7" w:rsidRPr="0009282C">
        <w:t xml:space="preserve">, p 119 of the submission. </w:t>
      </w:r>
    </w:p>
    <w:p w14:paraId="2AF569FA" w14:textId="76310EAA" w:rsidR="00810970" w:rsidRPr="0009282C" w:rsidRDefault="006D45BF" w:rsidP="00EC48DC">
      <w:pPr>
        <w:pStyle w:val="3-BodyText"/>
        <w:rPr>
          <w:iCs/>
        </w:rPr>
      </w:pPr>
      <w:r w:rsidRPr="0009282C">
        <w:t xml:space="preserve">In the </w:t>
      </w:r>
      <w:r w:rsidR="00F32577" w:rsidRPr="0009282C">
        <w:t xml:space="preserve">economic </w:t>
      </w:r>
      <w:r w:rsidRPr="0009282C">
        <w:t xml:space="preserve">model, the intensity of dialysis (normal- vs high-intensity) was modelled according to </w:t>
      </w:r>
      <w:r w:rsidR="001C074B" w:rsidRPr="0009282C">
        <w:t xml:space="preserve">the </w:t>
      </w:r>
      <w:r w:rsidRPr="0009282C">
        <w:t xml:space="preserve">treatment received. Patients receiving </w:t>
      </w:r>
      <w:proofErr w:type="spellStart"/>
      <w:r w:rsidRPr="0009282C">
        <w:t>lumasiran</w:t>
      </w:r>
      <w:proofErr w:type="spellEnd"/>
      <w:r w:rsidRPr="0009282C">
        <w:t xml:space="preserve"> treatment were assumed to receive normal intensity dialysis (according to the submission, given the use of </w:t>
      </w:r>
      <w:proofErr w:type="spellStart"/>
      <w:r w:rsidRPr="0009282C">
        <w:t>lumasiran</w:t>
      </w:r>
      <w:proofErr w:type="spellEnd"/>
      <w:r w:rsidRPr="0009282C">
        <w:t xml:space="preserve"> to control oxalate levels). Patients receiving BSC were assumed to receive high-intensity dialysis (according to the submission, given regular dialysis regimens are unable to counteract the high rate of oxalate production in patients in uncontrolled oxalate health states). </w:t>
      </w:r>
      <w:r w:rsidR="00AD0056" w:rsidRPr="0009282C">
        <w:t>Overall</w:t>
      </w:r>
      <w:r w:rsidR="00292B0A" w:rsidRPr="0009282C">
        <w:t xml:space="preserve">, 50% of the adult population and 100% of the paediatric population in CKD4, and 100% of the CKD5 </w:t>
      </w:r>
      <w:r w:rsidR="009E42A7" w:rsidRPr="0009282C">
        <w:t xml:space="preserve">health states </w:t>
      </w:r>
      <w:r w:rsidR="00292B0A" w:rsidRPr="0009282C">
        <w:t xml:space="preserve">were </w:t>
      </w:r>
      <w:r w:rsidR="009E42A7" w:rsidRPr="0009282C">
        <w:t xml:space="preserve">assumed </w:t>
      </w:r>
      <w:r w:rsidR="00292B0A" w:rsidRPr="0009282C">
        <w:t>to receive dialysis</w:t>
      </w:r>
      <w:r w:rsidR="00AD0056" w:rsidRPr="0009282C">
        <w:t>.</w:t>
      </w:r>
      <w:r w:rsidR="00292B0A" w:rsidRPr="0009282C">
        <w:t xml:space="preserve"> </w:t>
      </w:r>
      <w:r w:rsidR="00292B0A" w:rsidRPr="0009282C">
        <w:rPr>
          <w:iCs/>
        </w:rPr>
        <w:t xml:space="preserve">The </w:t>
      </w:r>
      <w:r w:rsidR="00CC2DDF" w:rsidRPr="0009282C">
        <w:rPr>
          <w:iCs/>
        </w:rPr>
        <w:t xml:space="preserve">evaluation considered that the </w:t>
      </w:r>
      <w:r w:rsidR="00EA0DE6" w:rsidRPr="0009282C">
        <w:rPr>
          <w:iCs/>
        </w:rPr>
        <w:t>assumption</w:t>
      </w:r>
      <w:r w:rsidR="00CC2DDF" w:rsidRPr="0009282C">
        <w:rPr>
          <w:iCs/>
        </w:rPr>
        <w:t xml:space="preserve"> </w:t>
      </w:r>
      <w:r w:rsidR="00292B0A" w:rsidRPr="0009282C">
        <w:rPr>
          <w:iCs/>
        </w:rPr>
        <w:t xml:space="preserve">of high-intensity dialysis regimens for patients with PH1 appears consistent with clinical practice guidelines. The </w:t>
      </w:r>
      <w:r w:rsidR="00C96E8E" w:rsidRPr="0009282C">
        <w:rPr>
          <w:iCs/>
        </w:rPr>
        <w:t>submission</w:t>
      </w:r>
      <w:r w:rsidR="00292B0A" w:rsidRPr="0009282C">
        <w:rPr>
          <w:iCs/>
        </w:rPr>
        <w:t xml:space="preserve"> suggest</w:t>
      </w:r>
      <w:r w:rsidR="005304AF" w:rsidRPr="0009282C">
        <w:rPr>
          <w:iCs/>
        </w:rPr>
        <w:t>ed</w:t>
      </w:r>
      <w:r w:rsidR="00292B0A" w:rsidRPr="0009282C">
        <w:rPr>
          <w:iCs/>
        </w:rPr>
        <w:t xml:space="preserve"> the assumed dialysis regimens were confirmed as reasonable by Australian PH1 experts</w:t>
      </w:r>
      <w:r w:rsidR="007C39D6" w:rsidRPr="0009282C">
        <w:rPr>
          <w:iCs/>
        </w:rPr>
        <w:t xml:space="preserve"> (communication not provided with the submission)</w:t>
      </w:r>
      <w:r w:rsidR="00EB3F3C" w:rsidRPr="0009282C">
        <w:rPr>
          <w:iCs/>
        </w:rPr>
        <w:t xml:space="preserve">. </w:t>
      </w:r>
      <w:r w:rsidR="00292B0A" w:rsidRPr="0009282C">
        <w:rPr>
          <w:iCs/>
        </w:rPr>
        <w:t xml:space="preserve">However, </w:t>
      </w:r>
      <w:r w:rsidR="00EA0DE6" w:rsidRPr="0009282C">
        <w:rPr>
          <w:iCs/>
        </w:rPr>
        <w:t xml:space="preserve">the evaluation considered that </w:t>
      </w:r>
      <w:r w:rsidR="00292B0A" w:rsidRPr="0009282C">
        <w:rPr>
          <w:iCs/>
        </w:rPr>
        <w:t>it remain</w:t>
      </w:r>
      <w:r w:rsidR="00FE513F">
        <w:rPr>
          <w:iCs/>
        </w:rPr>
        <w:t>ed</w:t>
      </w:r>
      <w:r w:rsidR="00292B0A" w:rsidRPr="0009282C">
        <w:rPr>
          <w:iCs/>
        </w:rPr>
        <w:t xml:space="preserve"> unclear to what extent </w:t>
      </w:r>
      <w:proofErr w:type="spellStart"/>
      <w:r w:rsidR="00292B0A" w:rsidRPr="0009282C">
        <w:rPr>
          <w:iCs/>
        </w:rPr>
        <w:t>lumasiran</w:t>
      </w:r>
      <w:proofErr w:type="spellEnd"/>
      <w:r w:rsidR="00292B0A" w:rsidRPr="0009282C">
        <w:rPr>
          <w:iCs/>
        </w:rPr>
        <w:t xml:space="preserve"> may reduce the need for intensified dialysis regimens</w:t>
      </w:r>
      <w:r w:rsidR="00C45201" w:rsidRPr="0009282C">
        <w:rPr>
          <w:iCs/>
        </w:rPr>
        <w:t xml:space="preserve"> in practice</w:t>
      </w:r>
      <w:r w:rsidR="000B659D" w:rsidRPr="0009282C">
        <w:rPr>
          <w:iCs/>
        </w:rPr>
        <w:t>. The model cohorts spent a considerable proportion of time in the CKD4 and CKD5 health states</w:t>
      </w:r>
      <w:r w:rsidR="000507D5" w:rsidRPr="0009282C">
        <w:rPr>
          <w:iCs/>
        </w:rPr>
        <w:t xml:space="preserve"> (</w:t>
      </w:r>
      <w:r w:rsidR="009E7A41" w:rsidRPr="0009282C">
        <w:rPr>
          <w:iCs/>
        </w:rPr>
        <w:t xml:space="preserve">43.3 and 29.2 years for paediatric patients in the BSC and </w:t>
      </w:r>
      <w:proofErr w:type="spellStart"/>
      <w:r w:rsidR="009E7A41" w:rsidRPr="0009282C">
        <w:rPr>
          <w:iCs/>
        </w:rPr>
        <w:t>lumasiran</w:t>
      </w:r>
      <w:proofErr w:type="spellEnd"/>
      <w:r w:rsidR="009E7A41" w:rsidRPr="0009282C">
        <w:rPr>
          <w:iCs/>
        </w:rPr>
        <w:t xml:space="preserve"> arms</w:t>
      </w:r>
      <w:r w:rsidR="00DE5AF3" w:rsidRPr="0009282C">
        <w:rPr>
          <w:iCs/>
        </w:rPr>
        <w:t>, respectively</w:t>
      </w:r>
      <w:r w:rsidR="009E7A41" w:rsidRPr="0009282C">
        <w:rPr>
          <w:iCs/>
        </w:rPr>
        <w:t xml:space="preserve">; 25.2 and 21.9 years for adult patients in the BSC and </w:t>
      </w:r>
      <w:proofErr w:type="spellStart"/>
      <w:r w:rsidR="009E7A41" w:rsidRPr="0009282C">
        <w:rPr>
          <w:iCs/>
        </w:rPr>
        <w:t>lumasiran</w:t>
      </w:r>
      <w:proofErr w:type="spellEnd"/>
      <w:r w:rsidR="009E7A41" w:rsidRPr="0009282C">
        <w:rPr>
          <w:iCs/>
        </w:rPr>
        <w:t xml:space="preserve"> arms</w:t>
      </w:r>
      <w:r w:rsidR="00FA2D31" w:rsidRPr="0009282C">
        <w:rPr>
          <w:iCs/>
        </w:rPr>
        <w:t>, respectively</w:t>
      </w:r>
      <w:r w:rsidR="009E7A41" w:rsidRPr="0009282C">
        <w:rPr>
          <w:iCs/>
        </w:rPr>
        <w:t>)</w:t>
      </w:r>
      <w:r w:rsidR="00D47FBB" w:rsidRPr="0009282C">
        <w:rPr>
          <w:iCs/>
        </w:rPr>
        <w:t xml:space="preserve">; indicating the assumed benefits of reduced dialysis intensity are accumulated over many years. </w:t>
      </w:r>
      <w:r w:rsidR="009436EB" w:rsidRPr="0009282C">
        <w:rPr>
          <w:iCs/>
        </w:rPr>
        <w:t xml:space="preserve">The assumed reduction in dialysis intensity due to </w:t>
      </w:r>
      <w:proofErr w:type="spellStart"/>
      <w:r w:rsidR="009436EB" w:rsidRPr="0009282C">
        <w:rPr>
          <w:iCs/>
        </w:rPr>
        <w:t>lumasiran</w:t>
      </w:r>
      <w:proofErr w:type="spellEnd"/>
      <w:r w:rsidR="009436EB" w:rsidRPr="0009282C">
        <w:rPr>
          <w:iCs/>
        </w:rPr>
        <w:t xml:space="preserve"> treatment has a </w:t>
      </w:r>
      <w:r w:rsidR="00D519B5" w:rsidRPr="0009282C">
        <w:rPr>
          <w:iCs/>
        </w:rPr>
        <w:t>large</w:t>
      </w:r>
      <w:r w:rsidR="009436EB" w:rsidRPr="0009282C">
        <w:rPr>
          <w:iCs/>
        </w:rPr>
        <w:t xml:space="preserve"> impac</w:t>
      </w:r>
      <w:r w:rsidR="00C9508F" w:rsidRPr="0009282C">
        <w:rPr>
          <w:iCs/>
        </w:rPr>
        <w:t>t</w:t>
      </w:r>
      <w:r w:rsidR="009436EB" w:rsidRPr="0009282C">
        <w:rPr>
          <w:iCs/>
        </w:rPr>
        <w:t xml:space="preserve"> on incremental costs. Overall, total cost </w:t>
      </w:r>
      <w:r w:rsidR="00660DBB" w:rsidRPr="0009282C">
        <w:rPr>
          <w:iCs/>
        </w:rPr>
        <w:t xml:space="preserve">(discounted) </w:t>
      </w:r>
      <w:r w:rsidR="009436EB" w:rsidRPr="0009282C">
        <w:rPr>
          <w:iCs/>
        </w:rPr>
        <w:t xml:space="preserve">for dialysis were $385,354 and $1,491,832 for </w:t>
      </w:r>
      <w:proofErr w:type="spellStart"/>
      <w:r w:rsidR="009436EB" w:rsidRPr="0009282C">
        <w:rPr>
          <w:iCs/>
        </w:rPr>
        <w:t>lumasiran</w:t>
      </w:r>
      <w:proofErr w:type="spellEnd"/>
      <w:r w:rsidR="009436EB" w:rsidRPr="0009282C">
        <w:rPr>
          <w:iCs/>
        </w:rPr>
        <w:t xml:space="preserve"> and BSC arms, respectively (incremental discounted cost of -$1,106,478, reflecting ~-</w:t>
      </w:r>
      <w:r w:rsidR="002212A2" w:rsidRPr="002212A2">
        <w:rPr>
          <w:iCs/>
          <w:color w:val="000000"/>
          <w:w w:val="60"/>
          <w:shd w:val="solid" w:color="000000" w:fill="000000"/>
          <w:fitText w:val="470" w:id="-694423805"/>
          <w14:textFill>
            <w14:solidFill>
              <w14:srgbClr w14:val="000000">
                <w14:alpha w14:val="100000"/>
              </w14:srgbClr>
            </w14:solidFill>
          </w14:textFill>
        </w:rPr>
        <w:t>|||  ||</w:t>
      </w:r>
      <w:r w:rsidR="002212A2" w:rsidRPr="002212A2">
        <w:rPr>
          <w:iCs/>
          <w:color w:val="000000"/>
          <w:spacing w:val="6"/>
          <w:w w:val="60"/>
          <w:shd w:val="solid" w:color="000000" w:fill="000000"/>
          <w:fitText w:val="470" w:id="-694423805"/>
          <w14:textFill>
            <w14:solidFill>
              <w14:srgbClr w14:val="000000">
                <w14:alpha w14:val="100000"/>
              </w14:srgbClr>
            </w14:solidFill>
          </w14:textFill>
        </w:rPr>
        <w:t>|</w:t>
      </w:r>
      <w:r w:rsidR="009436EB" w:rsidRPr="0009282C">
        <w:rPr>
          <w:iCs/>
        </w:rPr>
        <w:t>% of total incremental cost).</w:t>
      </w:r>
      <w:r w:rsidR="002428D5" w:rsidRPr="0009282C">
        <w:t xml:space="preserve"> </w:t>
      </w:r>
    </w:p>
    <w:p w14:paraId="3FE320F9" w14:textId="6BA7D8C3" w:rsidR="006339ED" w:rsidRPr="0009282C" w:rsidRDefault="008A01D9" w:rsidP="00EC48DC">
      <w:pPr>
        <w:pStyle w:val="3-BodyText"/>
        <w:rPr>
          <w:iCs/>
        </w:rPr>
      </w:pPr>
      <w:r w:rsidRPr="0009282C">
        <w:t>Renal stone events were incorporated</w:t>
      </w:r>
      <w:r w:rsidR="00EA4723" w:rsidRPr="0009282C">
        <w:t xml:space="preserve"> for patients in the CKD1-5 health states</w:t>
      </w:r>
      <w:r w:rsidRPr="0009282C">
        <w:t xml:space="preserve"> using data from the ILLUMINATE trials</w:t>
      </w:r>
      <w:r w:rsidR="00EA7CE5" w:rsidRPr="0009282C">
        <w:t xml:space="preserve">. </w:t>
      </w:r>
      <w:r w:rsidR="00203C86" w:rsidRPr="0009282C">
        <w:t>Estimates of annuali</w:t>
      </w:r>
      <w:r w:rsidR="00B158FA" w:rsidRPr="0009282C">
        <w:t>s</w:t>
      </w:r>
      <w:r w:rsidR="00203C86" w:rsidRPr="0009282C">
        <w:t xml:space="preserve">ed renal stone event rates derived from the data were applied in each cycle of the model, with the rates used in Cycle 1 (or Cycle 2) applied consistently for all subsequent cycles. </w:t>
      </w:r>
      <w:r w:rsidR="00A131E4" w:rsidRPr="0009282C">
        <w:rPr>
          <w:iCs/>
        </w:rPr>
        <w:t>A</w:t>
      </w:r>
      <w:r w:rsidR="00203C86" w:rsidRPr="0009282C">
        <w:rPr>
          <w:iCs/>
        </w:rPr>
        <w:t xml:space="preserve"> large benefit in terms of a reduced number of renal stone events </w:t>
      </w:r>
      <w:r w:rsidR="00B158FA" w:rsidRPr="0009282C">
        <w:rPr>
          <w:iCs/>
        </w:rPr>
        <w:t>wa</w:t>
      </w:r>
      <w:r w:rsidR="00203C86" w:rsidRPr="0009282C">
        <w:rPr>
          <w:iCs/>
        </w:rPr>
        <w:t xml:space="preserve">s attributed to </w:t>
      </w:r>
      <w:proofErr w:type="spellStart"/>
      <w:r w:rsidR="00203C86" w:rsidRPr="0009282C">
        <w:rPr>
          <w:iCs/>
        </w:rPr>
        <w:t>lumasiran</w:t>
      </w:r>
      <w:proofErr w:type="spellEnd"/>
      <w:r w:rsidR="00203C86" w:rsidRPr="0009282C">
        <w:rPr>
          <w:iCs/>
        </w:rPr>
        <w:t xml:space="preserve">. This benefit was </w:t>
      </w:r>
      <w:r w:rsidR="00A60140" w:rsidRPr="0009282C">
        <w:rPr>
          <w:iCs/>
        </w:rPr>
        <w:t xml:space="preserve">highly </w:t>
      </w:r>
      <w:r w:rsidR="00203C86" w:rsidRPr="0009282C">
        <w:rPr>
          <w:iCs/>
        </w:rPr>
        <w:t>uncertain.</w:t>
      </w:r>
      <w:r w:rsidR="007F0812" w:rsidRPr="0009282C">
        <w:rPr>
          <w:iCs/>
        </w:rPr>
        <w:t xml:space="preserve"> Notabl</w:t>
      </w:r>
      <w:r w:rsidR="001C1B10" w:rsidRPr="0009282C">
        <w:rPr>
          <w:iCs/>
        </w:rPr>
        <w:t xml:space="preserve">y, imbalances in the baseline rates between the </w:t>
      </w:r>
      <w:proofErr w:type="spellStart"/>
      <w:r w:rsidR="001C1B10" w:rsidRPr="0009282C">
        <w:rPr>
          <w:iCs/>
        </w:rPr>
        <w:t>lumasiran</w:t>
      </w:r>
      <w:proofErr w:type="spellEnd"/>
      <w:r w:rsidR="001C1B10" w:rsidRPr="0009282C">
        <w:rPr>
          <w:iCs/>
        </w:rPr>
        <w:t xml:space="preserve"> and placebo groups </w:t>
      </w:r>
      <w:r w:rsidR="00DD1749" w:rsidRPr="0009282C">
        <w:rPr>
          <w:iCs/>
        </w:rPr>
        <w:t>were evident in the ILLUMINATE A trial, potentially introducing confounding to the result</w:t>
      </w:r>
      <w:r w:rsidR="00610E97" w:rsidRPr="0009282C">
        <w:rPr>
          <w:iCs/>
        </w:rPr>
        <w:t>.</w:t>
      </w:r>
      <w:r w:rsidR="001B48AA" w:rsidRPr="0009282C">
        <w:rPr>
          <w:iCs/>
        </w:rPr>
        <w:t xml:space="preserve"> </w:t>
      </w:r>
      <w:r w:rsidR="006063CA" w:rsidRPr="0009282C">
        <w:rPr>
          <w:iCs/>
        </w:rPr>
        <w:t xml:space="preserve">For the CKD4-5 health states, baseline (‘pre-intervention’) data from the ILLUMINATE C trial were used to inform the renal stone event rate for the BSC arm, while 12 months data were used for the </w:t>
      </w:r>
      <w:proofErr w:type="spellStart"/>
      <w:r w:rsidR="006063CA" w:rsidRPr="0009282C">
        <w:rPr>
          <w:iCs/>
        </w:rPr>
        <w:t>lumasiran</w:t>
      </w:r>
      <w:proofErr w:type="spellEnd"/>
      <w:r w:rsidR="006063CA" w:rsidRPr="0009282C">
        <w:rPr>
          <w:iCs/>
        </w:rPr>
        <w:t xml:space="preserve"> arm. </w:t>
      </w:r>
      <w:r w:rsidR="00E504FA" w:rsidRPr="0009282C">
        <w:rPr>
          <w:iCs/>
        </w:rPr>
        <w:t xml:space="preserve">. </w:t>
      </w:r>
      <w:r w:rsidR="00BC1933" w:rsidRPr="0009282C">
        <w:rPr>
          <w:iCs/>
        </w:rPr>
        <w:t>A sensitivity analysis undertaken during the evaluation in which the impact of renal stone events was not considered (</w:t>
      </w:r>
      <w:r w:rsidR="00B42708" w:rsidRPr="0009282C">
        <w:rPr>
          <w:iCs/>
        </w:rPr>
        <w:t xml:space="preserve">i.e. per event </w:t>
      </w:r>
      <w:r w:rsidR="00BC1933" w:rsidRPr="0009282C">
        <w:rPr>
          <w:iCs/>
        </w:rPr>
        <w:t xml:space="preserve">cost and disutility </w:t>
      </w:r>
      <w:r w:rsidR="00B42708" w:rsidRPr="0009282C">
        <w:rPr>
          <w:iCs/>
        </w:rPr>
        <w:t xml:space="preserve">inputs were both set to zero) </w:t>
      </w:r>
      <w:r w:rsidR="00626E29" w:rsidRPr="0009282C">
        <w:rPr>
          <w:iCs/>
        </w:rPr>
        <w:t xml:space="preserve">led to </w:t>
      </w:r>
      <w:r w:rsidR="00B42708" w:rsidRPr="0009282C">
        <w:rPr>
          <w:iCs/>
        </w:rPr>
        <w:t>a small increase in the ICER of +</w:t>
      </w:r>
      <w:r w:rsidR="002212A2" w:rsidRPr="00B91BD2">
        <w:rPr>
          <w:iCs/>
          <w:color w:val="000000"/>
          <w:w w:val="60"/>
          <w:shd w:val="solid" w:color="000000" w:fill="000000"/>
          <w:fitText w:val="470" w:id="-694423804"/>
          <w14:textFill>
            <w14:solidFill>
              <w14:srgbClr w14:val="000000">
                <w14:alpha w14:val="100000"/>
              </w14:srgbClr>
            </w14:solidFill>
          </w14:textFill>
        </w:rPr>
        <w:t>|||  ||</w:t>
      </w:r>
      <w:r w:rsidR="002212A2" w:rsidRPr="00B91BD2">
        <w:rPr>
          <w:iCs/>
          <w:color w:val="000000"/>
          <w:spacing w:val="6"/>
          <w:w w:val="60"/>
          <w:shd w:val="solid" w:color="000000" w:fill="000000"/>
          <w:fitText w:val="470" w:id="-694423804"/>
          <w14:textFill>
            <w14:solidFill>
              <w14:srgbClr w14:val="000000">
                <w14:alpha w14:val="100000"/>
              </w14:srgbClr>
            </w14:solidFill>
          </w14:textFill>
        </w:rPr>
        <w:t>|</w:t>
      </w:r>
      <w:r w:rsidR="00B42708" w:rsidRPr="0009282C">
        <w:rPr>
          <w:iCs/>
        </w:rPr>
        <w:t>% (ICER:</w:t>
      </w:r>
      <w:r w:rsidR="00A4481E" w:rsidRPr="0009282C">
        <w:rPr>
          <w:iCs/>
        </w:rPr>
        <w:t xml:space="preserve"> </w:t>
      </w:r>
      <w:r w:rsidR="007C03BF" w:rsidRPr="007C03BF">
        <w:rPr>
          <w:iCs/>
        </w:rPr>
        <w:t>$455,000 to &lt; $555,000</w:t>
      </w:r>
      <w:r w:rsidR="007C03BF">
        <w:rPr>
          <w:iCs/>
        </w:rPr>
        <w:t xml:space="preserve"> </w:t>
      </w:r>
      <w:r w:rsidR="00D879BC" w:rsidRPr="0009282C">
        <w:rPr>
          <w:iCs/>
        </w:rPr>
        <w:t xml:space="preserve">per quality adjusted life year [QALY] </w:t>
      </w:r>
      <w:r w:rsidR="00B42708" w:rsidRPr="0009282C">
        <w:rPr>
          <w:iCs/>
        </w:rPr>
        <w:t>relative to</w:t>
      </w:r>
      <w:r w:rsidR="00F664A2" w:rsidRPr="0009282C">
        <w:rPr>
          <w:iCs/>
        </w:rPr>
        <w:t xml:space="preserve"> the</w:t>
      </w:r>
      <w:r w:rsidR="00B42708" w:rsidRPr="0009282C">
        <w:rPr>
          <w:iCs/>
        </w:rPr>
        <w:t xml:space="preserve"> base case ICER of </w:t>
      </w:r>
      <w:r w:rsidR="007C03BF" w:rsidRPr="007C03BF">
        <w:rPr>
          <w:iCs/>
        </w:rPr>
        <w:t>$455,000 to &lt; $555,000</w:t>
      </w:r>
      <w:r w:rsidR="007C03BF">
        <w:rPr>
          <w:iCs/>
        </w:rPr>
        <w:t xml:space="preserve"> </w:t>
      </w:r>
      <w:r w:rsidR="00D879BC" w:rsidRPr="0009282C">
        <w:rPr>
          <w:iCs/>
        </w:rPr>
        <w:t>per QALY</w:t>
      </w:r>
      <w:r w:rsidR="00A4481E" w:rsidRPr="0009282C">
        <w:rPr>
          <w:iCs/>
        </w:rPr>
        <w:t>).</w:t>
      </w:r>
    </w:p>
    <w:p w14:paraId="682D5226" w14:textId="407C160A" w:rsidR="009E1CA1" w:rsidRPr="0009282C" w:rsidRDefault="00200C7A" w:rsidP="00EC48DC">
      <w:pPr>
        <w:pStyle w:val="3-BodyText"/>
      </w:pPr>
      <w:r w:rsidRPr="0009282C">
        <w:t>The incidence of treatment-related AEs were based on 6-month data from ILLUMINATE</w:t>
      </w:r>
      <w:r w:rsidR="00333868" w:rsidRPr="0009282C">
        <w:t>-</w:t>
      </w:r>
      <w:r w:rsidRPr="0009282C">
        <w:t>A. Treatment-related AEs reported by at least 10% of patients in either arm of the trial were included in the model.</w:t>
      </w:r>
      <w:r w:rsidR="00977F0D" w:rsidRPr="0009282C">
        <w:rPr>
          <w:iCs/>
        </w:rPr>
        <w:t xml:space="preserve"> The costs for treatment-related AEs were only captured in the initial cycle of the model</w:t>
      </w:r>
      <w:r w:rsidR="009C0556" w:rsidRPr="0009282C">
        <w:rPr>
          <w:iCs/>
        </w:rPr>
        <w:t xml:space="preserve"> (6 months), </w:t>
      </w:r>
      <w:r w:rsidR="00977F0D" w:rsidRPr="0009282C">
        <w:rPr>
          <w:iCs/>
        </w:rPr>
        <w:t xml:space="preserve">although utility decrements appear to have been captured beyond the first cycle. This </w:t>
      </w:r>
      <w:r w:rsidR="0027018B" w:rsidRPr="0009282C">
        <w:rPr>
          <w:iCs/>
        </w:rPr>
        <w:t>was likely inappropriate</w:t>
      </w:r>
      <w:r w:rsidR="00977F0D" w:rsidRPr="0009282C">
        <w:rPr>
          <w:iCs/>
        </w:rPr>
        <w:t xml:space="preserve">. </w:t>
      </w:r>
      <w:r w:rsidR="00417F20">
        <w:rPr>
          <w:iCs/>
        </w:rPr>
        <w:t xml:space="preserve">The Pre-PBAC Response noted that this discrepancy in the model had </w:t>
      </w:r>
      <w:r w:rsidR="006A496F">
        <w:rPr>
          <w:iCs/>
        </w:rPr>
        <w:t>minimal impact on the ICER.</w:t>
      </w:r>
    </w:p>
    <w:p w14:paraId="406F96CB" w14:textId="21125709" w:rsidR="00937805" w:rsidRPr="0009282C" w:rsidRDefault="004C42C8" w:rsidP="00937805">
      <w:pPr>
        <w:pStyle w:val="3-BodyText"/>
        <w:rPr>
          <w:iCs/>
        </w:rPr>
      </w:pPr>
      <w:r w:rsidRPr="0009282C">
        <w:t xml:space="preserve">The submission used a variety of sources to inform the health state utility values applied in the economic model, including the ILLUMINATE-A trial, primary research conducted by the </w:t>
      </w:r>
      <w:r w:rsidR="00282ED8" w:rsidRPr="0009282C">
        <w:t>Sponsor</w:t>
      </w:r>
      <w:r w:rsidRPr="0009282C">
        <w:t xml:space="preserve"> (i.e. </w:t>
      </w:r>
      <w:r w:rsidR="00FE5850" w:rsidRPr="0009282C">
        <w:t xml:space="preserve">a </w:t>
      </w:r>
      <w:r w:rsidRPr="0009282C">
        <w:t>vignette</w:t>
      </w:r>
      <w:r w:rsidR="00FE5850" w:rsidRPr="0009282C">
        <w:t xml:space="preserve"> study</w:t>
      </w:r>
      <w:r w:rsidRPr="0009282C">
        <w:t>) and additional published peer-reviewed literature</w:t>
      </w:r>
      <w:r w:rsidR="009B1509" w:rsidRPr="0009282C">
        <w:t xml:space="preserve"> (</w:t>
      </w:r>
      <w:r w:rsidR="009B1509" w:rsidRPr="0009282C">
        <w:fldChar w:fldCharType="begin" w:fldLock="1"/>
      </w:r>
      <w:r w:rsidR="009B1509" w:rsidRPr="0009282C">
        <w:instrText xml:space="preserve"> REF _Ref187324959 \h </w:instrText>
      </w:r>
      <w:r w:rsidR="009B1509" w:rsidRPr="0009282C">
        <w:fldChar w:fldCharType="separate"/>
      </w:r>
      <w:r w:rsidR="00771DFF" w:rsidRPr="0009282C">
        <w:t xml:space="preserve">Table </w:t>
      </w:r>
      <w:r w:rsidR="00771DFF">
        <w:rPr>
          <w:noProof/>
        </w:rPr>
        <w:t>10</w:t>
      </w:r>
      <w:r w:rsidR="009B1509" w:rsidRPr="0009282C">
        <w:fldChar w:fldCharType="end"/>
      </w:r>
      <w:r w:rsidR="009B1509" w:rsidRPr="0009282C">
        <w:t>)</w:t>
      </w:r>
      <w:r w:rsidRPr="0009282C">
        <w:t>.</w:t>
      </w:r>
      <w:r w:rsidR="007F4D43" w:rsidRPr="0009282C">
        <w:t xml:space="preserve"> </w:t>
      </w:r>
      <w:r w:rsidR="00EF3412" w:rsidRPr="0009282C">
        <w:rPr>
          <w:iCs/>
        </w:rPr>
        <w:t xml:space="preserve">The use of patient-level ILLUMINATE-A trial EQ-5D data, adjusted using Australian weights to inform the health state utility for the CKD 1 to 3b states </w:t>
      </w:r>
      <w:r w:rsidR="00054A37" w:rsidRPr="0009282C">
        <w:rPr>
          <w:iCs/>
        </w:rPr>
        <w:t>wa</w:t>
      </w:r>
      <w:r w:rsidR="00EF3412" w:rsidRPr="0009282C">
        <w:rPr>
          <w:iCs/>
        </w:rPr>
        <w:t xml:space="preserve">s appropriate and applicable to the Australian context. </w:t>
      </w:r>
    </w:p>
    <w:p w14:paraId="1A88844D" w14:textId="2EE538FC" w:rsidR="009F060F" w:rsidRPr="0009282C" w:rsidRDefault="00937805" w:rsidP="00937805">
      <w:pPr>
        <w:pStyle w:val="3-BodyText"/>
        <w:rPr>
          <w:iCs/>
        </w:rPr>
      </w:pPr>
      <w:r w:rsidRPr="0009282C">
        <w:rPr>
          <w:iCs/>
        </w:rPr>
        <w:t>T</w:t>
      </w:r>
      <w:r w:rsidR="008D0278" w:rsidRPr="0009282C">
        <w:t>he health state utilities derived from ILLUMINATE-A</w:t>
      </w:r>
      <w:r w:rsidR="00A209F8" w:rsidRPr="0009282C">
        <w:t xml:space="preserve"> were adjusted</w:t>
      </w:r>
      <w:r w:rsidR="008D0278" w:rsidRPr="0009282C">
        <w:t xml:space="preserve"> using decrements sourced from peer-reviewed literature to estimate the relative impact of CKD 4 and CKD 5 </w:t>
      </w:r>
      <w:r w:rsidR="00B36854" w:rsidRPr="0009282C">
        <w:t>with controlled oxalate levels</w:t>
      </w:r>
      <w:r w:rsidR="00210ABC" w:rsidRPr="0009282C">
        <w:t>, compared to early CKD states</w:t>
      </w:r>
      <w:r w:rsidR="00C9516D" w:rsidRPr="0009282C">
        <w:t>.</w:t>
      </w:r>
      <w:r w:rsidR="001518D3" w:rsidRPr="0009282C">
        <w:rPr>
          <w:iCs/>
        </w:rPr>
        <w:t xml:space="preserve"> Adjusting ILLUMINATE-A provides internal consistency, as the data </w:t>
      </w:r>
      <w:r w:rsidR="0092391C" w:rsidRPr="0009282C">
        <w:rPr>
          <w:iCs/>
        </w:rPr>
        <w:t xml:space="preserve">were </w:t>
      </w:r>
      <w:r w:rsidR="001518D3" w:rsidRPr="0009282C">
        <w:rPr>
          <w:iCs/>
        </w:rPr>
        <w:t xml:space="preserve">carried over from CKD 1 to 3b health states. </w:t>
      </w:r>
      <w:r w:rsidR="001518D3" w:rsidRPr="0009282C">
        <w:t>There were limited to no data available on PH1-related CKD 4 and CKD 5 for patients with controlled oxalate. Therefore, decrements where sourced from 5 published articles on populations that did not have PH1-related CKD</w:t>
      </w:r>
      <w:r w:rsidR="00693B7C" w:rsidRPr="0009282C">
        <w:t>.</w:t>
      </w:r>
      <w:r w:rsidR="00693B7C" w:rsidRPr="0009282C">
        <w:rPr>
          <w:iCs/>
        </w:rPr>
        <w:t xml:space="preserve"> </w:t>
      </w:r>
      <w:r w:rsidR="00C9516D" w:rsidRPr="0009282C">
        <w:rPr>
          <w:iCs/>
        </w:rPr>
        <w:t xml:space="preserve">The </w:t>
      </w:r>
      <w:r w:rsidR="006653BC" w:rsidRPr="0009282C">
        <w:rPr>
          <w:iCs/>
        </w:rPr>
        <w:t>use</w:t>
      </w:r>
      <w:r w:rsidR="00693B7C" w:rsidRPr="0009282C">
        <w:rPr>
          <w:iCs/>
        </w:rPr>
        <w:t xml:space="preserve"> of non-PH1 related CKD decrements</w:t>
      </w:r>
      <w:r w:rsidR="006653BC" w:rsidRPr="0009282C">
        <w:rPr>
          <w:iCs/>
        </w:rPr>
        <w:t xml:space="preserve"> to value</w:t>
      </w:r>
      <w:r w:rsidR="00693B7C" w:rsidRPr="0009282C">
        <w:rPr>
          <w:iCs/>
        </w:rPr>
        <w:t xml:space="preserve"> the health state </w:t>
      </w:r>
      <w:r w:rsidR="00C9516D" w:rsidRPr="0009282C">
        <w:rPr>
          <w:iCs/>
        </w:rPr>
        <w:t>utilit</w:t>
      </w:r>
      <w:r w:rsidR="006653BC" w:rsidRPr="0009282C">
        <w:rPr>
          <w:iCs/>
        </w:rPr>
        <w:t>ies</w:t>
      </w:r>
      <w:r w:rsidR="00693B7C" w:rsidRPr="0009282C">
        <w:rPr>
          <w:iCs/>
        </w:rPr>
        <w:t xml:space="preserve"> for CKD 4 and CKD 5 with controlled oxalate levels </w:t>
      </w:r>
      <w:r w:rsidR="006653BC" w:rsidRPr="0009282C">
        <w:rPr>
          <w:iCs/>
        </w:rPr>
        <w:t>states relies</w:t>
      </w:r>
      <w:r w:rsidR="00693B7C" w:rsidRPr="0009282C">
        <w:rPr>
          <w:iCs/>
        </w:rPr>
        <w:t xml:space="preserve"> on the assumption that the relative utility decrements from non-PH1 studies apply equally to PH1 patients. This may not </w:t>
      </w:r>
      <w:r w:rsidR="00623A71" w:rsidRPr="0009282C">
        <w:rPr>
          <w:iCs/>
        </w:rPr>
        <w:t xml:space="preserve">accurately </w:t>
      </w:r>
      <w:r w:rsidR="00693B7C" w:rsidRPr="0009282C">
        <w:rPr>
          <w:iCs/>
        </w:rPr>
        <w:t>reflect the unique burden of PH1.</w:t>
      </w:r>
      <w:r w:rsidR="007508AA" w:rsidRPr="0009282C">
        <w:rPr>
          <w:iCs/>
        </w:rPr>
        <w:t xml:space="preserve"> </w:t>
      </w:r>
      <w:r w:rsidR="006B481C" w:rsidRPr="0009282C">
        <w:t xml:space="preserve">The ESC noted that </w:t>
      </w:r>
      <w:r w:rsidR="009F060F" w:rsidRPr="0009282C">
        <w:t xml:space="preserve">the same utility </w:t>
      </w:r>
      <w:r w:rsidR="005F6359" w:rsidRPr="0009282C">
        <w:t xml:space="preserve">value </w:t>
      </w:r>
      <w:r w:rsidR="009F060F" w:rsidRPr="0009282C">
        <w:t>was applied to the</w:t>
      </w:r>
      <w:r w:rsidR="005F6359" w:rsidRPr="0009282C">
        <w:t xml:space="preserve"> </w:t>
      </w:r>
      <w:r w:rsidR="006B481C" w:rsidRPr="0009282C">
        <w:t>CKD-</w:t>
      </w:r>
      <w:r w:rsidR="005F6359" w:rsidRPr="0009282C">
        <w:t>4</w:t>
      </w:r>
      <w:r w:rsidR="006B481C" w:rsidRPr="0009282C">
        <w:t xml:space="preserve"> and -5 </w:t>
      </w:r>
      <w:r w:rsidR="00A52F0E" w:rsidRPr="0009282C">
        <w:t>normal</w:t>
      </w:r>
      <w:r w:rsidR="006B481C" w:rsidRPr="0009282C">
        <w:t xml:space="preserve"> and high </w:t>
      </w:r>
      <w:r w:rsidR="003E37CE" w:rsidRPr="0009282C">
        <w:t>intensity</w:t>
      </w:r>
      <w:r w:rsidR="006B481C" w:rsidRPr="0009282C">
        <w:t xml:space="preserve"> dialysis </w:t>
      </w:r>
      <w:r w:rsidR="003E37CE" w:rsidRPr="0009282C">
        <w:t xml:space="preserve">health states </w:t>
      </w:r>
      <w:r w:rsidR="006B481C" w:rsidRPr="0009282C">
        <w:t>(</w:t>
      </w:r>
      <w:r w:rsidR="003E37CE" w:rsidRPr="0009282C">
        <w:t xml:space="preserve">paediatric: </w:t>
      </w:r>
      <w:r w:rsidR="009F060F" w:rsidRPr="0009282C">
        <w:t>0.683; adult: 0.783) and considered that this was likely inappropriate.</w:t>
      </w:r>
    </w:p>
    <w:p w14:paraId="62F20006" w14:textId="39086530" w:rsidR="003C2FAD" w:rsidRDefault="00543A14" w:rsidP="00DF4AA3">
      <w:pPr>
        <w:pStyle w:val="3-BodyText"/>
      </w:pPr>
      <w:r w:rsidRPr="0009282C">
        <w:t xml:space="preserve">The </w:t>
      </w:r>
      <w:r w:rsidR="0090511A" w:rsidRPr="0009282C">
        <w:t xml:space="preserve">ESC considered </w:t>
      </w:r>
      <w:r w:rsidR="001826A4" w:rsidRPr="0009282C">
        <w:t>the application of the</w:t>
      </w:r>
      <w:r w:rsidRPr="0009282C">
        <w:t xml:space="preserve"> vignette study to obtain </w:t>
      </w:r>
      <w:r w:rsidR="00477227" w:rsidRPr="0009282C">
        <w:t xml:space="preserve">utilities for </w:t>
      </w:r>
      <w:r w:rsidRPr="0009282C">
        <w:t xml:space="preserve">the CKD 4, CKD 5 and LKT with uncontrolled oxalate health states using a time-trade off (TTO) method was </w:t>
      </w:r>
      <w:r w:rsidR="001826A4" w:rsidRPr="0009282C">
        <w:t xml:space="preserve">likely not </w:t>
      </w:r>
      <w:r w:rsidRPr="0009282C">
        <w:t xml:space="preserve">appropriate. </w:t>
      </w:r>
      <w:r w:rsidR="001826A4" w:rsidRPr="0009282C">
        <w:t>T</w:t>
      </w:r>
      <w:r w:rsidRPr="0009282C">
        <w:t xml:space="preserve">he submission provided only limited information on the study design, sample population, healthcare context and study aim. The study design was further complicated due to the study being designed to capture </w:t>
      </w:r>
      <w:proofErr w:type="spellStart"/>
      <w:r w:rsidRPr="0009282C">
        <w:t>HRQoL</w:t>
      </w:r>
      <w:proofErr w:type="spellEnd"/>
      <w:r w:rsidRPr="0009282C">
        <w:t xml:space="preserve"> utility values in patients with a rare disease, including children.</w:t>
      </w:r>
      <w:r w:rsidR="001826A4" w:rsidRPr="0009282C">
        <w:t xml:space="preserve"> The ESC further noted that</w:t>
      </w:r>
      <w:r w:rsidR="00DD1163" w:rsidRPr="0009282C">
        <w:t xml:space="preserve"> the</w:t>
      </w:r>
      <w:r w:rsidR="001826A4" w:rsidRPr="0009282C">
        <w:t xml:space="preserve"> </w:t>
      </w:r>
      <w:r w:rsidR="00A04A03" w:rsidRPr="0009282C">
        <w:t xml:space="preserve">vignette study </w:t>
      </w:r>
      <w:r w:rsidR="00097263" w:rsidRPr="0009282C">
        <w:t>reported</w:t>
      </w:r>
      <w:r w:rsidR="00697894" w:rsidRPr="0009282C">
        <w:t xml:space="preserve"> very</w:t>
      </w:r>
      <w:r w:rsidR="00A04A03" w:rsidRPr="0009282C">
        <w:t xml:space="preserve"> low utility values (e.g. CKD uncontrolled – normal dialysis </w:t>
      </w:r>
      <w:r w:rsidR="00097263" w:rsidRPr="0009282C">
        <w:t>vs high-intensity: 0.663 vs 0.283)</w:t>
      </w:r>
      <w:r w:rsidR="00697894" w:rsidRPr="0009282C">
        <w:t xml:space="preserve">, </w:t>
      </w:r>
      <w:r w:rsidR="00476901" w:rsidRPr="0009282C">
        <w:t>particularly in comparison</w:t>
      </w:r>
      <w:r w:rsidR="00697894" w:rsidRPr="0009282C">
        <w:t xml:space="preserve"> to </w:t>
      </w:r>
      <w:r w:rsidR="00476901" w:rsidRPr="0009282C">
        <w:t>the CKD1-</w:t>
      </w:r>
      <w:r w:rsidR="00A11B24" w:rsidRPr="0009282C">
        <w:t>3b</w:t>
      </w:r>
      <w:r w:rsidR="00697894" w:rsidRPr="0009282C">
        <w:t xml:space="preserve"> </w:t>
      </w:r>
      <w:r w:rsidR="00476901" w:rsidRPr="0009282C">
        <w:t xml:space="preserve">health states, where for adults a high 0.963 utility was assumed. </w:t>
      </w:r>
      <w:r w:rsidR="00A11B24" w:rsidRPr="0009282C">
        <w:t>The ESC co</w:t>
      </w:r>
      <w:r w:rsidR="00CA6DE5" w:rsidRPr="0009282C">
        <w:t xml:space="preserve">nsidered </w:t>
      </w:r>
      <w:r w:rsidR="00C87632" w:rsidRPr="0009282C">
        <w:t xml:space="preserve">the </w:t>
      </w:r>
      <w:r w:rsidR="00C45CC1" w:rsidRPr="0009282C">
        <w:t>reduction in utilities</w:t>
      </w:r>
      <w:r w:rsidR="00C87632" w:rsidRPr="0009282C">
        <w:t xml:space="preserve"> </w:t>
      </w:r>
      <w:r w:rsidR="00DD1163" w:rsidRPr="0009282C">
        <w:t>assumed</w:t>
      </w:r>
      <w:r w:rsidR="00C45CC1" w:rsidRPr="0009282C">
        <w:t xml:space="preserve"> </w:t>
      </w:r>
      <w:r w:rsidR="004E4FA4" w:rsidRPr="0009282C">
        <w:t>for more severe disease health states</w:t>
      </w:r>
      <w:r w:rsidR="00C45CC1" w:rsidRPr="0009282C">
        <w:t xml:space="preserve"> </w:t>
      </w:r>
      <w:r w:rsidR="004E4FA4" w:rsidRPr="0009282C">
        <w:t>compared to early stages of disease</w:t>
      </w:r>
      <w:r w:rsidR="0097693D" w:rsidRPr="0009282C">
        <w:t xml:space="preserve"> </w:t>
      </w:r>
      <w:r w:rsidR="00CA6DE5" w:rsidRPr="0009282C">
        <w:t>was</w:t>
      </w:r>
      <w:r w:rsidR="0097693D" w:rsidRPr="0009282C">
        <w:t xml:space="preserve"> over</w:t>
      </w:r>
      <w:r w:rsidR="00F33BD1" w:rsidRPr="0009282C">
        <w:t>-estimated</w:t>
      </w:r>
      <w:r w:rsidR="004E7952" w:rsidRPr="0009282C">
        <w:t xml:space="preserve"> and a key driver of the model</w:t>
      </w:r>
      <w:r w:rsidR="00097263" w:rsidRPr="0009282C">
        <w:t xml:space="preserve">. </w:t>
      </w:r>
      <w:r w:rsidR="008532C9" w:rsidRPr="0009282C">
        <w:t xml:space="preserve">The ESC advised that utilities from </w:t>
      </w:r>
      <w:r w:rsidR="008E03D8" w:rsidRPr="0009282C">
        <w:t>ILLUMINATE-C should</w:t>
      </w:r>
      <w:r w:rsidR="004E4FA4" w:rsidRPr="0009282C">
        <w:t xml:space="preserve"> be used</w:t>
      </w:r>
      <w:r w:rsidR="008E03D8" w:rsidRPr="0009282C">
        <w:t xml:space="preserve"> </w:t>
      </w:r>
      <w:r w:rsidR="00642CC6" w:rsidRPr="0009282C">
        <w:t xml:space="preserve">to </w:t>
      </w:r>
      <w:r w:rsidR="008E03D8" w:rsidRPr="0009282C">
        <w:t>inform the later states of disease in the model.</w:t>
      </w:r>
      <w:r w:rsidR="00DF4AA3" w:rsidRPr="0009282C">
        <w:t xml:space="preserve"> </w:t>
      </w:r>
      <w:r w:rsidR="00AA5E94" w:rsidRPr="0009282C">
        <w:t xml:space="preserve">The Pre-PBAC </w:t>
      </w:r>
      <w:r w:rsidR="003D2123" w:rsidRPr="0009282C">
        <w:t>R</w:t>
      </w:r>
      <w:r w:rsidR="00AA5E94" w:rsidRPr="0009282C">
        <w:t xml:space="preserve">esponse </w:t>
      </w:r>
      <w:r w:rsidR="00E60D07" w:rsidRPr="0009282C">
        <w:t>maintained that the low utility values applied to the economic model appropriately reflect</w:t>
      </w:r>
      <w:r w:rsidR="00FC1060" w:rsidRPr="0009282C">
        <w:t>ed</w:t>
      </w:r>
      <w:r w:rsidR="00E60D07" w:rsidRPr="0009282C">
        <w:t xml:space="preserve"> the devasting impact severe PH1 has on the physical and mental health of patients. The response also </w:t>
      </w:r>
      <w:r w:rsidR="009B4DCB" w:rsidRPr="0009282C">
        <w:t>stated that</w:t>
      </w:r>
      <w:r w:rsidR="00375948" w:rsidRPr="0009282C">
        <w:t xml:space="preserve"> the</w:t>
      </w:r>
      <w:r w:rsidR="009B4DCB" w:rsidRPr="0009282C">
        <w:t xml:space="preserve"> </w:t>
      </w:r>
      <w:r w:rsidR="00A95C24" w:rsidRPr="0009282C">
        <w:t>quality of life data</w:t>
      </w:r>
      <w:r w:rsidR="009B4DCB" w:rsidRPr="0009282C">
        <w:t xml:space="preserve"> from ILLUMINATE-C</w:t>
      </w:r>
      <w:r w:rsidR="007217DE" w:rsidRPr="0009282C">
        <w:t xml:space="preserve"> </w:t>
      </w:r>
      <w:r w:rsidR="006B1A4F" w:rsidRPr="0009282C">
        <w:t xml:space="preserve">were not applied to the </w:t>
      </w:r>
      <w:r w:rsidR="00607F6F" w:rsidRPr="0009282C">
        <w:t xml:space="preserve">economic </w:t>
      </w:r>
      <w:r w:rsidR="006B1A4F" w:rsidRPr="0009282C">
        <w:t xml:space="preserve">model </w:t>
      </w:r>
      <w:r w:rsidR="00FC1060" w:rsidRPr="0009282C">
        <w:t>because</w:t>
      </w:r>
      <w:r w:rsidR="006B1A4F" w:rsidRPr="0009282C">
        <w:t xml:space="preserve"> </w:t>
      </w:r>
      <w:r w:rsidR="00E908CD">
        <w:t>it was</w:t>
      </w:r>
      <w:r w:rsidR="006B1A4F" w:rsidRPr="0009282C">
        <w:t xml:space="preserve"> considered to be unreliable due </w:t>
      </w:r>
      <w:r w:rsidR="003231DB">
        <w:t>to</w:t>
      </w:r>
      <w:r w:rsidR="006B1A4F" w:rsidRPr="0009282C">
        <w:t xml:space="preserve"> small sample size</w:t>
      </w:r>
      <w:r w:rsidR="00A35492" w:rsidRPr="0009282C">
        <w:t>s</w:t>
      </w:r>
      <w:r w:rsidR="006B1A4F" w:rsidRPr="0009282C">
        <w:t xml:space="preserve"> and</w:t>
      </w:r>
      <w:r w:rsidR="00966380" w:rsidRPr="0009282C">
        <w:t xml:space="preserve"> </w:t>
      </w:r>
      <w:r w:rsidR="00B83860">
        <w:t>stated</w:t>
      </w:r>
      <w:r w:rsidR="006B1A4F" w:rsidRPr="0009282C">
        <w:t xml:space="preserve"> that </w:t>
      </w:r>
      <w:r w:rsidR="002E3024" w:rsidRPr="0009282C">
        <w:t>individual EQ-5D index scores from adults in ILLUMINATE-C were higher than general population norms</w:t>
      </w:r>
      <w:r w:rsidR="006B1A4F" w:rsidRPr="0009282C">
        <w:t xml:space="preserve"> and therefore lacked credibility.</w:t>
      </w:r>
      <w:r w:rsidR="003530D1" w:rsidRPr="0009282C">
        <w:t xml:space="preserve"> The Response provided sensitivity analyses</w:t>
      </w:r>
      <w:r w:rsidR="00683CDE" w:rsidRPr="0009282C">
        <w:t xml:space="preserve"> which applied EQ-5D derived utilities from the vignette study (stated to include negative values) and </w:t>
      </w:r>
      <w:r w:rsidR="00C84338" w:rsidRPr="0009282C">
        <w:t xml:space="preserve">a subgroup of the </w:t>
      </w:r>
      <w:r w:rsidR="00387987" w:rsidRPr="0009282C">
        <w:t>ILLUMINATE-C study</w:t>
      </w:r>
      <w:r w:rsidR="00E16063" w:rsidRPr="0009282C">
        <w:t xml:space="preserve">. Both analyses </w:t>
      </w:r>
      <w:r w:rsidR="00387987" w:rsidRPr="0009282C">
        <w:t>resulted in reductions to the ICER</w:t>
      </w:r>
      <w:r w:rsidR="005044D5" w:rsidRPr="0009282C">
        <w:t xml:space="preserve"> (the values applied to the model were not provided)</w:t>
      </w:r>
      <w:r w:rsidR="00387987" w:rsidRPr="0009282C">
        <w:t xml:space="preserve">. </w:t>
      </w:r>
    </w:p>
    <w:p w14:paraId="1FAF532C" w14:textId="1771657D" w:rsidR="00994835" w:rsidRPr="0009282C" w:rsidRDefault="00C9516D" w:rsidP="00DF4AA3">
      <w:pPr>
        <w:pStyle w:val="3-BodyText"/>
      </w:pPr>
      <w:r w:rsidRPr="0009282C">
        <w:t>The use of multiple sources to value health state utility values introduces several uncertainties into the economic evaluation.</w:t>
      </w:r>
      <w:r w:rsidR="003A41E1" w:rsidRPr="0009282C">
        <w:t xml:space="preserve"> </w:t>
      </w:r>
      <w:r w:rsidRPr="0009282C">
        <w:t xml:space="preserve">Different methods or populations </w:t>
      </w:r>
      <w:r w:rsidR="00DB189B" w:rsidRPr="0009282C">
        <w:t xml:space="preserve">may </w:t>
      </w:r>
      <w:r w:rsidRPr="0009282C">
        <w:t xml:space="preserve">interpret or value health states differently. The vignette study relied on the general population to value health states of which they have no lived experience, while the late-stage health states were based on clinical trial data sourced from a PH1 cohort, adjusted for CKD stage based on relative adjustments sourced from non-PH1 cohorts. Overall, the lack of consistency across sources makes it challenging to gain a uniform understanding of </w:t>
      </w:r>
      <w:r w:rsidR="00D50352" w:rsidRPr="0009282C">
        <w:t xml:space="preserve">how </w:t>
      </w:r>
      <w:r w:rsidRPr="0009282C">
        <w:t xml:space="preserve">the impact of dialysis treatment and oxalate control on patient </w:t>
      </w:r>
      <w:r w:rsidR="00D05536" w:rsidRPr="0009282C">
        <w:t>quality of life</w:t>
      </w:r>
      <w:r w:rsidR="00D50352" w:rsidRPr="0009282C">
        <w:t xml:space="preserve"> was modelled</w:t>
      </w:r>
      <w:r w:rsidRPr="0009282C">
        <w:t xml:space="preserve">. </w:t>
      </w:r>
      <w:r w:rsidR="001F19DA" w:rsidRPr="0009282C">
        <w:t xml:space="preserve">The ESC considered that utilities assumed for the economic model were highly uncertain. The ESC further noted that </w:t>
      </w:r>
      <w:r w:rsidR="008722B9" w:rsidRPr="0009282C">
        <w:t xml:space="preserve">a </w:t>
      </w:r>
      <w:r w:rsidR="006322D4" w:rsidRPr="0009282C">
        <w:t xml:space="preserve">range of </w:t>
      </w:r>
      <w:r w:rsidR="00EC5AD7" w:rsidRPr="0009282C">
        <w:t>disutility values, from a variety of sources and conditions (e.g. general liver transplant</w:t>
      </w:r>
      <w:r w:rsidR="001A08CA" w:rsidRPr="0009282C">
        <w:t xml:space="preserve"> [-0.095</w:t>
      </w:r>
      <w:r w:rsidR="00FE48B3" w:rsidRPr="0009282C">
        <w:t>]</w:t>
      </w:r>
      <w:r w:rsidR="00EC5AD7" w:rsidRPr="0009282C">
        <w:t>,</w:t>
      </w:r>
      <w:r w:rsidR="0079265C" w:rsidRPr="0009282C">
        <w:t xml:space="preserve"> </w:t>
      </w:r>
      <w:r w:rsidR="00A72BE4" w:rsidRPr="0009282C">
        <w:t>graft failure [-0.055], system</w:t>
      </w:r>
      <w:r w:rsidR="006322D4" w:rsidRPr="0009282C">
        <w:t xml:space="preserve"> oxalosis [ranging between -0.041 to -0.234], renal stones [-0.064]</w:t>
      </w:r>
      <w:r w:rsidR="00EC5AD7" w:rsidRPr="0009282C">
        <w:t xml:space="preserve">), </w:t>
      </w:r>
      <w:r w:rsidR="001F19DA" w:rsidRPr="0009282C">
        <w:t>had</w:t>
      </w:r>
      <w:r w:rsidR="00EC5AD7" w:rsidRPr="0009282C">
        <w:t xml:space="preserve"> been applied on top of the health state utilities</w:t>
      </w:r>
      <w:r w:rsidR="001F19DA" w:rsidRPr="0009282C">
        <w:t xml:space="preserve">, and considered </w:t>
      </w:r>
      <w:r w:rsidR="0029302F" w:rsidRPr="0009282C">
        <w:t>there was a high</w:t>
      </w:r>
      <w:r w:rsidR="001F19DA" w:rsidRPr="0009282C">
        <w:t xml:space="preserve"> </w:t>
      </w:r>
      <w:r w:rsidR="004D2205" w:rsidRPr="0009282C">
        <w:t>likelihood</w:t>
      </w:r>
      <w:r w:rsidR="001F19DA" w:rsidRPr="0009282C">
        <w:t xml:space="preserve"> of</w:t>
      </w:r>
      <w:r w:rsidR="00EC5AD7" w:rsidRPr="0009282C">
        <w:t xml:space="preserve"> double counting</w:t>
      </w:r>
      <w:r w:rsidR="00A43AE4" w:rsidRPr="0009282C">
        <w:t xml:space="preserve">, which would favour the </w:t>
      </w:r>
      <w:proofErr w:type="spellStart"/>
      <w:r w:rsidR="00A43AE4" w:rsidRPr="0009282C">
        <w:t>lumasiran</w:t>
      </w:r>
      <w:proofErr w:type="spellEnd"/>
      <w:r w:rsidR="00A43AE4" w:rsidRPr="0009282C">
        <w:t xml:space="preserve"> arm</w:t>
      </w:r>
      <w:r w:rsidR="000105AE" w:rsidRPr="0009282C">
        <w:t xml:space="preserve"> </w:t>
      </w:r>
      <w:r w:rsidR="0037327A" w:rsidRPr="0009282C">
        <w:t>due to</w:t>
      </w:r>
      <w:r w:rsidR="000105AE" w:rsidRPr="0009282C">
        <w:t xml:space="preserve"> the substantial time</w:t>
      </w:r>
      <w:r w:rsidR="0037327A" w:rsidRPr="0009282C">
        <w:t xml:space="preserve"> the BSC arm was assumed to</w:t>
      </w:r>
      <w:r w:rsidR="000105AE" w:rsidRPr="0009282C">
        <w:t xml:space="preserve"> spent in</w:t>
      </w:r>
      <w:r w:rsidR="0037327A" w:rsidRPr="0009282C">
        <w:t xml:space="preserve"> the</w:t>
      </w:r>
      <w:r w:rsidR="000105AE" w:rsidRPr="0009282C">
        <w:t xml:space="preserve"> </w:t>
      </w:r>
      <w:r w:rsidR="007C3AF7" w:rsidRPr="0009282C">
        <w:t>uncontrolled ESKD health state</w:t>
      </w:r>
      <w:r w:rsidR="002E584B" w:rsidRPr="0009282C">
        <w:t xml:space="preserve"> compared to the </w:t>
      </w:r>
      <w:proofErr w:type="spellStart"/>
      <w:r w:rsidR="002E584B" w:rsidRPr="0009282C">
        <w:t>lumasiran</w:t>
      </w:r>
      <w:proofErr w:type="spellEnd"/>
      <w:r w:rsidR="002E584B" w:rsidRPr="0009282C">
        <w:t xml:space="preserve"> arm</w:t>
      </w:r>
      <w:r w:rsidR="0037327A" w:rsidRPr="0009282C">
        <w:t xml:space="preserve"> </w:t>
      </w:r>
      <w:r w:rsidR="003E5E65" w:rsidRPr="0009282C">
        <w:t>(</w:t>
      </w:r>
      <w:r w:rsidR="003E5E65" w:rsidRPr="0009282C">
        <w:fldChar w:fldCharType="begin" w:fldLock="1"/>
      </w:r>
      <w:r w:rsidR="003E5E65" w:rsidRPr="0009282C">
        <w:instrText xml:space="preserve"> REF _Ref190594180 \h </w:instrText>
      </w:r>
      <w:r w:rsidR="003E5E65" w:rsidRPr="0009282C">
        <w:fldChar w:fldCharType="separate"/>
      </w:r>
      <w:r w:rsidR="00771DFF" w:rsidRPr="0009282C">
        <w:t xml:space="preserve">Figure </w:t>
      </w:r>
      <w:r w:rsidR="00771DFF">
        <w:rPr>
          <w:noProof/>
        </w:rPr>
        <w:t>3</w:t>
      </w:r>
      <w:r w:rsidR="003E5E65" w:rsidRPr="0009282C">
        <w:fldChar w:fldCharType="end"/>
      </w:r>
      <w:r w:rsidR="003E5E65" w:rsidRPr="0009282C">
        <w:t>)</w:t>
      </w:r>
      <w:r w:rsidR="0029302F" w:rsidRPr="0009282C">
        <w:t>.</w:t>
      </w:r>
      <w:r w:rsidR="00F53050" w:rsidRPr="0009282C">
        <w:t xml:space="preserve"> </w:t>
      </w:r>
    </w:p>
    <w:p w14:paraId="26C97C8E" w14:textId="76853AFC" w:rsidR="005C7ED0" w:rsidRPr="0009282C" w:rsidRDefault="00563D90" w:rsidP="00EC48DC">
      <w:pPr>
        <w:pStyle w:val="3-BodyText"/>
      </w:pPr>
      <w:bookmarkStart w:id="63" w:name="_Ref192602975"/>
      <w:r w:rsidRPr="0009282C">
        <w:rPr>
          <w:iCs/>
        </w:rPr>
        <w:t>The ESC noted</w:t>
      </w:r>
      <w:r w:rsidR="00C95FCC" w:rsidRPr="0009282C">
        <w:rPr>
          <w:iCs/>
        </w:rPr>
        <w:t xml:space="preserve"> that</w:t>
      </w:r>
      <w:r w:rsidRPr="0009282C">
        <w:rPr>
          <w:iCs/>
        </w:rPr>
        <w:t xml:space="preserve"> the Markov traces of the economic model </w:t>
      </w:r>
      <w:r w:rsidR="00F745D7" w:rsidRPr="0009282C">
        <w:rPr>
          <w:iCs/>
        </w:rPr>
        <w:t>(</w:t>
      </w:r>
      <w:r w:rsidR="00F745D7" w:rsidRPr="0009282C">
        <w:rPr>
          <w:iCs/>
        </w:rPr>
        <w:fldChar w:fldCharType="begin" w:fldLock="1"/>
      </w:r>
      <w:r w:rsidR="00F745D7" w:rsidRPr="0009282C">
        <w:rPr>
          <w:iCs/>
        </w:rPr>
        <w:instrText xml:space="preserve"> REF _Ref190594180 \h </w:instrText>
      </w:r>
      <w:r w:rsidR="000063B9" w:rsidRPr="0009282C">
        <w:rPr>
          <w:iCs/>
        </w:rPr>
        <w:instrText xml:space="preserve"> \* MERGEFORMAT </w:instrText>
      </w:r>
      <w:r w:rsidR="00F745D7" w:rsidRPr="0009282C">
        <w:rPr>
          <w:iCs/>
        </w:rPr>
      </w:r>
      <w:r w:rsidR="00F745D7" w:rsidRPr="0009282C">
        <w:rPr>
          <w:iCs/>
        </w:rPr>
        <w:fldChar w:fldCharType="separate"/>
      </w:r>
      <w:r w:rsidR="00771DFF" w:rsidRPr="00771DFF">
        <w:rPr>
          <w:iCs/>
        </w:rPr>
        <w:t xml:space="preserve">Figure </w:t>
      </w:r>
      <w:r w:rsidR="00771DFF" w:rsidRPr="00771DFF">
        <w:rPr>
          <w:iCs/>
          <w:noProof/>
        </w:rPr>
        <w:t>3</w:t>
      </w:r>
      <w:r w:rsidR="00F745D7" w:rsidRPr="0009282C">
        <w:rPr>
          <w:iCs/>
        </w:rPr>
        <w:fldChar w:fldCharType="end"/>
      </w:r>
      <w:r w:rsidR="00F745D7" w:rsidRPr="0009282C">
        <w:rPr>
          <w:iCs/>
        </w:rPr>
        <w:t xml:space="preserve">) </w:t>
      </w:r>
      <w:r w:rsidRPr="0009282C">
        <w:rPr>
          <w:iCs/>
        </w:rPr>
        <w:t xml:space="preserve">illustrated that </w:t>
      </w:r>
      <w:r w:rsidR="001A0EA7" w:rsidRPr="0009282C">
        <w:rPr>
          <w:iCs/>
        </w:rPr>
        <w:t xml:space="preserve">paediatric and adult patients in the BSC arm spend a considerable </w:t>
      </w:r>
      <w:r w:rsidR="00233C1F" w:rsidRPr="0009282C">
        <w:rPr>
          <w:iCs/>
        </w:rPr>
        <w:t>number of years over a lifetime</w:t>
      </w:r>
      <w:r w:rsidR="001A0EA7" w:rsidRPr="0009282C">
        <w:rPr>
          <w:iCs/>
        </w:rPr>
        <w:t xml:space="preserve"> in </w:t>
      </w:r>
      <w:r w:rsidR="005A6A2C" w:rsidRPr="0009282C">
        <w:rPr>
          <w:iCs/>
        </w:rPr>
        <w:t xml:space="preserve">the </w:t>
      </w:r>
      <w:r w:rsidR="00A31CE8" w:rsidRPr="0009282C">
        <w:rPr>
          <w:iCs/>
        </w:rPr>
        <w:t xml:space="preserve">uncontrolled ESKD </w:t>
      </w:r>
      <w:r w:rsidR="005A6A2C" w:rsidRPr="0009282C">
        <w:rPr>
          <w:iCs/>
        </w:rPr>
        <w:t xml:space="preserve">health state </w:t>
      </w:r>
      <w:r w:rsidR="00233C1F" w:rsidRPr="0009282C">
        <w:rPr>
          <w:iCs/>
        </w:rPr>
        <w:t xml:space="preserve">compared to </w:t>
      </w:r>
      <w:proofErr w:type="spellStart"/>
      <w:r w:rsidR="00233C1F" w:rsidRPr="0009282C">
        <w:rPr>
          <w:iCs/>
        </w:rPr>
        <w:t>lumasiran</w:t>
      </w:r>
      <w:proofErr w:type="spellEnd"/>
      <w:r w:rsidR="00233C1F" w:rsidRPr="0009282C">
        <w:rPr>
          <w:iCs/>
        </w:rPr>
        <w:t xml:space="preserve"> patients</w:t>
      </w:r>
      <w:r w:rsidR="00A31CE8" w:rsidRPr="0009282C">
        <w:rPr>
          <w:iCs/>
        </w:rPr>
        <w:t>.</w:t>
      </w:r>
      <w:r w:rsidR="005A6A2C" w:rsidRPr="0009282C">
        <w:rPr>
          <w:iCs/>
        </w:rPr>
        <w:t xml:space="preserve"> A considerable mortality benefit for </w:t>
      </w:r>
      <w:proofErr w:type="spellStart"/>
      <w:r w:rsidR="005A6A2C" w:rsidRPr="0009282C">
        <w:rPr>
          <w:iCs/>
        </w:rPr>
        <w:t>lumasiran</w:t>
      </w:r>
      <w:proofErr w:type="spellEnd"/>
      <w:r w:rsidR="005A6A2C" w:rsidRPr="0009282C">
        <w:rPr>
          <w:iCs/>
        </w:rPr>
        <w:t xml:space="preserve"> patients versus BSC was also modelled.</w:t>
      </w:r>
      <w:r w:rsidR="00C95FCC" w:rsidRPr="0009282C">
        <w:rPr>
          <w:iCs/>
        </w:rPr>
        <w:t xml:space="preserve"> The </w:t>
      </w:r>
      <w:r w:rsidR="00A46DEB" w:rsidRPr="0009282C">
        <w:rPr>
          <w:iCs/>
        </w:rPr>
        <w:t xml:space="preserve">ESC considered the substantial life-long benefits </w:t>
      </w:r>
      <w:r w:rsidR="00AA3DB9" w:rsidRPr="0009282C">
        <w:rPr>
          <w:iCs/>
        </w:rPr>
        <w:t xml:space="preserve">modelled for </w:t>
      </w:r>
      <w:proofErr w:type="spellStart"/>
      <w:r w:rsidR="00AA3DB9" w:rsidRPr="0009282C">
        <w:rPr>
          <w:iCs/>
        </w:rPr>
        <w:t>lumasiran</w:t>
      </w:r>
      <w:proofErr w:type="spellEnd"/>
      <w:r w:rsidR="00AA3DB9" w:rsidRPr="0009282C">
        <w:rPr>
          <w:iCs/>
        </w:rPr>
        <w:t xml:space="preserve"> over BSC</w:t>
      </w:r>
      <w:r w:rsidR="00AD1643" w:rsidRPr="0009282C">
        <w:rPr>
          <w:iCs/>
        </w:rPr>
        <w:t>, based on relatively short clinical trial evidence,</w:t>
      </w:r>
      <w:r w:rsidR="00AA3DB9" w:rsidRPr="0009282C">
        <w:rPr>
          <w:iCs/>
        </w:rPr>
        <w:t xml:space="preserve"> were </w:t>
      </w:r>
      <w:r w:rsidR="00AD1643" w:rsidRPr="0009282C">
        <w:rPr>
          <w:iCs/>
        </w:rPr>
        <w:t xml:space="preserve">highly </w:t>
      </w:r>
      <w:r w:rsidR="00AA3DB9" w:rsidRPr="0009282C">
        <w:rPr>
          <w:iCs/>
        </w:rPr>
        <w:t>uncertain.</w:t>
      </w:r>
      <w:bookmarkEnd w:id="63"/>
      <w:r w:rsidR="00AA3DB9" w:rsidRPr="0009282C">
        <w:t xml:space="preserve"> </w:t>
      </w:r>
    </w:p>
    <w:p w14:paraId="18997AC9" w14:textId="22839A1D" w:rsidR="00477234" w:rsidRPr="0009282C" w:rsidRDefault="00073F5B" w:rsidP="00ED18C8">
      <w:pPr>
        <w:pStyle w:val="Caption"/>
      </w:pPr>
      <w:bookmarkStart w:id="64" w:name="_Ref190594180"/>
      <w:r w:rsidRPr="0009282C">
        <w:t xml:space="preserve">Figure </w:t>
      </w:r>
      <w:r w:rsidR="000D4330">
        <w:fldChar w:fldCharType="begin" w:fldLock="1"/>
      </w:r>
      <w:r w:rsidR="000D4330">
        <w:instrText xml:space="preserve"> SEQ Figure \* ARABIC </w:instrText>
      </w:r>
      <w:r w:rsidR="000D4330">
        <w:fldChar w:fldCharType="separate"/>
      </w:r>
      <w:r w:rsidR="00771DFF">
        <w:rPr>
          <w:noProof/>
        </w:rPr>
        <w:t>3</w:t>
      </w:r>
      <w:r w:rsidR="000D4330">
        <w:rPr>
          <w:noProof/>
        </w:rPr>
        <w:fldChar w:fldCharType="end"/>
      </w:r>
      <w:bookmarkEnd w:id="64"/>
      <w:r w:rsidRPr="0009282C">
        <w:t>:</w:t>
      </w:r>
      <w:r w:rsidRPr="0009282C">
        <w:tab/>
        <w:t>Markov traces</w:t>
      </w:r>
      <w:r w:rsidR="009F3AFD" w:rsidRPr="0009282C">
        <w:t xml:space="preserve"> of the economic model</w:t>
      </w:r>
    </w:p>
    <w:p w14:paraId="3653E803" w14:textId="533FEA6A" w:rsidR="00563D90" w:rsidRPr="0009282C" w:rsidRDefault="00025B31" w:rsidP="00EF655D">
      <w:pPr>
        <w:pStyle w:val="3-BodyText"/>
        <w:numPr>
          <w:ilvl w:val="0"/>
          <w:numId w:val="0"/>
        </w:numPr>
        <w:spacing w:before="0" w:after="0"/>
      </w:pPr>
      <w:r w:rsidRPr="0009282C">
        <w:rPr>
          <w:noProof/>
        </w:rPr>
        <w:drawing>
          <wp:inline distT="0" distB="0" distL="0" distR="0" wp14:anchorId="5610C1CB" wp14:editId="211C3756">
            <wp:extent cx="5732145" cy="3169920"/>
            <wp:effectExtent l="0" t="0" r="1905" b="0"/>
            <wp:docPr id="1484869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69892" name=""/>
                    <pic:cNvPicPr/>
                  </pic:nvPicPr>
                  <pic:blipFill>
                    <a:blip r:embed="rId10"/>
                    <a:stretch>
                      <a:fillRect/>
                    </a:stretch>
                  </pic:blipFill>
                  <pic:spPr>
                    <a:xfrm>
                      <a:off x="0" y="0"/>
                      <a:ext cx="5732145" cy="3169920"/>
                    </a:xfrm>
                    <a:prstGeom prst="rect">
                      <a:avLst/>
                    </a:prstGeom>
                  </pic:spPr>
                </pic:pic>
              </a:graphicData>
            </a:graphic>
          </wp:inline>
        </w:drawing>
      </w:r>
    </w:p>
    <w:p w14:paraId="1A16B44E" w14:textId="1E6B207A" w:rsidR="004678DE" w:rsidRPr="0009282C" w:rsidRDefault="004678DE" w:rsidP="001E6A64">
      <w:pPr>
        <w:pStyle w:val="TableFigureFooter"/>
      </w:pPr>
      <w:bookmarkStart w:id="65" w:name="_Ref187333589"/>
      <w:r w:rsidRPr="0009282C">
        <w:t>Source:</w:t>
      </w:r>
      <w:r w:rsidR="00F745D7" w:rsidRPr="0009282C">
        <w:t xml:space="preserve"> Submission economic model,</w:t>
      </w:r>
      <w:r w:rsidRPr="0009282C">
        <w:t xml:space="preserve"> </w:t>
      </w:r>
      <w:proofErr w:type="spellStart"/>
      <w:r w:rsidRPr="0009282C">
        <w:t>Oxlumo</w:t>
      </w:r>
      <w:proofErr w:type="spellEnd"/>
      <w:r w:rsidRPr="0009282C">
        <w:t xml:space="preserve"> Section 3 CUA.xlsm</w:t>
      </w:r>
    </w:p>
    <w:p w14:paraId="27D97E4D" w14:textId="3C79A849" w:rsidR="005830DE" w:rsidRPr="0009282C" w:rsidRDefault="00624A69" w:rsidP="00D04D20">
      <w:pPr>
        <w:pStyle w:val="3-BodyText"/>
      </w:pPr>
      <w:r w:rsidRPr="0009282C">
        <w:t xml:space="preserve">The </w:t>
      </w:r>
      <w:r w:rsidR="00B05149" w:rsidRPr="0009282C">
        <w:t>economic</w:t>
      </w:r>
      <w:r w:rsidRPr="0009282C">
        <w:t xml:space="preserve"> model included a caregiver disutility </w:t>
      </w:r>
      <w:r w:rsidR="00423938" w:rsidRPr="0009282C">
        <w:t xml:space="preserve">in the base case analysis </w:t>
      </w:r>
      <w:r w:rsidRPr="0009282C">
        <w:t xml:space="preserve">to capture how caregivers are impacted by the illness experienced by PH1 patients. The values focus on the impact of advanced kidney disease (CKD 4 and CKD 5) on caregiver QoL. No disutility values were calculated or applied to CKD 1–3b health states, as these states were assumed to have no activity limitation. The disutility values were informed by an observational study </w:t>
      </w:r>
      <w:r w:rsidR="00061783" w:rsidRPr="0009282C">
        <w:t xml:space="preserve">conducted </w:t>
      </w:r>
      <w:r w:rsidRPr="0009282C">
        <w:t xml:space="preserve">by </w:t>
      </w:r>
      <w:r w:rsidR="0070531B" w:rsidRPr="0009282C">
        <w:t xml:space="preserve">the </w:t>
      </w:r>
      <w:r w:rsidR="00EE20F7" w:rsidRPr="0009282C">
        <w:t>sponsor</w:t>
      </w:r>
      <w:r w:rsidRPr="0009282C">
        <w:t>, which compared the health burden on caregivers of children with and without abnormal renal function. The EQ-5D values were adjusted to Australian weighting</w:t>
      </w:r>
      <w:r w:rsidR="007B60FF" w:rsidRPr="0009282C">
        <w:t>s</w:t>
      </w:r>
      <w:r w:rsidR="008528AD" w:rsidRPr="0009282C">
        <w:t>.</w:t>
      </w:r>
      <w:r w:rsidR="00952481" w:rsidRPr="0009282C">
        <w:t xml:space="preserve"> </w:t>
      </w:r>
      <w:r w:rsidR="00A57C8A" w:rsidRPr="0009282C">
        <w:t xml:space="preserve">The inclusion of caregiver </w:t>
      </w:r>
      <w:proofErr w:type="spellStart"/>
      <w:r w:rsidR="00A57C8A" w:rsidRPr="0009282C">
        <w:t>disutilities</w:t>
      </w:r>
      <w:proofErr w:type="spellEnd"/>
      <w:r w:rsidR="00A57C8A" w:rsidRPr="0009282C">
        <w:t xml:space="preserve"> in the base case analysis is not aligned with the PBAC Guidelines (Version 5.0). </w:t>
      </w:r>
      <w:r w:rsidR="00703ECA" w:rsidRPr="0009282C">
        <w:rPr>
          <w:iCs/>
        </w:rPr>
        <w:t>The PSCR</w:t>
      </w:r>
      <w:r w:rsidR="009038B8" w:rsidRPr="0009282C">
        <w:rPr>
          <w:iCs/>
        </w:rPr>
        <w:t xml:space="preserve"> </w:t>
      </w:r>
      <w:r w:rsidR="000E3BF7" w:rsidRPr="0009282C">
        <w:rPr>
          <w:iCs/>
        </w:rPr>
        <w:t>maintained th</w:t>
      </w:r>
      <w:r w:rsidR="001D1CBB" w:rsidRPr="0009282C">
        <w:rPr>
          <w:iCs/>
        </w:rPr>
        <w:t>at the inclusion of a caregiver disutility was appropriate.</w:t>
      </w:r>
      <w:r w:rsidR="009038B8" w:rsidRPr="0009282C">
        <w:t xml:space="preserve"> </w:t>
      </w:r>
      <w:r w:rsidR="00061783" w:rsidRPr="0009282C">
        <w:t>The</w:t>
      </w:r>
      <w:r w:rsidR="007404D7" w:rsidRPr="0009282C">
        <w:t xml:space="preserve"> ESC advised that the</w:t>
      </w:r>
      <w:r w:rsidR="00061783" w:rsidRPr="0009282C">
        <w:rPr>
          <w:iCs/>
        </w:rPr>
        <w:t xml:space="preserve"> inclusion of a caregiver disutility </w:t>
      </w:r>
      <w:r w:rsidR="00417040" w:rsidRPr="0009282C">
        <w:rPr>
          <w:iCs/>
        </w:rPr>
        <w:t>in the base case analysis</w:t>
      </w:r>
      <w:r w:rsidR="00330DB7" w:rsidRPr="0009282C">
        <w:rPr>
          <w:iCs/>
        </w:rPr>
        <w:t xml:space="preserve"> </w:t>
      </w:r>
      <w:r w:rsidR="00330DB7" w:rsidRPr="0009282C">
        <w:t>was not appropriate and</w:t>
      </w:r>
      <w:r w:rsidR="00417040" w:rsidRPr="0009282C">
        <w:rPr>
          <w:iCs/>
        </w:rPr>
        <w:t xml:space="preserve"> </w:t>
      </w:r>
      <w:r w:rsidR="00061783" w:rsidRPr="0009282C">
        <w:rPr>
          <w:iCs/>
        </w:rPr>
        <w:t>does not align</w:t>
      </w:r>
      <w:r w:rsidR="00A67060" w:rsidRPr="0009282C">
        <w:rPr>
          <w:iCs/>
        </w:rPr>
        <w:t xml:space="preserve"> with</w:t>
      </w:r>
      <w:r w:rsidR="00061783" w:rsidRPr="0009282C">
        <w:rPr>
          <w:iCs/>
        </w:rPr>
        <w:t xml:space="preserve"> the </w:t>
      </w:r>
      <w:r w:rsidR="00360939" w:rsidRPr="0009282C">
        <w:rPr>
          <w:iCs/>
        </w:rPr>
        <w:t>PBAC</w:t>
      </w:r>
      <w:r w:rsidR="0045010B" w:rsidRPr="0009282C">
        <w:rPr>
          <w:iCs/>
        </w:rPr>
        <w:t xml:space="preserve"> Guidelines </w:t>
      </w:r>
      <w:r w:rsidR="001B7C00" w:rsidRPr="0009282C">
        <w:rPr>
          <w:iCs/>
        </w:rPr>
        <w:t>(Version 5.0)</w:t>
      </w:r>
      <w:r w:rsidR="00BE3879" w:rsidRPr="0009282C">
        <w:rPr>
          <w:iCs/>
        </w:rPr>
        <w:t xml:space="preserve">, </w:t>
      </w:r>
      <w:r w:rsidR="00D222B9" w:rsidRPr="0009282C">
        <w:rPr>
          <w:iCs/>
        </w:rPr>
        <w:t xml:space="preserve">although </w:t>
      </w:r>
      <w:r w:rsidR="00324C2F" w:rsidRPr="0009282C">
        <w:rPr>
          <w:iCs/>
        </w:rPr>
        <w:t>the guidelines</w:t>
      </w:r>
      <w:r w:rsidR="00D222B9" w:rsidRPr="0009282C">
        <w:rPr>
          <w:iCs/>
        </w:rPr>
        <w:t xml:space="preserve"> allow for </w:t>
      </w:r>
      <w:r w:rsidR="007A4A2A" w:rsidRPr="0009282C">
        <w:rPr>
          <w:iCs/>
        </w:rPr>
        <w:t xml:space="preserve">a </w:t>
      </w:r>
      <w:r w:rsidR="00D222B9" w:rsidRPr="0009282C">
        <w:rPr>
          <w:iCs/>
        </w:rPr>
        <w:t>broader societal perspective to be presented as a supplementary analysis</w:t>
      </w:r>
      <w:r w:rsidR="00B86D39" w:rsidRPr="0009282C">
        <w:rPr>
          <w:iCs/>
        </w:rPr>
        <w:t>. Exclusion of the caregiver disutility increased the ICER</w:t>
      </w:r>
      <w:r w:rsidR="007C5291" w:rsidRPr="0009282C">
        <w:rPr>
          <w:iCs/>
        </w:rPr>
        <w:t xml:space="preserve"> from </w:t>
      </w:r>
      <w:r w:rsidR="00EF655D" w:rsidRPr="00EF655D">
        <w:rPr>
          <w:iCs/>
        </w:rPr>
        <w:t>$455,000 to &lt; $555,000</w:t>
      </w:r>
      <w:r w:rsidR="00EF655D">
        <w:rPr>
          <w:iCs/>
        </w:rPr>
        <w:t xml:space="preserve"> </w:t>
      </w:r>
      <w:r w:rsidR="00974417" w:rsidRPr="0009282C">
        <w:rPr>
          <w:iCs/>
        </w:rPr>
        <w:t>per</w:t>
      </w:r>
      <w:r w:rsidR="00417040" w:rsidRPr="0009282C">
        <w:rPr>
          <w:iCs/>
        </w:rPr>
        <w:t xml:space="preserve"> </w:t>
      </w:r>
      <w:r w:rsidR="00974417" w:rsidRPr="0009282C">
        <w:rPr>
          <w:iCs/>
        </w:rPr>
        <w:t>QALY</w:t>
      </w:r>
      <w:r w:rsidR="00B86D39" w:rsidRPr="0009282C">
        <w:rPr>
          <w:iCs/>
        </w:rPr>
        <w:t xml:space="preserve"> to </w:t>
      </w:r>
      <w:r w:rsidR="00EF655D" w:rsidRPr="00EF655D">
        <w:rPr>
          <w:iCs/>
        </w:rPr>
        <w:t>$455,000 to &lt; $555,000</w:t>
      </w:r>
      <w:r w:rsidR="00EF655D">
        <w:rPr>
          <w:iCs/>
        </w:rPr>
        <w:t xml:space="preserve"> </w:t>
      </w:r>
      <w:r w:rsidR="00B86D39" w:rsidRPr="0009282C">
        <w:rPr>
          <w:iCs/>
        </w:rPr>
        <w:t>per QALY (+</w:t>
      </w:r>
      <w:r w:rsidR="002212A2" w:rsidRPr="00B91BD2">
        <w:rPr>
          <w:iCs/>
          <w:color w:val="000000"/>
          <w:w w:val="60"/>
          <w:shd w:val="solid" w:color="000000" w:fill="000000"/>
          <w:fitText w:val="470" w:id="-694423803"/>
          <w14:textFill>
            <w14:solidFill>
              <w14:srgbClr w14:val="000000">
                <w14:alpha w14:val="100000"/>
              </w14:srgbClr>
            </w14:solidFill>
          </w14:textFill>
        </w:rPr>
        <w:t>|||  ||</w:t>
      </w:r>
      <w:r w:rsidR="002212A2" w:rsidRPr="00B91BD2">
        <w:rPr>
          <w:iCs/>
          <w:color w:val="000000"/>
          <w:spacing w:val="6"/>
          <w:w w:val="60"/>
          <w:shd w:val="solid" w:color="000000" w:fill="000000"/>
          <w:fitText w:val="470" w:id="-694423803"/>
          <w14:textFill>
            <w14:solidFill>
              <w14:srgbClr w14:val="000000">
                <w14:alpha w14:val="100000"/>
              </w14:srgbClr>
            </w14:solidFill>
          </w14:textFill>
        </w:rPr>
        <w:t>|</w:t>
      </w:r>
      <w:r w:rsidR="00B86D39" w:rsidRPr="0009282C">
        <w:rPr>
          <w:iCs/>
        </w:rPr>
        <w:t>%).</w:t>
      </w:r>
      <w:bookmarkEnd w:id="65"/>
      <w:r w:rsidR="009C2CB0" w:rsidRPr="0009282C">
        <w:rPr>
          <w:iCs/>
        </w:rPr>
        <w:t xml:space="preserve"> </w:t>
      </w:r>
    </w:p>
    <w:p w14:paraId="15C0A1E0" w14:textId="246BF639" w:rsidR="003D6CD6" w:rsidRPr="0009282C" w:rsidRDefault="003D6CD6" w:rsidP="00EC48DC">
      <w:pPr>
        <w:pStyle w:val="3-BodyText"/>
        <w:rPr>
          <w:iCs/>
        </w:rPr>
      </w:pPr>
      <w:r w:rsidRPr="0009282C">
        <w:t xml:space="preserve">The drug costs were calculated </w:t>
      </w:r>
      <w:r w:rsidR="003E5140" w:rsidRPr="0009282C">
        <w:t>from a</w:t>
      </w:r>
      <w:r w:rsidRPr="0009282C">
        <w:t xml:space="preserve"> patient</w:t>
      </w:r>
      <w:r w:rsidR="003E5140" w:rsidRPr="0009282C">
        <w:t>’</w:t>
      </w:r>
      <w:r w:rsidRPr="0009282C">
        <w:t xml:space="preserve">s weight given </w:t>
      </w:r>
      <w:proofErr w:type="spellStart"/>
      <w:r w:rsidRPr="0009282C">
        <w:t>lumasiran</w:t>
      </w:r>
      <w:proofErr w:type="spellEnd"/>
      <w:r w:rsidRPr="0009282C">
        <w:t xml:space="preserve"> had a weight-based regimen. The submission assumed </w:t>
      </w:r>
      <w:r w:rsidR="00232342" w:rsidRPr="0009282C">
        <w:t xml:space="preserve">a </w:t>
      </w:r>
      <w:r w:rsidRPr="0009282C">
        <w:t xml:space="preserve">constant weight for both paediatric and adult patients. </w:t>
      </w:r>
      <w:r w:rsidRPr="0009282C">
        <w:rPr>
          <w:iCs/>
        </w:rPr>
        <w:t xml:space="preserve">Weight growth for children before reaching adulthood was </w:t>
      </w:r>
      <w:r w:rsidR="005038C4" w:rsidRPr="0009282C">
        <w:rPr>
          <w:iCs/>
        </w:rPr>
        <w:t>not considered</w:t>
      </w:r>
      <w:r w:rsidR="000B7028" w:rsidRPr="0009282C">
        <w:rPr>
          <w:iCs/>
        </w:rPr>
        <w:t>, resulting in</w:t>
      </w:r>
      <w:r w:rsidR="005038C4" w:rsidRPr="0009282C">
        <w:rPr>
          <w:iCs/>
        </w:rPr>
        <w:t xml:space="preserve"> the</w:t>
      </w:r>
      <w:r w:rsidR="000B7028" w:rsidRPr="0009282C">
        <w:rPr>
          <w:iCs/>
        </w:rPr>
        <w:t xml:space="preserve"> drug </w:t>
      </w:r>
      <w:r w:rsidR="0070690E" w:rsidRPr="0009282C">
        <w:rPr>
          <w:iCs/>
        </w:rPr>
        <w:t>consumption and</w:t>
      </w:r>
      <w:r w:rsidR="000B7028" w:rsidRPr="0009282C">
        <w:rPr>
          <w:iCs/>
        </w:rPr>
        <w:t xml:space="preserve"> cost </w:t>
      </w:r>
      <w:r w:rsidR="005038C4" w:rsidRPr="0009282C">
        <w:rPr>
          <w:iCs/>
        </w:rPr>
        <w:t xml:space="preserve">to be </w:t>
      </w:r>
      <w:r w:rsidR="000B7028" w:rsidRPr="0009282C">
        <w:rPr>
          <w:iCs/>
        </w:rPr>
        <w:t>underestimated</w:t>
      </w:r>
      <w:r w:rsidRPr="0009282C">
        <w:rPr>
          <w:iCs/>
        </w:rPr>
        <w:t>.</w:t>
      </w:r>
    </w:p>
    <w:p w14:paraId="2C806491" w14:textId="3A8DB683" w:rsidR="003D6CD6" w:rsidRPr="0009282C" w:rsidRDefault="003D6CD6" w:rsidP="00EC48DC">
      <w:pPr>
        <w:pStyle w:val="3-BodyText"/>
      </w:pPr>
      <w:r w:rsidRPr="0009282C">
        <w:t xml:space="preserve">The submission assumed 99% treatment compliance, and 80% as a sensitivity analysis value. As the variations of treatment compliance was only on the cost of </w:t>
      </w:r>
      <w:proofErr w:type="spellStart"/>
      <w:r w:rsidRPr="0009282C">
        <w:t>lumasiran</w:t>
      </w:r>
      <w:proofErr w:type="spellEnd"/>
      <w:r w:rsidRPr="0009282C">
        <w:t xml:space="preserve"> (as an additional multiplier to the drug price), this was essentially a sensitivity analysis for the price of </w:t>
      </w:r>
      <w:proofErr w:type="spellStart"/>
      <w:r w:rsidRPr="0009282C">
        <w:t>lumasiran</w:t>
      </w:r>
      <w:proofErr w:type="spellEnd"/>
      <w:r w:rsidR="00282726" w:rsidRPr="0009282C">
        <w:t xml:space="preserve"> and demonstrated the drug cost to be a key driver of the ICER.</w:t>
      </w:r>
    </w:p>
    <w:p w14:paraId="447EA2BC" w14:textId="2D31B5D4" w:rsidR="001D7E38" w:rsidRPr="0009282C" w:rsidRDefault="001D7E38" w:rsidP="00EC48DC">
      <w:pPr>
        <w:pStyle w:val="3-BodyText"/>
      </w:pPr>
      <w:r w:rsidRPr="0009282C">
        <w:t>The key drivers of the model were presented in</w:t>
      </w:r>
      <w:r w:rsidR="009C2CB0" w:rsidRPr="0009282C">
        <w:t xml:space="preserve"> </w:t>
      </w:r>
      <w:r w:rsidR="009C2CB0" w:rsidRPr="0009282C">
        <w:fldChar w:fldCharType="begin" w:fldLock="1"/>
      </w:r>
      <w:r w:rsidR="009C2CB0" w:rsidRPr="0009282C">
        <w:instrText xml:space="preserve"> REF _Ref185867061 \h </w:instrText>
      </w:r>
      <w:r w:rsidR="009C2CB0" w:rsidRPr="0009282C">
        <w:fldChar w:fldCharType="separate"/>
      </w:r>
      <w:r w:rsidR="00771DFF" w:rsidRPr="0009282C">
        <w:t xml:space="preserve">Table </w:t>
      </w:r>
      <w:r w:rsidR="00771DFF">
        <w:rPr>
          <w:noProof/>
        </w:rPr>
        <w:t>12</w:t>
      </w:r>
      <w:r w:rsidR="009C2CB0" w:rsidRPr="0009282C">
        <w:fldChar w:fldCharType="end"/>
      </w:r>
      <w:r w:rsidRPr="0009282C">
        <w:t xml:space="preserve">. </w:t>
      </w:r>
      <w:r w:rsidR="009C2CB0" w:rsidRPr="0009282C">
        <w:rPr>
          <w:iCs/>
        </w:rPr>
        <w:t xml:space="preserve">Sensitivity and scenario analyses presented below were run on </w:t>
      </w:r>
      <w:r w:rsidR="00FF418D" w:rsidRPr="0009282C">
        <w:rPr>
          <w:iCs/>
        </w:rPr>
        <w:t xml:space="preserve">an </w:t>
      </w:r>
      <w:r w:rsidR="009C2CB0" w:rsidRPr="0009282C">
        <w:rPr>
          <w:iCs/>
        </w:rPr>
        <w:t>alternative base case</w:t>
      </w:r>
      <w:r w:rsidR="00FF418D" w:rsidRPr="0009282C">
        <w:rPr>
          <w:iCs/>
        </w:rPr>
        <w:t xml:space="preserve"> excluding </w:t>
      </w:r>
      <w:r w:rsidR="00174318">
        <w:rPr>
          <w:iCs/>
        </w:rPr>
        <w:t xml:space="preserve">the </w:t>
      </w:r>
      <w:r w:rsidR="00FF418D" w:rsidRPr="0009282C">
        <w:rPr>
          <w:iCs/>
        </w:rPr>
        <w:t>caregiver disutility</w:t>
      </w:r>
      <w:r w:rsidR="009C2CB0" w:rsidRPr="0009282C">
        <w:rPr>
          <w:iCs/>
        </w:rPr>
        <w:t>.</w:t>
      </w:r>
    </w:p>
    <w:p w14:paraId="6B4B1406" w14:textId="7F520177" w:rsidR="00D81464" w:rsidRPr="0009282C" w:rsidRDefault="00D81464" w:rsidP="00F02AC8">
      <w:pPr>
        <w:pStyle w:val="Caption"/>
      </w:pPr>
      <w:bookmarkStart w:id="66" w:name="_Ref185867061"/>
      <w:r w:rsidRPr="0009282C">
        <w:t xml:space="preserve">Table </w:t>
      </w:r>
      <w:r w:rsidR="000D4330">
        <w:fldChar w:fldCharType="begin" w:fldLock="1"/>
      </w:r>
      <w:r w:rsidR="000D4330">
        <w:instrText xml:space="preserve"> SEQ Table \* ARABIC </w:instrText>
      </w:r>
      <w:r w:rsidR="000D4330">
        <w:fldChar w:fldCharType="separate"/>
      </w:r>
      <w:r w:rsidR="00771DFF">
        <w:rPr>
          <w:noProof/>
        </w:rPr>
        <w:t>12</w:t>
      </w:r>
      <w:r w:rsidR="000D4330">
        <w:rPr>
          <w:noProof/>
        </w:rPr>
        <w:fldChar w:fldCharType="end"/>
      </w:r>
      <w:bookmarkEnd w:id="66"/>
      <w:r w:rsidR="005D55D4" w:rsidRPr="0009282C">
        <w:rPr>
          <w:noProof/>
        </w:rPr>
        <w:t>:</w:t>
      </w:r>
      <w:r w:rsidR="0014503F" w:rsidRPr="0009282C">
        <w:rPr>
          <w:noProof/>
        </w:rPr>
        <w:t xml:space="preserve"> </w:t>
      </w:r>
      <w:r w:rsidRPr="0009282C">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3827"/>
        <w:gridCol w:w="4202"/>
      </w:tblGrid>
      <w:tr w:rsidR="005830DE" w:rsidRPr="0009282C" w14:paraId="08292061" w14:textId="77777777" w:rsidTr="00F02AC8">
        <w:trPr>
          <w:tblHeader/>
        </w:trPr>
        <w:tc>
          <w:tcPr>
            <w:tcW w:w="548" w:type="pct"/>
            <w:shd w:val="clear" w:color="auto" w:fill="auto"/>
            <w:vAlign w:val="center"/>
          </w:tcPr>
          <w:p w14:paraId="6E532FF1" w14:textId="77777777" w:rsidR="005830DE" w:rsidRPr="0009282C" w:rsidRDefault="005830DE" w:rsidP="00F02AC8">
            <w:pPr>
              <w:pStyle w:val="In-tableHeading"/>
              <w:rPr>
                <w:lang w:val="en-AU"/>
              </w:rPr>
            </w:pPr>
            <w:r w:rsidRPr="0009282C">
              <w:rPr>
                <w:lang w:val="en-AU"/>
              </w:rPr>
              <w:t>Description</w:t>
            </w:r>
          </w:p>
        </w:tc>
        <w:tc>
          <w:tcPr>
            <w:tcW w:w="2122" w:type="pct"/>
            <w:shd w:val="clear" w:color="auto" w:fill="auto"/>
            <w:vAlign w:val="center"/>
          </w:tcPr>
          <w:p w14:paraId="086318C8" w14:textId="77777777" w:rsidR="005830DE" w:rsidRPr="0009282C" w:rsidRDefault="005830DE" w:rsidP="00F02AC8">
            <w:pPr>
              <w:pStyle w:val="In-tableHeading"/>
              <w:rPr>
                <w:lang w:val="en-AU"/>
              </w:rPr>
            </w:pPr>
            <w:r w:rsidRPr="0009282C">
              <w:rPr>
                <w:lang w:val="en-AU"/>
              </w:rPr>
              <w:t>Method/Value</w:t>
            </w:r>
          </w:p>
        </w:tc>
        <w:tc>
          <w:tcPr>
            <w:tcW w:w="2330" w:type="pct"/>
            <w:shd w:val="clear" w:color="auto" w:fill="auto"/>
          </w:tcPr>
          <w:p w14:paraId="1D5C961C" w14:textId="77777777" w:rsidR="005830DE" w:rsidRPr="0009282C" w:rsidRDefault="005830DE" w:rsidP="00F02AC8">
            <w:pPr>
              <w:pStyle w:val="In-tableHeading"/>
              <w:rPr>
                <w:lang w:val="en-AU"/>
              </w:rPr>
            </w:pPr>
            <w:r w:rsidRPr="0009282C">
              <w:rPr>
                <w:lang w:val="en-AU"/>
              </w:rPr>
              <w:t>Impact</w:t>
            </w:r>
          </w:p>
          <w:p w14:paraId="73B1D444" w14:textId="11810146" w:rsidR="00246F68" w:rsidRPr="0009282C" w:rsidRDefault="00F664A2" w:rsidP="00F02AC8">
            <w:pPr>
              <w:pStyle w:val="In-tableHeading"/>
              <w:rPr>
                <w:i/>
                <w:iCs/>
                <w:lang w:val="en-AU"/>
              </w:rPr>
            </w:pPr>
            <w:r w:rsidRPr="0009282C">
              <w:rPr>
                <w:iCs/>
                <w:lang w:val="en-AU"/>
              </w:rPr>
              <w:t>Alternate b</w:t>
            </w:r>
            <w:r w:rsidR="00093443" w:rsidRPr="0009282C">
              <w:rPr>
                <w:iCs/>
                <w:lang w:val="en-AU"/>
              </w:rPr>
              <w:t>ase case: $</w:t>
            </w:r>
            <w:r w:rsidR="002212A2" w:rsidRPr="002212A2">
              <w:rPr>
                <w:iCs/>
                <w:color w:val="000000"/>
                <w:spacing w:val="58"/>
                <w:shd w:val="solid" w:color="000000" w:fill="000000"/>
                <w:fitText w:val="360" w:id="-694423802"/>
                <w:lang w:val="en-AU"/>
                <w14:textFill>
                  <w14:solidFill>
                    <w14:srgbClr w14:val="000000">
                      <w14:alpha w14:val="100000"/>
                    </w14:srgbClr>
                  </w14:solidFill>
                </w14:textFill>
              </w:rPr>
              <w:t>|||</w:t>
            </w:r>
            <w:r w:rsidR="002212A2" w:rsidRPr="002212A2">
              <w:rPr>
                <w:iCs/>
                <w:color w:val="000000"/>
                <w:spacing w:val="3"/>
                <w:shd w:val="solid" w:color="000000" w:fill="000000"/>
                <w:fitText w:val="360" w:id="-694423802"/>
                <w:lang w:val="en-AU"/>
                <w14:textFill>
                  <w14:solidFill>
                    <w14:srgbClr w14:val="000000">
                      <w14:alpha w14:val="100000"/>
                    </w14:srgbClr>
                  </w14:solidFill>
                </w14:textFill>
              </w:rPr>
              <w:t>|</w:t>
            </w:r>
            <w:r w:rsidR="003378FC">
              <w:rPr>
                <w:iCs/>
                <w:lang w:val="en-AU"/>
              </w:rPr>
              <w:t xml:space="preserve"> </w:t>
            </w:r>
            <w:r w:rsidR="003378FC">
              <w:rPr>
                <w:iCs/>
                <w:vertAlign w:val="superscript"/>
                <w:lang w:val="en-AU"/>
              </w:rPr>
              <w:t>1</w:t>
            </w:r>
            <w:r w:rsidR="00093443" w:rsidRPr="0009282C">
              <w:rPr>
                <w:iCs/>
                <w:lang w:val="en-AU"/>
              </w:rPr>
              <w:t xml:space="preserve"> per QALY gained</w:t>
            </w:r>
          </w:p>
        </w:tc>
      </w:tr>
      <w:tr w:rsidR="00AB705E" w:rsidRPr="0009282C" w14:paraId="74A29256" w14:textId="77777777" w:rsidTr="00F02AC8">
        <w:tc>
          <w:tcPr>
            <w:tcW w:w="548" w:type="pct"/>
            <w:shd w:val="clear" w:color="auto" w:fill="auto"/>
            <w:vAlign w:val="center"/>
          </w:tcPr>
          <w:p w14:paraId="6C3804CB" w14:textId="6E463569" w:rsidR="00AB705E" w:rsidRPr="0009282C" w:rsidRDefault="00AB705E" w:rsidP="00F02AC8">
            <w:pPr>
              <w:pStyle w:val="TableText0"/>
              <w:keepNext/>
              <w:keepLines/>
            </w:pPr>
            <w:r w:rsidRPr="0009282C">
              <w:t xml:space="preserve">CKD4 and CKD5 </w:t>
            </w:r>
            <w:r w:rsidR="001C3D04" w:rsidRPr="0009282C">
              <w:t>utilities</w:t>
            </w:r>
          </w:p>
        </w:tc>
        <w:tc>
          <w:tcPr>
            <w:tcW w:w="2122" w:type="pct"/>
            <w:shd w:val="clear" w:color="auto" w:fill="auto"/>
            <w:vAlign w:val="center"/>
          </w:tcPr>
          <w:p w14:paraId="72BF8ACD" w14:textId="0F8DE919" w:rsidR="00834700" w:rsidRPr="0009282C" w:rsidRDefault="00AB705E" w:rsidP="00F02AC8">
            <w:pPr>
              <w:pStyle w:val="TableText0"/>
              <w:keepNext/>
              <w:keepLines/>
            </w:pPr>
            <w:r w:rsidRPr="0009282C">
              <w:t xml:space="preserve">While occupying a late-stage CKD health state, patients treated with BSC remain in an uncontrolled oxalate state while those treated with </w:t>
            </w:r>
            <w:proofErr w:type="spellStart"/>
            <w:r w:rsidRPr="0009282C">
              <w:t>lumasiran</w:t>
            </w:r>
            <w:proofErr w:type="spellEnd"/>
            <w:r w:rsidRPr="0009282C">
              <w:t xml:space="preserve"> spend most of the time in a controlled oxalate state. Moreover, </w:t>
            </w:r>
            <w:proofErr w:type="spellStart"/>
            <w:r w:rsidRPr="0009282C">
              <w:t>lumasiran</w:t>
            </w:r>
            <w:proofErr w:type="spellEnd"/>
            <w:r w:rsidRPr="0009282C">
              <w:t xml:space="preserve"> was assumed to remove the need for intensified dialysis. Utilities were assigned differentially based on oxalate control and dialysis regimen.</w:t>
            </w:r>
          </w:p>
          <w:p w14:paraId="3C1CC978" w14:textId="76571B6F" w:rsidR="00AB705E" w:rsidRPr="0009282C" w:rsidRDefault="00834700" w:rsidP="00F02AC8">
            <w:pPr>
              <w:pStyle w:val="TableText0"/>
              <w:keepNext/>
              <w:keepLines/>
            </w:pPr>
            <w:r w:rsidRPr="0009282C">
              <w:rPr>
                <w:iCs/>
              </w:rPr>
              <w:t>T</w:t>
            </w:r>
            <w:r w:rsidR="00AB705E" w:rsidRPr="0009282C">
              <w:rPr>
                <w:iCs/>
              </w:rPr>
              <w:t xml:space="preserve">he true benefits of </w:t>
            </w:r>
            <w:proofErr w:type="spellStart"/>
            <w:r w:rsidR="00AB705E" w:rsidRPr="0009282C">
              <w:rPr>
                <w:iCs/>
              </w:rPr>
              <w:t>lumasiran</w:t>
            </w:r>
            <w:proofErr w:type="spellEnd"/>
            <w:r w:rsidR="00AB705E" w:rsidRPr="0009282C">
              <w:rPr>
                <w:iCs/>
              </w:rPr>
              <w:t xml:space="preserve"> in reducing the need for intensified dialysis or reducing the occurrence of systemic oxalosis manifestations is not yet established.</w:t>
            </w:r>
            <w:r w:rsidR="00AB705E" w:rsidRPr="0009282C">
              <w:t xml:space="preserve"> </w:t>
            </w:r>
          </w:p>
        </w:tc>
        <w:tc>
          <w:tcPr>
            <w:tcW w:w="2330" w:type="pct"/>
            <w:shd w:val="clear" w:color="auto" w:fill="auto"/>
          </w:tcPr>
          <w:p w14:paraId="172FAF94" w14:textId="0EAA839A" w:rsidR="00AB705E" w:rsidRPr="0009282C" w:rsidRDefault="00AB705E" w:rsidP="00F02AC8">
            <w:pPr>
              <w:pStyle w:val="TableText0"/>
              <w:keepNext/>
              <w:keepLines/>
            </w:pPr>
            <w:r w:rsidRPr="0009282C">
              <w:t xml:space="preserve">High, favours </w:t>
            </w:r>
            <w:proofErr w:type="spellStart"/>
            <w:r w:rsidRPr="0009282C">
              <w:t>lumasiran</w:t>
            </w:r>
            <w:proofErr w:type="spellEnd"/>
            <w:r w:rsidR="00DE3D21" w:rsidRPr="0009282C">
              <w:t>.</w:t>
            </w:r>
          </w:p>
          <w:p w14:paraId="1B6F8D0C" w14:textId="2B7521E5" w:rsidR="00AB705E" w:rsidRPr="0009282C" w:rsidRDefault="00AB705E" w:rsidP="00F02AC8">
            <w:pPr>
              <w:pStyle w:val="TableText0"/>
              <w:keepNext/>
              <w:keepLines/>
              <w:rPr>
                <w:bCs w:val="0"/>
              </w:rPr>
            </w:pPr>
            <w:r w:rsidRPr="0009282C">
              <w:t xml:space="preserve">A </w:t>
            </w:r>
            <w:r w:rsidR="004339A4" w:rsidRPr="0009282C">
              <w:t>scenario</w:t>
            </w:r>
            <w:r w:rsidRPr="0009282C">
              <w:t xml:space="preserve"> analysis undertaken during the evaluation in which the </w:t>
            </w:r>
            <w:r w:rsidR="001C3D04" w:rsidRPr="0009282C">
              <w:t>health state utility value</w:t>
            </w:r>
            <w:r w:rsidRPr="0009282C">
              <w:t xml:space="preserve">s for the CKD4 and CKD5 </w:t>
            </w:r>
            <w:r w:rsidR="00737634" w:rsidRPr="0009282C">
              <w:t>states</w:t>
            </w:r>
            <w:r w:rsidRPr="0009282C">
              <w:t xml:space="preserve"> were set </w:t>
            </w:r>
            <w:r w:rsidR="0033007E" w:rsidRPr="0009282C">
              <w:t xml:space="preserve">to be </w:t>
            </w:r>
            <w:r w:rsidRPr="0009282C">
              <w:t>equal irrespective of the assumptions around improved oxalate control or reduced dialysis intensity (i.e. set to the utility for high-intensity dialysis and uncontrolled oxalate) increase</w:t>
            </w:r>
            <w:r w:rsidR="000E71EA" w:rsidRPr="0009282C">
              <w:t>d</w:t>
            </w:r>
            <w:r w:rsidRPr="0009282C">
              <w:t xml:space="preserve"> the ICER </w:t>
            </w:r>
            <w:r w:rsidR="000E71EA" w:rsidRPr="0009282C">
              <w:t xml:space="preserve">by </w:t>
            </w:r>
            <w:r w:rsidRPr="0009282C">
              <w:rPr>
                <w:bCs w:val="0"/>
              </w:rPr>
              <w:t>40.1%.</w:t>
            </w:r>
          </w:p>
          <w:p w14:paraId="3769E5D3" w14:textId="28C6227C" w:rsidR="00AB705E" w:rsidRPr="0009282C" w:rsidRDefault="00AB705E" w:rsidP="00F02AC8">
            <w:pPr>
              <w:pStyle w:val="TableText0"/>
              <w:keepNext/>
              <w:keepLines/>
              <w:rPr>
                <w:i/>
              </w:rPr>
            </w:pPr>
            <w:r w:rsidRPr="0009282C">
              <w:t xml:space="preserve">Setting systemic oxalosis disutility values to zero in addition further increased the ICER, by 66.5% </w:t>
            </w:r>
            <w:r w:rsidR="007C578B" w:rsidRPr="0009282C">
              <w:t>(</w:t>
            </w:r>
            <w:r w:rsidRPr="0009282C">
              <w:t>systemic oxalosis disutility decrements were also built into the post-</w:t>
            </w:r>
            <w:proofErr w:type="spellStart"/>
            <w:r w:rsidRPr="0009282C">
              <w:t>cLKT</w:t>
            </w:r>
            <w:proofErr w:type="spellEnd"/>
            <w:r w:rsidRPr="0009282C">
              <w:t xml:space="preserve"> states).</w:t>
            </w:r>
          </w:p>
        </w:tc>
      </w:tr>
      <w:tr w:rsidR="00CE7B28" w:rsidRPr="0009282C" w14:paraId="5F7AAC92" w14:textId="77777777" w:rsidTr="00F02AC8">
        <w:tc>
          <w:tcPr>
            <w:tcW w:w="548" w:type="pct"/>
            <w:shd w:val="clear" w:color="auto" w:fill="auto"/>
            <w:vAlign w:val="center"/>
          </w:tcPr>
          <w:p w14:paraId="071F1BCB" w14:textId="19DAA2E2" w:rsidR="00CE7B28" w:rsidRPr="0009282C" w:rsidRDefault="00877D59" w:rsidP="00F02AC8">
            <w:pPr>
              <w:pStyle w:val="TableText0"/>
              <w:keepNext/>
              <w:keepLines/>
            </w:pPr>
            <w:proofErr w:type="spellStart"/>
            <w:r w:rsidRPr="0009282C">
              <w:t>Lumasiran</w:t>
            </w:r>
            <w:proofErr w:type="spellEnd"/>
            <w:r w:rsidRPr="0009282C">
              <w:t xml:space="preserve"> treatment benefit</w:t>
            </w:r>
            <w:r w:rsidR="00CE7B28" w:rsidRPr="0009282C">
              <w:t xml:space="preserve"> </w:t>
            </w:r>
          </w:p>
        </w:tc>
        <w:tc>
          <w:tcPr>
            <w:tcW w:w="2122" w:type="pct"/>
            <w:shd w:val="clear" w:color="auto" w:fill="auto"/>
          </w:tcPr>
          <w:p w14:paraId="7D344B3A" w14:textId="096998A9" w:rsidR="00CE7B28" w:rsidRPr="0009282C" w:rsidRDefault="00CE7B28" w:rsidP="00F02AC8">
            <w:pPr>
              <w:pStyle w:val="TableText0"/>
              <w:keepNext/>
              <w:keepLines/>
            </w:pPr>
            <w:r w:rsidRPr="0009282C">
              <w:t xml:space="preserve">For the </w:t>
            </w:r>
            <w:proofErr w:type="spellStart"/>
            <w:r w:rsidRPr="0009282C">
              <w:t>lumasiran</w:t>
            </w:r>
            <w:proofErr w:type="spellEnd"/>
            <w:r w:rsidRPr="0009282C">
              <w:t xml:space="preserve"> arm, an assumption of a complete halt of disease progression (100% effective) was specified where patients would not progress until</w:t>
            </w:r>
            <w:r w:rsidR="00991712" w:rsidRPr="0009282C">
              <w:t xml:space="preserve"> the</w:t>
            </w:r>
            <w:r w:rsidRPr="0009282C">
              <w:t xml:space="preserve"> age of 30, then the population background kidney function decline was assumed. </w:t>
            </w:r>
          </w:p>
          <w:p w14:paraId="4F79FEB5" w14:textId="51F65D29" w:rsidR="006B1783" w:rsidRPr="0009282C" w:rsidRDefault="006B1783" w:rsidP="00F02AC8">
            <w:pPr>
              <w:pStyle w:val="TableText0"/>
              <w:keepNext/>
              <w:keepLines/>
            </w:pPr>
            <w:r w:rsidRPr="0009282C">
              <w:t xml:space="preserve">The true effectiveness on </w:t>
            </w:r>
            <w:proofErr w:type="spellStart"/>
            <w:r w:rsidRPr="0009282C">
              <w:t>lumasiran</w:t>
            </w:r>
            <w:proofErr w:type="spellEnd"/>
            <w:r w:rsidRPr="0009282C">
              <w:t xml:space="preserve"> in halting progression of CKD is unknown. Assuming 100% effectiveness may be optimistic.</w:t>
            </w:r>
          </w:p>
        </w:tc>
        <w:tc>
          <w:tcPr>
            <w:tcW w:w="2330" w:type="pct"/>
            <w:shd w:val="clear" w:color="auto" w:fill="auto"/>
          </w:tcPr>
          <w:p w14:paraId="785AE591" w14:textId="71A83A31" w:rsidR="00CE7B28" w:rsidRPr="0009282C" w:rsidRDefault="008A73F4" w:rsidP="00F02AC8">
            <w:pPr>
              <w:pStyle w:val="TableText0"/>
              <w:keepNext/>
              <w:keepLines/>
            </w:pPr>
            <w:r w:rsidRPr="0009282C">
              <w:t>H</w:t>
            </w:r>
            <w:r w:rsidR="00CE7B28" w:rsidRPr="0009282C">
              <w:t>igh, favour</w:t>
            </w:r>
            <w:r w:rsidR="00761435" w:rsidRPr="0009282C">
              <w:t>s</w:t>
            </w:r>
            <w:r w:rsidR="00CE7B28" w:rsidRPr="0009282C">
              <w:t xml:space="preserve"> </w:t>
            </w:r>
            <w:proofErr w:type="spellStart"/>
            <w:r w:rsidR="00CE7B28" w:rsidRPr="0009282C">
              <w:t>lumasiran</w:t>
            </w:r>
            <w:proofErr w:type="spellEnd"/>
            <w:r w:rsidR="00CE7B28" w:rsidRPr="0009282C">
              <w:t>.</w:t>
            </w:r>
          </w:p>
          <w:p w14:paraId="162D35EE" w14:textId="483F6225" w:rsidR="00CE7B28" w:rsidRPr="0009282C" w:rsidRDefault="00CE7B28" w:rsidP="00F02AC8">
            <w:pPr>
              <w:pStyle w:val="TableText0"/>
              <w:keepNext/>
              <w:keepLines/>
              <w:rPr>
                <w:i/>
              </w:rPr>
            </w:pPr>
            <w:r w:rsidRPr="0009282C">
              <w:t xml:space="preserve">A scenario </w:t>
            </w:r>
            <w:r w:rsidR="0057535F" w:rsidRPr="0009282C">
              <w:t xml:space="preserve">analysis of </w:t>
            </w:r>
            <w:r w:rsidRPr="0009282C">
              <w:t xml:space="preserve">setting the probabilities of progression between CKD stages </w:t>
            </w:r>
            <w:r w:rsidR="0057535F" w:rsidRPr="0009282C">
              <w:t xml:space="preserve">to be </w:t>
            </w:r>
            <w:r w:rsidRPr="0009282C">
              <w:t xml:space="preserve">equal across arms (to the literature-based values without background population decline adjustments) increased the ICER by 18.4%. Additionally setting the probability of transition between controlled and uncontrolled states to zero further increased the ICER, by 32.2% (under this scenario, </w:t>
            </w:r>
            <w:proofErr w:type="spellStart"/>
            <w:r w:rsidRPr="0009282C">
              <w:t>lumasiran</w:t>
            </w:r>
            <w:proofErr w:type="spellEnd"/>
            <w:r w:rsidRPr="0009282C">
              <w:t xml:space="preserve"> was still associated with reduced dialysis intensity and associated utility benefits, as this was not assigned solely based on health state).</w:t>
            </w:r>
          </w:p>
        </w:tc>
      </w:tr>
      <w:tr w:rsidR="00206928" w:rsidRPr="0009282C" w14:paraId="04D124EB" w14:textId="77777777" w:rsidTr="00F02AC8">
        <w:tc>
          <w:tcPr>
            <w:tcW w:w="548" w:type="pct"/>
            <w:shd w:val="clear" w:color="auto" w:fill="auto"/>
            <w:vAlign w:val="center"/>
          </w:tcPr>
          <w:p w14:paraId="44A41C23" w14:textId="7A24F021" w:rsidR="00206928" w:rsidRPr="0009282C" w:rsidRDefault="00206928" w:rsidP="00F02AC8">
            <w:pPr>
              <w:pStyle w:val="TableText0"/>
              <w:keepNext/>
              <w:keepLines/>
            </w:pPr>
            <w:r w:rsidRPr="0009282C">
              <w:t>Disease progression</w:t>
            </w:r>
            <w:r w:rsidR="00C33C89" w:rsidRPr="0009282C">
              <w:t xml:space="preserve"> in BSC arm</w:t>
            </w:r>
          </w:p>
        </w:tc>
        <w:tc>
          <w:tcPr>
            <w:tcW w:w="2122" w:type="pct"/>
            <w:shd w:val="clear" w:color="auto" w:fill="auto"/>
          </w:tcPr>
          <w:p w14:paraId="66D8442D" w14:textId="1314B84E" w:rsidR="00206928" w:rsidRPr="0009282C" w:rsidRDefault="00206928" w:rsidP="00F02AC8">
            <w:pPr>
              <w:pStyle w:val="TableText0"/>
              <w:keepNext/>
              <w:keepLines/>
            </w:pPr>
            <w:r w:rsidRPr="0009282C">
              <w:t>For</w:t>
            </w:r>
            <w:r w:rsidR="007E1AB1" w:rsidRPr="0009282C">
              <w:t xml:space="preserve"> the</w:t>
            </w:r>
            <w:r w:rsidRPr="0009282C">
              <w:t xml:space="preserve"> BSC arm, disease progression modelling </w:t>
            </w:r>
            <w:r w:rsidR="007E1AB1" w:rsidRPr="0009282C">
              <w:t>was derived using</w:t>
            </w:r>
            <w:r w:rsidR="00F63E08" w:rsidRPr="0009282C">
              <w:t xml:space="preserve"> the</w:t>
            </w:r>
            <w:r w:rsidR="007E1AB1" w:rsidRPr="0009282C">
              <w:t xml:space="preserve"> ILLUMINATE</w:t>
            </w:r>
            <w:r w:rsidR="009E5F7B" w:rsidRPr="0009282C">
              <w:t>-</w:t>
            </w:r>
            <w:r w:rsidR="007E1AB1" w:rsidRPr="0009282C">
              <w:t>A trial and literature data. The method led</w:t>
            </w:r>
            <w:r w:rsidRPr="0009282C">
              <w:t xml:space="preserve"> </w:t>
            </w:r>
            <w:r w:rsidRPr="0009282C" w:rsidDel="00F70568">
              <w:t xml:space="preserve">to </w:t>
            </w:r>
            <w:r w:rsidR="00F70568" w:rsidRPr="0009282C">
              <w:t>rapid</w:t>
            </w:r>
            <w:r w:rsidRPr="0009282C">
              <w:t xml:space="preserve"> kidney function </w:t>
            </w:r>
            <w:r w:rsidR="007E1AB1" w:rsidRPr="0009282C">
              <w:t>decline.</w:t>
            </w:r>
            <w:r w:rsidRPr="0009282C">
              <w:t xml:space="preserve"> </w:t>
            </w:r>
          </w:p>
        </w:tc>
        <w:tc>
          <w:tcPr>
            <w:tcW w:w="2330" w:type="pct"/>
            <w:shd w:val="clear" w:color="auto" w:fill="auto"/>
          </w:tcPr>
          <w:p w14:paraId="5B4412F4" w14:textId="7A4B30F5" w:rsidR="007E1AB1" w:rsidRPr="0009282C" w:rsidRDefault="008570F2" w:rsidP="00F02AC8">
            <w:pPr>
              <w:pStyle w:val="TableText0"/>
              <w:keepNext/>
              <w:keepLines/>
            </w:pPr>
            <w:r w:rsidRPr="0009282C">
              <w:t>Likely m</w:t>
            </w:r>
            <w:r w:rsidR="003D6CD6" w:rsidRPr="0009282C">
              <w:t>oderate</w:t>
            </w:r>
            <w:r w:rsidR="007E1AB1" w:rsidRPr="0009282C">
              <w:t>, favour</w:t>
            </w:r>
            <w:r w:rsidR="00761435" w:rsidRPr="0009282C">
              <w:t>s</w:t>
            </w:r>
            <w:r w:rsidR="007E1AB1" w:rsidRPr="0009282C">
              <w:t xml:space="preserve"> </w:t>
            </w:r>
            <w:proofErr w:type="spellStart"/>
            <w:r w:rsidR="007E1AB1" w:rsidRPr="0009282C">
              <w:t>lumasiran</w:t>
            </w:r>
            <w:proofErr w:type="spellEnd"/>
            <w:r w:rsidR="007E1AB1" w:rsidRPr="0009282C">
              <w:t xml:space="preserve">. </w:t>
            </w:r>
          </w:p>
          <w:p w14:paraId="426B567E" w14:textId="59256786" w:rsidR="00206928" w:rsidRPr="0009282C" w:rsidRDefault="0059562C" w:rsidP="00F02AC8">
            <w:pPr>
              <w:pStyle w:val="TableText0"/>
              <w:keepNext/>
              <w:keepLines/>
            </w:pPr>
            <w:r w:rsidRPr="0009282C">
              <w:t>As w</w:t>
            </w:r>
            <w:r w:rsidR="008570F2" w:rsidRPr="0009282C">
              <w:t>o</w:t>
            </w:r>
            <w:r w:rsidRPr="0009282C">
              <w:t>rse CKD disease stages correspond to higher costs and lower utilities</w:t>
            </w:r>
            <w:r w:rsidR="00AC6440" w:rsidRPr="0009282C">
              <w:t>,</w:t>
            </w:r>
            <w:r w:rsidR="001022AE" w:rsidRPr="0009282C">
              <w:t xml:space="preserve"> </w:t>
            </w:r>
            <w:r w:rsidR="00C849CF" w:rsidRPr="0009282C">
              <w:t>a rapid decline in patients disease status</w:t>
            </w:r>
            <w:r w:rsidR="00CB5E68" w:rsidRPr="0009282C">
              <w:t xml:space="preserve"> </w:t>
            </w:r>
            <w:r w:rsidR="00A62DF2" w:rsidRPr="0009282C">
              <w:t xml:space="preserve">would </w:t>
            </w:r>
            <w:r w:rsidR="00B37959" w:rsidRPr="0009282C">
              <w:t>lead to</w:t>
            </w:r>
            <w:r w:rsidR="00C849CF" w:rsidRPr="0009282C">
              <w:t xml:space="preserve"> </w:t>
            </w:r>
            <w:r w:rsidR="004B1B3C" w:rsidRPr="0009282C">
              <w:t>higher</w:t>
            </w:r>
            <w:r w:rsidR="00C849CF" w:rsidRPr="0009282C">
              <w:t xml:space="preserve"> costs </w:t>
            </w:r>
            <w:r w:rsidR="00A2760C" w:rsidRPr="0009282C">
              <w:t xml:space="preserve">(predominantly dialysis) and more </w:t>
            </w:r>
            <w:r w:rsidR="00160400" w:rsidRPr="0009282C">
              <w:t xml:space="preserve">significant </w:t>
            </w:r>
            <w:proofErr w:type="spellStart"/>
            <w:r w:rsidR="00083641" w:rsidRPr="0009282C">
              <w:t>disu</w:t>
            </w:r>
            <w:r w:rsidR="00160400" w:rsidRPr="0009282C">
              <w:t>tilities</w:t>
            </w:r>
            <w:proofErr w:type="spellEnd"/>
            <w:r w:rsidR="00160400" w:rsidRPr="0009282C">
              <w:t>, hence favour</w:t>
            </w:r>
            <w:r w:rsidR="004B1B3C" w:rsidRPr="0009282C">
              <w:t>ing</w:t>
            </w:r>
            <w:r w:rsidR="00160400" w:rsidRPr="0009282C">
              <w:t xml:space="preserve"> </w:t>
            </w:r>
            <w:proofErr w:type="spellStart"/>
            <w:r w:rsidR="00160400" w:rsidRPr="0009282C">
              <w:t>lumasiran</w:t>
            </w:r>
            <w:proofErr w:type="spellEnd"/>
            <w:r w:rsidR="00160400" w:rsidRPr="0009282C">
              <w:t>.</w:t>
            </w:r>
          </w:p>
          <w:p w14:paraId="11BC6DE8" w14:textId="637BA4F8" w:rsidR="00206928" w:rsidRPr="0009282C" w:rsidRDefault="007D6AFA" w:rsidP="00F02AC8">
            <w:pPr>
              <w:pStyle w:val="TableText0"/>
              <w:keepNext/>
              <w:keepLines/>
              <w:rPr>
                <w:i/>
              </w:rPr>
            </w:pPr>
            <w:r w:rsidRPr="0009282C">
              <w:rPr>
                <w:iCs/>
              </w:rPr>
              <w:t>Scenario</w:t>
            </w:r>
            <w:r w:rsidR="004C7480" w:rsidRPr="0009282C">
              <w:rPr>
                <w:iCs/>
              </w:rPr>
              <w:t xml:space="preserve"> analysis undertaken during the evaluation </w:t>
            </w:r>
            <w:r w:rsidR="00B43522" w:rsidRPr="0009282C">
              <w:rPr>
                <w:iCs/>
              </w:rPr>
              <w:t xml:space="preserve">exploring alternate </w:t>
            </w:r>
            <w:r w:rsidR="00B36920" w:rsidRPr="0009282C">
              <w:rPr>
                <w:iCs/>
              </w:rPr>
              <w:t>methods</w:t>
            </w:r>
            <w:r w:rsidR="004C7480" w:rsidRPr="0009282C">
              <w:rPr>
                <w:iCs/>
              </w:rPr>
              <w:t xml:space="preserve"> to </w:t>
            </w:r>
            <w:r w:rsidR="00B36920" w:rsidRPr="0009282C">
              <w:rPr>
                <w:iCs/>
              </w:rPr>
              <w:t>model</w:t>
            </w:r>
            <w:r w:rsidR="004C7480" w:rsidRPr="0009282C">
              <w:rPr>
                <w:iCs/>
              </w:rPr>
              <w:t xml:space="preserve"> progression in the BSC arm </w:t>
            </w:r>
            <w:r w:rsidR="004F26BE" w:rsidRPr="0009282C">
              <w:rPr>
                <w:iCs/>
              </w:rPr>
              <w:t xml:space="preserve">and </w:t>
            </w:r>
            <w:r w:rsidR="007F1722" w:rsidRPr="0009282C">
              <w:rPr>
                <w:iCs/>
              </w:rPr>
              <w:t>found the ICER could be underestimated by ~7.4%.</w:t>
            </w:r>
          </w:p>
        </w:tc>
      </w:tr>
      <w:tr w:rsidR="00CE7B28" w:rsidRPr="0009282C" w14:paraId="466F3A03" w14:textId="77777777" w:rsidTr="00F02AC8">
        <w:tc>
          <w:tcPr>
            <w:tcW w:w="548" w:type="pct"/>
            <w:shd w:val="clear" w:color="auto" w:fill="auto"/>
            <w:vAlign w:val="center"/>
          </w:tcPr>
          <w:p w14:paraId="70B2A43E" w14:textId="7E705780" w:rsidR="00CE7B28" w:rsidRPr="0009282C" w:rsidRDefault="00CE7B28" w:rsidP="00F02AC8">
            <w:pPr>
              <w:pStyle w:val="TableText0"/>
              <w:keepNext/>
              <w:keepLines/>
            </w:pPr>
            <w:r w:rsidRPr="0009282C">
              <w:t>Dialysis costs</w:t>
            </w:r>
          </w:p>
        </w:tc>
        <w:tc>
          <w:tcPr>
            <w:tcW w:w="2122" w:type="pct"/>
            <w:shd w:val="clear" w:color="auto" w:fill="auto"/>
          </w:tcPr>
          <w:p w14:paraId="1053DB0F" w14:textId="55CBE45A" w:rsidR="00CE7B28" w:rsidRPr="0009282C" w:rsidRDefault="00CE7B28" w:rsidP="00F02AC8">
            <w:pPr>
              <w:pStyle w:val="TableText0"/>
              <w:keepNext/>
              <w:keepLines/>
            </w:pPr>
            <w:r w:rsidRPr="0009282C">
              <w:t>The intensity of dialysis (normal- vs high-intensity) was modelled according to treatment received (</w:t>
            </w:r>
            <w:proofErr w:type="spellStart"/>
            <w:r w:rsidRPr="0009282C">
              <w:t>lumasiran</w:t>
            </w:r>
            <w:proofErr w:type="spellEnd"/>
            <w:r w:rsidRPr="0009282C">
              <w:t xml:space="preserve"> vs BSC, respectively). </w:t>
            </w:r>
            <w:r w:rsidRPr="0009282C">
              <w:rPr>
                <w:iCs/>
              </w:rPr>
              <w:t xml:space="preserve">It remains unclear to what extent </w:t>
            </w:r>
            <w:proofErr w:type="spellStart"/>
            <w:r w:rsidRPr="0009282C">
              <w:rPr>
                <w:iCs/>
              </w:rPr>
              <w:t>lumasiran</w:t>
            </w:r>
            <w:proofErr w:type="spellEnd"/>
            <w:r w:rsidRPr="0009282C">
              <w:rPr>
                <w:iCs/>
              </w:rPr>
              <w:t xml:space="preserve"> may reduce the need for intensified dialysis regimens. </w:t>
            </w:r>
          </w:p>
        </w:tc>
        <w:tc>
          <w:tcPr>
            <w:tcW w:w="2330" w:type="pct"/>
            <w:shd w:val="clear" w:color="auto" w:fill="auto"/>
          </w:tcPr>
          <w:p w14:paraId="65211D7B" w14:textId="493D51FF" w:rsidR="00CE7B28" w:rsidRPr="0009282C" w:rsidRDefault="00CE7B28" w:rsidP="00F02AC8">
            <w:pPr>
              <w:pStyle w:val="TableText0"/>
              <w:keepNext/>
              <w:keepLines/>
            </w:pPr>
            <w:r w:rsidRPr="0009282C">
              <w:t xml:space="preserve">Moderate, favours </w:t>
            </w:r>
            <w:proofErr w:type="spellStart"/>
            <w:r w:rsidRPr="0009282C">
              <w:t>lumasiran</w:t>
            </w:r>
            <w:proofErr w:type="spellEnd"/>
          </w:p>
          <w:p w14:paraId="7C077DBA" w14:textId="772E9462" w:rsidR="00CE7B28" w:rsidRPr="0009282C" w:rsidDel="001A55FE" w:rsidRDefault="00CE7B28" w:rsidP="00F02AC8">
            <w:pPr>
              <w:pStyle w:val="TableText0"/>
              <w:keepNext/>
              <w:keepLines/>
              <w:rPr>
                <w:i/>
              </w:rPr>
            </w:pPr>
            <w:r w:rsidRPr="0009282C">
              <w:t xml:space="preserve">A sensitivity analysis undertaken during the evaluation in which the costs for dialysis were set to be equal across arms (i.e. set to the cost for high-intensity dialysis across both arms) reported an increase in the ICER of </w:t>
            </w:r>
            <w:r w:rsidRPr="0009282C">
              <w:rPr>
                <w:bCs w:val="0"/>
              </w:rPr>
              <w:t>9.5%.</w:t>
            </w:r>
          </w:p>
        </w:tc>
      </w:tr>
      <w:tr w:rsidR="00B25E8E" w:rsidRPr="0009282C" w14:paraId="21B82A55" w14:textId="77777777" w:rsidTr="00F02AC8">
        <w:tc>
          <w:tcPr>
            <w:tcW w:w="548" w:type="pct"/>
            <w:shd w:val="clear" w:color="auto" w:fill="auto"/>
            <w:vAlign w:val="center"/>
          </w:tcPr>
          <w:p w14:paraId="0A91CC58" w14:textId="54E0171F" w:rsidR="00B25E8E" w:rsidRPr="0009282C" w:rsidRDefault="00B25E8E" w:rsidP="00F02AC8">
            <w:pPr>
              <w:pStyle w:val="TableText0"/>
              <w:keepNext/>
              <w:keepLines/>
            </w:pPr>
            <w:r w:rsidRPr="0009282C">
              <w:t>Initial cohort distribution</w:t>
            </w:r>
          </w:p>
        </w:tc>
        <w:tc>
          <w:tcPr>
            <w:tcW w:w="2122" w:type="pct"/>
            <w:shd w:val="clear" w:color="auto" w:fill="auto"/>
            <w:vAlign w:val="center"/>
          </w:tcPr>
          <w:p w14:paraId="1658F3D5" w14:textId="5BF951B0" w:rsidR="00B25E8E" w:rsidRPr="0009282C" w:rsidRDefault="00B25E8E" w:rsidP="00F02AC8">
            <w:pPr>
              <w:pStyle w:val="TableText0"/>
              <w:keepNext/>
              <w:keepLines/>
              <w:rPr>
                <w:i/>
              </w:rPr>
            </w:pPr>
            <w:r w:rsidRPr="0009282C">
              <w:t>The submission modified the initial CKD severity to have more patients in the CKD 4 and 5 in the initial cohort.</w:t>
            </w:r>
            <w:r w:rsidR="0033075F" w:rsidRPr="0009282C">
              <w:t xml:space="preserve"> Worse CKD stages were associated with higher costs and lower utility for patients in the BSC arm, predominately driven by dialysis and other comorbidities such as </w:t>
            </w:r>
            <w:r w:rsidR="0033075F" w:rsidRPr="0009282C">
              <w:rPr>
                <w:iCs/>
              </w:rPr>
              <w:t>systemic</w:t>
            </w:r>
            <w:r w:rsidR="0033075F" w:rsidRPr="0009282C">
              <w:t xml:space="preserve"> oxalosis. Therefore, to have patients with more severe disease in the initial cohort would make BSC arm seem worse.</w:t>
            </w:r>
          </w:p>
        </w:tc>
        <w:tc>
          <w:tcPr>
            <w:tcW w:w="2330" w:type="pct"/>
            <w:shd w:val="clear" w:color="auto" w:fill="auto"/>
          </w:tcPr>
          <w:p w14:paraId="4AC4FFFE" w14:textId="3EB382A8" w:rsidR="00B25E8E" w:rsidRPr="0009282C" w:rsidRDefault="00B25E8E" w:rsidP="00F02AC8">
            <w:pPr>
              <w:pStyle w:val="TableText0"/>
              <w:keepNext/>
              <w:keepLines/>
            </w:pPr>
            <w:r w:rsidRPr="0009282C">
              <w:t>Moderate, favour</w:t>
            </w:r>
            <w:r w:rsidR="00761435" w:rsidRPr="0009282C">
              <w:t>s</w:t>
            </w:r>
            <w:r w:rsidRPr="0009282C">
              <w:t xml:space="preserve"> </w:t>
            </w:r>
            <w:proofErr w:type="spellStart"/>
            <w:r w:rsidRPr="0009282C">
              <w:t>lumasiran</w:t>
            </w:r>
            <w:proofErr w:type="spellEnd"/>
            <w:r w:rsidRPr="0009282C">
              <w:t>.</w:t>
            </w:r>
          </w:p>
          <w:p w14:paraId="6D8EFE21" w14:textId="50FF6917" w:rsidR="00B25E8E" w:rsidRPr="0009282C" w:rsidRDefault="00B25E8E" w:rsidP="00F02AC8">
            <w:pPr>
              <w:pStyle w:val="TableText0"/>
              <w:keepNext/>
              <w:keepLines/>
              <w:rPr>
                <w:i/>
              </w:rPr>
            </w:pPr>
            <w:r w:rsidRPr="0009282C">
              <w:t xml:space="preserve">A sensitivity analysis undertaken during the evaluation in which the original literature-based values prior to adjustment were used reported an increase in the ICER of </w:t>
            </w:r>
            <w:r w:rsidRPr="0009282C">
              <w:rPr>
                <w:bCs w:val="0"/>
              </w:rPr>
              <w:t>7.9%.</w:t>
            </w:r>
          </w:p>
        </w:tc>
      </w:tr>
    </w:tbl>
    <w:p w14:paraId="0575926E" w14:textId="683C0785" w:rsidR="005830DE" w:rsidRDefault="00580660" w:rsidP="001E6A64">
      <w:pPr>
        <w:pStyle w:val="TableFigureFooter"/>
      </w:pPr>
      <w:r w:rsidRPr="0009282C">
        <w:t>Abbreviations:</w:t>
      </w:r>
      <w:r w:rsidR="00FA10C7" w:rsidRPr="0009282C">
        <w:t xml:space="preserve"> BSC</w:t>
      </w:r>
      <w:r w:rsidR="00B91037" w:rsidRPr="0009282C">
        <w:t>,</w:t>
      </w:r>
      <w:r w:rsidR="00FA10C7" w:rsidRPr="0009282C">
        <w:t xml:space="preserve"> best supportive care; CKD</w:t>
      </w:r>
      <w:r w:rsidR="00B91037" w:rsidRPr="0009282C">
        <w:t>,</w:t>
      </w:r>
      <w:r w:rsidR="00FA10C7" w:rsidRPr="0009282C">
        <w:t xml:space="preserve"> chronic kidney disease; ESKD</w:t>
      </w:r>
      <w:r w:rsidR="00B91037" w:rsidRPr="0009282C">
        <w:t>,</w:t>
      </w:r>
      <w:r w:rsidR="00FA10C7" w:rsidRPr="0009282C">
        <w:t xml:space="preserve"> end-stage kidney disease; QALY</w:t>
      </w:r>
      <w:r w:rsidR="00B91037" w:rsidRPr="0009282C">
        <w:t>,</w:t>
      </w:r>
      <w:r w:rsidR="00FA10C7" w:rsidRPr="0009282C">
        <w:t xml:space="preserve"> quality-adjusted life-years; ICER</w:t>
      </w:r>
      <w:r w:rsidR="00B91037" w:rsidRPr="0009282C">
        <w:t>,</w:t>
      </w:r>
      <w:r w:rsidR="00FA10C7" w:rsidRPr="0009282C">
        <w:t xml:space="preserve"> incremental cost effectiveness ratio</w:t>
      </w:r>
      <w:r w:rsidR="00761723" w:rsidRPr="0009282C">
        <w:t>, TTO, time trade off</w:t>
      </w:r>
      <w:r w:rsidR="00075137" w:rsidRPr="0009282C">
        <w:t>.</w:t>
      </w:r>
    </w:p>
    <w:p w14:paraId="0C576BA5" w14:textId="77777777" w:rsidR="009246C0" w:rsidRPr="002D4A81" w:rsidRDefault="009246C0" w:rsidP="009246C0">
      <w:pPr>
        <w:rPr>
          <w:rFonts w:ascii="Arial Narrow" w:eastAsia="Times New Roman" w:hAnsi="Arial Narrow"/>
          <w:iCs/>
          <w:sz w:val="18"/>
          <w:szCs w:val="18"/>
        </w:rPr>
      </w:pPr>
      <w:r w:rsidRPr="002D4A81">
        <w:rPr>
          <w:rFonts w:ascii="Arial Narrow" w:eastAsia="Times New Roman" w:hAnsi="Arial Narrow"/>
          <w:iCs/>
          <w:sz w:val="18"/>
          <w:szCs w:val="18"/>
        </w:rPr>
        <w:t xml:space="preserve">The redacted values correspond to the following ranges: </w:t>
      </w:r>
    </w:p>
    <w:p w14:paraId="166847AD" w14:textId="7B59B6D6" w:rsidR="00F02AC8" w:rsidRPr="002D4A81" w:rsidRDefault="009246C0" w:rsidP="009246C0">
      <w:pPr>
        <w:spacing w:after="120"/>
        <w:rPr>
          <w:rFonts w:ascii="Arial Narrow" w:eastAsia="Times New Roman" w:hAnsi="Arial Narrow"/>
          <w:iCs/>
          <w:sz w:val="18"/>
          <w:szCs w:val="18"/>
        </w:rPr>
      </w:pPr>
      <w:r w:rsidRPr="002D4A81">
        <w:rPr>
          <w:rFonts w:ascii="Arial Narrow" w:eastAsia="Times New Roman" w:hAnsi="Arial Narrow"/>
          <w:iCs/>
          <w:sz w:val="18"/>
          <w:szCs w:val="18"/>
          <w:vertAlign w:val="superscript"/>
        </w:rPr>
        <w:t>1</w:t>
      </w:r>
      <w:r w:rsidRPr="002D4A81">
        <w:rPr>
          <w:rFonts w:ascii="Arial Narrow" w:eastAsia="Times New Roman" w:hAnsi="Arial Narrow"/>
          <w:iCs/>
          <w:sz w:val="18"/>
          <w:szCs w:val="18"/>
        </w:rPr>
        <w:t xml:space="preserve"> </w:t>
      </w:r>
      <w:r w:rsidR="008D18AE" w:rsidRPr="002D4A81">
        <w:rPr>
          <w:rFonts w:ascii="Arial Narrow" w:eastAsia="Times New Roman" w:hAnsi="Arial Narrow"/>
          <w:iCs/>
          <w:sz w:val="18"/>
          <w:szCs w:val="18"/>
        </w:rPr>
        <w:t>$455,000 to &lt; $555,000</w:t>
      </w:r>
    </w:p>
    <w:p w14:paraId="3E2399ED" w14:textId="46F14D09" w:rsidR="00D76EB9" w:rsidRPr="0009282C" w:rsidRDefault="00726BDE" w:rsidP="00EC48DC">
      <w:pPr>
        <w:pStyle w:val="3-BodyText"/>
      </w:pPr>
      <w:r w:rsidRPr="0009282C">
        <w:t>The results of</w:t>
      </w:r>
      <w:r w:rsidR="00502A7A" w:rsidRPr="0009282C">
        <w:t xml:space="preserve"> the</w:t>
      </w:r>
      <w:r w:rsidRPr="0009282C">
        <w:t xml:space="preserve"> modelled economic evaluation are presented in</w:t>
      </w:r>
      <w:r w:rsidR="0014503F" w:rsidRPr="0009282C">
        <w:t xml:space="preserve"> </w:t>
      </w:r>
      <w:r w:rsidR="0014503F" w:rsidRPr="0009282C">
        <w:fldChar w:fldCharType="begin" w:fldLock="1"/>
      </w:r>
      <w:r w:rsidR="0014503F" w:rsidRPr="0009282C">
        <w:instrText xml:space="preserve"> REF _Ref185807340 \h </w:instrText>
      </w:r>
      <w:r w:rsidR="0014503F" w:rsidRPr="0009282C">
        <w:fldChar w:fldCharType="separate"/>
      </w:r>
      <w:r w:rsidR="00771DFF" w:rsidRPr="0009282C">
        <w:t xml:space="preserve">Table </w:t>
      </w:r>
      <w:r w:rsidR="00771DFF">
        <w:rPr>
          <w:noProof/>
        </w:rPr>
        <w:t>13</w:t>
      </w:r>
      <w:r w:rsidR="0014503F" w:rsidRPr="0009282C">
        <w:fldChar w:fldCharType="end"/>
      </w:r>
      <w:r w:rsidRPr="0009282C">
        <w:t>.</w:t>
      </w:r>
      <w:r w:rsidR="00B61115" w:rsidRPr="0009282C">
        <w:t xml:space="preserve"> </w:t>
      </w:r>
      <w:r w:rsidR="00B61115" w:rsidRPr="0009282C">
        <w:rPr>
          <w:iCs/>
        </w:rPr>
        <w:t>Results under the alternative base case scenario are included in italics.</w:t>
      </w:r>
      <w:r w:rsidR="00770268" w:rsidRPr="0009282C">
        <w:rPr>
          <w:iCs/>
        </w:rPr>
        <w:t xml:space="preserve"> </w:t>
      </w:r>
    </w:p>
    <w:p w14:paraId="7D68E96C" w14:textId="3F4C7DD7" w:rsidR="005830DE" w:rsidRPr="0009282C" w:rsidRDefault="005830DE" w:rsidP="005830DE">
      <w:pPr>
        <w:pStyle w:val="Caption"/>
      </w:pPr>
      <w:bookmarkStart w:id="67" w:name="_Ref185807340"/>
      <w:r w:rsidRPr="0009282C">
        <w:t xml:space="preserve">Table </w:t>
      </w:r>
      <w:r w:rsidR="000D4330">
        <w:fldChar w:fldCharType="begin" w:fldLock="1"/>
      </w:r>
      <w:r w:rsidR="000D4330">
        <w:instrText xml:space="preserve"> SEQ Table \* ARABIC </w:instrText>
      </w:r>
      <w:r w:rsidR="000D4330">
        <w:fldChar w:fldCharType="separate"/>
      </w:r>
      <w:r w:rsidR="00771DFF">
        <w:rPr>
          <w:noProof/>
        </w:rPr>
        <w:t>13</w:t>
      </w:r>
      <w:r w:rsidR="000D4330">
        <w:rPr>
          <w:noProof/>
        </w:rPr>
        <w:fldChar w:fldCharType="end"/>
      </w:r>
      <w:bookmarkEnd w:id="67"/>
      <w:r w:rsidR="00AE61FC" w:rsidRPr="0009282C">
        <w:rPr>
          <w:noProof/>
        </w:rPr>
        <w:t>:</w:t>
      </w:r>
      <w:r w:rsidRPr="0009282C">
        <w:tab/>
        <w:t>Results of the modelled economic evaluation</w:t>
      </w:r>
      <w:r w:rsidR="00981C62" w:rsidRPr="0009282C">
        <w:t xml:space="preserve">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699"/>
        <w:gridCol w:w="2440"/>
        <w:gridCol w:w="2521"/>
        <w:gridCol w:w="2357"/>
      </w:tblGrid>
      <w:tr w:rsidR="00B15A71" w:rsidRPr="0009282C" w14:paraId="7233E5F2" w14:textId="77777777">
        <w:trPr>
          <w:cantSplit/>
          <w:tblHeader/>
        </w:trPr>
        <w:tc>
          <w:tcPr>
            <w:tcW w:w="942" w:type="pct"/>
            <w:shd w:val="clear" w:color="auto" w:fill="FFFFFF"/>
          </w:tcPr>
          <w:p w14:paraId="14AC14D2" w14:textId="77777777" w:rsidR="00B15A71" w:rsidRPr="0009282C" w:rsidRDefault="00B15A71">
            <w:pPr>
              <w:pStyle w:val="In-tableHeading"/>
              <w:jc w:val="center"/>
              <w:rPr>
                <w:lang w:val="en-AU"/>
              </w:rPr>
            </w:pPr>
          </w:p>
        </w:tc>
        <w:tc>
          <w:tcPr>
            <w:tcW w:w="1353" w:type="pct"/>
            <w:shd w:val="clear" w:color="auto" w:fill="FFFFFF"/>
          </w:tcPr>
          <w:p w14:paraId="28A76833" w14:textId="70BF87D8" w:rsidR="00B15A71" w:rsidRPr="0009282C" w:rsidRDefault="00B15A71">
            <w:pPr>
              <w:pStyle w:val="In-tableHeading"/>
              <w:jc w:val="center"/>
              <w:rPr>
                <w:lang w:val="en-AU"/>
              </w:rPr>
            </w:pPr>
            <w:proofErr w:type="spellStart"/>
            <w:r w:rsidRPr="0009282C">
              <w:rPr>
                <w:lang w:val="en-AU"/>
              </w:rPr>
              <w:t>Lumasiran</w:t>
            </w:r>
            <w:proofErr w:type="spellEnd"/>
          </w:p>
        </w:tc>
        <w:tc>
          <w:tcPr>
            <w:tcW w:w="1398" w:type="pct"/>
            <w:shd w:val="clear" w:color="auto" w:fill="FFFFFF"/>
          </w:tcPr>
          <w:p w14:paraId="395530F0" w14:textId="428FA977" w:rsidR="00B15A71" w:rsidRPr="0009282C" w:rsidRDefault="00D24EB0">
            <w:pPr>
              <w:pStyle w:val="In-tableHeading"/>
              <w:jc w:val="center"/>
              <w:rPr>
                <w:lang w:val="en-AU"/>
              </w:rPr>
            </w:pPr>
            <w:r w:rsidRPr="0009282C">
              <w:rPr>
                <w:lang w:val="en-AU"/>
              </w:rPr>
              <w:t>BSC</w:t>
            </w:r>
          </w:p>
        </w:tc>
        <w:tc>
          <w:tcPr>
            <w:tcW w:w="1307" w:type="pct"/>
            <w:shd w:val="clear" w:color="auto" w:fill="FFFFFF"/>
            <w:vAlign w:val="center"/>
          </w:tcPr>
          <w:p w14:paraId="14433ACF" w14:textId="77777777" w:rsidR="00B15A71" w:rsidRPr="0009282C" w:rsidRDefault="00B15A71">
            <w:pPr>
              <w:pStyle w:val="In-tableHeading"/>
              <w:jc w:val="center"/>
              <w:rPr>
                <w:lang w:val="en-AU"/>
              </w:rPr>
            </w:pPr>
            <w:r w:rsidRPr="0009282C">
              <w:rPr>
                <w:lang w:val="en-AU"/>
              </w:rPr>
              <w:t>Increment</w:t>
            </w:r>
          </w:p>
        </w:tc>
      </w:tr>
      <w:tr w:rsidR="00D24EB0" w:rsidRPr="0009282C" w14:paraId="46BB6584" w14:textId="77777777" w:rsidTr="00141F01">
        <w:trPr>
          <w:cantSplit/>
        </w:trPr>
        <w:tc>
          <w:tcPr>
            <w:tcW w:w="942" w:type="pct"/>
            <w:shd w:val="clear" w:color="auto" w:fill="auto"/>
          </w:tcPr>
          <w:p w14:paraId="4C097172" w14:textId="77777777" w:rsidR="00D24EB0" w:rsidRPr="0009282C" w:rsidRDefault="00D24EB0" w:rsidP="00D24EB0">
            <w:pPr>
              <w:pStyle w:val="TableText0"/>
            </w:pPr>
            <w:r w:rsidRPr="0009282C">
              <w:t>Costs</w:t>
            </w:r>
          </w:p>
        </w:tc>
        <w:tc>
          <w:tcPr>
            <w:tcW w:w="1353" w:type="pct"/>
            <w:shd w:val="clear" w:color="auto" w:fill="auto"/>
            <w:vAlign w:val="center"/>
          </w:tcPr>
          <w:p w14:paraId="2151F80F" w14:textId="2E6A9D34" w:rsidR="00D24EB0" w:rsidRPr="0009282C" w:rsidRDefault="00D24EB0" w:rsidP="00D24EB0">
            <w:pPr>
              <w:pStyle w:val="TableText0"/>
              <w:jc w:val="center"/>
            </w:pPr>
            <w:r w:rsidRPr="0009282C">
              <w:rPr>
                <w:szCs w:val="20"/>
              </w:rPr>
              <w:t>$</w:t>
            </w:r>
            <w:r w:rsidR="002212A2" w:rsidRPr="002212A2">
              <w:rPr>
                <w:color w:val="000000"/>
                <w:spacing w:val="53"/>
                <w:szCs w:val="20"/>
                <w:shd w:val="solid" w:color="000000" w:fill="000000"/>
                <w:fitText w:val="330" w:id="-694423801"/>
                <w14:textFill>
                  <w14:solidFill>
                    <w14:srgbClr w14:val="000000">
                      <w14:alpha w14:val="100000"/>
                    </w14:srgbClr>
                  </w14:solidFill>
                </w14:textFill>
              </w:rPr>
              <w:t>|||</w:t>
            </w:r>
            <w:r w:rsidR="002212A2" w:rsidRPr="002212A2">
              <w:rPr>
                <w:color w:val="000000"/>
                <w:spacing w:val="1"/>
                <w:szCs w:val="20"/>
                <w:shd w:val="solid" w:color="000000" w:fill="000000"/>
                <w:fitText w:val="330" w:id="-694423801"/>
                <w14:textFill>
                  <w14:solidFill>
                    <w14:srgbClr w14:val="000000">
                      <w14:alpha w14:val="100000"/>
                    </w14:srgbClr>
                  </w14:solidFill>
                </w14:textFill>
              </w:rPr>
              <w:t>|</w:t>
            </w:r>
          </w:p>
        </w:tc>
        <w:tc>
          <w:tcPr>
            <w:tcW w:w="1398" w:type="pct"/>
            <w:shd w:val="clear" w:color="auto" w:fill="auto"/>
            <w:vAlign w:val="center"/>
          </w:tcPr>
          <w:p w14:paraId="60A62287" w14:textId="5D66E17D" w:rsidR="00D24EB0" w:rsidRPr="0009282C" w:rsidRDefault="00D24EB0" w:rsidP="00D24EB0">
            <w:pPr>
              <w:pStyle w:val="TableText0"/>
              <w:jc w:val="center"/>
            </w:pPr>
            <w:r w:rsidRPr="0009282C">
              <w:rPr>
                <w:szCs w:val="20"/>
              </w:rPr>
              <w:t>$1,953,419</w:t>
            </w:r>
          </w:p>
        </w:tc>
        <w:tc>
          <w:tcPr>
            <w:tcW w:w="1307" w:type="pct"/>
            <w:shd w:val="clear" w:color="auto" w:fill="auto"/>
            <w:vAlign w:val="center"/>
          </w:tcPr>
          <w:p w14:paraId="60876F08" w14:textId="7212E5B2" w:rsidR="00D24EB0" w:rsidRPr="0009282C" w:rsidRDefault="00D24EB0" w:rsidP="00D24EB0">
            <w:pPr>
              <w:pStyle w:val="TableText0"/>
              <w:jc w:val="center"/>
            </w:pPr>
            <w:r w:rsidRPr="0009282C">
              <w:rPr>
                <w:szCs w:val="20"/>
              </w:rPr>
              <w:t>$</w:t>
            </w:r>
            <w:r w:rsidR="002212A2" w:rsidRPr="002212A2">
              <w:rPr>
                <w:color w:val="000000"/>
                <w:spacing w:val="49"/>
                <w:szCs w:val="20"/>
                <w:shd w:val="solid" w:color="000000" w:fill="000000"/>
                <w:fitText w:val="320" w:id="-694423800"/>
                <w14:textFill>
                  <w14:solidFill>
                    <w14:srgbClr w14:val="000000">
                      <w14:alpha w14:val="100000"/>
                    </w14:srgbClr>
                  </w14:solidFill>
                </w14:textFill>
              </w:rPr>
              <w:t>|||</w:t>
            </w:r>
            <w:r w:rsidR="002212A2" w:rsidRPr="002212A2">
              <w:rPr>
                <w:color w:val="000000"/>
                <w:spacing w:val="3"/>
                <w:szCs w:val="20"/>
                <w:shd w:val="solid" w:color="000000" w:fill="000000"/>
                <w:fitText w:val="320" w:id="-694423800"/>
                <w14:textFill>
                  <w14:solidFill>
                    <w14:srgbClr w14:val="000000">
                      <w14:alpha w14:val="100000"/>
                    </w14:srgbClr>
                  </w14:solidFill>
                </w14:textFill>
              </w:rPr>
              <w:t>|</w:t>
            </w:r>
          </w:p>
        </w:tc>
      </w:tr>
      <w:tr w:rsidR="00D24EB0" w:rsidRPr="0009282C" w14:paraId="4CB7FCA0" w14:textId="77777777" w:rsidTr="00141F01">
        <w:trPr>
          <w:cantSplit/>
        </w:trPr>
        <w:tc>
          <w:tcPr>
            <w:tcW w:w="942" w:type="pct"/>
            <w:shd w:val="clear" w:color="auto" w:fill="auto"/>
          </w:tcPr>
          <w:p w14:paraId="1E324A1A" w14:textId="7EE4950E" w:rsidR="00D24EB0" w:rsidRPr="0009282C" w:rsidRDefault="00D24EB0" w:rsidP="00D24EB0">
            <w:pPr>
              <w:pStyle w:val="TableText0"/>
            </w:pPr>
            <w:r w:rsidRPr="0009282C">
              <w:t>Life y</w:t>
            </w:r>
            <w:r w:rsidR="00EE4286" w:rsidRPr="0009282C">
              <w:t>ears gained</w:t>
            </w:r>
          </w:p>
        </w:tc>
        <w:tc>
          <w:tcPr>
            <w:tcW w:w="1353" w:type="pct"/>
            <w:shd w:val="clear" w:color="auto" w:fill="auto"/>
            <w:vAlign w:val="center"/>
          </w:tcPr>
          <w:p w14:paraId="0A51966C" w14:textId="2270137C" w:rsidR="00D24EB0" w:rsidRPr="0009282C" w:rsidRDefault="00D24EB0" w:rsidP="00D24EB0">
            <w:pPr>
              <w:pStyle w:val="TableText0"/>
              <w:jc w:val="center"/>
            </w:pPr>
            <w:r w:rsidRPr="0009282C">
              <w:rPr>
                <w:szCs w:val="20"/>
              </w:rPr>
              <w:t>18.71</w:t>
            </w:r>
          </w:p>
        </w:tc>
        <w:tc>
          <w:tcPr>
            <w:tcW w:w="1398" w:type="pct"/>
            <w:shd w:val="clear" w:color="auto" w:fill="auto"/>
            <w:vAlign w:val="center"/>
          </w:tcPr>
          <w:p w14:paraId="770471F1" w14:textId="43330CC3" w:rsidR="00D24EB0" w:rsidRPr="0009282C" w:rsidRDefault="00D24EB0" w:rsidP="00D24EB0">
            <w:pPr>
              <w:pStyle w:val="TableText0"/>
              <w:jc w:val="center"/>
            </w:pPr>
            <w:r w:rsidRPr="0009282C">
              <w:rPr>
                <w:szCs w:val="20"/>
              </w:rPr>
              <w:t>17.46</w:t>
            </w:r>
          </w:p>
        </w:tc>
        <w:tc>
          <w:tcPr>
            <w:tcW w:w="1307" w:type="pct"/>
            <w:shd w:val="clear" w:color="auto" w:fill="auto"/>
            <w:vAlign w:val="center"/>
          </w:tcPr>
          <w:p w14:paraId="00941A0C" w14:textId="4D92BAF3" w:rsidR="00D24EB0" w:rsidRPr="0009282C" w:rsidRDefault="00D24EB0" w:rsidP="00D24EB0">
            <w:pPr>
              <w:pStyle w:val="TableText0"/>
              <w:jc w:val="center"/>
            </w:pPr>
            <w:r w:rsidRPr="0009282C">
              <w:rPr>
                <w:szCs w:val="20"/>
              </w:rPr>
              <w:t>1.26</w:t>
            </w:r>
          </w:p>
        </w:tc>
      </w:tr>
      <w:tr w:rsidR="00D24EB0" w:rsidRPr="0009282C" w14:paraId="60D591AC" w14:textId="77777777">
        <w:trPr>
          <w:cantSplit/>
        </w:trPr>
        <w:tc>
          <w:tcPr>
            <w:tcW w:w="942" w:type="pct"/>
            <w:shd w:val="clear" w:color="auto" w:fill="auto"/>
          </w:tcPr>
          <w:p w14:paraId="49635DCB" w14:textId="30CEF5CF" w:rsidR="00D24EB0" w:rsidRPr="0009282C" w:rsidRDefault="00D24EB0" w:rsidP="00D24EB0">
            <w:pPr>
              <w:pStyle w:val="TableText0"/>
            </w:pPr>
            <w:r w:rsidRPr="0009282C">
              <w:t>QALY</w:t>
            </w:r>
            <w:r w:rsidR="00EE4286" w:rsidRPr="0009282C">
              <w:t>s gained</w:t>
            </w:r>
          </w:p>
        </w:tc>
        <w:tc>
          <w:tcPr>
            <w:tcW w:w="1353" w:type="pct"/>
            <w:shd w:val="clear" w:color="auto" w:fill="auto"/>
          </w:tcPr>
          <w:p w14:paraId="20041BDA" w14:textId="77777777" w:rsidR="00D24EB0" w:rsidRPr="0009282C" w:rsidRDefault="00D24EB0" w:rsidP="00D24EB0">
            <w:pPr>
              <w:pStyle w:val="TableText0"/>
              <w:jc w:val="center"/>
            </w:pPr>
            <w:r w:rsidRPr="0009282C">
              <w:t>12.18</w:t>
            </w:r>
          </w:p>
          <w:p w14:paraId="0412079F" w14:textId="1A8C34E5" w:rsidR="00D24EB0" w:rsidRPr="0009282C" w:rsidRDefault="00B61115" w:rsidP="00D24EB0">
            <w:pPr>
              <w:pStyle w:val="TableText0"/>
              <w:jc w:val="center"/>
              <w:rPr>
                <w:i/>
                <w:iCs/>
              </w:rPr>
            </w:pPr>
            <w:r w:rsidRPr="0009282C">
              <w:rPr>
                <w:i/>
                <w:iCs/>
              </w:rPr>
              <w:t>13.51</w:t>
            </w:r>
          </w:p>
        </w:tc>
        <w:tc>
          <w:tcPr>
            <w:tcW w:w="1398" w:type="pct"/>
            <w:shd w:val="clear" w:color="auto" w:fill="auto"/>
          </w:tcPr>
          <w:p w14:paraId="74E078C9" w14:textId="77777777" w:rsidR="00D24EB0" w:rsidRPr="0009282C" w:rsidRDefault="00D24EB0" w:rsidP="00D24EB0">
            <w:pPr>
              <w:pStyle w:val="TableText0"/>
              <w:jc w:val="center"/>
            </w:pPr>
            <w:r w:rsidRPr="0009282C">
              <w:t>3.12</w:t>
            </w:r>
          </w:p>
          <w:p w14:paraId="42BB0E31" w14:textId="439A223C" w:rsidR="00D24EB0" w:rsidRPr="0009282C" w:rsidRDefault="00B61115" w:rsidP="00D24EB0">
            <w:pPr>
              <w:pStyle w:val="TableText0"/>
              <w:jc w:val="center"/>
              <w:rPr>
                <w:i/>
                <w:iCs/>
              </w:rPr>
            </w:pPr>
            <w:r w:rsidRPr="0009282C">
              <w:rPr>
                <w:i/>
                <w:iCs/>
              </w:rPr>
              <w:t>5.26</w:t>
            </w:r>
          </w:p>
        </w:tc>
        <w:tc>
          <w:tcPr>
            <w:tcW w:w="1307" w:type="pct"/>
            <w:shd w:val="clear" w:color="auto" w:fill="auto"/>
          </w:tcPr>
          <w:p w14:paraId="5BCB52A7" w14:textId="77777777" w:rsidR="00D24EB0" w:rsidRPr="0009282C" w:rsidRDefault="00D24EB0" w:rsidP="00D24EB0">
            <w:pPr>
              <w:pStyle w:val="TableText0"/>
              <w:jc w:val="center"/>
              <w:rPr>
                <w:szCs w:val="20"/>
              </w:rPr>
            </w:pPr>
            <w:r w:rsidRPr="0009282C">
              <w:rPr>
                <w:szCs w:val="20"/>
              </w:rPr>
              <w:t>9.06</w:t>
            </w:r>
          </w:p>
          <w:p w14:paraId="1D1C46D1" w14:textId="581B8819" w:rsidR="00D24EB0" w:rsidRPr="0009282C" w:rsidRDefault="00B61115" w:rsidP="00D24EB0">
            <w:pPr>
              <w:pStyle w:val="TableText0"/>
              <w:jc w:val="center"/>
              <w:rPr>
                <w:i/>
                <w:iCs/>
              </w:rPr>
            </w:pPr>
            <w:r w:rsidRPr="0009282C">
              <w:rPr>
                <w:i/>
                <w:iCs/>
              </w:rPr>
              <w:t>8.25</w:t>
            </w:r>
          </w:p>
        </w:tc>
      </w:tr>
      <w:tr w:rsidR="00D24EB0" w:rsidRPr="0009282C" w14:paraId="22D4869B" w14:textId="77777777">
        <w:trPr>
          <w:cantSplit/>
        </w:trPr>
        <w:tc>
          <w:tcPr>
            <w:tcW w:w="3693" w:type="pct"/>
            <w:gridSpan w:val="3"/>
            <w:tcBorders>
              <w:right w:val="single" w:sz="4" w:space="0" w:color="000000"/>
            </w:tcBorders>
            <w:shd w:val="clear" w:color="auto" w:fill="auto"/>
          </w:tcPr>
          <w:p w14:paraId="7C4253D7" w14:textId="77777777" w:rsidR="00D24EB0" w:rsidRPr="0009282C" w:rsidRDefault="00D24EB0" w:rsidP="00D24EB0">
            <w:pPr>
              <w:pStyle w:val="In-tableHeading"/>
              <w:rPr>
                <w:lang w:val="en-AU"/>
              </w:rPr>
            </w:pPr>
            <w:r w:rsidRPr="0009282C">
              <w:rPr>
                <w:lang w:val="en-AU"/>
              </w:rPr>
              <w:t>Incremental cost per life year gained</w:t>
            </w:r>
          </w:p>
        </w:tc>
        <w:tc>
          <w:tcPr>
            <w:tcW w:w="1307" w:type="pct"/>
            <w:tcBorders>
              <w:left w:val="single" w:sz="4" w:space="0" w:color="000000"/>
            </w:tcBorders>
            <w:shd w:val="clear" w:color="auto" w:fill="auto"/>
          </w:tcPr>
          <w:p w14:paraId="17974F93" w14:textId="02A7C1A6" w:rsidR="00D24EB0" w:rsidRPr="008D18AE" w:rsidRDefault="00D24EB0" w:rsidP="00D24EB0">
            <w:pPr>
              <w:keepNext/>
              <w:keepLines/>
              <w:jc w:val="center"/>
              <w:rPr>
                <w:rFonts w:ascii="Arial Narrow" w:eastAsia="Calibri" w:hAnsi="Arial Narrow"/>
                <w:b/>
                <w:sz w:val="20"/>
                <w:szCs w:val="20"/>
                <w:vertAlign w:val="superscript"/>
              </w:rPr>
            </w:pPr>
            <w:r w:rsidRPr="0009282C">
              <w:rPr>
                <w:rFonts w:ascii="Arial Narrow" w:eastAsia="Calibri" w:hAnsi="Arial Narrow"/>
                <w:b/>
                <w:sz w:val="20"/>
                <w:szCs w:val="20"/>
              </w:rPr>
              <w:t>$</w:t>
            </w:r>
            <w:r w:rsidR="002212A2" w:rsidRPr="002212A2">
              <w:rPr>
                <w:rFonts w:ascii="Arial Narrow" w:eastAsia="Calibri" w:hAnsi="Arial Narrow"/>
                <w:b/>
                <w:color w:val="000000"/>
                <w:spacing w:val="58"/>
                <w:sz w:val="20"/>
                <w:szCs w:val="20"/>
                <w:shd w:val="solid" w:color="000000" w:fill="000000"/>
                <w:fitText w:val="360" w:id="-694423799"/>
                <w14:textFill>
                  <w14:solidFill>
                    <w14:srgbClr w14:val="000000">
                      <w14:alpha w14:val="100000"/>
                    </w14:srgbClr>
                  </w14:solidFill>
                </w14:textFill>
              </w:rPr>
              <w:t>|||</w:t>
            </w:r>
            <w:r w:rsidR="002212A2" w:rsidRPr="002212A2">
              <w:rPr>
                <w:rFonts w:ascii="Arial Narrow" w:eastAsia="Calibri" w:hAnsi="Arial Narrow"/>
                <w:b/>
                <w:color w:val="000000"/>
                <w:spacing w:val="3"/>
                <w:sz w:val="20"/>
                <w:szCs w:val="20"/>
                <w:shd w:val="solid" w:color="000000" w:fill="000000"/>
                <w:fitText w:val="360" w:id="-694423799"/>
                <w14:textFill>
                  <w14:solidFill>
                    <w14:srgbClr w14:val="000000">
                      <w14:alpha w14:val="100000"/>
                    </w14:srgbClr>
                  </w14:solidFill>
                </w14:textFill>
              </w:rPr>
              <w:t>|</w:t>
            </w:r>
            <w:r w:rsidR="008D18AE">
              <w:rPr>
                <w:rFonts w:ascii="Arial Narrow" w:eastAsia="Calibri" w:hAnsi="Arial Narrow"/>
                <w:b/>
                <w:sz w:val="20"/>
                <w:szCs w:val="20"/>
                <w:vertAlign w:val="superscript"/>
              </w:rPr>
              <w:t xml:space="preserve"> 1</w:t>
            </w:r>
          </w:p>
        </w:tc>
      </w:tr>
      <w:tr w:rsidR="00D24EB0" w:rsidRPr="0009282C" w14:paraId="56FD8BE8" w14:textId="77777777">
        <w:trPr>
          <w:cantSplit/>
        </w:trPr>
        <w:tc>
          <w:tcPr>
            <w:tcW w:w="3693" w:type="pct"/>
            <w:gridSpan w:val="3"/>
            <w:tcBorders>
              <w:right w:val="single" w:sz="4" w:space="0" w:color="000000"/>
            </w:tcBorders>
            <w:shd w:val="clear" w:color="auto" w:fill="auto"/>
          </w:tcPr>
          <w:p w14:paraId="4E3CB7BB" w14:textId="77777777" w:rsidR="00D24EB0" w:rsidRPr="0009282C" w:rsidRDefault="00D24EB0" w:rsidP="00D24EB0">
            <w:pPr>
              <w:pStyle w:val="In-tableHeading"/>
              <w:rPr>
                <w:lang w:val="en-AU"/>
              </w:rPr>
            </w:pPr>
            <w:r w:rsidRPr="0009282C">
              <w:rPr>
                <w:lang w:val="en-AU"/>
              </w:rPr>
              <w:t>Incremental cost per QALY gained</w:t>
            </w:r>
          </w:p>
        </w:tc>
        <w:tc>
          <w:tcPr>
            <w:tcW w:w="1307" w:type="pct"/>
            <w:tcBorders>
              <w:left w:val="single" w:sz="4" w:space="0" w:color="000000"/>
            </w:tcBorders>
            <w:shd w:val="clear" w:color="auto" w:fill="auto"/>
          </w:tcPr>
          <w:p w14:paraId="7BF137DD" w14:textId="55EEA269" w:rsidR="00D24EB0" w:rsidRPr="008D18AE" w:rsidRDefault="00D24EB0" w:rsidP="00D24EB0">
            <w:pPr>
              <w:keepNext/>
              <w:keepLines/>
              <w:jc w:val="center"/>
              <w:rPr>
                <w:rFonts w:ascii="Arial Narrow" w:eastAsia="Calibri" w:hAnsi="Arial Narrow"/>
                <w:b/>
                <w:sz w:val="20"/>
                <w:szCs w:val="20"/>
                <w:vertAlign w:val="superscript"/>
              </w:rPr>
            </w:pPr>
            <w:r w:rsidRPr="0009282C">
              <w:rPr>
                <w:rFonts w:ascii="Arial Narrow" w:eastAsia="Calibri" w:hAnsi="Arial Narrow"/>
                <w:b/>
                <w:sz w:val="20"/>
                <w:szCs w:val="20"/>
              </w:rPr>
              <w:t>$</w:t>
            </w:r>
            <w:r w:rsidR="002212A2" w:rsidRPr="002212A2">
              <w:rPr>
                <w:rFonts w:ascii="Arial Narrow" w:eastAsia="Calibri" w:hAnsi="Arial Narrow"/>
                <w:b/>
                <w:color w:val="000000"/>
                <w:spacing w:val="55"/>
                <w:sz w:val="20"/>
                <w:szCs w:val="20"/>
                <w:shd w:val="solid" w:color="000000" w:fill="000000"/>
                <w:fitText w:val="350" w:id="-694423798"/>
                <w14:textFill>
                  <w14:solidFill>
                    <w14:srgbClr w14:val="000000">
                      <w14:alpha w14:val="100000"/>
                    </w14:srgbClr>
                  </w14:solidFill>
                </w14:textFill>
              </w:rPr>
              <w:t>|||</w:t>
            </w:r>
            <w:r w:rsidR="002212A2" w:rsidRPr="002212A2">
              <w:rPr>
                <w:rFonts w:ascii="Arial Narrow" w:eastAsia="Calibri" w:hAnsi="Arial Narrow"/>
                <w:b/>
                <w:color w:val="000000"/>
                <w:spacing w:val="2"/>
                <w:sz w:val="20"/>
                <w:szCs w:val="20"/>
                <w:shd w:val="solid" w:color="000000" w:fill="000000"/>
                <w:fitText w:val="350" w:id="-694423798"/>
                <w14:textFill>
                  <w14:solidFill>
                    <w14:srgbClr w14:val="000000">
                      <w14:alpha w14:val="100000"/>
                    </w14:srgbClr>
                  </w14:solidFill>
                </w14:textFill>
              </w:rPr>
              <w:t>|</w:t>
            </w:r>
            <w:r w:rsidR="008D18AE">
              <w:rPr>
                <w:rFonts w:ascii="Arial Narrow" w:eastAsia="Calibri" w:hAnsi="Arial Narrow"/>
                <w:b/>
                <w:sz w:val="20"/>
                <w:szCs w:val="20"/>
              </w:rPr>
              <w:t xml:space="preserve"> </w:t>
            </w:r>
            <w:r w:rsidR="008D18AE">
              <w:rPr>
                <w:rFonts w:ascii="Arial Narrow" w:eastAsia="Calibri" w:hAnsi="Arial Narrow"/>
                <w:b/>
                <w:sz w:val="20"/>
                <w:szCs w:val="20"/>
                <w:vertAlign w:val="superscript"/>
              </w:rPr>
              <w:t>2</w:t>
            </w:r>
          </w:p>
          <w:p w14:paraId="0A616F75" w14:textId="4F6DA5E9" w:rsidR="00D24EB0" w:rsidRPr="0009282C" w:rsidRDefault="00B61115" w:rsidP="00D24EB0">
            <w:pPr>
              <w:keepNext/>
              <w:keepLines/>
              <w:jc w:val="center"/>
              <w:rPr>
                <w:rFonts w:ascii="Arial Narrow" w:eastAsia="Calibri" w:hAnsi="Arial Narrow"/>
                <w:b/>
                <w:i/>
                <w:sz w:val="20"/>
                <w:szCs w:val="20"/>
              </w:rPr>
            </w:pPr>
            <w:r w:rsidRPr="0009282C">
              <w:rPr>
                <w:rFonts w:ascii="Arial Narrow" w:eastAsia="Calibri" w:hAnsi="Arial Narrow"/>
                <w:b/>
                <w:i/>
                <w:sz w:val="20"/>
                <w:szCs w:val="20"/>
              </w:rPr>
              <w:t>$</w:t>
            </w:r>
            <w:r w:rsidR="002212A2" w:rsidRPr="002212A2">
              <w:rPr>
                <w:rFonts w:ascii="Arial Narrow" w:eastAsia="Calibri" w:hAnsi="Arial Narrow"/>
                <w:b/>
                <w:i/>
                <w:color w:val="000000"/>
                <w:spacing w:val="58"/>
                <w:sz w:val="20"/>
                <w:szCs w:val="20"/>
                <w:shd w:val="solid" w:color="000000" w:fill="000000"/>
                <w:fitText w:val="360" w:id="-694423797"/>
                <w14:textFill>
                  <w14:solidFill>
                    <w14:srgbClr w14:val="000000">
                      <w14:alpha w14:val="100000"/>
                    </w14:srgbClr>
                  </w14:solidFill>
                </w14:textFill>
              </w:rPr>
              <w:t>|||</w:t>
            </w:r>
            <w:r w:rsidR="002212A2" w:rsidRPr="002212A2">
              <w:rPr>
                <w:rFonts w:ascii="Arial Narrow" w:eastAsia="Calibri" w:hAnsi="Arial Narrow"/>
                <w:b/>
                <w:i/>
                <w:color w:val="000000"/>
                <w:spacing w:val="3"/>
                <w:sz w:val="20"/>
                <w:szCs w:val="20"/>
                <w:shd w:val="solid" w:color="000000" w:fill="000000"/>
                <w:fitText w:val="360" w:id="-694423797"/>
                <w14:textFill>
                  <w14:solidFill>
                    <w14:srgbClr w14:val="000000">
                      <w14:alpha w14:val="100000"/>
                    </w14:srgbClr>
                  </w14:solidFill>
                </w14:textFill>
              </w:rPr>
              <w:t>|</w:t>
            </w:r>
            <w:r w:rsidR="008D18AE">
              <w:rPr>
                <w:rFonts w:ascii="Arial Narrow" w:eastAsia="Calibri" w:hAnsi="Arial Narrow"/>
                <w:b/>
                <w:i/>
                <w:sz w:val="20"/>
                <w:szCs w:val="20"/>
              </w:rPr>
              <w:t xml:space="preserve"> </w:t>
            </w:r>
            <w:r w:rsidR="008D18AE">
              <w:rPr>
                <w:rFonts w:ascii="Arial Narrow" w:eastAsia="Calibri" w:hAnsi="Arial Narrow"/>
                <w:b/>
                <w:sz w:val="20"/>
                <w:szCs w:val="20"/>
              </w:rPr>
              <w:t xml:space="preserve"> </w:t>
            </w:r>
            <w:r w:rsidR="008D18AE">
              <w:rPr>
                <w:rFonts w:ascii="Arial Narrow" w:eastAsia="Calibri" w:hAnsi="Arial Narrow"/>
                <w:b/>
                <w:sz w:val="20"/>
                <w:szCs w:val="20"/>
                <w:vertAlign w:val="superscript"/>
              </w:rPr>
              <w:t>2</w:t>
            </w:r>
          </w:p>
        </w:tc>
      </w:tr>
    </w:tbl>
    <w:p w14:paraId="699C8DF9" w14:textId="2CC53622" w:rsidR="006F4910" w:rsidRPr="0009282C" w:rsidRDefault="2DEFAF4B" w:rsidP="001E6A64">
      <w:pPr>
        <w:pStyle w:val="TableFigureFooter"/>
      </w:pPr>
      <w:r w:rsidRPr="0009282C">
        <w:t>Abbreviation</w:t>
      </w:r>
      <w:r w:rsidR="00580660" w:rsidRPr="0009282C">
        <w:t>s</w:t>
      </w:r>
      <w:r w:rsidRPr="0009282C">
        <w:t>: BSC</w:t>
      </w:r>
      <w:r w:rsidR="00B91037" w:rsidRPr="0009282C">
        <w:t>,</w:t>
      </w:r>
      <w:r w:rsidRPr="0009282C">
        <w:t xml:space="preserve"> best supportive care; ICER</w:t>
      </w:r>
      <w:r w:rsidR="00B91037" w:rsidRPr="0009282C">
        <w:t>,</w:t>
      </w:r>
      <w:r w:rsidRPr="0009282C">
        <w:t xml:space="preserve"> incremental cost-effectiveness ratio; LY</w:t>
      </w:r>
      <w:r w:rsidR="00B91037" w:rsidRPr="0009282C">
        <w:t>,</w:t>
      </w:r>
      <w:r w:rsidRPr="0009282C">
        <w:t xml:space="preserve"> life-year; QALY</w:t>
      </w:r>
      <w:r w:rsidR="00B91037" w:rsidRPr="0009282C">
        <w:t>,</w:t>
      </w:r>
      <w:r w:rsidRPr="0009282C">
        <w:t xml:space="preserve"> quality-adjusted life-year </w:t>
      </w:r>
    </w:p>
    <w:p w14:paraId="2928807C" w14:textId="6864F7CC" w:rsidR="005830DE" w:rsidRPr="0009282C" w:rsidRDefault="00580660" w:rsidP="001E6A64">
      <w:pPr>
        <w:pStyle w:val="TableFigureFooter"/>
      </w:pPr>
      <w:r w:rsidRPr="0009282C">
        <w:t>Source:</w:t>
      </w:r>
      <w:r w:rsidR="006F4910" w:rsidRPr="0009282C">
        <w:t xml:space="preserve"> Table 3.48 and 3.49</w:t>
      </w:r>
      <w:r w:rsidR="00AF44BB" w:rsidRPr="0009282C">
        <w:t>, p</w:t>
      </w:r>
      <w:r w:rsidR="00B40CCE" w:rsidRPr="0009282C">
        <w:t>p</w:t>
      </w:r>
      <w:r w:rsidR="00054A7C" w:rsidRPr="0009282C">
        <w:t>148</w:t>
      </w:r>
      <w:r w:rsidR="00D11993" w:rsidRPr="0009282C">
        <w:t>-</w:t>
      </w:r>
      <w:r w:rsidR="00511509" w:rsidRPr="0009282C">
        <w:t>149</w:t>
      </w:r>
      <w:r w:rsidR="006F4910" w:rsidRPr="0009282C">
        <w:t xml:space="preserve"> </w:t>
      </w:r>
      <w:r w:rsidR="00D60B39" w:rsidRPr="0009282C">
        <w:t xml:space="preserve">and </w:t>
      </w:r>
      <w:r w:rsidR="00B40CCE" w:rsidRPr="0009282C">
        <w:t>The E</w:t>
      </w:r>
      <w:r w:rsidR="00D60B39" w:rsidRPr="0009282C">
        <w:t>xcel workbook of the submission (</w:t>
      </w:r>
      <w:proofErr w:type="spellStart"/>
      <w:r w:rsidR="00D60B39" w:rsidRPr="0009282C">
        <w:t>Oxlumo</w:t>
      </w:r>
      <w:proofErr w:type="spellEnd"/>
      <w:r w:rsidR="00D60B39" w:rsidRPr="0009282C">
        <w:t xml:space="preserve"> Section 3 CUA HPP009243</w:t>
      </w:r>
      <w:r w:rsidR="00310092" w:rsidRPr="0009282C">
        <w:t>.xlsm</w:t>
      </w:r>
      <w:r w:rsidR="00D60B39" w:rsidRPr="0009282C">
        <w:t>, economic model of the submission).</w:t>
      </w:r>
    </w:p>
    <w:p w14:paraId="7BCF52CE" w14:textId="6D6C9C54" w:rsidR="002F408F" w:rsidRDefault="002F408F" w:rsidP="001E6A64">
      <w:pPr>
        <w:pStyle w:val="TableFigureFooter"/>
      </w:pPr>
      <w:r w:rsidRPr="0009282C">
        <w:t>Italics: alternative base case</w:t>
      </w:r>
    </w:p>
    <w:p w14:paraId="53F6CEA8" w14:textId="77777777" w:rsidR="00561759" w:rsidRPr="002D4A81" w:rsidRDefault="00561759" w:rsidP="00561759">
      <w:pPr>
        <w:rPr>
          <w:rFonts w:ascii="Arial Narrow" w:eastAsia="Times New Roman" w:hAnsi="Arial Narrow"/>
          <w:iCs/>
          <w:sz w:val="18"/>
          <w:szCs w:val="18"/>
        </w:rPr>
      </w:pPr>
      <w:r w:rsidRPr="002D4A81">
        <w:rPr>
          <w:rFonts w:ascii="Arial Narrow" w:eastAsia="Times New Roman" w:hAnsi="Arial Narrow"/>
          <w:iCs/>
          <w:sz w:val="18"/>
          <w:szCs w:val="18"/>
        </w:rPr>
        <w:t xml:space="preserve">The redacted values correspond to the following ranges: </w:t>
      </w:r>
    </w:p>
    <w:p w14:paraId="3E62EC4E" w14:textId="70E9F95C" w:rsidR="00561759" w:rsidRPr="002D4A81" w:rsidRDefault="00561759" w:rsidP="00561759">
      <w:pPr>
        <w:rPr>
          <w:rFonts w:ascii="Arial Narrow" w:eastAsia="Times New Roman" w:hAnsi="Arial Narrow"/>
          <w:iCs/>
          <w:sz w:val="18"/>
          <w:szCs w:val="18"/>
        </w:rPr>
      </w:pPr>
      <w:r w:rsidRPr="002D4A81">
        <w:rPr>
          <w:rFonts w:ascii="Arial Narrow" w:eastAsia="Times New Roman" w:hAnsi="Arial Narrow"/>
          <w:iCs/>
          <w:sz w:val="18"/>
          <w:szCs w:val="18"/>
          <w:vertAlign w:val="superscript"/>
        </w:rPr>
        <w:t>1</w:t>
      </w:r>
      <w:r w:rsidRPr="002D4A81">
        <w:rPr>
          <w:rFonts w:ascii="Arial Narrow" w:eastAsia="Times New Roman" w:hAnsi="Arial Narrow"/>
          <w:iCs/>
          <w:sz w:val="18"/>
          <w:szCs w:val="18"/>
        </w:rPr>
        <w:t xml:space="preserve"> </w:t>
      </w:r>
      <w:r w:rsidR="00DE0BDA" w:rsidRPr="002D4A81">
        <w:rPr>
          <w:rFonts w:ascii="Arial Narrow" w:eastAsia="Times New Roman" w:hAnsi="Arial Narrow"/>
          <w:iCs/>
          <w:sz w:val="18"/>
          <w:szCs w:val="18"/>
        </w:rPr>
        <w:t>&gt; $1,055,000</w:t>
      </w:r>
    </w:p>
    <w:p w14:paraId="0A5B16C4" w14:textId="379A2556" w:rsidR="00561759" w:rsidRPr="002D4A81" w:rsidRDefault="00561759" w:rsidP="00561759">
      <w:pPr>
        <w:spacing w:after="120"/>
        <w:rPr>
          <w:rFonts w:ascii="Arial Narrow" w:eastAsia="Times New Roman" w:hAnsi="Arial Narrow"/>
          <w:iCs/>
          <w:sz w:val="18"/>
          <w:szCs w:val="18"/>
        </w:rPr>
      </w:pPr>
      <w:r w:rsidRPr="002D4A81">
        <w:rPr>
          <w:rFonts w:ascii="Arial Narrow" w:eastAsia="Times New Roman" w:hAnsi="Arial Narrow"/>
          <w:iCs/>
          <w:sz w:val="18"/>
          <w:szCs w:val="18"/>
          <w:vertAlign w:val="superscript"/>
        </w:rPr>
        <w:t>2</w:t>
      </w:r>
      <w:r w:rsidRPr="002D4A81">
        <w:rPr>
          <w:rFonts w:ascii="Arial Narrow" w:eastAsia="Times New Roman" w:hAnsi="Arial Narrow"/>
          <w:iCs/>
          <w:sz w:val="18"/>
          <w:szCs w:val="18"/>
        </w:rPr>
        <w:t xml:space="preserve"> $455,000 to &lt; $555,000</w:t>
      </w:r>
    </w:p>
    <w:p w14:paraId="5C85664E" w14:textId="6159A0BC" w:rsidR="00AE4573" w:rsidRPr="0009282C" w:rsidRDefault="006000C1" w:rsidP="00EC48DC">
      <w:pPr>
        <w:pStyle w:val="3-BodyText"/>
      </w:pPr>
      <w:r w:rsidRPr="0009282C">
        <w:t>The</w:t>
      </w:r>
      <w:r w:rsidR="00B54E5D" w:rsidRPr="0009282C">
        <w:t xml:space="preserve"> ESC considered that the</w:t>
      </w:r>
      <w:r w:rsidRPr="0009282C">
        <w:t xml:space="preserve"> ICER for the model base case was high</w:t>
      </w:r>
      <w:r w:rsidR="00FB3CE3" w:rsidRPr="0009282C">
        <w:t xml:space="preserve"> </w:t>
      </w:r>
      <w:r w:rsidRPr="0009282C">
        <w:t>and</w:t>
      </w:r>
      <w:r w:rsidR="000174BF" w:rsidRPr="0009282C">
        <w:t xml:space="preserve"> </w:t>
      </w:r>
      <w:r w:rsidR="00AF207E" w:rsidRPr="0009282C">
        <w:t>uncertain</w:t>
      </w:r>
      <w:r w:rsidRPr="0009282C">
        <w:t xml:space="preserve">. </w:t>
      </w:r>
      <w:r w:rsidR="003448D7" w:rsidRPr="0009282C">
        <w:t>The ESC noted that</w:t>
      </w:r>
      <w:r w:rsidR="000E069B" w:rsidRPr="0009282C">
        <w:t xml:space="preserve"> the QALYs </w:t>
      </w:r>
      <w:r w:rsidR="00A8510D" w:rsidRPr="0009282C">
        <w:t>accrued</w:t>
      </w:r>
      <w:r w:rsidR="000E069B" w:rsidRPr="0009282C">
        <w:t xml:space="preserve"> in the BSC</w:t>
      </w:r>
      <w:r w:rsidR="00B25AE2" w:rsidRPr="0009282C">
        <w:t xml:space="preserve"> arm, over a lifetime time horizon, </w:t>
      </w:r>
      <w:r w:rsidR="007D47AC" w:rsidRPr="0009282C">
        <w:rPr>
          <w:iCs/>
        </w:rPr>
        <w:t xml:space="preserve">were </w:t>
      </w:r>
      <w:r w:rsidR="00CE3050" w:rsidRPr="0009282C">
        <w:rPr>
          <w:iCs/>
        </w:rPr>
        <w:t>implausibly</w:t>
      </w:r>
      <w:r w:rsidR="00CE3050" w:rsidRPr="0009282C">
        <w:t xml:space="preserve"> </w:t>
      </w:r>
      <w:r w:rsidR="00B25AE2" w:rsidRPr="0009282C">
        <w:t>low</w:t>
      </w:r>
      <w:r w:rsidR="00854F65" w:rsidRPr="0009282C">
        <w:t xml:space="preserve"> (</w:t>
      </w:r>
      <w:r w:rsidR="009772E4" w:rsidRPr="0009282C">
        <w:t xml:space="preserve">discounted: </w:t>
      </w:r>
      <w:r w:rsidR="00BE4D2F" w:rsidRPr="0009282C">
        <w:t>3.12</w:t>
      </w:r>
      <w:r w:rsidR="009772E4" w:rsidRPr="0009282C">
        <w:t>; undiscounted</w:t>
      </w:r>
      <w:r w:rsidR="00EC3845" w:rsidRPr="0009282C">
        <w:t xml:space="preserve">: </w:t>
      </w:r>
      <w:r w:rsidR="00BE4D2F" w:rsidRPr="0009282C">
        <w:t>9.13</w:t>
      </w:r>
      <w:r w:rsidR="00DD339B" w:rsidRPr="0009282C">
        <w:t xml:space="preserve"> vs </w:t>
      </w:r>
      <w:proofErr w:type="spellStart"/>
      <w:r w:rsidR="00DD339B" w:rsidRPr="0009282C">
        <w:t>lumasiran</w:t>
      </w:r>
      <w:proofErr w:type="spellEnd"/>
      <w:r w:rsidR="00DD339B" w:rsidRPr="0009282C">
        <w:t xml:space="preserve"> discounted: 12.18</w:t>
      </w:r>
      <w:r w:rsidR="00FD625A" w:rsidRPr="0009282C">
        <w:t>; undiscounted: 37.87)</w:t>
      </w:r>
      <w:r w:rsidR="00B25AE2" w:rsidRPr="0009282C">
        <w:t xml:space="preserve"> </w:t>
      </w:r>
      <w:r w:rsidR="005D2C0A" w:rsidRPr="0009282C">
        <w:t xml:space="preserve">when considering 70% of the cohort </w:t>
      </w:r>
      <w:r w:rsidR="00757E90" w:rsidRPr="0009282C">
        <w:t>comprised</w:t>
      </w:r>
      <w:r w:rsidR="006704A3" w:rsidRPr="0009282C">
        <w:t xml:space="preserve"> of</w:t>
      </w:r>
      <w:r w:rsidR="00757E90" w:rsidRPr="0009282C">
        <w:t xml:space="preserve"> paediatric patients with a median survival time of </w:t>
      </w:r>
      <w:r w:rsidR="00C87BDE" w:rsidRPr="0009282C">
        <w:t>60 years</w:t>
      </w:r>
      <w:r w:rsidR="005D2C0A" w:rsidRPr="0009282C">
        <w:t xml:space="preserve">. </w:t>
      </w:r>
      <w:r w:rsidR="008C410F" w:rsidRPr="0009282C">
        <w:rPr>
          <w:iCs/>
        </w:rPr>
        <w:t xml:space="preserve">The ESC noted this was due to paediatric and adult patients in the BSC arm spending a considerable number of years over a lifetime in the uncontrolled ESKD health state compared to </w:t>
      </w:r>
      <w:proofErr w:type="spellStart"/>
      <w:r w:rsidR="008C410F" w:rsidRPr="0009282C">
        <w:rPr>
          <w:iCs/>
        </w:rPr>
        <w:t>lumasiran</w:t>
      </w:r>
      <w:proofErr w:type="spellEnd"/>
      <w:r w:rsidR="008C410F" w:rsidRPr="0009282C">
        <w:rPr>
          <w:iCs/>
        </w:rPr>
        <w:t xml:space="preserve"> patients (to which a very low utility value was applied)</w:t>
      </w:r>
      <w:r w:rsidR="00AC2AAC" w:rsidRPr="0009282C">
        <w:rPr>
          <w:iCs/>
        </w:rPr>
        <w:t xml:space="preserve"> (</w:t>
      </w:r>
      <w:r w:rsidR="003E78E7" w:rsidRPr="0009282C">
        <w:rPr>
          <w:iCs/>
        </w:rPr>
        <w:fldChar w:fldCharType="begin" w:fldLock="1"/>
      </w:r>
      <w:r w:rsidR="003E78E7" w:rsidRPr="0009282C">
        <w:rPr>
          <w:iCs/>
        </w:rPr>
        <w:instrText xml:space="preserve"> REF _Ref190594180 \h  \* MERGEFORMAT </w:instrText>
      </w:r>
      <w:r w:rsidR="003E78E7" w:rsidRPr="0009282C">
        <w:rPr>
          <w:iCs/>
        </w:rPr>
      </w:r>
      <w:r w:rsidR="003E78E7" w:rsidRPr="0009282C">
        <w:rPr>
          <w:iCs/>
        </w:rPr>
        <w:fldChar w:fldCharType="separate"/>
      </w:r>
      <w:r w:rsidR="00771DFF" w:rsidRPr="00771DFF">
        <w:rPr>
          <w:iCs/>
        </w:rPr>
        <w:t xml:space="preserve">Figure </w:t>
      </w:r>
      <w:r w:rsidR="00771DFF" w:rsidRPr="00771DFF">
        <w:rPr>
          <w:iCs/>
          <w:noProof/>
        </w:rPr>
        <w:t>3</w:t>
      </w:r>
      <w:r w:rsidR="003E78E7" w:rsidRPr="0009282C">
        <w:rPr>
          <w:iCs/>
        </w:rPr>
        <w:fldChar w:fldCharType="end"/>
      </w:r>
      <w:r w:rsidR="00AC2AAC" w:rsidRPr="0009282C">
        <w:rPr>
          <w:iCs/>
        </w:rPr>
        <w:t>)</w:t>
      </w:r>
      <w:r w:rsidR="008C410F" w:rsidRPr="0009282C">
        <w:rPr>
          <w:iCs/>
        </w:rPr>
        <w:t xml:space="preserve">. </w:t>
      </w:r>
    </w:p>
    <w:p w14:paraId="52C51F7A" w14:textId="1CEC01E0" w:rsidR="005830DE" w:rsidRPr="0009282C" w:rsidRDefault="005830DE" w:rsidP="00EC48DC">
      <w:pPr>
        <w:pStyle w:val="3-BodyText"/>
        <w:rPr>
          <w:iCs/>
        </w:rPr>
      </w:pPr>
      <w:r w:rsidRPr="0009282C">
        <w:t xml:space="preserve">The incremental costs for healthcare resource used in the economic evaluation are summarised in </w:t>
      </w:r>
      <w:r w:rsidRPr="0009282C">
        <w:fldChar w:fldCharType="begin" w:fldLock="1"/>
      </w:r>
      <w:r w:rsidRPr="0009282C">
        <w:instrText xml:space="preserve"> REF _Ref185805880 \h </w:instrText>
      </w:r>
      <w:r w:rsidRPr="0009282C">
        <w:fldChar w:fldCharType="separate"/>
      </w:r>
      <w:r w:rsidR="00771DFF" w:rsidRPr="0009282C">
        <w:t xml:space="preserve">Table </w:t>
      </w:r>
      <w:r w:rsidR="00771DFF">
        <w:rPr>
          <w:noProof/>
        </w:rPr>
        <w:t>14</w:t>
      </w:r>
      <w:r w:rsidRPr="0009282C">
        <w:fldChar w:fldCharType="end"/>
      </w:r>
      <w:r w:rsidRPr="0009282C">
        <w:t>.</w:t>
      </w:r>
      <w:r w:rsidR="00083FC1" w:rsidRPr="0009282C">
        <w:t xml:space="preserve"> </w:t>
      </w:r>
      <w:r w:rsidRPr="0009282C">
        <w:rPr>
          <w:iCs/>
        </w:rPr>
        <w:t xml:space="preserve">It was observed that the key drivers of the costs were </w:t>
      </w:r>
      <w:proofErr w:type="spellStart"/>
      <w:r w:rsidRPr="0009282C">
        <w:rPr>
          <w:iCs/>
        </w:rPr>
        <w:t>lumasiran</w:t>
      </w:r>
      <w:proofErr w:type="spellEnd"/>
      <w:r w:rsidRPr="0009282C">
        <w:rPr>
          <w:iCs/>
        </w:rPr>
        <w:t>, dialysis, and systemic oxalosis.</w:t>
      </w:r>
    </w:p>
    <w:p w14:paraId="0B38D2A3" w14:textId="2D0C3731" w:rsidR="00BD1AEF" w:rsidRPr="0009282C" w:rsidRDefault="00E95914" w:rsidP="00EC48DC">
      <w:pPr>
        <w:pStyle w:val="3-BodyText"/>
      </w:pPr>
      <w:r w:rsidRPr="0009282C">
        <w:t xml:space="preserve">The cost associated with the treatment of </w:t>
      </w:r>
      <w:proofErr w:type="spellStart"/>
      <w:r w:rsidRPr="0009282C">
        <w:t>lumasiran</w:t>
      </w:r>
      <w:proofErr w:type="spellEnd"/>
      <w:r w:rsidRPr="0009282C">
        <w:t xml:space="preserve"> for each patient in the model over a lifetime time horizon was $</w:t>
      </w:r>
      <w:r w:rsidR="002212A2" w:rsidRPr="002212A2">
        <w:rPr>
          <w:color w:val="000000"/>
          <w:w w:val="60"/>
          <w:shd w:val="solid" w:color="000000" w:fill="000000"/>
          <w:fitText w:val="470" w:id="-694423796"/>
          <w14:textFill>
            <w14:solidFill>
              <w14:srgbClr w14:val="000000">
                <w14:alpha w14:val="100000"/>
              </w14:srgbClr>
            </w14:solidFill>
          </w14:textFill>
        </w:rPr>
        <w:t>|||  ||</w:t>
      </w:r>
      <w:r w:rsidR="002212A2" w:rsidRPr="002212A2">
        <w:rPr>
          <w:color w:val="000000"/>
          <w:spacing w:val="6"/>
          <w:w w:val="60"/>
          <w:shd w:val="solid" w:color="000000" w:fill="000000"/>
          <w:fitText w:val="470" w:id="-694423796"/>
          <w14:textFill>
            <w14:solidFill>
              <w14:srgbClr w14:val="000000">
                <w14:alpha w14:val="100000"/>
              </w14:srgbClr>
            </w14:solidFill>
          </w14:textFill>
        </w:rPr>
        <w:t>|</w:t>
      </w:r>
      <w:r w:rsidRPr="0009282C">
        <w:t xml:space="preserve"> million discounted ($</w:t>
      </w:r>
      <w:r w:rsidR="002212A2" w:rsidRPr="002212A2">
        <w:rPr>
          <w:color w:val="000000"/>
          <w:w w:val="60"/>
          <w:shd w:val="solid" w:color="000000" w:fill="000000"/>
          <w:fitText w:val="470" w:id="-694423795"/>
          <w14:textFill>
            <w14:solidFill>
              <w14:srgbClr w14:val="000000">
                <w14:alpha w14:val="100000"/>
              </w14:srgbClr>
            </w14:solidFill>
          </w14:textFill>
        </w:rPr>
        <w:t>|||  ||</w:t>
      </w:r>
      <w:r w:rsidR="002212A2" w:rsidRPr="002212A2">
        <w:rPr>
          <w:color w:val="000000"/>
          <w:spacing w:val="6"/>
          <w:w w:val="60"/>
          <w:shd w:val="solid" w:color="000000" w:fill="000000"/>
          <w:fitText w:val="470" w:id="-694423795"/>
          <w14:textFill>
            <w14:solidFill>
              <w14:srgbClr w14:val="000000">
                <w14:alpha w14:val="100000"/>
              </w14:srgbClr>
            </w14:solidFill>
          </w14:textFill>
        </w:rPr>
        <w:t>|</w:t>
      </w:r>
      <w:r w:rsidRPr="0009282C">
        <w:t xml:space="preserve"> million undiscounted). </w:t>
      </w:r>
      <w:r w:rsidR="00075031" w:rsidRPr="0009282C">
        <w:t xml:space="preserve">For the </w:t>
      </w:r>
      <w:proofErr w:type="spellStart"/>
      <w:r w:rsidR="00075031" w:rsidRPr="0009282C">
        <w:t>lumasiran</w:t>
      </w:r>
      <w:proofErr w:type="spellEnd"/>
      <w:r w:rsidR="00075031" w:rsidRPr="0009282C">
        <w:t xml:space="preserve"> arm, </w:t>
      </w:r>
      <w:r w:rsidR="0060650E" w:rsidRPr="0009282C">
        <w:t xml:space="preserve">costs were predominately accrued in the early </w:t>
      </w:r>
      <w:r w:rsidR="006644B6" w:rsidRPr="0009282C">
        <w:t xml:space="preserve">CKD </w:t>
      </w:r>
      <w:r w:rsidR="0060650E" w:rsidRPr="0009282C">
        <w:t xml:space="preserve">stages and </w:t>
      </w:r>
      <w:r w:rsidR="00FA5F7B" w:rsidRPr="0009282C">
        <w:t>in the controlled CKD 4 and ESKD states.</w:t>
      </w:r>
      <w:r w:rsidR="00047E1C" w:rsidRPr="0009282C">
        <w:t xml:space="preserve"> For BSC, costs were ac</w:t>
      </w:r>
      <w:r w:rsidR="0015366B" w:rsidRPr="0009282C">
        <w:t xml:space="preserve">crued predominately </w:t>
      </w:r>
      <w:r w:rsidR="009133AF" w:rsidRPr="0009282C">
        <w:t>in the ESKD</w:t>
      </w:r>
      <w:r w:rsidR="00D21A40" w:rsidRPr="0009282C">
        <w:t xml:space="preserve"> uncontrolled health state.</w:t>
      </w:r>
      <w:r w:rsidR="0060650E" w:rsidRPr="0009282C">
        <w:t xml:space="preserve"> </w:t>
      </w:r>
      <w:r w:rsidR="005830DE" w:rsidRPr="0009282C">
        <w:t xml:space="preserve">Both the dialysis and the management of systemic oxalosis were presented as cost savings to offset the </w:t>
      </w:r>
      <w:proofErr w:type="spellStart"/>
      <w:r w:rsidR="005830DE" w:rsidRPr="0009282C">
        <w:t>lumasiran</w:t>
      </w:r>
      <w:proofErr w:type="spellEnd"/>
      <w:r w:rsidR="005830DE" w:rsidRPr="0009282C">
        <w:t xml:space="preserve"> costs. </w:t>
      </w:r>
      <w:r w:rsidR="005830DE" w:rsidRPr="0009282C">
        <w:rPr>
          <w:iCs/>
        </w:rPr>
        <w:t xml:space="preserve">As </w:t>
      </w:r>
      <w:r w:rsidR="00E62010" w:rsidRPr="0009282C">
        <w:t>noted above</w:t>
      </w:r>
      <w:r w:rsidR="005830DE" w:rsidRPr="0009282C">
        <w:rPr>
          <w:iCs/>
        </w:rPr>
        <w:t xml:space="preserve">, it </w:t>
      </w:r>
      <w:r w:rsidR="00DB189B" w:rsidRPr="0009282C">
        <w:rPr>
          <w:iCs/>
        </w:rPr>
        <w:t xml:space="preserve">may </w:t>
      </w:r>
      <w:r w:rsidR="005830DE" w:rsidRPr="0009282C">
        <w:rPr>
          <w:iCs/>
        </w:rPr>
        <w:t xml:space="preserve">not be realistic to allow patients to remain on intensive dialysis for 60% to 70% of their life. Therefore, the dialysis cost offset </w:t>
      </w:r>
      <w:r w:rsidR="00DB189B" w:rsidRPr="0009282C">
        <w:rPr>
          <w:iCs/>
        </w:rPr>
        <w:t xml:space="preserve">may </w:t>
      </w:r>
      <w:r w:rsidR="005830DE" w:rsidRPr="0009282C">
        <w:rPr>
          <w:iCs/>
        </w:rPr>
        <w:t xml:space="preserve">be significantly overestimated. Further, transplant costs were </w:t>
      </w:r>
      <w:r w:rsidR="00E0288F" w:rsidRPr="0009282C">
        <w:rPr>
          <w:iCs/>
        </w:rPr>
        <w:t>small</w:t>
      </w:r>
      <w:r w:rsidR="005830DE" w:rsidRPr="0009282C">
        <w:rPr>
          <w:iCs/>
        </w:rPr>
        <w:t xml:space="preserve"> in the model base case. This was possibly </w:t>
      </w:r>
      <w:r w:rsidR="0067182E" w:rsidRPr="0009282C">
        <w:t>due to</w:t>
      </w:r>
      <w:r w:rsidR="005830DE" w:rsidRPr="0009282C">
        <w:t xml:space="preserve"> the </w:t>
      </w:r>
      <w:r w:rsidR="00B72214" w:rsidRPr="0009282C">
        <w:t xml:space="preserve">assumed </w:t>
      </w:r>
      <w:r w:rsidR="005830DE" w:rsidRPr="0009282C">
        <w:rPr>
          <w:iCs/>
        </w:rPr>
        <w:t>low probabilit</w:t>
      </w:r>
      <w:r w:rsidR="00DD6167" w:rsidRPr="0009282C">
        <w:rPr>
          <w:iCs/>
        </w:rPr>
        <w:t>y of</w:t>
      </w:r>
      <w:r w:rsidR="005830DE" w:rsidRPr="0009282C">
        <w:rPr>
          <w:iCs/>
        </w:rPr>
        <w:t xml:space="preserve"> patients receiv</w:t>
      </w:r>
      <w:r w:rsidR="00B72214" w:rsidRPr="0009282C">
        <w:rPr>
          <w:iCs/>
        </w:rPr>
        <w:t>ing</w:t>
      </w:r>
      <w:r w:rsidR="005830DE" w:rsidRPr="0009282C">
        <w:rPr>
          <w:iCs/>
        </w:rPr>
        <w:t xml:space="preserve"> transplant until very late CKD stages. </w:t>
      </w:r>
    </w:p>
    <w:p w14:paraId="3DB1F8C2" w14:textId="36B13A10" w:rsidR="005830DE" w:rsidRPr="0009282C" w:rsidRDefault="005830DE" w:rsidP="00020F22">
      <w:pPr>
        <w:pStyle w:val="Caption"/>
      </w:pPr>
      <w:bookmarkStart w:id="68" w:name="_Ref185805880"/>
      <w:r w:rsidRPr="0009282C">
        <w:t xml:space="preserve">Table </w:t>
      </w:r>
      <w:r w:rsidR="000D4330">
        <w:fldChar w:fldCharType="begin" w:fldLock="1"/>
      </w:r>
      <w:r w:rsidR="000D4330">
        <w:instrText xml:space="preserve"> SEQ Table \* ARABIC </w:instrText>
      </w:r>
      <w:r w:rsidR="000D4330">
        <w:fldChar w:fldCharType="separate"/>
      </w:r>
      <w:r w:rsidR="00771DFF">
        <w:rPr>
          <w:noProof/>
        </w:rPr>
        <w:t>14</w:t>
      </w:r>
      <w:r w:rsidR="000D4330">
        <w:rPr>
          <w:noProof/>
        </w:rPr>
        <w:fldChar w:fldCharType="end"/>
      </w:r>
      <w:bookmarkEnd w:id="68"/>
      <w:r w:rsidR="008D545F" w:rsidRPr="0009282C">
        <w:rPr>
          <w:noProof/>
        </w:rPr>
        <w:t xml:space="preserve">: </w:t>
      </w:r>
      <w:r w:rsidRPr="0009282C" w:rsidDel="000D2056">
        <w:fldChar w:fldCharType="begin" w:fldLock="1"/>
      </w:r>
      <w:r w:rsidRPr="0009282C" w:rsidDel="000D2056">
        <w:fldChar w:fldCharType="separate"/>
      </w:r>
      <w:r w:rsidRPr="0009282C" w:rsidDel="000D2056">
        <w:fldChar w:fldCharType="end"/>
      </w:r>
      <w:r w:rsidRPr="0009282C">
        <w:rPr>
          <w:szCs w:val="20"/>
        </w:rPr>
        <w:t>Disaggregated summary of costs (discounted) in the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423"/>
        <w:gridCol w:w="1423"/>
        <w:gridCol w:w="1423"/>
        <w:gridCol w:w="1423"/>
      </w:tblGrid>
      <w:tr w:rsidR="005830DE" w:rsidRPr="0009282C" w14:paraId="5341D645" w14:textId="77777777" w:rsidTr="009754B9">
        <w:trPr>
          <w:trHeight w:val="20"/>
          <w:tblHeader/>
        </w:trPr>
        <w:tc>
          <w:tcPr>
            <w:tcW w:w="3325" w:type="dxa"/>
            <w:shd w:val="clear" w:color="auto" w:fill="auto"/>
          </w:tcPr>
          <w:p w14:paraId="6FA102D0" w14:textId="77777777" w:rsidR="005830DE" w:rsidRPr="0009282C" w:rsidRDefault="005830DE" w:rsidP="00020F22">
            <w:pPr>
              <w:pStyle w:val="TableText0"/>
              <w:keepNext/>
              <w:keepLines/>
              <w:contextualSpacing/>
              <w:rPr>
                <w:b/>
                <w:bCs w:val="0"/>
                <w:szCs w:val="20"/>
              </w:rPr>
            </w:pPr>
            <w:r w:rsidRPr="0009282C">
              <w:rPr>
                <w:b/>
                <w:bCs w:val="0"/>
                <w:szCs w:val="20"/>
              </w:rPr>
              <w:t xml:space="preserve">Item </w:t>
            </w:r>
          </w:p>
        </w:tc>
        <w:tc>
          <w:tcPr>
            <w:tcW w:w="1423" w:type="dxa"/>
            <w:shd w:val="clear" w:color="auto" w:fill="auto"/>
          </w:tcPr>
          <w:p w14:paraId="0EF5EBB0" w14:textId="6330E66F" w:rsidR="005830DE" w:rsidRPr="0009282C" w:rsidRDefault="005830DE" w:rsidP="00020F22">
            <w:pPr>
              <w:pStyle w:val="TableText0"/>
              <w:keepNext/>
              <w:keepLines/>
              <w:contextualSpacing/>
              <w:rPr>
                <w:b/>
              </w:rPr>
            </w:pPr>
            <w:proofErr w:type="spellStart"/>
            <w:r w:rsidRPr="0009282C">
              <w:rPr>
                <w:b/>
              </w:rPr>
              <w:t>Lumasiran</w:t>
            </w:r>
            <w:proofErr w:type="spellEnd"/>
          </w:p>
        </w:tc>
        <w:tc>
          <w:tcPr>
            <w:tcW w:w="1423" w:type="dxa"/>
            <w:shd w:val="clear" w:color="auto" w:fill="auto"/>
          </w:tcPr>
          <w:p w14:paraId="0B5F77D0" w14:textId="77777777" w:rsidR="005830DE" w:rsidRPr="0009282C" w:rsidRDefault="005830DE" w:rsidP="00020F22">
            <w:pPr>
              <w:pStyle w:val="TableText0"/>
              <w:keepNext/>
              <w:keepLines/>
              <w:contextualSpacing/>
              <w:rPr>
                <w:b/>
                <w:bCs w:val="0"/>
                <w:szCs w:val="20"/>
              </w:rPr>
            </w:pPr>
            <w:r w:rsidRPr="0009282C">
              <w:rPr>
                <w:b/>
                <w:bCs w:val="0"/>
                <w:szCs w:val="20"/>
              </w:rPr>
              <w:t>BSC</w:t>
            </w:r>
          </w:p>
        </w:tc>
        <w:tc>
          <w:tcPr>
            <w:tcW w:w="1423" w:type="dxa"/>
            <w:shd w:val="clear" w:color="auto" w:fill="auto"/>
          </w:tcPr>
          <w:p w14:paraId="688414DE" w14:textId="77777777" w:rsidR="005830DE" w:rsidRPr="0009282C" w:rsidRDefault="005830DE" w:rsidP="00020F22">
            <w:pPr>
              <w:pStyle w:val="TableText0"/>
              <w:keepNext/>
              <w:keepLines/>
              <w:contextualSpacing/>
              <w:rPr>
                <w:b/>
                <w:bCs w:val="0"/>
                <w:szCs w:val="20"/>
              </w:rPr>
            </w:pPr>
            <w:r w:rsidRPr="0009282C">
              <w:rPr>
                <w:b/>
                <w:bCs w:val="0"/>
                <w:szCs w:val="20"/>
              </w:rPr>
              <w:t>Incremental</w:t>
            </w:r>
          </w:p>
        </w:tc>
        <w:tc>
          <w:tcPr>
            <w:tcW w:w="1423" w:type="dxa"/>
            <w:shd w:val="clear" w:color="auto" w:fill="auto"/>
          </w:tcPr>
          <w:p w14:paraId="2E216C3B" w14:textId="77777777" w:rsidR="005830DE" w:rsidRPr="0009282C" w:rsidRDefault="005830DE" w:rsidP="00020F22">
            <w:pPr>
              <w:pStyle w:val="TableText0"/>
              <w:keepNext/>
              <w:keepLines/>
              <w:contextualSpacing/>
              <w:rPr>
                <w:b/>
                <w:bCs w:val="0"/>
                <w:szCs w:val="20"/>
              </w:rPr>
            </w:pPr>
            <w:r w:rsidRPr="0009282C">
              <w:rPr>
                <w:b/>
                <w:bCs w:val="0"/>
                <w:szCs w:val="20"/>
              </w:rPr>
              <w:t>% of total incremental</w:t>
            </w:r>
          </w:p>
        </w:tc>
      </w:tr>
      <w:tr w:rsidR="005830DE" w:rsidRPr="0009282C" w14:paraId="078D8A68" w14:textId="77777777" w:rsidTr="009754B9">
        <w:trPr>
          <w:trHeight w:val="20"/>
        </w:trPr>
        <w:tc>
          <w:tcPr>
            <w:tcW w:w="9017" w:type="dxa"/>
            <w:gridSpan w:val="5"/>
            <w:shd w:val="clear" w:color="auto" w:fill="auto"/>
            <w:vAlign w:val="center"/>
          </w:tcPr>
          <w:p w14:paraId="1FC5EFCF" w14:textId="77777777" w:rsidR="005830DE" w:rsidRPr="0009282C" w:rsidRDefault="005830DE" w:rsidP="00020F22">
            <w:pPr>
              <w:pStyle w:val="TableText0"/>
              <w:keepNext/>
              <w:keepLines/>
              <w:contextualSpacing/>
              <w:rPr>
                <w:b/>
                <w:bCs w:val="0"/>
                <w:szCs w:val="20"/>
              </w:rPr>
            </w:pPr>
            <w:r w:rsidRPr="0009282C">
              <w:rPr>
                <w:b/>
                <w:bCs w:val="0"/>
                <w:szCs w:val="20"/>
              </w:rPr>
              <w:t>Entire cohort</w:t>
            </w:r>
          </w:p>
        </w:tc>
      </w:tr>
      <w:tr w:rsidR="005830DE" w:rsidRPr="0009282C" w14:paraId="087BE891" w14:textId="77777777" w:rsidTr="009754B9">
        <w:trPr>
          <w:trHeight w:val="20"/>
        </w:trPr>
        <w:tc>
          <w:tcPr>
            <w:tcW w:w="9017" w:type="dxa"/>
            <w:gridSpan w:val="5"/>
            <w:shd w:val="clear" w:color="auto" w:fill="auto"/>
          </w:tcPr>
          <w:p w14:paraId="5C035FB7" w14:textId="77777777" w:rsidR="005830DE" w:rsidRPr="0009282C" w:rsidRDefault="005830DE" w:rsidP="00020F22">
            <w:pPr>
              <w:pStyle w:val="TableText0"/>
              <w:keepNext/>
              <w:keepLines/>
              <w:contextualSpacing/>
              <w:rPr>
                <w:b/>
                <w:bCs w:val="0"/>
                <w:szCs w:val="20"/>
              </w:rPr>
            </w:pPr>
            <w:r w:rsidRPr="0009282C">
              <w:rPr>
                <w:b/>
                <w:bCs w:val="0"/>
                <w:szCs w:val="20"/>
              </w:rPr>
              <w:t>Cost across type of resource item</w:t>
            </w:r>
          </w:p>
        </w:tc>
      </w:tr>
      <w:tr w:rsidR="005830DE" w:rsidRPr="0009282C" w14:paraId="7FE351A9" w14:textId="77777777" w:rsidTr="009754B9">
        <w:trPr>
          <w:trHeight w:val="20"/>
        </w:trPr>
        <w:tc>
          <w:tcPr>
            <w:tcW w:w="3325" w:type="dxa"/>
            <w:shd w:val="clear" w:color="auto" w:fill="auto"/>
          </w:tcPr>
          <w:p w14:paraId="1495CA89" w14:textId="77777777" w:rsidR="005830DE" w:rsidRPr="0009282C" w:rsidRDefault="005830DE" w:rsidP="00020F22">
            <w:pPr>
              <w:pStyle w:val="TableText0"/>
              <w:keepNext/>
              <w:keepLines/>
              <w:contextualSpacing/>
              <w:rPr>
                <w:szCs w:val="20"/>
              </w:rPr>
            </w:pPr>
            <w:r w:rsidRPr="0009282C">
              <w:rPr>
                <w:szCs w:val="20"/>
              </w:rPr>
              <w:t>Drug</w:t>
            </w:r>
          </w:p>
        </w:tc>
        <w:tc>
          <w:tcPr>
            <w:tcW w:w="1423" w:type="dxa"/>
            <w:shd w:val="clear" w:color="auto" w:fill="auto"/>
          </w:tcPr>
          <w:p w14:paraId="5187A4AA" w14:textId="17A415D7" w:rsidR="005830DE" w:rsidRPr="0009282C" w:rsidRDefault="005830DE" w:rsidP="00020F22">
            <w:pPr>
              <w:pStyle w:val="TableText0"/>
              <w:keepNext/>
              <w:keepLines/>
              <w:contextualSpacing/>
              <w:jc w:val="right"/>
              <w:rPr>
                <w:szCs w:val="20"/>
              </w:rPr>
            </w:pPr>
            <w:r w:rsidRPr="0009282C">
              <w:rPr>
                <w:szCs w:val="20"/>
              </w:rPr>
              <w:t>$</w:t>
            </w:r>
            <w:r w:rsidR="002212A2" w:rsidRPr="002212A2">
              <w:rPr>
                <w:rFonts w:cstheme="minorHAnsi"/>
                <w:color w:val="000000"/>
                <w:spacing w:val="53"/>
                <w:szCs w:val="20"/>
                <w:shd w:val="solid" w:color="000000" w:fill="000000"/>
                <w:fitText w:val="330" w:id="-694423794"/>
                <w14:textFill>
                  <w14:solidFill>
                    <w14:srgbClr w14:val="000000">
                      <w14:alpha w14:val="100000"/>
                    </w14:srgbClr>
                  </w14:solidFill>
                </w14:textFill>
              </w:rPr>
              <w:t>|||</w:t>
            </w:r>
            <w:r w:rsidR="002212A2" w:rsidRPr="002212A2">
              <w:rPr>
                <w:rFonts w:cstheme="minorHAnsi"/>
                <w:color w:val="000000"/>
                <w:spacing w:val="1"/>
                <w:szCs w:val="20"/>
                <w:shd w:val="solid" w:color="000000" w:fill="000000"/>
                <w:fitText w:val="330" w:id="-694423794"/>
                <w14:textFill>
                  <w14:solidFill>
                    <w14:srgbClr w14:val="000000">
                      <w14:alpha w14:val="100000"/>
                    </w14:srgbClr>
                  </w14:solidFill>
                </w14:textFill>
              </w:rPr>
              <w:t>|</w:t>
            </w:r>
          </w:p>
        </w:tc>
        <w:tc>
          <w:tcPr>
            <w:tcW w:w="1423" w:type="dxa"/>
            <w:shd w:val="clear" w:color="auto" w:fill="auto"/>
          </w:tcPr>
          <w:p w14:paraId="5BC4DEC1"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6,762</w:t>
            </w:r>
          </w:p>
        </w:tc>
        <w:tc>
          <w:tcPr>
            <w:tcW w:w="1423" w:type="dxa"/>
            <w:shd w:val="clear" w:color="auto" w:fill="auto"/>
          </w:tcPr>
          <w:p w14:paraId="2AA27984" w14:textId="08E75D49" w:rsidR="005830DE" w:rsidRPr="0009282C" w:rsidRDefault="005830DE" w:rsidP="00020F22">
            <w:pPr>
              <w:pStyle w:val="TableText0"/>
              <w:keepNext/>
              <w:keepLines/>
              <w:contextualSpacing/>
              <w:jc w:val="right"/>
              <w:rPr>
                <w:szCs w:val="20"/>
              </w:rPr>
            </w:pPr>
            <w:r w:rsidRPr="0009282C">
              <w:rPr>
                <w:rFonts w:eastAsia="Times New Roman" w:cs="Times New Roman"/>
                <w:color w:val="000000"/>
                <w:szCs w:val="20"/>
              </w:rPr>
              <w:t>$</w:t>
            </w:r>
            <w:r w:rsidR="002212A2" w:rsidRPr="002212A2">
              <w:rPr>
                <w:rFonts w:eastAsia="Times New Roman" w:cs="Times New Roman"/>
                <w:color w:val="000000"/>
                <w:spacing w:val="53"/>
                <w:szCs w:val="20"/>
                <w:shd w:val="solid" w:color="000000" w:fill="000000"/>
                <w:fitText w:val="330" w:id="-694423793"/>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3"/>
                <w14:textFill>
                  <w14:solidFill>
                    <w14:srgbClr w14:val="000000">
                      <w14:alpha w14:val="100000"/>
                    </w14:srgbClr>
                  </w14:solidFill>
                </w14:textFill>
              </w:rPr>
              <w:t>|</w:t>
            </w:r>
            <w:r w:rsidRPr="0009282C">
              <w:rPr>
                <w:rFonts w:eastAsia="Times New Roman" w:cs="Times New Roman"/>
                <w:color w:val="000000"/>
                <w:szCs w:val="20"/>
              </w:rPr>
              <w:t xml:space="preserve"> </w:t>
            </w:r>
          </w:p>
        </w:tc>
        <w:tc>
          <w:tcPr>
            <w:tcW w:w="1423" w:type="dxa"/>
            <w:shd w:val="clear" w:color="auto" w:fill="auto"/>
            <w:vAlign w:val="center"/>
          </w:tcPr>
          <w:p w14:paraId="361C89E8" w14:textId="3BC07B3D" w:rsidR="005830DE" w:rsidRPr="0009282C" w:rsidRDefault="002212A2" w:rsidP="00020F22">
            <w:pPr>
              <w:pStyle w:val="TableText0"/>
              <w:keepNext/>
              <w:keepLines/>
              <w:contextualSpacing/>
              <w:jc w:val="right"/>
              <w:rPr>
                <w:szCs w:val="20"/>
              </w:rPr>
            </w:pPr>
            <w:r w:rsidRPr="002212A2">
              <w:rPr>
                <w:color w:val="000000"/>
                <w:spacing w:val="53"/>
                <w:szCs w:val="20"/>
                <w:shd w:val="solid" w:color="000000" w:fill="000000"/>
                <w:fitText w:val="330" w:id="-694423792"/>
                <w14:textFill>
                  <w14:solidFill>
                    <w14:srgbClr w14:val="000000">
                      <w14:alpha w14:val="100000"/>
                    </w14:srgbClr>
                  </w14:solidFill>
                </w14:textFill>
              </w:rPr>
              <w:t>|||</w:t>
            </w:r>
            <w:r w:rsidRPr="002212A2">
              <w:rPr>
                <w:color w:val="000000"/>
                <w:spacing w:val="1"/>
                <w:szCs w:val="20"/>
                <w:shd w:val="solid" w:color="000000" w:fill="000000"/>
                <w:fitText w:val="330" w:id="-694423792"/>
                <w14:textFill>
                  <w14:solidFill>
                    <w14:srgbClr w14:val="000000">
                      <w14:alpha w14:val="100000"/>
                    </w14:srgbClr>
                  </w14:solidFill>
                </w14:textFill>
              </w:rPr>
              <w:t>|</w:t>
            </w:r>
            <w:r w:rsidR="005830DE" w:rsidRPr="0009282C">
              <w:rPr>
                <w:color w:val="000000"/>
                <w:szCs w:val="20"/>
              </w:rPr>
              <w:t>%</w:t>
            </w:r>
          </w:p>
        </w:tc>
      </w:tr>
      <w:tr w:rsidR="005830DE" w:rsidRPr="0009282C" w14:paraId="1D69D9A8" w14:textId="77777777" w:rsidTr="009754B9">
        <w:trPr>
          <w:trHeight w:val="20"/>
        </w:trPr>
        <w:tc>
          <w:tcPr>
            <w:tcW w:w="3325" w:type="dxa"/>
            <w:shd w:val="clear" w:color="auto" w:fill="auto"/>
          </w:tcPr>
          <w:p w14:paraId="4EC0AC11" w14:textId="77777777" w:rsidR="005830DE" w:rsidRPr="0009282C" w:rsidRDefault="005830DE" w:rsidP="00020F22">
            <w:pPr>
              <w:pStyle w:val="TableText0"/>
              <w:keepNext/>
              <w:keepLines/>
              <w:contextualSpacing/>
              <w:rPr>
                <w:szCs w:val="20"/>
              </w:rPr>
            </w:pPr>
            <w:r w:rsidRPr="0009282C">
              <w:rPr>
                <w:szCs w:val="20"/>
              </w:rPr>
              <w:t>Administration cost</w:t>
            </w:r>
          </w:p>
        </w:tc>
        <w:tc>
          <w:tcPr>
            <w:tcW w:w="1423" w:type="dxa"/>
            <w:shd w:val="clear" w:color="auto" w:fill="auto"/>
          </w:tcPr>
          <w:p w14:paraId="5095E2C3"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19,742</w:t>
            </w:r>
          </w:p>
        </w:tc>
        <w:tc>
          <w:tcPr>
            <w:tcW w:w="1423" w:type="dxa"/>
            <w:shd w:val="clear" w:color="auto" w:fill="auto"/>
          </w:tcPr>
          <w:p w14:paraId="212943D5" w14:textId="77777777" w:rsidR="005830DE" w:rsidRPr="0009282C" w:rsidRDefault="005830DE" w:rsidP="00020F22">
            <w:pPr>
              <w:pStyle w:val="TableText0"/>
              <w:keepNext/>
              <w:keepLines/>
              <w:contextualSpacing/>
              <w:jc w:val="right"/>
              <w:rPr>
                <w:szCs w:val="20"/>
              </w:rPr>
            </w:pPr>
            <w:r w:rsidRPr="0009282C">
              <w:rPr>
                <w:szCs w:val="20"/>
              </w:rPr>
              <w:t>$0</w:t>
            </w:r>
          </w:p>
        </w:tc>
        <w:tc>
          <w:tcPr>
            <w:tcW w:w="1423" w:type="dxa"/>
            <w:shd w:val="clear" w:color="auto" w:fill="auto"/>
          </w:tcPr>
          <w:p w14:paraId="471C18EC" w14:textId="77777777" w:rsidR="005830DE" w:rsidRPr="0009282C" w:rsidRDefault="005830DE" w:rsidP="00020F22">
            <w:pPr>
              <w:pStyle w:val="TableText0"/>
              <w:keepNext/>
              <w:keepLines/>
              <w:contextualSpacing/>
              <w:jc w:val="right"/>
              <w:rPr>
                <w:szCs w:val="20"/>
              </w:rPr>
            </w:pPr>
            <w:r w:rsidRPr="0009282C">
              <w:rPr>
                <w:rFonts w:eastAsia="Times New Roman" w:cs="Times New Roman"/>
                <w:color w:val="000000"/>
                <w:szCs w:val="20"/>
              </w:rPr>
              <w:t xml:space="preserve">$19,742 </w:t>
            </w:r>
          </w:p>
        </w:tc>
        <w:tc>
          <w:tcPr>
            <w:tcW w:w="1423" w:type="dxa"/>
            <w:shd w:val="clear" w:color="auto" w:fill="auto"/>
            <w:vAlign w:val="center"/>
          </w:tcPr>
          <w:p w14:paraId="1BF4E7B5" w14:textId="46E3AD10" w:rsidR="005830DE" w:rsidRPr="00DE0BDA" w:rsidRDefault="002212A2" w:rsidP="00020F22">
            <w:pPr>
              <w:pStyle w:val="TableText0"/>
              <w:keepNext/>
              <w:keepLines/>
              <w:contextualSpacing/>
              <w:jc w:val="right"/>
              <w:rPr>
                <w:szCs w:val="20"/>
                <w:highlight w:val="darkGray"/>
              </w:rPr>
            </w:pPr>
            <w:r w:rsidRPr="002212A2">
              <w:rPr>
                <w:color w:val="000000"/>
                <w:spacing w:val="53"/>
                <w:szCs w:val="20"/>
                <w:shd w:val="solid" w:color="000000" w:fill="000000"/>
                <w:fitText w:val="330" w:id="-694423808"/>
                <w14:textFill>
                  <w14:solidFill>
                    <w14:srgbClr w14:val="000000">
                      <w14:alpha w14:val="100000"/>
                    </w14:srgbClr>
                  </w14:solidFill>
                </w14:textFill>
              </w:rPr>
              <w:t>|||</w:t>
            </w:r>
            <w:r w:rsidRPr="002212A2">
              <w:rPr>
                <w:color w:val="000000"/>
                <w:spacing w:val="1"/>
                <w:szCs w:val="20"/>
                <w:shd w:val="solid" w:color="000000" w:fill="000000"/>
                <w:fitText w:val="330" w:id="-694423808"/>
                <w14:textFill>
                  <w14:solidFill>
                    <w14:srgbClr w14:val="000000">
                      <w14:alpha w14:val="100000"/>
                    </w14:srgbClr>
                  </w14:solidFill>
                </w14:textFill>
              </w:rPr>
              <w:t>|</w:t>
            </w:r>
            <w:r w:rsidR="005830DE" w:rsidRPr="00DE0BDA">
              <w:rPr>
                <w:color w:val="000000"/>
                <w:szCs w:val="20"/>
              </w:rPr>
              <w:t>%</w:t>
            </w:r>
          </w:p>
        </w:tc>
      </w:tr>
      <w:tr w:rsidR="005830DE" w:rsidRPr="0009282C" w14:paraId="2E1D8DD0" w14:textId="77777777" w:rsidTr="009754B9">
        <w:trPr>
          <w:trHeight w:val="20"/>
        </w:trPr>
        <w:tc>
          <w:tcPr>
            <w:tcW w:w="3325" w:type="dxa"/>
            <w:shd w:val="clear" w:color="auto" w:fill="auto"/>
          </w:tcPr>
          <w:p w14:paraId="00CFBFC7" w14:textId="77777777" w:rsidR="005830DE" w:rsidRPr="0009282C" w:rsidRDefault="005830DE" w:rsidP="00020F22">
            <w:pPr>
              <w:pStyle w:val="TableText0"/>
              <w:keepNext/>
              <w:keepLines/>
              <w:contextualSpacing/>
              <w:rPr>
                <w:szCs w:val="20"/>
              </w:rPr>
            </w:pPr>
            <w:r w:rsidRPr="0009282C">
              <w:rPr>
                <w:szCs w:val="20"/>
              </w:rPr>
              <w:t>Monitoring</w:t>
            </w:r>
          </w:p>
        </w:tc>
        <w:tc>
          <w:tcPr>
            <w:tcW w:w="1423" w:type="dxa"/>
            <w:shd w:val="clear" w:color="auto" w:fill="auto"/>
          </w:tcPr>
          <w:p w14:paraId="3CFCDC2E"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18,532</w:t>
            </w:r>
          </w:p>
        </w:tc>
        <w:tc>
          <w:tcPr>
            <w:tcW w:w="1423" w:type="dxa"/>
            <w:shd w:val="clear" w:color="auto" w:fill="auto"/>
          </w:tcPr>
          <w:p w14:paraId="4B97B4F7"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32,316</w:t>
            </w:r>
          </w:p>
        </w:tc>
        <w:tc>
          <w:tcPr>
            <w:tcW w:w="1423" w:type="dxa"/>
            <w:shd w:val="clear" w:color="auto" w:fill="auto"/>
          </w:tcPr>
          <w:p w14:paraId="16064E63" w14:textId="77777777" w:rsidR="005830DE" w:rsidRPr="0009282C" w:rsidRDefault="005830DE" w:rsidP="00020F22">
            <w:pPr>
              <w:pStyle w:val="TableText0"/>
              <w:keepNext/>
              <w:keepLines/>
              <w:contextualSpacing/>
              <w:jc w:val="right"/>
              <w:rPr>
                <w:szCs w:val="20"/>
              </w:rPr>
            </w:pPr>
            <w:r w:rsidRPr="0009282C">
              <w:rPr>
                <w:rFonts w:eastAsia="Times New Roman" w:cs="Times New Roman"/>
                <w:szCs w:val="20"/>
              </w:rPr>
              <w:t>-$13,784</w:t>
            </w:r>
          </w:p>
        </w:tc>
        <w:tc>
          <w:tcPr>
            <w:tcW w:w="1423" w:type="dxa"/>
            <w:shd w:val="clear" w:color="auto" w:fill="auto"/>
            <w:vAlign w:val="center"/>
          </w:tcPr>
          <w:p w14:paraId="0AF9D99A" w14:textId="1B068266" w:rsidR="005830DE" w:rsidRPr="0009282C" w:rsidRDefault="005830DE" w:rsidP="00020F22">
            <w:pPr>
              <w:pStyle w:val="TableText0"/>
              <w:keepNext/>
              <w:keepLines/>
              <w:contextualSpacing/>
              <w:jc w:val="right"/>
              <w:rPr>
                <w:szCs w:val="20"/>
              </w:rPr>
            </w:pPr>
            <w:r w:rsidRPr="0009282C">
              <w:rPr>
                <w:color w:val="000000"/>
                <w:szCs w:val="20"/>
              </w:rPr>
              <w:t>-</w:t>
            </w:r>
            <w:r w:rsidR="002212A2" w:rsidRPr="002212A2">
              <w:rPr>
                <w:color w:val="000000"/>
                <w:spacing w:val="53"/>
                <w:szCs w:val="20"/>
                <w:shd w:val="solid" w:color="000000" w:fill="000000"/>
                <w:fitText w:val="330" w:id="-694423807"/>
                <w14:textFill>
                  <w14:solidFill>
                    <w14:srgbClr w14:val="000000">
                      <w14:alpha w14:val="100000"/>
                    </w14:srgbClr>
                  </w14:solidFill>
                </w14:textFill>
              </w:rPr>
              <w:t>|||</w:t>
            </w:r>
            <w:r w:rsidR="002212A2" w:rsidRPr="002212A2">
              <w:rPr>
                <w:color w:val="000000"/>
                <w:spacing w:val="1"/>
                <w:szCs w:val="20"/>
                <w:shd w:val="solid" w:color="000000" w:fill="000000"/>
                <w:fitText w:val="330" w:id="-694423807"/>
                <w14:textFill>
                  <w14:solidFill>
                    <w14:srgbClr w14:val="000000">
                      <w14:alpha w14:val="100000"/>
                    </w14:srgbClr>
                  </w14:solidFill>
                </w14:textFill>
              </w:rPr>
              <w:t>|</w:t>
            </w:r>
            <w:r w:rsidRPr="0009282C">
              <w:rPr>
                <w:color w:val="000000"/>
                <w:szCs w:val="20"/>
              </w:rPr>
              <w:t>%</w:t>
            </w:r>
          </w:p>
        </w:tc>
      </w:tr>
      <w:tr w:rsidR="005830DE" w:rsidRPr="0009282C" w14:paraId="4F1CB0AC" w14:textId="77777777" w:rsidTr="009754B9">
        <w:trPr>
          <w:trHeight w:val="20"/>
        </w:trPr>
        <w:tc>
          <w:tcPr>
            <w:tcW w:w="3325" w:type="dxa"/>
            <w:shd w:val="clear" w:color="auto" w:fill="auto"/>
          </w:tcPr>
          <w:p w14:paraId="3ED62620" w14:textId="77777777" w:rsidR="005830DE" w:rsidRPr="0009282C" w:rsidRDefault="005830DE" w:rsidP="00020F22">
            <w:pPr>
              <w:pStyle w:val="TableText0"/>
              <w:keepNext/>
              <w:keepLines/>
              <w:contextualSpacing/>
              <w:rPr>
                <w:szCs w:val="20"/>
              </w:rPr>
            </w:pPr>
            <w:r w:rsidRPr="0009282C">
              <w:rPr>
                <w:szCs w:val="20"/>
              </w:rPr>
              <w:t>Dialysis</w:t>
            </w:r>
          </w:p>
        </w:tc>
        <w:tc>
          <w:tcPr>
            <w:tcW w:w="1423" w:type="dxa"/>
            <w:shd w:val="clear" w:color="auto" w:fill="auto"/>
          </w:tcPr>
          <w:p w14:paraId="388170FE"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385,354</w:t>
            </w:r>
          </w:p>
        </w:tc>
        <w:tc>
          <w:tcPr>
            <w:tcW w:w="1423" w:type="dxa"/>
            <w:shd w:val="clear" w:color="auto" w:fill="auto"/>
          </w:tcPr>
          <w:p w14:paraId="58D8922B"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1,491,832</w:t>
            </w:r>
          </w:p>
        </w:tc>
        <w:tc>
          <w:tcPr>
            <w:tcW w:w="1423" w:type="dxa"/>
            <w:shd w:val="clear" w:color="auto" w:fill="auto"/>
          </w:tcPr>
          <w:p w14:paraId="076C69EB" w14:textId="77777777" w:rsidR="005830DE" w:rsidRPr="0009282C" w:rsidRDefault="005830DE" w:rsidP="00020F22">
            <w:pPr>
              <w:pStyle w:val="TableText0"/>
              <w:keepNext/>
              <w:keepLines/>
              <w:contextualSpacing/>
              <w:jc w:val="right"/>
              <w:rPr>
                <w:szCs w:val="20"/>
              </w:rPr>
            </w:pPr>
            <w:r w:rsidRPr="0009282C">
              <w:rPr>
                <w:rFonts w:eastAsia="Times New Roman" w:cs="Times New Roman"/>
                <w:szCs w:val="20"/>
              </w:rPr>
              <w:t>-$1,106,478</w:t>
            </w:r>
          </w:p>
        </w:tc>
        <w:tc>
          <w:tcPr>
            <w:tcW w:w="1423" w:type="dxa"/>
            <w:shd w:val="clear" w:color="auto" w:fill="auto"/>
            <w:vAlign w:val="center"/>
          </w:tcPr>
          <w:p w14:paraId="65281E3B" w14:textId="0A9250AE" w:rsidR="005830DE" w:rsidRPr="0009282C" w:rsidRDefault="005830DE" w:rsidP="00020F22">
            <w:pPr>
              <w:pStyle w:val="TableText0"/>
              <w:keepNext/>
              <w:keepLines/>
              <w:contextualSpacing/>
              <w:jc w:val="right"/>
              <w:rPr>
                <w:szCs w:val="20"/>
              </w:rPr>
            </w:pPr>
            <w:r w:rsidRPr="0009282C">
              <w:rPr>
                <w:color w:val="000000"/>
                <w:szCs w:val="20"/>
              </w:rPr>
              <w:t>-</w:t>
            </w:r>
            <w:r w:rsidR="002212A2" w:rsidRPr="002212A2">
              <w:rPr>
                <w:color w:val="000000"/>
                <w:spacing w:val="53"/>
                <w:szCs w:val="20"/>
                <w:shd w:val="solid" w:color="000000" w:fill="000000"/>
                <w:fitText w:val="330" w:id="-694423806"/>
                <w14:textFill>
                  <w14:solidFill>
                    <w14:srgbClr w14:val="000000">
                      <w14:alpha w14:val="100000"/>
                    </w14:srgbClr>
                  </w14:solidFill>
                </w14:textFill>
              </w:rPr>
              <w:t>|||</w:t>
            </w:r>
            <w:r w:rsidR="002212A2" w:rsidRPr="002212A2">
              <w:rPr>
                <w:color w:val="000000"/>
                <w:spacing w:val="1"/>
                <w:szCs w:val="20"/>
                <w:shd w:val="solid" w:color="000000" w:fill="000000"/>
                <w:fitText w:val="330" w:id="-694423806"/>
                <w14:textFill>
                  <w14:solidFill>
                    <w14:srgbClr w14:val="000000">
                      <w14:alpha w14:val="100000"/>
                    </w14:srgbClr>
                  </w14:solidFill>
                </w14:textFill>
              </w:rPr>
              <w:t>|</w:t>
            </w:r>
            <w:r w:rsidRPr="0009282C">
              <w:rPr>
                <w:color w:val="000000"/>
                <w:szCs w:val="20"/>
              </w:rPr>
              <w:t>%</w:t>
            </w:r>
          </w:p>
        </w:tc>
      </w:tr>
      <w:tr w:rsidR="005830DE" w:rsidRPr="0009282C" w14:paraId="7C5F2270" w14:textId="77777777" w:rsidTr="009754B9">
        <w:trPr>
          <w:trHeight w:val="20"/>
        </w:trPr>
        <w:tc>
          <w:tcPr>
            <w:tcW w:w="3325" w:type="dxa"/>
            <w:shd w:val="clear" w:color="auto" w:fill="auto"/>
          </w:tcPr>
          <w:p w14:paraId="1AB29E43" w14:textId="77777777" w:rsidR="005830DE" w:rsidRPr="0009282C" w:rsidRDefault="005830DE" w:rsidP="00020F22">
            <w:pPr>
              <w:pStyle w:val="TableText0"/>
              <w:keepNext/>
              <w:keepLines/>
              <w:contextualSpacing/>
              <w:rPr>
                <w:szCs w:val="20"/>
              </w:rPr>
            </w:pPr>
            <w:r w:rsidRPr="0009282C">
              <w:rPr>
                <w:szCs w:val="20"/>
              </w:rPr>
              <w:t>RSE</w:t>
            </w:r>
          </w:p>
        </w:tc>
        <w:tc>
          <w:tcPr>
            <w:tcW w:w="1423" w:type="dxa"/>
            <w:shd w:val="clear" w:color="auto" w:fill="auto"/>
          </w:tcPr>
          <w:p w14:paraId="516E39C5"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22,794</w:t>
            </w:r>
          </w:p>
        </w:tc>
        <w:tc>
          <w:tcPr>
            <w:tcW w:w="1423" w:type="dxa"/>
            <w:shd w:val="clear" w:color="auto" w:fill="auto"/>
          </w:tcPr>
          <w:p w14:paraId="0CAB14B5"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57,084</w:t>
            </w:r>
          </w:p>
        </w:tc>
        <w:tc>
          <w:tcPr>
            <w:tcW w:w="1423" w:type="dxa"/>
            <w:shd w:val="clear" w:color="auto" w:fill="auto"/>
          </w:tcPr>
          <w:p w14:paraId="1A462AF0" w14:textId="77777777" w:rsidR="005830DE" w:rsidRPr="0009282C" w:rsidRDefault="005830DE" w:rsidP="00020F22">
            <w:pPr>
              <w:pStyle w:val="TableText0"/>
              <w:keepNext/>
              <w:keepLines/>
              <w:contextualSpacing/>
              <w:jc w:val="right"/>
              <w:rPr>
                <w:szCs w:val="20"/>
              </w:rPr>
            </w:pPr>
            <w:r w:rsidRPr="0009282C">
              <w:rPr>
                <w:rFonts w:eastAsia="Times New Roman" w:cs="Times New Roman"/>
                <w:szCs w:val="20"/>
              </w:rPr>
              <w:t>-$34,290</w:t>
            </w:r>
          </w:p>
        </w:tc>
        <w:tc>
          <w:tcPr>
            <w:tcW w:w="1423" w:type="dxa"/>
            <w:shd w:val="clear" w:color="auto" w:fill="auto"/>
            <w:vAlign w:val="center"/>
          </w:tcPr>
          <w:p w14:paraId="10EA0219" w14:textId="415940ED" w:rsidR="005830DE" w:rsidRPr="0009282C" w:rsidRDefault="005830DE" w:rsidP="00020F22">
            <w:pPr>
              <w:pStyle w:val="TableText0"/>
              <w:keepNext/>
              <w:keepLines/>
              <w:contextualSpacing/>
              <w:jc w:val="right"/>
              <w:rPr>
                <w:szCs w:val="20"/>
              </w:rPr>
            </w:pPr>
            <w:r w:rsidRPr="0009282C">
              <w:rPr>
                <w:color w:val="000000"/>
                <w:szCs w:val="20"/>
              </w:rPr>
              <w:t>-</w:t>
            </w:r>
            <w:r w:rsidR="002212A2" w:rsidRPr="002212A2">
              <w:rPr>
                <w:color w:val="000000"/>
                <w:spacing w:val="53"/>
                <w:szCs w:val="20"/>
                <w:shd w:val="solid" w:color="000000" w:fill="000000"/>
                <w:fitText w:val="330" w:id="-694423805"/>
                <w14:textFill>
                  <w14:solidFill>
                    <w14:srgbClr w14:val="000000">
                      <w14:alpha w14:val="100000"/>
                    </w14:srgbClr>
                  </w14:solidFill>
                </w14:textFill>
              </w:rPr>
              <w:t>|||</w:t>
            </w:r>
            <w:r w:rsidR="002212A2" w:rsidRPr="002212A2">
              <w:rPr>
                <w:color w:val="000000"/>
                <w:spacing w:val="1"/>
                <w:szCs w:val="20"/>
                <w:shd w:val="solid" w:color="000000" w:fill="000000"/>
                <w:fitText w:val="330" w:id="-694423805"/>
                <w14:textFill>
                  <w14:solidFill>
                    <w14:srgbClr w14:val="000000">
                      <w14:alpha w14:val="100000"/>
                    </w14:srgbClr>
                  </w14:solidFill>
                </w14:textFill>
              </w:rPr>
              <w:t>|</w:t>
            </w:r>
            <w:r w:rsidRPr="0009282C">
              <w:rPr>
                <w:color w:val="000000"/>
                <w:szCs w:val="20"/>
              </w:rPr>
              <w:t>%</w:t>
            </w:r>
          </w:p>
        </w:tc>
      </w:tr>
      <w:tr w:rsidR="005830DE" w:rsidRPr="0009282C" w14:paraId="5E4D14BA" w14:textId="77777777" w:rsidTr="009754B9">
        <w:trPr>
          <w:trHeight w:val="20"/>
        </w:trPr>
        <w:tc>
          <w:tcPr>
            <w:tcW w:w="3325" w:type="dxa"/>
            <w:shd w:val="clear" w:color="auto" w:fill="auto"/>
          </w:tcPr>
          <w:p w14:paraId="68B92D14" w14:textId="77777777" w:rsidR="005830DE" w:rsidRPr="0009282C" w:rsidRDefault="005830DE" w:rsidP="00020F22">
            <w:pPr>
              <w:pStyle w:val="TableText0"/>
              <w:keepNext/>
              <w:keepLines/>
              <w:contextualSpacing/>
              <w:rPr>
                <w:szCs w:val="20"/>
              </w:rPr>
            </w:pPr>
            <w:r w:rsidRPr="0009282C">
              <w:rPr>
                <w:szCs w:val="20"/>
              </w:rPr>
              <w:t>Systemic oxalosis</w:t>
            </w:r>
          </w:p>
        </w:tc>
        <w:tc>
          <w:tcPr>
            <w:tcW w:w="1423" w:type="dxa"/>
            <w:shd w:val="clear" w:color="auto" w:fill="auto"/>
          </w:tcPr>
          <w:p w14:paraId="230344FD"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135,413</w:t>
            </w:r>
          </w:p>
        </w:tc>
        <w:tc>
          <w:tcPr>
            <w:tcW w:w="1423" w:type="dxa"/>
            <w:shd w:val="clear" w:color="auto" w:fill="auto"/>
          </w:tcPr>
          <w:p w14:paraId="4F7A66E4"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340,339</w:t>
            </w:r>
          </w:p>
        </w:tc>
        <w:tc>
          <w:tcPr>
            <w:tcW w:w="1423" w:type="dxa"/>
            <w:shd w:val="clear" w:color="auto" w:fill="auto"/>
          </w:tcPr>
          <w:p w14:paraId="25CA0F86" w14:textId="77777777" w:rsidR="005830DE" w:rsidRPr="0009282C" w:rsidRDefault="005830DE" w:rsidP="00020F22">
            <w:pPr>
              <w:pStyle w:val="TableText0"/>
              <w:keepNext/>
              <w:keepLines/>
              <w:contextualSpacing/>
              <w:jc w:val="right"/>
              <w:rPr>
                <w:szCs w:val="20"/>
              </w:rPr>
            </w:pPr>
            <w:r w:rsidRPr="0009282C">
              <w:rPr>
                <w:rFonts w:eastAsia="Times New Roman" w:cs="Times New Roman"/>
                <w:szCs w:val="20"/>
              </w:rPr>
              <w:t>-$204,926</w:t>
            </w:r>
          </w:p>
        </w:tc>
        <w:tc>
          <w:tcPr>
            <w:tcW w:w="1423" w:type="dxa"/>
            <w:shd w:val="clear" w:color="auto" w:fill="auto"/>
            <w:vAlign w:val="center"/>
          </w:tcPr>
          <w:p w14:paraId="53C24139" w14:textId="44E88ED6" w:rsidR="005830DE" w:rsidRPr="0009282C" w:rsidRDefault="005830DE" w:rsidP="00020F22">
            <w:pPr>
              <w:pStyle w:val="TableText0"/>
              <w:keepNext/>
              <w:keepLines/>
              <w:contextualSpacing/>
              <w:jc w:val="right"/>
              <w:rPr>
                <w:szCs w:val="20"/>
              </w:rPr>
            </w:pPr>
            <w:r w:rsidRPr="0009282C">
              <w:rPr>
                <w:color w:val="000000"/>
                <w:szCs w:val="20"/>
              </w:rPr>
              <w:t>-</w:t>
            </w:r>
            <w:r w:rsidR="002212A2" w:rsidRPr="002212A2">
              <w:rPr>
                <w:color w:val="000000"/>
                <w:spacing w:val="53"/>
                <w:szCs w:val="20"/>
                <w:shd w:val="solid" w:color="000000" w:fill="000000"/>
                <w:fitText w:val="330" w:id="-694423804"/>
                <w14:textFill>
                  <w14:solidFill>
                    <w14:srgbClr w14:val="000000">
                      <w14:alpha w14:val="100000"/>
                    </w14:srgbClr>
                  </w14:solidFill>
                </w14:textFill>
              </w:rPr>
              <w:t>|||</w:t>
            </w:r>
            <w:r w:rsidR="002212A2" w:rsidRPr="002212A2">
              <w:rPr>
                <w:color w:val="000000"/>
                <w:spacing w:val="1"/>
                <w:szCs w:val="20"/>
                <w:shd w:val="solid" w:color="000000" w:fill="000000"/>
                <w:fitText w:val="330" w:id="-694423804"/>
                <w14:textFill>
                  <w14:solidFill>
                    <w14:srgbClr w14:val="000000">
                      <w14:alpha w14:val="100000"/>
                    </w14:srgbClr>
                  </w14:solidFill>
                </w14:textFill>
              </w:rPr>
              <w:t>|</w:t>
            </w:r>
            <w:r w:rsidRPr="0009282C">
              <w:rPr>
                <w:color w:val="000000"/>
                <w:szCs w:val="20"/>
              </w:rPr>
              <w:t>%</w:t>
            </w:r>
          </w:p>
        </w:tc>
      </w:tr>
      <w:tr w:rsidR="005830DE" w:rsidRPr="0009282C" w14:paraId="6518F654" w14:textId="77777777" w:rsidTr="009754B9">
        <w:trPr>
          <w:trHeight w:val="20"/>
        </w:trPr>
        <w:tc>
          <w:tcPr>
            <w:tcW w:w="3325" w:type="dxa"/>
            <w:shd w:val="clear" w:color="auto" w:fill="auto"/>
          </w:tcPr>
          <w:p w14:paraId="4E21086C" w14:textId="0515D353" w:rsidR="005830DE" w:rsidRPr="0009282C" w:rsidRDefault="005830DE" w:rsidP="00020F22">
            <w:pPr>
              <w:pStyle w:val="TableText0"/>
              <w:keepNext/>
              <w:keepLines/>
              <w:contextualSpacing/>
            </w:pPr>
            <w:r w:rsidRPr="0009282C">
              <w:t xml:space="preserve">Post </w:t>
            </w:r>
            <w:proofErr w:type="spellStart"/>
            <w:r w:rsidRPr="0009282C">
              <w:t>cLKT</w:t>
            </w:r>
            <w:proofErr w:type="spellEnd"/>
          </w:p>
        </w:tc>
        <w:tc>
          <w:tcPr>
            <w:tcW w:w="1423" w:type="dxa"/>
            <w:shd w:val="clear" w:color="auto" w:fill="auto"/>
          </w:tcPr>
          <w:p w14:paraId="644D03CE"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15,885</w:t>
            </w:r>
          </w:p>
        </w:tc>
        <w:tc>
          <w:tcPr>
            <w:tcW w:w="1423" w:type="dxa"/>
            <w:shd w:val="clear" w:color="auto" w:fill="auto"/>
          </w:tcPr>
          <w:p w14:paraId="7997D73D"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23,688</w:t>
            </w:r>
          </w:p>
        </w:tc>
        <w:tc>
          <w:tcPr>
            <w:tcW w:w="1423" w:type="dxa"/>
            <w:shd w:val="clear" w:color="auto" w:fill="auto"/>
          </w:tcPr>
          <w:p w14:paraId="51294475" w14:textId="77777777" w:rsidR="005830DE" w:rsidRPr="0009282C" w:rsidRDefault="005830DE" w:rsidP="00020F22">
            <w:pPr>
              <w:pStyle w:val="TableText0"/>
              <w:keepNext/>
              <w:keepLines/>
              <w:contextualSpacing/>
              <w:jc w:val="right"/>
              <w:rPr>
                <w:szCs w:val="20"/>
              </w:rPr>
            </w:pPr>
            <w:r w:rsidRPr="0009282C">
              <w:rPr>
                <w:rFonts w:eastAsia="Times New Roman" w:cs="Times New Roman"/>
                <w:szCs w:val="20"/>
              </w:rPr>
              <w:t>-$7,803</w:t>
            </w:r>
          </w:p>
        </w:tc>
        <w:tc>
          <w:tcPr>
            <w:tcW w:w="1423" w:type="dxa"/>
            <w:shd w:val="clear" w:color="auto" w:fill="auto"/>
            <w:vAlign w:val="center"/>
          </w:tcPr>
          <w:p w14:paraId="37341BBD" w14:textId="08E43AC5" w:rsidR="005830DE" w:rsidRPr="0009282C" w:rsidRDefault="005830DE" w:rsidP="00020F22">
            <w:pPr>
              <w:pStyle w:val="TableText0"/>
              <w:keepNext/>
              <w:keepLines/>
              <w:contextualSpacing/>
              <w:jc w:val="right"/>
              <w:rPr>
                <w:szCs w:val="20"/>
              </w:rPr>
            </w:pPr>
            <w:r w:rsidRPr="0009282C">
              <w:rPr>
                <w:color w:val="000000"/>
                <w:szCs w:val="20"/>
              </w:rPr>
              <w:t>-</w:t>
            </w:r>
            <w:r w:rsidR="002212A2" w:rsidRPr="002212A2">
              <w:rPr>
                <w:color w:val="000000"/>
                <w:spacing w:val="53"/>
                <w:szCs w:val="20"/>
                <w:shd w:val="solid" w:color="000000" w:fill="000000"/>
                <w:fitText w:val="330" w:id="-694423803"/>
                <w14:textFill>
                  <w14:solidFill>
                    <w14:srgbClr w14:val="000000">
                      <w14:alpha w14:val="100000"/>
                    </w14:srgbClr>
                  </w14:solidFill>
                </w14:textFill>
              </w:rPr>
              <w:t>|||</w:t>
            </w:r>
            <w:r w:rsidR="002212A2" w:rsidRPr="002212A2">
              <w:rPr>
                <w:color w:val="000000"/>
                <w:spacing w:val="1"/>
                <w:szCs w:val="20"/>
                <w:shd w:val="solid" w:color="000000" w:fill="000000"/>
                <w:fitText w:val="330" w:id="-694423803"/>
                <w14:textFill>
                  <w14:solidFill>
                    <w14:srgbClr w14:val="000000">
                      <w14:alpha w14:val="100000"/>
                    </w14:srgbClr>
                  </w14:solidFill>
                </w14:textFill>
              </w:rPr>
              <w:t>|</w:t>
            </w:r>
            <w:r w:rsidRPr="0009282C">
              <w:rPr>
                <w:color w:val="000000"/>
                <w:szCs w:val="20"/>
              </w:rPr>
              <w:t>%</w:t>
            </w:r>
          </w:p>
        </w:tc>
      </w:tr>
      <w:tr w:rsidR="005830DE" w:rsidRPr="0009282C" w14:paraId="5483CD16" w14:textId="77777777" w:rsidTr="009754B9">
        <w:trPr>
          <w:trHeight w:val="20"/>
        </w:trPr>
        <w:tc>
          <w:tcPr>
            <w:tcW w:w="3325" w:type="dxa"/>
            <w:shd w:val="clear" w:color="auto" w:fill="auto"/>
          </w:tcPr>
          <w:p w14:paraId="09AED819" w14:textId="77777777" w:rsidR="005830DE" w:rsidRPr="0009282C" w:rsidRDefault="005830DE" w:rsidP="00020F22">
            <w:pPr>
              <w:pStyle w:val="TableText0"/>
              <w:keepNext/>
              <w:keepLines/>
              <w:contextualSpacing/>
              <w:rPr>
                <w:szCs w:val="20"/>
              </w:rPr>
            </w:pPr>
            <w:r w:rsidRPr="0009282C">
              <w:rPr>
                <w:szCs w:val="20"/>
              </w:rPr>
              <w:t>AEs</w:t>
            </w:r>
          </w:p>
        </w:tc>
        <w:tc>
          <w:tcPr>
            <w:tcW w:w="1423" w:type="dxa"/>
            <w:shd w:val="clear" w:color="auto" w:fill="auto"/>
          </w:tcPr>
          <w:p w14:paraId="13A4F9EC"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2,339</w:t>
            </w:r>
          </w:p>
        </w:tc>
        <w:tc>
          <w:tcPr>
            <w:tcW w:w="1423" w:type="dxa"/>
            <w:shd w:val="clear" w:color="auto" w:fill="auto"/>
          </w:tcPr>
          <w:p w14:paraId="3B14871C" w14:textId="77777777" w:rsidR="005830DE" w:rsidRPr="0009282C" w:rsidRDefault="005830DE" w:rsidP="00020F22">
            <w:pPr>
              <w:pStyle w:val="TableText0"/>
              <w:keepNext/>
              <w:keepLines/>
              <w:contextualSpacing/>
              <w:jc w:val="right"/>
              <w:rPr>
                <w:szCs w:val="20"/>
              </w:rPr>
            </w:pPr>
            <w:r w:rsidRPr="0009282C">
              <w:rPr>
                <w:szCs w:val="20"/>
              </w:rPr>
              <w:t>$</w:t>
            </w:r>
            <w:r w:rsidRPr="0009282C">
              <w:rPr>
                <w:rFonts w:cstheme="minorHAnsi"/>
                <w:szCs w:val="20"/>
              </w:rPr>
              <w:t>1,398</w:t>
            </w:r>
          </w:p>
        </w:tc>
        <w:tc>
          <w:tcPr>
            <w:tcW w:w="1423" w:type="dxa"/>
            <w:shd w:val="clear" w:color="auto" w:fill="auto"/>
          </w:tcPr>
          <w:p w14:paraId="1D9015BD" w14:textId="77777777" w:rsidR="005830DE" w:rsidRPr="0009282C" w:rsidRDefault="005830DE" w:rsidP="00020F22">
            <w:pPr>
              <w:pStyle w:val="TableText0"/>
              <w:keepNext/>
              <w:keepLines/>
              <w:contextualSpacing/>
              <w:jc w:val="right"/>
              <w:rPr>
                <w:szCs w:val="20"/>
              </w:rPr>
            </w:pPr>
            <w:r w:rsidRPr="0009282C">
              <w:rPr>
                <w:rFonts w:eastAsia="Times New Roman" w:cs="Times New Roman"/>
                <w:color w:val="000000"/>
                <w:szCs w:val="20"/>
              </w:rPr>
              <w:t xml:space="preserve">$941 </w:t>
            </w:r>
          </w:p>
        </w:tc>
        <w:tc>
          <w:tcPr>
            <w:tcW w:w="1423" w:type="dxa"/>
            <w:shd w:val="clear" w:color="auto" w:fill="auto"/>
            <w:vAlign w:val="center"/>
          </w:tcPr>
          <w:p w14:paraId="3B9EC1F6" w14:textId="538EE36F" w:rsidR="005830DE" w:rsidRPr="0009282C" w:rsidRDefault="002212A2" w:rsidP="00020F22">
            <w:pPr>
              <w:pStyle w:val="TableText0"/>
              <w:keepNext/>
              <w:keepLines/>
              <w:contextualSpacing/>
              <w:jc w:val="right"/>
              <w:rPr>
                <w:szCs w:val="20"/>
              </w:rPr>
            </w:pPr>
            <w:r w:rsidRPr="002212A2">
              <w:rPr>
                <w:color w:val="000000"/>
                <w:spacing w:val="53"/>
                <w:szCs w:val="20"/>
                <w:shd w:val="solid" w:color="000000" w:fill="000000"/>
                <w:fitText w:val="330" w:id="-694423802"/>
                <w14:textFill>
                  <w14:solidFill>
                    <w14:srgbClr w14:val="000000">
                      <w14:alpha w14:val="100000"/>
                    </w14:srgbClr>
                  </w14:solidFill>
                </w14:textFill>
              </w:rPr>
              <w:t>|||</w:t>
            </w:r>
            <w:r w:rsidRPr="002212A2">
              <w:rPr>
                <w:color w:val="000000"/>
                <w:spacing w:val="1"/>
                <w:szCs w:val="20"/>
                <w:shd w:val="solid" w:color="000000" w:fill="000000"/>
                <w:fitText w:val="330" w:id="-694423802"/>
                <w14:textFill>
                  <w14:solidFill>
                    <w14:srgbClr w14:val="000000">
                      <w14:alpha w14:val="100000"/>
                    </w14:srgbClr>
                  </w14:solidFill>
                </w14:textFill>
              </w:rPr>
              <w:t>|</w:t>
            </w:r>
            <w:r w:rsidR="005830DE" w:rsidRPr="0009282C">
              <w:rPr>
                <w:color w:val="000000"/>
                <w:szCs w:val="20"/>
              </w:rPr>
              <w:t>%</w:t>
            </w:r>
          </w:p>
        </w:tc>
      </w:tr>
      <w:tr w:rsidR="005830DE" w:rsidRPr="0009282C" w14:paraId="4639ECA3" w14:textId="77777777" w:rsidTr="009754B9">
        <w:trPr>
          <w:trHeight w:val="20"/>
        </w:trPr>
        <w:tc>
          <w:tcPr>
            <w:tcW w:w="3325" w:type="dxa"/>
            <w:shd w:val="clear" w:color="auto" w:fill="auto"/>
          </w:tcPr>
          <w:p w14:paraId="5F5FB336" w14:textId="77777777" w:rsidR="005830DE" w:rsidRPr="0009282C" w:rsidRDefault="005830DE" w:rsidP="00020F22">
            <w:pPr>
              <w:pStyle w:val="TableText0"/>
              <w:keepNext/>
              <w:keepLines/>
              <w:contextualSpacing/>
              <w:rPr>
                <w:b/>
                <w:bCs w:val="0"/>
                <w:szCs w:val="20"/>
              </w:rPr>
            </w:pPr>
            <w:r w:rsidRPr="0009282C">
              <w:rPr>
                <w:b/>
                <w:bCs w:val="0"/>
                <w:szCs w:val="20"/>
              </w:rPr>
              <w:t>Total</w:t>
            </w:r>
          </w:p>
        </w:tc>
        <w:tc>
          <w:tcPr>
            <w:tcW w:w="1423" w:type="dxa"/>
            <w:shd w:val="clear" w:color="auto" w:fill="auto"/>
          </w:tcPr>
          <w:p w14:paraId="756AFFDF" w14:textId="6286F65A" w:rsidR="005830DE" w:rsidRPr="0009282C" w:rsidRDefault="005830DE" w:rsidP="00020F22">
            <w:pPr>
              <w:pStyle w:val="TableText0"/>
              <w:keepNext/>
              <w:keepLines/>
              <w:contextualSpacing/>
              <w:jc w:val="right"/>
              <w:rPr>
                <w:b/>
                <w:bCs w:val="0"/>
                <w:szCs w:val="20"/>
              </w:rPr>
            </w:pPr>
            <w:r w:rsidRPr="0009282C">
              <w:rPr>
                <w:b/>
                <w:bCs w:val="0"/>
                <w:szCs w:val="20"/>
              </w:rPr>
              <w:t>$</w:t>
            </w:r>
            <w:r w:rsidR="002212A2" w:rsidRPr="002212A2">
              <w:rPr>
                <w:rFonts w:cstheme="minorHAnsi"/>
                <w:b/>
                <w:bCs w:val="0"/>
                <w:color w:val="000000"/>
                <w:spacing w:val="58"/>
                <w:szCs w:val="20"/>
                <w:shd w:val="solid" w:color="000000" w:fill="000000"/>
                <w:fitText w:val="360" w:id="-694423801"/>
                <w14:textFill>
                  <w14:solidFill>
                    <w14:srgbClr w14:val="000000">
                      <w14:alpha w14:val="100000"/>
                    </w14:srgbClr>
                  </w14:solidFill>
                </w14:textFill>
              </w:rPr>
              <w:t>|||</w:t>
            </w:r>
            <w:r w:rsidR="002212A2" w:rsidRPr="002212A2">
              <w:rPr>
                <w:rFonts w:cstheme="minorHAnsi"/>
                <w:b/>
                <w:bCs w:val="0"/>
                <w:color w:val="000000"/>
                <w:spacing w:val="3"/>
                <w:szCs w:val="20"/>
                <w:shd w:val="solid" w:color="000000" w:fill="000000"/>
                <w:fitText w:val="360" w:id="-694423801"/>
                <w14:textFill>
                  <w14:solidFill>
                    <w14:srgbClr w14:val="000000">
                      <w14:alpha w14:val="100000"/>
                    </w14:srgbClr>
                  </w14:solidFill>
                </w14:textFill>
              </w:rPr>
              <w:t>|</w:t>
            </w:r>
          </w:p>
        </w:tc>
        <w:tc>
          <w:tcPr>
            <w:tcW w:w="1423" w:type="dxa"/>
            <w:shd w:val="clear" w:color="auto" w:fill="auto"/>
          </w:tcPr>
          <w:p w14:paraId="24E70560" w14:textId="77777777" w:rsidR="005830DE" w:rsidRPr="0009282C" w:rsidRDefault="005830DE" w:rsidP="00020F22">
            <w:pPr>
              <w:pStyle w:val="TableText0"/>
              <w:keepNext/>
              <w:keepLines/>
              <w:contextualSpacing/>
              <w:jc w:val="right"/>
              <w:rPr>
                <w:b/>
                <w:bCs w:val="0"/>
                <w:szCs w:val="20"/>
              </w:rPr>
            </w:pPr>
            <w:r w:rsidRPr="0009282C">
              <w:rPr>
                <w:b/>
                <w:bCs w:val="0"/>
                <w:szCs w:val="20"/>
              </w:rPr>
              <w:t>$</w:t>
            </w:r>
            <w:r w:rsidRPr="0009282C">
              <w:rPr>
                <w:rFonts w:cstheme="minorHAnsi"/>
                <w:b/>
                <w:bCs w:val="0"/>
                <w:szCs w:val="20"/>
              </w:rPr>
              <w:t>1,953,419</w:t>
            </w:r>
          </w:p>
        </w:tc>
        <w:tc>
          <w:tcPr>
            <w:tcW w:w="1423" w:type="dxa"/>
            <w:shd w:val="clear" w:color="auto" w:fill="auto"/>
          </w:tcPr>
          <w:p w14:paraId="4DC5F4FD" w14:textId="146629DC" w:rsidR="005830DE" w:rsidRPr="0009282C" w:rsidRDefault="005830DE" w:rsidP="00020F22">
            <w:pPr>
              <w:pStyle w:val="TableText0"/>
              <w:keepNext/>
              <w:keepLines/>
              <w:contextualSpacing/>
              <w:jc w:val="right"/>
              <w:rPr>
                <w:b/>
                <w:bCs w:val="0"/>
                <w:szCs w:val="20"/>
              </w:rPr>
            </w:pPr>
            <w:r w:rsidRPr="0009282C">
              <w:rPr>
                <w:rFonts w:eastAsia="Times New Roman" w:cs="Times New Roman"/>
                <w:b/>
                <w:bCs w:val="0"/>
                <w:color w:val="000000"/>
                <w:szCs w:val="20"/>
              </w:rPr>
              <w:t>$</w:t>
            </w:r>
            <w:r w:rsidR="002212A2" w:rsidRPr="002212A2">
              <w:rPr>
                <w:rFonts w:eastAsia="Times New Roman" w:cs="Times New Roman"/>
                <w:b/>
                <w:bCs w:val="0"/>
                <w:color w:val="000000"/>
                <w:spacing w:val="58"/>
                <w:szCs w:val="20"/>
                <w:shd w:val="solid" w:color="000000" w:fill="000000"/>
                <w:fitText w:val="360" w:id="-694423800"/>
                <w14:textFill>
                  <w14:solidFill>
                    <w14:srgbClr w14:val="000000">
                      <w14:alpha w14:val="100000"/>
                    </w14:srgbClr>
                  </w14:solidFill>
                </w14:textFill>
              </w:rPr>
              <w:t>|||</w:t>
            </w:r>
            <w:r w:rsidR="002212A2" w:rsidRPr="002212A2">
              <w:rPr>
                <w:rFonts w:eastAsia="Times New Roman" w:cs="Times New Roman"/>
                <w:b/>
                <w:bCs w:val="0"/>
                <w:color w:val="000000"/>
                <w:spacing w:val="3"/>
                <w:szCs w:val="20"/>
                <w:shd w:val="solid" w:color="000000" w:fill="000000"/>
                <w:fitText w:val="360" w:id="-694423800"/>
                <w14:textFill>
                  <w14:solidFill>
                    <w14:srgbClr w14:val="000000">
                      <w14:alpha w14:val="100000"/>
                    </w14:srgbClr>
                  </w14:solidFill>
                </w14:textFill>
              </w:rPr>
              <w:t>|</w:t>
            </w:r>
            <w:r w:rsidRPr="0009282C">
              <w:rPr>
                <w:rFonts w:eastAsia="Times New Roman" w:cs="Times New Roman"/>
                <w:b/>
                <w:bCs w:val="0"/>
                <w:color w:val="000000"/>
                <w:szCs w:val="20"/>
              </w:rPr>
              <w:t xml:space="preserve"> </w:t>
            </w:r>
          </w:p>
        </w:tc>
        <w:tc>
          <w:tcPr>
            <w:tcW w:w="1423" w:type="dxa"/>
            <w:shd w:val="clear" w:color="auto" w:fill="auto"/>
            <w:vAlign w:val="center"/>
          </w:tcPr>
          <w:p w14:paraId="3E5461D5" w14:textId="77777777" w:rsidR="005830DE" w:rsidRPr="0009282C" w:rsidRDefault="005830DE" w:rsidP="00020F22">
            <w:pPr>
              <w:pStyle w:val="TableText0"/>
              <w:keepNext/>
              <w:keepLines/>
              <w:contextualSpacing/>
              <w:jc w:val="right"/>
              <w:rPr>
                <w:b/>
                <w:bCs w:val="0"/>
                <w:szCs w:val="20"/>
              </w:rPr>
            </w:pPr>
            <w:r w:rsidRPr="0009282C">
              <w:rPr>
                <w:b/>
                <w:bCs w:val="0"/>
                <w:color w:val="000000"/>
                <w:szCs w:val="20"/>
              </w:rPr>
              <w:t>100.00%</w:t>
            </w:r>
          </w:p>
        </w:tc>
      </w:tr>
      <w:tr w:rsidR="005830DE" w:rsidRPr="0009282C" w14:paraId="7D948254" w14:textId="77777777" w:rsidTr="009754B9">
        <w:trPr>
          <w:trHeight w:val="20"/>
        </w:trPr>
        <w:tc>
          <w:tcPr>
            <w:tcW w:w="9017" w:type="dxa"/>
            <w:gridSpan w:val="5"/>
            <w:shd w:val="clear" w:color="auto" w:fill="auto"/>
          </w:tcPr>
          <w:p w14:paraId="37381543" w14:textId="77777777" w:rsidR="005830DE" w:rsidRPr="0009282C" w:rsidRDefault="005830DE" w:rsidP="00020F22">
            <w:pPr>
              <w:pStyle w:val="TableText0"/>
              <w:keepNext/>
              <w:keepLines/>
              <w:contextualSpacing/>
              <w:rPr>
                <w:b/>
                <w:bCs w:val="0"/>
                <w:szCs w:val="20"/>
              </w:rPr>
            </w:pPr>
            <w:r w:rsidRPr="0009282C">
              <w:rPr>
                <w:b/>
                <w:bCs w:val="0"/>
                <w:szCs w:val="20"/>
              </w:rPr>
              <w:t>Cost across health state</w:t>
            </w:r>
          </w:p>
        </w:tc>
      </w:tr>
      <w:tr w:rsidR="005830DE" w:rsidRPr="0009282C" w14:paraId="0BE7B7CE" w14:textId="77777777" w:rsidTr="009754B9">
        <w:trPr>
          <w:trHeight w:val="20"/>
        </w:trPr>
        <w:tc>
          <w:tcPr>
            <w:tcW w:w="3325" w:type="dxa"/>
            <w:shd w:val="clear" w:color="auto" w:fill="auto"/>
          </w:tcPr>
          <w:p w14:paraId="4558CC4C" w14:textId="77777777" w:rsidR="005830DE" w:rsidRPr="0009282C" w:rsidRDefault="005830DE" w:rsidP="00020F22">
            <w:pPr>
              <w:pStyle w:val="TableText0"/>
              <w:keepNext/>
              <w:keepLines/>
              <w:contextualSpacing/>
              <w:rPr>
                <w:szCs w:val="20"/>
              </w:rPr>
            </w:pPr>
            <w:r w:rsidRPr="0009282C">
              <w:rPr>
                <w:szCs w:val="20"/>
              </w:rPr>
              <w:t>CKD 1-2</w:t>
            </w:r>
          </w:p>
        </w:tc>
        <w:tc>
          <w:tcPr>
            <w:tcW w:w="1423" w:type="dxa"/>
            <w:shd w:val="clear" w:color="auto" w:fill="auto"/>
          </w:tcPr>
          <w:p w14:paraId="7AA25C24" w14:textId="07FA6AB6" w:rsidR="005830DE" w:rsidRPr="00DE0BDA" w:rsidRDefault="005830DE" w:rsidP="00020F22">
            <w:pPr>
              <w:pStyle w:val="TableText0"/>
              <w:keepNext/>
              <w:keepLines/>
              <w:contextualSpacing/>
              <w:jc w:val="right"/>
              <w:rPr>
                <w:szCs w:val="20"/>
                <w:highlight w:val="darkGray"/>
              </w:rPr>
            </w:pPr>
            <w:r w:rsidRPr="00DE0BDA">
              <w:rPr>
                <w:szCs w:val="20"/>
              </w:rPr>
              <w:t>$</w:t>
            </w:r>
            <w:r w:rsidR="002212A2" w:rsidRPr="002212A2">
              <w:rPr>
                <w:color w:val="000000"/>
                <w:spacing w:val="53"/>
                <w:szCs w:val="20"/>
                <w:shd w:val="solid" w:color="000000" w:fill="000000"/>
                <w:fitText w:val="330" w:id="-694423799"/>
                <w14:textFill>
                  <w14:solidFill>
                    <w14:srgbClr w14:val="000000">
                      <w14:alpha w14:val="100000"/>
                    </w14:srgbClr>
                  </w14:solidFill>
                </w14:textFill>
              </w:rPr>
              <w:t>|||</w:t>
            </w:r>
            <w:r w:rsidR="002212A2" w:rsidRPr="002212A2">
              <w:rPr>
                <w:color w:val="000000"/>
                <w:spacing w:val="1"/>
                <w:szCs w:val="20"/>
                <w:shd w:val="solid" w:color="000000" w:fill="000000"/>
                <w:fitText w:val="330" w:id="-694423799"/>
                <w14:textFill>
                  <w14:solidFill>
                    <w14:srgbClr w14:val="000000">
                      <w14:alpha w14:val="100000"/>
                    </w14:srgbClr>
                  </w14:solidFill>
                </w14:textFill>
              </w:rPr>
              <w:t>|</w:t>
            </w:r>
          </w:p>
        </w:tc>
        <w:tc>
          <w:tcPr>
            <w:tcW w:w="1423" w:type="dxa"/>
            <w:shd w:val="clear" w:color="auto" w:fill="auto"/>
          </w:tcPr>
          <w:p w14:paraId="41B5DDCB" w14:textId="77777777" w:rsidR="005830DE" w:rsidRPr="0009282C" w:rsidRDefault="005830DE" w:rsidP="00020F22">
            <w:pPr>
              <w:pStyle w:val="TableText0"/>
              <w:keepNext/>
              <w:keepLines/>
              <w:contextualSpacing/>
              <w:jc w:val="right"/>
              <w:rPr>
                <w:szCs w:val="20"/>
              </w:rPr>
            </w:pPr>
            <w:r w:rsidRPr="0009282C">
              <w:rPr>
                <w:szCs w:val="20"/>
              </w:rPr>
              <w:t>$6,035</w:t>
            </w:r>
          </w:p>
        </w:tc>
        <w:tc>
          <w:tcPr>
            <w:tcW w:w="1423" w:type="dxa"/>
            <w:shd w:val="clear" w:color="auto" w:fill="auto"/>
          </w:tcPr>
          <w:p w14:paraId="790A9361" w14:textId="220FFE58"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798"/>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8"/>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25C4D9E4" w14:textId="77777777" w:rsidR="005830DE" w:rsidRPr="0009282C" w:rsidRDefault="005830DE" w:rsidP="00020F22">
            <w:pPr>
              <w:pStyle w:val="TableText0"/>
              <w:keepNext/>
              <w:keepLines/>
              <w:contextualSpacing/>
              <w:jc w:val="right"/>
              <w:rPr>
                <w:szCs w:val="20"/>
              </w:rPr>
            </w:pPr>
            <w:r w:rsidRPr="0009282C">
              <w:rPr>
                <w:color w:val="000000"/>
                <w:szCs w:val="20"/>
              </w:rPr>
              <w:t>23.</w:t>
            </w:r>
            <w:r w:rsidRPr="00DE0BDA">
              <w:rPr>
                <w:color w:val="000000"/>
                <w:szCs w:val="20"/>
              </w:rPr>
              <w:t>4</w:t>
            </w:r>
            <w:r w:rsidRPr="0009282C">
              <w:rPr>
                <w:color w:val="000000"/>
                <w:szCs w:val="20"/>
              </w:rPr>
              <w:t>8%</w:t>
            </w:r>
          </w:p>
        </w:tc>
      </w:tr>
      <w:tr w:rsidR="005830DE" w:rsidRPr="0009282C" w14:paraId="3F85F422" w14:textId="77777777" w:rsidTr="009754B9">
        <w:trPr>
          <w:trHeight w:val="20"/>
        </w:trPr>
        <w:tc>
          <w:tcPr>
            <w:tcW w:w="3325" w:type="dxa"/>
            <w:shd w:val="clear" w:color="auto" w:fill="auto"/>
          </w:tcPr>
          <w:p w14:paraId="5383013F" w14:textId="77777777" w:rsidR="005830DE" w:rsidRPr="0009282C" w:rsidRDefault="005830DE" w:rsidP="00020F22">
            <w:pPr>
              <w:pStyle w:val="TableText0"/>
              <w:keepNext/>
              <w:keepLines/>
              <w:contextualSpacing/>
              <w:rPr>
                <w:szCs w:val="20"/>
              </w:rPr>
            </w:pPr>
            <w:r w:rsidRPr="0009282C">
              <w:rPr>
                <w:szCs w:val="20"/>
              </w:rPr>
              <w:t>CKD 3a</w:t>
            </w:r>
          </w:p>
        </w:tc>
        <w:tc>
          <w:tcPr>
            <w:tcW w:w="1423" w:type="dxa"/>
            <w:shd w:val="clear" w:color="auto" w:fill="auto"/>
          </w:tcPr>
          <w:p w14:paraId="63D3BC8E" w14:textId="603F8255"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797"/>
                <w14:textFill>
                  <w14:solidFill>
                    <w14:srgbClr w14:val="000000">
                      <w14:alpha w14:val="100000"/>
                    </w14:srgbClr>
                  </w14:solidFill>
                </w14:textFill>
              </w:rPr>
              <w:t>|||</w:t>
            </w:r>
            <w:r w:rsidR="002212A2" w:rsidRPr="002212A2">
              <w:rPr>
                <w:color w:val="000000"/>
                <w:spacing w:val="1"/>
                <w:szCs w:val="20"/>
                <w:shd w:val="solid" w:color="000000" w:fill="000000"/>
                <w:fitText w:val="330" w:id="-694423797"/>
                <w14:textFill>
                  <w14:solidFill>
                    <w14:srgbClr w14:val="000000">
                      <w14:alpha w14:val="100000"/>
                    </w14:srgbClr>
                  </w14:solidFill>
                </w14:textFill>
              </w:rPr>
              <w:t>|</w:t>
            </w:r>
          </w:p>
        </w:tc>
        <w:tc>
          <w:tcPr>
            <w:tcW w:w="1423" w:type="dxa"/>
            <w:shd w:val="clear" w:color="auto" w:fill="auto"/>
          </w:tcPr>
          <w:p w14:paraId="4CF5784A" w14:textId="77777777" w:rsidR="005830DE" w:rsidRPr="0009282C" w:rsidRDefault="005830DE" w:rsidP="00020F22">
            <w:pPr>
              <w:pStyle w:val="TableText0"/>
              <w:keepNext/>
              <w:keepLines/>
              <w:contextualSpacing/>
              <w:jc w:val="right"/>
              <w:rPr>
                <w:szCs w:val="20"/>
              </w:rPr>
            </w:pPr>
            <w:r w:rsidRPr="0009282C">
              <w:rPr>
                <w:szCs w:val="20"/>
              </w:rPr>
              <w:t>$4,662</w:t>
            </w:r>
          </w:p>
        </w:tc>
        <w:tc>
          <w:tcPr>
            <w:tcW w:w="1423" w:type="dxa"/>
            <w:shd w:val="clear" w:color="auto" w:fill="auto"/>
          </w:tcPr>
          <w:p w14:paraId="00148D85" w14:textId="5942B929"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796"/>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6"/>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2F85EA9A" w14:textId="77777777" w:rsidR="005830DE" w:rsidRPr="0009282C" w:rsidRDefault="005830DE" w:rsidP="00020F22">
            <w:pPr>
              <w:pStyle w:val="TableText0"/>
              <w:keepNext/>
              <w:keepLines/>
              <w:contextualSpacing/>
              <w:jc w:val="right"/>
              <w:rPr>
                <w:szCs w:val="20"/>
              </w:rPr>
            </w:pPr>
            <w:r w:rsidRPr="0009282C">
              <w:rPr>
                <w:color w:val="000000"/>
                <w:szCs w:val="20"/>
              </w:rPr>
              <w:t>19.87%</w:t>
            </w:r>
          </w:p>
        </w:tc>
      </w:tr>
      <w:tr w:rsidR="005830DE" w:rsidRPr="0009282C" w14:paraId="4D91BCC0" w14:textId="77777777" w:rsidTr="00AC1028">
        <w:trPr>
          <w:trHeight w:val="56"/>
        </w:trPr>
        <w:tc>
          <w:tcPr>
            <w:tcW w:w="3325" w:type="dxa"/>
            <w:shd w:val="clear" w:color="auto" w:fill="auto"/>
          </w:tcPr>
          <w:p w14:paraId="10F389D5" w14:textId="77777777" w:rsidR="005830DE" w:rsidRPr="0009282C" w:rsidRDefault="005830DE" w:rsidP="00020F22">
            <w:pPr>
              <w:pStyle w:val="TableText0"/>
              <w:keepNext/>
              <w:keepLines/>
              <w:contextualSpacing/>
              <w:rPr>
                <w:szCs w:val="20"/>
              </w:rPr>
            </w:pPr>
            <w:r w:rsidRPr="0009282C">
              <w:rPr>
                <w:szCs w:val="20"/>
              </w:rPr>
              <w:t>CKD 3b</w:t>
            </w:r>
          </w:p>
        </w:tc>
        <w:tc>
          <w:tcPr>
            <w:tcW w:w="1423" w:type="dxa"/>
            <w:shd w:val="clear" w:color="auto" w:fill="auto"/>
          </w:tcPr>
          <w:p w14:paraId="69FB5CCF" w14:textId="7DC1C325"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795"/>
                <w14:textFill>
                  <w14:solidFill>
                    <w14:srgbClr w14:val="000000">
                      <w14:alpha w14:val="100000"/>
                    </w14:srgbClr>
                  </w14:solidFill>
                </w14:textFill>
              </w:rPr>
              <w:t>|||</w:t>
            </w:r>
            <w:r w:rsidR="002212A2" w:rsidRPr="002212A2">
              <w:rPr>
                <w:color w:val="000000"/>
                <w:spacing w:val="1"/>
                <w:szCs w:val="20"/>
                <w:shd w:val="solid" w:color="000000" w:fill="000000"/>
                <w:fitText w:val="330" w:id="-694423795"/>
                <w14:textFill>
                  <w14:solidFill>
                    <w14:srgbClr w14:val="000000">
                      <w14:alpha w14:val="100000"/>
                    </w14:srgbClr>
                  </w14:solidFill>
                </w14:textFill>
              </w:rPr>
              <w:t>|</w:t>
            </w:r>
          </w:p>
        </w:tc>
        <w:tc>
          <w:tcPr>
            <w:tcW w:w="1423" w:type="dxa"/>
            <w:shd w:val="clear" w:color="auto" w:fill="auto"/>
          </w:tcPr>
          <w:p w14:paraId="6B246662" w14:textId="77777777" w:rsidR="005830DE" w:rsidRPr="0009282C" w:rsidRDefault="005830DE" w:rsidP="00020F22">
            <w:pPr>
              <w:pStyle w:val="TableText0"/>
              <w:keepNext/>
              <w:keepLines/>
              <w:contextualSpacing/>
              <w:jc w:val="right"/>
              <w:rPr>
                <w:szCs w:val="20"/>
              </w:rPr>
            </w:pPr>
            <w:r w:rsidRPr="0009282C">
              <w:rPr>
                <w:szCs w:val="20"/>
              </w:rPr>
              <w:t>$2,704</w:t>
            </w:r>
          </w:p>
        </w:tc>
        <w:tc>
          <w:tcPr>
            <w:tcW w:w="1423" w:type="dxa"/>
            <w:shd w:val="clear" w:color="auto" w:fill="auto"/>
          </w:tcPr>
          <w:p w14:paraId="6E78C119" w14:textId="45735B7A"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794"/>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4"/>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2994D3E5" w14:textId="77777777" w:rsidR="005830DE" w:rsidRPr="0009282C" w:rsidRDefault="005830DE" w:rsidP="00020F22">
            <w:pPr>
              <w:pStyle w:val="TableText0"/>
              <w:keepNext/>
              <w:keepLines/>
              <w:contextualSpacing/>
              <w:jc w:val="right"/>
              <w:rPr>
                <w:szCs w:val="20"/>
              </w:rPr>
            </w:pPr>
            <w:r w:rsidRPr="0009282C">
              <w:rPr>
                <w:color w:val="000000"/>
                <w:szCs w:val="20"/>
              </w:rPr>
              <w:t>21.96%</w:t>
            </w:r>
          </w:p>
        </w:tc>
      </w:tr>
      <w:tr w:rsidR="005830DE" w:rsidRPr="0009282C" w14:paraId="1E6C9942" w14:textId="77777777" w:rsidTr="009754B9">
        <w:trPr>
          <w:trHeight w:val="20"/>
        </w:trPr>
        <w:tc>
          <w:tcPr>
            <w:tcW w:w="3325" w:type="dxa"/>
            <w:shd w:val="clear" w:color="auto" w:fill="auto"/>
          </w:tcPr>
          <w:p w14:paraId="6B02F34E" w14:textId="77777777" w:rsidR="005830DE" w:rsidRPr="0009282C" w:rsidRDefault="005830DE" w:rsidP="00020F22">
            <w:pPr>
              <w:pStyle w:val="TableText0"/>
              <w:keepNext/>
              <w:keepLines/>
              <w:contextualSpacing/>
              <w:rPr>
                <w:szCs w:val="20"/>
              </w:rPr>
            </w:pPr>
            <w:r w:rsidRPr="0009282C">
              <w:rPr>
                <w:szCs w:val="20"/>
              </w:rPr>
              <w:t>CKD 4-OxC</w:t>
            </w:r>
          </w:p>
        </w:tc>
        <w:tc>
          <w:tcPr>
            <w:tcW w:w="1423" w:type="dxa"/>
            <w:shd w:val="clear" w:color="auto" w:fill="auto"/>
          </w:tcPr>
          <w:p w14:paraId="6B3CE434" w14:textId="18D18414"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793"/>
                <w14:textFill>
                  <w14:solidFill>
                    <w14:srgbClr w14:val="000000">
                      <w14:alpha w14:val="100000"/>
                    </w14:srgbClr>
                  </w14:solidFill>
                </w14:textFill>
              </w:rPr>
              <w:t>|||</w:t>
            </w:r>
            <w:r w:rsidR="002212A2" w:rsidRPr="002212A2">
              <w:rPr>
                <w:color w:val="000000"/>
                <w:spacing w:val="1"/>
                <w:szCs w:val="20"/>
                <w:shd w:val="solid" w:color="000000" w:fill="000000"/>
                <w:fitText w:val="330" w:id="-694423793"/>
                <w14:textFill>
                  <w14:solidFill>
                    <w14:srgbClr w14:val="000000">
                      <w14:alpha w14:val="100000"/>
                    </w14:srgbClr>
                  </w14:solidFill>
                </w14:textFill>
              </w:rPr>
              <w:t>|</w:t>
            </w:r>
          </w:p>
        </w:tc>
        <w:tc>
          <w:tcPr>
            <w:tcW w:w="1423" w:type="dxa"/>
            <w:shd w:val="clear" w:color="auto" w:fill="auto"/>
          </w:tcPr>
          <w:p w14:paraId="1A0B9C40" w14:textId="77777777" w:rsidR="005830DE" w:rsidRPr="0009282C" w:rsidRDefault="005830DE" w:rsidP="00020F22">
            <w:pPr>
              <w:pStyle w:val="TableText0"/>
              <w:keepNext/>
              <w:keepLines/>
              <w:contextualSpacing/>
              <w:jc w:val="right"/>
              <w:rPr>
                <w:szCs w:val="20"/>
              </w:rPr>
            </w:pPr>
            <w:r w:rsidRPr="0009282C">
              <w:rPr>
                <w:szCs w:val="20"/>
              </w:rPr>
              <w:t>$0</w:t>
            </w:r>
          </w:p>
        </w:tc>
        <w:tc>
          <w:tcPr>
            <w:tcW w:w="1423" w:type="dxa"/>
            <w:shd w:val="clear" w:color="auto" w:fill="auto"/>
          </w:tcPr>
          <w:p w14:paraId="4A75F261" w14:textId="27165B1D"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792"/>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2"/>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29E056BF" w14:textId="77777777" w:rsidR="005830DE" w:rsidRPr="0009282C" w:rsidRDefault="005830DE" w:rsidP="00020F22">
            <w:pPr>
              <w:pStyle w:val="TableText0"/>
              <w:keepNext/>
              <w:keepLines/>
              <w:contextualSpacing/>
              <w:jc w:val="right"/>
              <w:rPr>
                <w:szCs w:val="20"/>
              </w:rPr>
            </w:pPr>
            <w:r w:rsidRPr="0009282C">
              <w:rPr>
                <w:color w:val="000000"/>
                <w:szCs w:val="20"/>
              </w:rPr>
              <w:t>30.64%</w:t>
            </w:r>
          </w:p>
        </w:tc>
      </w:tr>
      <w:tr w:rsidR="005830DE" w:rsidRPr="0009282C" w14:paraId="1208AF00" w14:textId="77777777" w:rsidTr="009754B9">
        <w:trPr>
          <w:trHeight w:val="20"/>
        </w:trPr>
        <w:tc>
          <w:tcPr>
            <w:tcW w:w="3325" w:type="dxa"/>
            <w:shd w:val="clear" w:color="auto" w:fill="auto"/>
          </w:tcPr>
          <w:p w14:paraId="47403179" w14:textId="77777777" w:rsidR="005830DE" w:rsidRPr="0009282C" w:rsidRDefault="005830DE" w:rsidP="00020F22">
            <w:pPr>
              <w:pStyle w:val="TableText0"/>
              <w:keepNext/>
              <w:keepLines/>
              <w:contextualSpacing/>
              <w:rPr>
                <w:szCs w:val="20"/>
              </w:rPr>
            </w:pPr>
            <w:r w:rsidRPr="0009282C">
              <w:rPr>
                <w:szCs w:val="20"/>
              </w:rPr>
              <w:t>CKD 4-OxU</w:t>
            </w:r>
          </w:p>
        </w:tc>
        <w:tc>
          <w:tcPr>
            <w:tcW w:w="1423" w:type="dxa"/>
            <w:shd w:val="clear" w:color="auto" w:fill="auto"/>
          </w:tcPr>
          <w:p w14:paraId="04B6C727" w14:textId="1E4EC0BD"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808"/>
                <w14:textFill>
                  <w14:solidFill>
                    <w14:srgbClr w14:val="000000">
                      <w14:alpha w14:val="100000"/>
                    </w14:srgbClr>
                  </w14:solidFill>
                </w14:textFill>
              </w:rPr>
              <w:t>|||</w:t>
            </w:r>
            <w:r w:rsidR="002212A2" w:rsidRPr="002212A2">
              <w:rPr>
                <w:color w:val="000000"/>
                <w:spacing w:val="1"/>
                <w:szCs w:val="20"/>
                <w:shd w:val="solid" w:color="000000" w:fill="000000"/>
                <w:fitText w:val="330" w:id="-694423808"/>
                <w14:textFill>
                  <w14:solidFill>
                    <w14:srgbClr w14:val="000000">
                      <w14:alpha w14:val="100000"/>
                    </w14:srgbClr>
                  </w14:solidFill>
                </w14:textFill>
              </w:rPr>
              <w:t>|</w:t>
            </w:r>
          </w:p>
        </w:tc>
        <w:tc>
          <w:tcPr>
            <w:tcW w:w="1423" w:type="dxa"/>
            <w:shd w:val="clear" w:color="auto" w:fill="auto"/>
          </w:tcPr>
          <w:p w14:paraId="7302CEA0" w14:textId="77777777" w:rsidR="005830DE" w:rsidRPr="0009282C" w:rsidRDefault="005830DE" w:rsidP="00020F22">
            <w:pPr>
              <w:pStyle w:val="TableText0"/>
              <w:keepNext/>
              <w:keepLines/>
              <w:contextualSpacing/>
              <w:jc w:val="right"/>
              <w:rPr>
                <w:szCs w:val="20"/>
              </w:rPr>
            </w:pPr>
            <w:r w:rsidRPr="0009282C">
              <w:rPr>
                <w:szCs w:val="20"/>
              </w:rPr>
              <w:t>$50,849</w:t>
            </w:r>
          </w:p>
        </w:tc>
        <w:tc>
          <w:tcPr>
            <w:tcW w:w="1423" w:type="dxa"/>
            <w:shd w:val="clear" w:color="auto" w:fill="auto"/>
          </w:tcPr>
          <w:p w14:paraId="4DBDB773" w14:textId="653EFCD7"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807"/>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807"/>
                <w14:textFill>
                  <w14:solidFill>
                    <w14:srgbClr w14:val="000000">
                      <w14:alpha w14:val="100000"/>
                    </w14:srgbClr>
                  </w14:solidFill>
                </w14:textFill>
              </w:rPr>
              <w:t>|</w:t>
            </w:r>
          </w:p>
        </w:tc>
        <w:tc>
          <w:tcPr>
            <w:tcW w:w="1423" w:type="dxa"/>
            <w:shd w:val="clear" w:color="auto" w:fill="auto"/>
            <w:vAlign w:val="center"/>
          </w:tcPr>
          <w:p w14:paraId="0233A334" w14:textId="77777777" w:rsidR="005830DE" w:rsidRPr="0009282C" w:rsidRDefault="005830DE" w:rsidP="00020F22">
            <w:pPr>
              <w:pStyle w:val="TableText0"/>
              <w:keepNext/>
              <w:keepLines/>
              <w:contextualSpacing/>
              <w:jc w:val="right"/>
              <w:rPr>
                <w:szCs w:val="20"/>
              </w:rPr>
            </w:pPr>
            <w:r w:rsidRPr="0009282C">
              <w:rPr>
                <w:color w:val="000000"/>
                <w:szCs w:val="20"/>
              </w:rPr>
              <w:t>-0.32%</w:t>
            </w:r>
          </w:p>
        </w:tc>
      </w:tr>
      <w:tr w:rsidR="005830DE" w:rsidRPr="0009282C" w14:paraId="2A7051AC" w14:textId="77777777" w:rsidTr="009754B9">
        <w:trPr>
          <w:trHeight w:val="20"/>
        </w:trPr>
        <w:tc>
          <w:tcPr>
            <w:tcW w:w="3325" w:type="dxa"/>
            <w:shd w:val="clear" w:color="auto" w:fill="auto"/>
          </w:tcPr>
          <w:p w14:paraId="722E53D0" w14:textId="5004FAD3" w:rsidR="005830DE" w:rsidRPr="0009282C" w:rsidRDefault="005830DE" w:rsidP="00020F22">
            <w:pPr>
              <w:pStyle w:val="TableText0"/>
              <w:keepNext/>
              <w:keepLines/>
              <w:contextualSpacing/>
            </w:pPr>
            <w:r w:rsidRPr="0009282C">
              <w:t>ESKD-</w:t>
            </w:r>
            <w:proofErr w:type="spellStart"/>
            <w:r w:rsidRPr="0009282C">
              <w:t>OxC</w:t>
            </w:r>
            <w:proofErr w:type="spellEnd"/>
          </w:p>
        </w:tc>
        <w:tc>
          <w:tcPr>
            <w:tcW w:w="1423" w:type="dxa"/>
            <w:shd w:val="clear" w:color="auto" w:fill="auto"/>
          </w:tcPr>
          <w:p w14:paraId="765247F9" w14:textId="6D932E90"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806"/>
                <w14:textFill>
                  <w14:solidFill>
                    <w14:srgbClr w14:val="000000">
                      <w14:alpha w14:val="100000"/>
                    </w14:srgbClr>
                  </w14:solidFill>
                </w14:textFill>
              </w:rPr>
              <w:t>|||</w:t>
            </w:r>
            <w:r w:rsidR="002212A2" w:rsidRPr="002212A2">
              <w:rPr>
                <w:color w:val="000000"/>
                <w:spacing w:val="1"/>
                <w:szCs w:val="20"/>
                <w:shd w:val="solid" w:color="000000" w:fill="000000"/>
                <w:fitText w:val="330" w:id="-694423806"/>
                <w14:textFill>
                  <w14:solidFill>
                    <w14:srgbClr w14:val="000000">
                      <w14:alpha w14:val="100000"/>
                    </w14:srgbClr>
                  </w14:solidFill>
                </w14:textFill>
              </w:rPr>
              <w:t>|</w:t>
            </w:r>
          </w:p>
        </w:tc>
        <w:tc>
          <w:tcPr>
            <w:tcW w:w="1423" w:type="dxa"/>
            <w:shd w:val="clear" w:color="auto" w:fill="auto"/>
          </w:tcPr>
          <w:p w14:paraId="4DA00D93" w14:textId="77777777" w:rsidR="005830DE" w:rsidRPr="0009282C" w:rsidRDefault="005830DE" w:rsidP="00020F22">
            <w:pPr>
              <w:pStyle w:val="TableText0"/>
              <w:keepNext/>
              <w:keepLines/>
              <w:contextualSpacing/>
              <w:jc w:val="right"/>
              <w:rPr>
                <w:szCs w:val="20"/>
              </w:rPr>
            </w:pPr>
            <w:r w:rsidRPr="0009282C">
              <w:rPr>
                <w:szCs w:val="20"/>
              </w:rPr>
              <w:t>$0</w:t>
            </w:r>
          </w:p>
        </w:tc>
        <w:tc>
          <w:tcPr>
            <w:tcW w:w="1423" w:type="dxa"/>
            <w:shd w:val="clear" w:color="auto" w:fill="auto"/>
          </w:tcPr>
          <w:p w14:paraId="10358C75" w14:textId="5B004E34"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805"/>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805"/>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715A25FD" w14:textId="77777777" w:rsidR="005830DE" w:rsidRPr="0009282C" w:rsidRDefault="005830DE" w:rsidP="00020F22">
            <w:pPr>
              <w:pStyle w:val="TableText0"/>
              <w:keepNext/>
              <w:keepLines/>
              <w:contextualSpacing/>
              <w:jc w:val="right"/>
              <w:rPr>
                <w:szCs w:val="20"/>
              </w:rPr>
            </w:pPr>
            <w:r w:rsidRPr="0009282C">
              <w:rPr>
                <w:color w:val="000000"/>
                <w:szCs w:val="20"/>
              </w:rPr>
              <w:t>44.27%</w:t>
            </w:r>
          </w:p>
        </w:tc>
      </w:tr>
      <w:tr w:rsidR="005830DE" w:rsidRPr="0009282C" w14:paraId="41142D86" w14:textId="77777777" w:rsidTr="009754B9">
        <w:trPr>
          <w:trHeight w:val="20"/>
        </w:trPr>
        <w:tc>
          <w:tcPr>
            <w:tcW w:w="3325" w:type="dxa"/>
            <w:shd w:val="clear" w:color="auto" w:fill="auto"/>
          </w:tcPr>
          <w:p w14:paraId="31FA0994" w14:textId="58398D43" w:rsidR="005830DE" w:rsidRPr="0009282C" w:rsidRDefault="005830DE" w:rsidP="00020F22">
            <w:pPr>
              <w:pStyle w:val="TableText0"/>
              <w:keepNext/>
              <w:keepLines/>
              <w:contextualSpacing/>
            </w:pPr>
            <w:r w:rsidRPr="0009282C">
              <w:t>ESKD-</w:t>
            </w:r>
            <w:proofErr w:type="spellStart"/>
            <w:r w:rsidRPr="0009282C">
              <w:t>OxU</w:t>
            </w:r>
            <w:proofErr w:type="spellEnd"/>
          </w:p>
        </w:tc>
        <w:tc>
          <w:tcPr>
            <w:tcW w:w="1423" w:type="dxa"/>
            <w:shd w:val="clear" w:color="auto" w:fill="auto"/>
          </w:tcPr>
          <w:p w14:paraId="604E414A" w14:textId="20CA81AE"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804"/>
                <w14:textFill>
                  <w14:solidFill>
                    <w14:srgbClr w14:val="000000">
                      <w14:alpha w14:val="100000"/>
                    </w14:srgbClr>
                  </w14:solidFill>
                </w14:textFill>
              </w:rPr>
              <w:t>|||</w:t>
            </w:r>
            <w:r w:rsidR="002212A2" w:rsidRPr="002212A2">
              <w:rPr>
                <w:color w:val="000000"/>
                <w:spacing w:val="1"/>
                <w:szCs w:val="20"/>
                <w:shd w:val="solid" w:color="000000" w:fill="000000"/>
                <w:fitText w:val="330" w:id="-694423804"/>
                <w14:textFill>
                  <w14:solidFill>
                    <w14:srgbClr w14:val="000000">
                      <w14:alpha w14:val="100000"/>
                    </w14:srgbClr>
                  </w14:solidFill>
                </w14:textFill>
              </w:rPr>
              <w:t>|</w:t>
            </w:r>
          </w:p>
        </w:tc>
        <w:tc>
          <w:tcPr>
            <w:tcW w:w="1423" w:type="dxa"/>
            <w:shd w:val="clear" w:color="auto" w:fill="auto"/>
          </w:tcPr>
          <w:p w14:paraId="352B9B82" w14:textId="77777777" w:rsidR="005830DE" w:rsidRPr="0009282C" w:rsidRDefault="005830DE" w:rsidP="00020F22">
            <w:pPr>
              <w:pStyle w:val="TableText0"/>
              <w:keepNext/>
              <w:keepLines/>
              <w:contextualSpacing/>
              <w:jc w:val="right"/>
              <w:rPr>
                <w:szCs w:val="20"/>
              </w:rPr>
            </w:pPr>
            <w:r w:rsidRPr="0009282C">
              <w:rPr>
                <w:szCs w:val="20"/>
              </w:rPr>
              <w:t>$1,865,482</w:t>
            </w:r>
          </w:p>
        </w:tc>
        <w:tc>
          <w:tcPr>
            <w:tcW w:w="1423" w:type="dxa"/>
            <w:shd w:val="clear" w:color="auto" w:fill="auto"/>
          </w:tcPr>
          <w:p w14:paraId="64F9AC15" w14:textId="65653647"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803"/>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803"/>
                <w14:textFill>
                  <w14:solidFill>
                    <w14:srgbClr w14:val="000000">
                      <w14:alpha w14:val="100000"/>
                    </w14:srgbClr>
                  </w14:solidFill>
                </w14:textFill>
              </w:rPr>
              <w:t>|</w:t>
            </w:r>
          </w:p>
        </w:tc>
        <w:tc>
          <w:tcPr>
            <w:tcW w:w="1423" w:type="dxa"/>
            <w:shd w:val="clear" w:color="auto" w:fill="auto"/>
            <w:vAlign w:val="center"/>
          </w:tcPr>
          <w:p w14:paraId="594B8402" w14:textId="77777777" w:rsidR="005830DE" w:rsidRPr="0009282C" w:rsidRDefault="005830DE" w:rsidP="00020F22">
            <w:pPr>
              <w:pStyle w:val="TableText0"/>
              <w:keepNext/>
              <w:keepLines/>
              <w:contextualSpacing/>
              <w:jc w:val="right"/>
              <w:rPr>
                <w:szCs w:val="20"/>
              </w:rPr>
            </w:pPr>
            <w:r w:rsidRPr="0009282C">
              <w:rPr>
                <w:color w:val="000000"/>
                <w:szCs w:val="20"/>
              </w:rPr>
              <w:t>-39.72%</w:t>
            </w:r>
          </w:p>
        </w:tc>
      </w:tr>
      <w:tr w:rsidR="005830DE" w:rsidRPr="0009282C" w14:paraId="5936577B" w14:textId="77777777" w:rsidTr="009754B9">
        <w:trPr>
          <w:trHeight w:val="20"/>
        </w:trPr>
        <w:tc>
          <w:tcPr>
            <w:tcW w:w="3325" w:type="dxa"/>
            <w:shd w:val="clear" w:color="auto" w:fill="auto"/>
          </w:tcPr>
          <w:p w14:paraId="3E233DA1" w14:textId="3B81859A" w:rsidR="005830DE" w:rsidRPr="0009282C" w:rsidRDefault="005830DE" w:rsidP="00020F22">
            <w:pPr>
              <w:pStyle w:val="TableText0"/>
              <w:keepNext/>
              <w:keepLines/>
              <w:contextualSpacing/>
            </w:pPr>
            <w:proofErr w:type="spellStart"/>
            <w:r w:rsidRPr="0009282C">
              <w:t>cLKT-OxC</w:t>
            </w:r>
            <w:proofErr w:type="spellEnd"/>
          </w:p>
        </w:tc>
        <w:tc>
          <w:tcPr>
            <w:tcW w:w="1423" w:type="dxa"/>
            <w:shd w:val="clear" w:color="auto" w:fill="auto"/>
          </w:tcPr>
          <w:p w14:paraId="69001C0F" w14:textId="5977AB22" w:rsidR="005830DE" w:rsidRPr="0009282C" w:rsidRDefault="005830DE" w:rsidP="00020F22">
            <w:pPr>
              <w:pStyle w:val="TableText0"/>
              <w:keepNext/>
              <w:keepLines/>
              <w:contextualSpacing/>
              <w:jc w:val="right"/>
              <w:rPr>
                <w:szCs w:val="20"/>
              </w:rPr>
            </w:pPr>
            <w:r w:rsidRPr="0009282C">
              <w:rPr>
                <w:szCs w:val="20"/>
              </w:rPr>
              <w:t>$</w:t>
            </w:r>
            <w:r w:rsidR="002212A2" w:rsidRPr="002212A2">
              <w:rPr>
                <w:color w:val="000000"/>
                <w:spacing w:val="53"/>
                <w:szCs w:val="20"/>
                <w:shd w:val="solid" w:color="000000" w:fill="000000"/>
                <w:fitText w:val="330" w:id="-694423802"/>
                <w14:textFill>
                  <w14:solidFill>
                    <w14:srgbClr w14:val="000000">
                      <w14:alpha w14:val="100000"/>
                    </w14:srgbClr>
                  </w14:solidFill>
                </w14:textFill>
              </w:rPr>
              <w:t>|||</w:t>
            </w:r>
            <w:r w:rsidR="002212A2" w:rsidRPr="002212A2">
              <w:rPr>
                <w:color w:val="000000"/>
                <w:spacing w:val="1"/>
                <w:szCs w:val="20"/>
                <w:shd w:val="solid" w:color="000000" w:fill="000000"/>
                <w:fitText w:val="330" w:id="-694423802"/>
                <w14:textFill>
                  <w14:solidFill>
                    <w14:srgbClr w14:val="000000">
                      <w14:alpha w14:val="100000"/>
                    </w14:srgbClr>
                  </w14:solidFill>
                </w14:textFill>
              </w:rPr>
              <w:t>|</w:t>
            </w:r>
          </w:p>
        </w:tc>
        <w:tc>
          <w:tcPr>
            <w:tcW w:w="1423" w:type="dxa"/>
            <w:shd w:val="clear" w:color="auto" w:fill="auto"/>
          </w:tcPr>
          <w:p w14:paraId="44414BBB" w14:textId="77777777" w:rsidR="005830DE" w:rsidRPr="0009282C" w:rsidRDefault="005830DE" w:rsidP="00020F22">
            <w:pPr>
              <w:pStyle w:val="TableText0"/>
              <w:keepNext/>
              <w:keepLines/>
              <w:contextualSpacing/>
              <w:jc w:val="right"/>
              <w:rPr>
                <w:szCs w:val="20"/>
              </w:rPr>
            </w:pPr>
            <w:r w:rsidRPr="0009282C">
              <w:rPr>
                <w:szCs w:val="20"/>
              </w:rPr>
              <w:t>$0</w:t>
            </w:r>
          </w:p>
        </w:tc>
        <w:tc>
          <w:tcPr>
            <w:tcW w:w="1423" w:type="dxa"/>
            <w:shd w:val="clear" w:color="auto" w:fill="auto"/>
          </w:tcPr>
          <w:p w14:paraId="18032E6F" w14:textId="4EDD60B7" w:rsidR="005830DE" w:rsidRPr="0009282C" w:rsidRDefault="005830DE" w:rsidP="00020F22">
            <w:pPr>
              <w:pStyle w:val="TableText0"/>
              <w:keepNext/>
              <w:keepLines/>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801"/>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801"/>
                <w14:textFill>
                  <w14:solidFill>
                    <w14:srgbClr w14:val="000000">
                      <w14:alpha w14:val="100000"/>
                    </w14:srgbClr>
                  </w14:solidFill>
                </w14:textFill>
              </w:rPr>
              <w:t>|</w:t>
            </w:r>
            <w:r w:rsidRPr="0009282C">
              <w:rPr>
                <w:rFonts w:eastAsia="Times New Roman" w:cs="Times New Roman"/>
                <w:szCs w:val="20"/>
              </w:rPr>
              <w:t xml:space="preserve"> </w:t>
            </w:r>
          </w:p>
        </w:tc>
        <w:tc>
          <w:tcPr>
            <w:tcW w:w="1423" w:type="dxa"/>
            <w:shd w:val="clear" w:color="auto" w:fill="auto"/>
            <w:vAlign w:val="center"/>
          </w:tcPr>
          <w:p w14:paraId="4D192892" w14:textId="77777777" w:rsidR="005830DE" w:rsidRPr="0009282C" w:rsidRDefault="005830DE" w:rsidP="00020F22">
            <w:pPr>
              <w:pStyle w:val="TableText0"/>
              <w:keepNext/>
              <w:keepLines/>
              <w:contextualSpacing/>
              <w:jc w:val="right"/>
              <w:rPr>
                <w:szCs w:val="20"/>
              </w:rPr>
            </w:pPr>
            <w:r w:rsidRPr="0009282C">
              <w:rPr>
                <w:color w:val="000000"/>
                <w:szCs w:val="20"/>
              </w:rPr>
              <w:t>0.33%</w:t>
            </w:r>
          </w:p>
        </w:tc>
      </w:tr>
      <w:tr w:rsidR="005830DE" w:rsidRPr="0009282C" w14:paraId="3AA5CAB2" w14:textId="77777777" w:rsidTr="009754B9">
        <w:trPr>
          <w:trHeight w:val="20"/>
        </w:trPr>
        <w:tc>
          <w:tcPr>
            <w:tcW w:w="3325" w:type="dxa"/>
            <w:shd w:val="clear" w:color="auto" w:fill="auto"/>
          </w:tcPr>
          <w:p w14:paraId="14C6FFD9" w14:textId="4B893298" w:rsidR="005830DE" w:rsidRPr="0009282C" w:rsidRDefault="005830DE" w:rsidP="00203611">
            <w:pPr>
              <w:pStyle w:val="TableText0"/>
              <w:contextualSpacing/>
            </w:pPr>
            <w:proofErr w:type="spellStart"/>
            <w:r w:rsidRPr="0009282C">
              <w:t>cLKT-OxU</w:t>
            </w:r>
            <w:proofErr w:type="spellEnd"/>
          </w:p>
        </w:tc>
        <w:tc>
          <w:tcPr>
            <w:tcW w:w="1423" w:type="dxa"/>
            <w:shd w:val="clear" w:color="auto" w:fill="auto"/>
          </w:tcPr>
          <w:p w14:paraId="3151EC78" w14:textId="79596242" w:rsidR="005830DE" w:rsidRPr="0009282C" w:rsidRDefault="005830DE" w:rsidP="00203611">
            <w:pPr>
              <w:pStyle w:val="TableText0"/>
              <w:contextualSpacing/>
              <w:jc w:val="right"/>
              <w:rPr>
                <w:szCs w:val="20"/>
              </w:rPr>
            </w:pPr>
            <w:r w:rsidRPr="0009282C">
              <w:rPr>
                <w:szCs w:val="20"/>
              </w:rPr>
              <w:t>$</w:t>
            </w:r>
            <w:r w:rsidR="002212A2" w:rsidRPr="002212A2">
              <w:rPr>
                <w:color w:val="000000"/>
                <w:spacing w:val="53"/>
                <w:szCs w:val="20"/>
                <w:shd w:val="solid" w:color="000000" w:fill="000000"/>
                <w:fitText w:val="330" w:id="-694423800"/>
                <w14:textFill>
                  <w14:solidFill>
                    <w14:srgbClr w14:val="000000">
                      <w14:alpha w14:val="100000"/>
                    </w14:srgbClr>
                  </w14:solidFill>
                </w14:textFill>
              </w:rPr>
              <w:t>|||</w:t>
            </w:r>
            <w:r w:rsidR="002212A2" w:rsidRPr="002212A2">
              <w:rPr>
                <w:color w:val="000000"/>
                <w:spacing w:val="1"/>
                <w:szCs w:val="20"/>
                <w:shd w:val="solid" w:color="000000" w:fill="000000"/>
                <w:fitText w:val="330" w:id="-694423800"/>
                <w14:textFill>
                  <w14:solidFill>
                    <w14:srgbClr w14:val="000000">
                      <w14:alpha w14:val="100000"/>
                    </w14:srgbClr>
                  </w14:solidFill>
                </w14:textFill>
              </w:rPr>
              <w:t>|</w:t>
            </w:r>
          </w:p>
        </w:tc>
        <w:tc>
          <w:tcPr>
            <w:tcW w:w="1423" w:type="dxa"/>
            <w:shd w:val="clear" w:color="auto" w:fill="auto"/>
          </w:tcPr>
          <w:p w14:paraId="2EE979C2" w14:textId="77777777" w:rsidR="005830DE" w:rsidRPr="0009282C" w:rsidRDefault="005830DE" w:rsidP="00203611">
            <w:pPr>
              <w:pStyle w:val="TableText0"/>
              <w:contextualSpacing/>
              <w:jc w:val="right"/>
              <w:rPr>
                <w:szCs w:val="20"/>
              </w:rPr>
            </w:pPr>
            <w:r w:rsidRPr="0009282C">
              <w:rPr>
                <w:szCs w:val="20"/>
              </w:rPr>
              <w:t>$23,688</w:t>
            </w:r>
          </w:p>
        </w:tc>
        <w:tc>
          <w:tcPr>
            <w:tcW w:w="1423" w:type="dxa"/>
            <w:shd w:val="clear" w:color="auto" w:fill="auto"/>
          </w:tcPr>
          <w:p w14:paraId="4DF0C9DD" w14:textId="16E7E3E7" w:rsidR="005830DE" w:rsidRPr="0009282C" w:rsidRDefault="005830DE" w:rsidP="00203611">
            <w:pPr>
              <w:pStyle w:val="TableText0"/>
              <w:contextualSpacing/>
              <w:jc w:val="right"/>
              <w:rPr>
                <w:szCs w:val="20"/>
              </w:rPr>
            </w:pPr>
            <w:r w:rsidRPr="0009282C">
              <w:rPr>
                <w:rFonts w:eastAsia="Times New Roman" w:cs="Times New Roman"/>
                <w:szCs w:val="20"/>
              </w:rPr>
              <w:t>-$</w:t>
            </w:r>
            <w:r w:rsidR="002212A2" w:rsidRPr="002212A2">
              <w:rPr>
                <w:rFonts w:eastAsia="Times New Roman" w:cs="Times New Roman"/>
                <w:color w:val="000000"/>
                <w:spacing w:val="53"/>
                <w:szCs w:val="20"/>
                <w:shd w:val="solid" w:color="000000" w:fill="000000"/>
                <w:fitText w:val="330" w:id="-694423799"/>
                <w14:textFill>
                  <w14:solidFill>
                    <w14:srgbClr w14:val="000000">
                      <w14:alpha w14:val="100000"/>
                    </w14:srgbClr>
                  </w14:solidFill>
                </w14:textFill>
              </w:rPr>
              <w:t>|||</w:t>
            </w:r>
            <w:r w:rsidR="002212A2" w:rsidRPr="002212A2">
              <w:rPr>
                <w:rFonts w:eastAsia="Times New Roman" w:cs="Times New Roman"/>
                <w:color w:val="000000"/>
                <w:spacing w:val="1"/>
                <w:szCs w:val="20"/>
                <w:shd w:val="solid" w:color="000000" w:fill="000000"/>
                <w:fitText w:val="330" w:id="-694423799"/>
                <w14:textFill>
                  <w14:solidFill>
                    <w14:srgbClr w14:val="000000">
                      <w14:alpha w14:val="100000"/>
                    </w14:srgbClr>
                  </w14:solidFill>
                </w14:textFill>
              </w:rPr>
              <w:t>|</w:t>
            </w:r>
          </w:p>
        </w:tc>
        <w:tc>
          <w:tcPr>
            <w:tcW w:w="1423" w:type="dxa"/>
            <w:shd w:val="clear" w:color="auto" w:fill="auto"/>
            <w:vAlign w:val="center"/>
          </w:tcPr>
          <w:p w14:paraId="297CFA94" w14:textId="77777777" w:rsidR="005830DE" w:rsidRPr="0009282C" w:rsidRDefault="005830DE" w:rsidP="00203611">
            <w:pPr>
              <w:pStyle w:val="TableText0"/>
              <w:contextualSpacing/>
              <w:jc w:val="right"/>
              <w:rPr>
                <w:szCs w:val="20"/>
              </w:rPr>
            </w:pPr>
            <w:r w:rsidRPr="0009282C">
              <w:rPr>
                <w:color w:val="000000"/>
                <w:szCs w:val="20"/>
              </w:rPr>
              <w:t>-0.52%</w:t>
            </w:r>
          </w:p>
        </w:tc>
      </w:tr>
      <w:tr w:rsidR="005830DE" w:rsidRPr="0009282C" w14:paraId="797F4388" w14:textId="77777777" w:rsidTr="009754B9">
        <w:trPr>
          <w:trHeight w:val="20"/>
        </w:trPr>
        <w:tc>
          <w:tcPr>
            <w:tcW w:w="3325" w:type="dxa"/>
            <w:shd w:val="clear" w:color="auto" w:fill="auto"/>
          </w:tcPr>
          <w:p w14:paraId="055DDAB8" w14:textId="77777777" w:rsidR="005830DE" w:rsidRPr="0009282C" w:rsidRDefault="005830DE" w:rsidP="00203611">
            <w:pPr>
              <w:pStyle w:val="TableText0"/>
              <w:contextualSpacing/>
              <w:rPr>
                <w:b/>
                <w:bCs w:val="0"/>
                <w:szCs w:val="20"/>
              </w:rPr>
            </w:pPr>
            <w:r w:rsidRPr="0009282C">
              <w:rPr>
                <w:b/>
                <w:bCs w:val="0"/>
                <w:szCs w:val="20"/>
              </w:rPr>
              <w:t>Total</w:t>
            </w:r>
          </w:p>
        </w:tc>
        <w:tc>
          <w:tcPr>
            <w:tcW w:w="1423" w:type="dxa"/>
            <w:shd w:val="clear" w:color="auto" w:fill="auto"/>
          </w:tcPr>
          <w:p w14:paraId="7C9C8654" w14:textId="7BA8E0A2" w:rsidR="005830DE" w:rsidRPr="0009282C" w:rsidRDefault="005830DE" w:rsidP="00203611">
            <w:pPr>
              <w:pStyle w:val="TableText0"/>
              <w:contextualSpacing/>
              <w:jc w:val="right"/>
              <w:rPr>
                <w:b/>
                <w:bCs w:val="0"/>
                <w:szCs w:val="20"/>
              </w:rPr>
            </w:pPr>
            <w:r w:rsidRPr="0009282C">
              <w:rPr>
                <w:b/>
                <w:bCs w:val="0"/>
                <w:szCs w:val="20"/>
              </w:rPr>
              <w:t>$</w:t>
            </w:r>
            <w:r w:rsidR="002212A2" w:rsidRPr="002212A2">
              <w:rPr>
                <w:b/>
                <w:bCs w:val="0"/>
                <w:color w:val="000000"/>
                <w:spacing w:val="58"/>
                <w:szCs w:val="20"/>
                <w:shd w:val="solid" w:color="000000" w:fill="000000"/>
                <w:fitText w:val="360" w:id="-694423798"/>
                <w14:textFill>
                  <w14:solidFill>
                    <w14:srgbClr w14:val="000000">
                      <w14:alpha w14:val="100000"/>
                    </w14:srgbClr>
                  </w14:solidFill>
                </w14:textFill>
              </w:rPr>
              <w:t>|||</w:t>
            </w:r>
            <w:r w:rsidR="002212A2" w:rsidRPr="002212A2">
              <w:rPr>
                <w:b/>
                <w:bCs w:val="0"/>
                <w:color w:val="000000"/>
                <w:spacing w:val="3"/>
                <w:szCs w:val="20"/>
                <w:shd w:val="solid" w:color="000000" w:fill="000000"/>
                <w:fitText w:val="360" w:id="-694423798"/>
                <w14:textFill>
                  <w14:solidFill>
                    <w14:srgbClr w14:val="000000">
                      <w14:alpha w14:val="100000"/>
                    </w14:srgbClr>
                  </w14:solidFill>
                </w14:textFill>
              </w:rPr>
              <w:t>|</w:t>
            </w:r>
          </w:p>
        </w:tc>
        <w:tc>
          <w:tcPr>
            <w:tcW w:w="1423" w:type="dxa"/>
            <w:shd w:val="clear" w:color="auto" w:fill="auto"/>
          </w:tcPr>
          <w:p w14:paraId="1BDA3B48" w14:textId="77777777" w:rsidR="005830DE" w:rsidRPr="0009282C" w:rsidRDefault="005830DE" w:rsidP="00203611">
            <w:pPr>
              <w:pStyle w:val="TableText0"/>
              <w:contextualSpacing/>
              <w:jc w:val="right"/>
              <w:rPr>
                <w:b/>
                <w:bCs w:val="0"/>
                <w:szCs w:val="20"/>
              </w:rPr>
            </w:pPr>
            <w:r w:rsidRPr="0009282C">
              <w:rPr>
                <w:b/>
                <w:bCs w:val="0"/>
                <w:szCs w:val="20"/>
              </w:rPr>
              <w:t>$1,953,419</w:t>
            </w:r>
          </w:p>
        </w:tc>
        <w:tc>
          <w:tcPr>
            <w:tcW w:w="1423" w:type="dxa"/>
            <w:shd w:val="clear" w:color="auto" w:fill="auto"/>
          </w:tcPr>
          <w:p w14:paraId="1E20E8E3" w14:textId="1632B97E" w:rsidR="005830DE" w:rsidRPr="0009282C" w:rsidRDefault="005830DE" w:rsidP="00203611">
            <w:pPr>
              <w:pStyle w:val="TableText0"/>
              <w:contextualSpacing/>
              <w:jc w:val="right"/>
              <w:rPr>
                <w:b/>
                <w:bCs w:val="0"/>
                <w:szCs w:val="20"/>
              </w:rPr>
            </w:pPr>
            <w:r w:rsidRPr="0009282C">
              <w:rPr>
                <w:rFonts w:eastAsia="Times New Roman" w:cs="Times New Roman"/>
                <w:b/>
                <w:bCs w:val="0"/>
                <w:szCs w:val="20"/>
              </w:rPr>
              <w:t>$</w:t>
            </w:r>
            <w:r w:rsidR="002212A2">
              <w:rPr>
                <w:rFonts w:eastAsia="Times New Roman" w:cs="Times New Roman"/>
                <w:b/>
                <w:bCs w:val="0"/>
                <w:color w:val="000000"/>
                <w:spacing w:val="58"/>
                <w:szCs w:val="20"/>
                <w:shd w:val="solid" w:color="000000" w:fill="000000"/>
                <w:fitText w:val="360" w:id="-694423797"/>
                <w14:textFill>
                  <w14:solidFill>
                    <w14:srgbClr w14:val="000000">
                      <w14:alpha w14:val="100000"/>
                    </w14:srgbClr>
                  </w14:solidFill>
                </w14:textFill>
              </w:rPr>
              <w:t>|||</w:t>
            </w:r>
            <w:r w:rsidR="002212A2">
              <w:rPr>
                <w:rFonts w:eastAsia="Times New Roman" w:cs="Times New Roman"/>
                <w:b/>
                <w:bCs w:val="0"/>
                <w:color w:val="000000"/>
                <w:spacing w:val="2"/>
                <w:szCs w:val="20"/>
                <w:shd w:val="solid" w:color="000000" w:fill="000000"/>
                <w:fitText w:val="360" w:id="-694423797"/>
                <w14:textFill>
                  <w14:solidFill>
                    <w14:srgbClr w14:val="000000">
                      <w14:alpha w14:val="100000"/>
                    </w14:srgbClr>
                  </w14:solidFill>
                </w14:textFill>
              </w:rPr>
              <w:t>|</w:t>
            </w:r>
            <w:r w:rsidRPr="0009282C">
              <w:rPr>
                <w:rFonts w:eastAsia="Times New Roman" w:cs="Times New Roman"/>
                <w:b/>
                <w:bCs w:val="0"/>
                <w:szCs w:val="20"/>
              </w:rPr>
              <w:t xml:space="preserve"> </w:t>
            </w:r>
          </w:p>
        </w:tc>
        <w:tc>
          <w:tcPr>
            <w:tcW w:w="1423" w:type="dxa"/>
            <w:shd w:val="clear" w:color="auto" w:fill="auto"/>
            <w:vAlign w:val="center"/>
          </w:tcPr>
          <w:p w14:paraId="6F931AFD" w14:textId="77777777" w:rsidR="005830DE" w:rsidRPr="0009282C" w:rsidRDefault="005830DE" w:rsidP="00203611">
            <w:pPr>
              <w:pStyle w:val="TableText0"/>
              <w:contextualSpacing/>
              <w:jc w:val="right"/>
              <w:rPr>
                <w:b/>
                <w:bCs w:val="0"/>
                <w:szCs w:val="20"/>
              </w:rPr>
            </w:pPr>
            <w:r w:rsidRPr="0009282C">
              <w:rPr>
                <w:b/>
                <w:bCs w:val="0"/>
                <w:color w:val="000000"/>
                <w:szCs w:val="20"/>
              </w:rPr>
              <w:t>100.00%</w:t>
            </w:r>
          </w:p>
        </w:tc>
      </w:tr>
    </w:tbl>
    <w:p w14:paraId="320A376C" w14:textId="3379BC0A" w:rsidR="005830DE" w:rsidRPr="0009282C" w:rsidRDefault="00580660" w:rsidP="001E6A64">
      <w:pPr>
        <w:pStyle w:val="TableFigureFooter"/>
      </w:pPr>
      <w:r w:rsidRPr="0009282C">
        <w:t>Abbreviations:</w:t>
      </w:r>
      <w:r w:rsidR="0A4860D0" w:rsidRPr="0009282C">
        <w:t xml:space="preserve"> </w:t>
      </w:r>
      <w:r w:rsidR="00945A77" w:rsidRPr="0009282C">
        <w:t xml:space="preserve">CKD, chronic kidney disease; ESKD, end stage kidney disease; </w:t>
      </w:r>
      <w:proofErr w:type="spellStart"/>
      <w:r w:rsidR="00945A77" w:rsidRPr="0009282C">
        <w:t>cLKT</w:t>
      </w:r>
      <w:proofErr w:type="spellEnd"/>
      <w:r w:rsidR="00945A77" w:rsidRPr="0009282C">
        <w:t xml:space="preserve">, combined liver kidney transplantation; BSC, best supportive care; </w:t>
      </w:r>
      <w:r w:rsidR="006E572C" w:rsidRPr="0009282C">
        <w:t>RSE</w:t>
      </w:r>
      <w:r w:rsidR="00945A77" w:rsidRPr="0009282C">
        <w:t xml:space="preserve">, renal stone event; AEs, adverse events; </w:t>
      </w:r>
      <w:proofErr w:type="spellStart"/>
      <w:r w:rsidR="00945A77" w:rsidRPr="0009282C">
        <w:t>OxC</w:t>
      </w:r>
      <w:proofErr w:type="spellEnd"/>
      <w:r w:rsidR="00945A77" w:rsidRPr="0009282C">
        <w:t xml:space="preserve">, controlled oxalate levels; </w:t>
      </w:r>
      <w:proofErr w:type="spellStart"/>
      <w:r w:rsidR="00945A77" w:rsidRPr="0009282C">
        <w:t>OxU</w:t>
      </w:r>
      <w:proofErr w:type="spellEnd"/>
      <w:r w:rsidR="00945A77" w:rsidRPr="0009282C">
        <w:t xml:space="preserve">, uncontrolled oxalate levels; </w:t>
      </w:r>
      <w:r w:rsidRPr="0009282C">
        <w:t>Source:</w:t>
      </w:r>
      <w:r w:rsidR="006F4910" w:rsidRPr="0009282C">
        <w:t xml:space="preserve"> Table 3.50 and 3.51</w:t>
      </w:r>
      <w:r w:rsidR="00D11993" w:rsidRPr="0009282C">
        <w:t xml:space="preserve">, </w:t>
      </w:r>
      <w:r w:rsidR="00580583" w:rsidRPr="0009282C">
        <w:t>p</w:t>
      </w:r>
      <w:r w:rsidR="00D82217" w:rsidRPr="0009282C">
        <w:t>p</w:t>
      </w:r>
      <w:r w:rsidR="00580583" w:rsidRPr="0009282C">
        <w:t>149-</w:t>
      </w:r>
      <w:r w:rsidR="006F4910" w:rsidRPr="0009282C">
        <w:t xml:space="preserve"> </w:t>
      </w:r>
      <w:r w:rsidR="00ED77DB" w:rsidRPr="0009282C">
        <w:t xml:space="preserve">and </w:t>
      </w:r>
      <w:r w:rsidR="00D82217" w:rsidRPr="0009282C">
        <w:t xml:space="preserve">the </w:t>
      </w:r>
      <w:r w:rsidR="008D3207" w:rsidRPr="0009282C">
        <w:t>E</w:t>
      </w:r>
      <w:r w:rsidR="00ED77DB" w:rsidRPr="0009282C">
        <w:t>xcel workbook of the submission (</w:t>
      </w:r>
      <w:proofErr w:type="spellStart"/>
      <w:r w:rsidR="00ED77DB" w:rsidRPr="0009282C">
        <w:t>Oxlumo</w:t>
      </w:r>
      <w:proofErr w:type="spellEnd"/>
      <w:r w:rsidR="00ED77DB" w:rsidRPr="0009282C">
        <w:t xml:space="preserve"> Section 3 CUA HPP009243</w:t>
      </w:r>
      <w:r w:rsidR="00D86F0D" w:rsidRPr="0009282C">
        <w:t>.</w:t>
      </w:r>
      <w:r w:rsidR="00310092" w:rsidRPr="0009282C">
        <w:t>xlsm</w:t>
      </w:r>
      <w:r w:rsidR="00ED77DB" w:rsidRPr="0009282C">
        <w:t>, economic model of the submission).</w:t>
      </w:r>
    </w:p>
    <w:p w14:paraId="1F86F61D" w14:textId="5571A203" w:rsidR="00C12290" w:rsidRPr="0009282C" w:rsidRDefault="005830DE" w:rsidP="00EC48DC">
      <w:pPr>
        <w:pStyle w:val="3-BodyText"/>
        <w:rPr>
          <w:iCs/>
        </w:rPr>
      </w:pPr>
      <w:r w:rsidRPr="0009282C">
        <w:t xml:space="preserve">The majority </w:t>
      </w:r>
      <w:r w:rsidR="00635AD0" w:rsidRPr="0009282C">
        <w:t xml:space="preserve">of </w:t>
      </w:r>
      <w:r w:rsidRPr="0009282C">
        <w:t xml:space="preserve">QALYs </w:t>
      </w:r>
      <w:r w:rsidR="00C30242" w:rsidRPr="0009282C">
        <w:t xml:space="preserve">accrued </w:t>
      </w:r>
      <w:r w:rsidRPr="0009282C">
        <w:t xml:space="preserve">with </w:t>
      </w:r>
      <w:proofErr w:type="spellStart"/>
      <w:r w:rsidRPr="0009282C">
        <w:t>lumasiran</w:t>
      </w:r>
      <w:proofErr w:type="spellEnd"/>
      <w:r w:rsidRPr="0009282C">
        <w:t xml:space="preserve"> were accumulated in early health states. Patients with adequate oxalate control </w:t>
      </w:r>
      <w:r w:rsidR="00E654AA" w:rsidRPr="0009282C">
        <w:t xml:space="preserve">in the </w:t>
      </w:r>
      <w:r w:rsidRPr="0009282C">
        <w:t xml:space="preserve">CKD 4 </w:t>
      </w:r>
      <w:r w:rsidR="00E654AA" w:rsidRPr="0009282C">
        <w:t xml:space="preserve">health state </w:t>
      </w:r>
      <w:r w:rsidRPr="0009282C">
        <w:t>also had significant QALY gains, whereas</w:t>
      </w:r>
      <w:r w:rsidR="00B633F9" w:rsidRPr="0009282C">
        <w:t xml:space="preserve"> the QALY</w:t>
      </w:r>
      <w:r w:rsidR="00086658" w:rsidRPr="0009282C">
        <w:t>s accrued</w:t>
      </w:r>
      <w:r w:rsidR="00B633F9" w:rsidRPr="0009282C">
        <w:t xml:space="preserve"> by</w:t>
      </w:r>
      <w:r w:rsidRPr="0009282C">
        <w:t xml:space="preserve"> CKD 5</w:t>
      </w:r>
      <w:r w:rsidR="00165927" w:rsidRPr="0009282C">
        <w:t xml:space="preserve"> (ESKD)</w:t>
      </w:r>
      <w:r w:rsidRPr="0009282C">
        <w:t xml:space="preserve"> patients</w:t>
      </w:r>
      <w:r w:rsidR="00B633F9" w:rsidRPr="0009282C">
        <w:t xml:space="preserve"> </w:t>
      </w:r>
      <w:r w:rsidRPr="0009282C">
        <w:t xml:space="preserve">was substantially reduced due to inadequate oxalate control where intensive dialysis and other treatment of morbidities were applied. </w:t>
      </w:r>
    </w:p>
    <w:p w14:paraId="650F2A0D" w14:textId="28D541BB" w:rsidR="005830DE" w:rsidRPr="0009282C" w:rsidRDefault="005830DE" w:rsidP="00020F22">
      <w:pPr>
        <w:pStyle w:val="Caption"/>
      </w:pPr>
      <w:r w:rsidRPr="0009282C">
        <w:t xml:space="preserve">Table </w:t>
      </w:r>
      <w:r w:rsidR="000D4330">
        <w:fldChar w:fldCharType="begin" w:fldLock="1"/>
      </w:r>
      <w:r w:rsidR="000D4330">
        <w:instrText xml:space="preserve"> SEQ Table \* ARABIC </w:instrText>
      </w:r>
      <w:r w:rsidR="000D4330">
        <w:fldChar w:fldCharType="separate"/>
      </w:r>
      <w:r w:rsidR="00771DFF">
        <w:rPr>
          <w:noProof/>
        </w:rPr>
        <w:t>15</w:t>
      </w:r>
      <w:r w:rsidR="000D4330">
        <w:rPr>
          <w:noProof/>
        </w:rPr>
        <w:fldChar w:fldCharType="end"/>
      </w:r>
      <w:r w:rsidR="00417FFA" w:rsidRPr="0009282C">
        <w:rPr>
          <w:noProof/>
        </w:rPr>
        <w:t>:</w:t>
      </w:r>
      <w:r w:rsidRPr="0009282C" w:rsidDel="000D2056">
        <w:fldChar w:fldCharType="begin" w:fldLock="1"/>
      </w:r>
      <w:r w:rsidRPr="0009282C" w:rsidDel="000D2056">
        <w:fldChar w:fldCharType="separate"/>
      </w:r>
      <w:r w:rsidRPr="0009282C" w:rsidDel="000D2056">
        <w:fldChar w:fldCharType="end"/>
      </w:r>
      <w:r w:rsidRPr="0009282C">
        <w:tab/>
      </w:r>
      <w:r w:rsidR="0014503F" w:rsidRPr="0009282C">
        <w:t xml:space="preserve"> </w:t>
      </w:r>
      <w:r w:rsidRPr="0009282C">
        <w:t>Disaggregated health outcomes (discounted) for the overall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325"/>
        <w:gridCol w:w="1530"/>
        <w:gridCol w:w="1530"/>
        <w:gridCol w:w="1440"/>
        <w:gridCol w:w="1192"/>
      </w:tblGrid>
      <w:tr w:rsidR="005830DE" w:rsidRPr="0009282C" w14:paraId="04F641FE" w14:textId="77777777" w:rsidTr="002F33B1">
        <w:trPr>
          <w:trHeight w:val="206"/>
        </w:trPr>
        <w:tc>
          <w:tcPr>
            <w:tcW w:w="9017" w:type="dxa"/>
            <w:gridSpan w:val="5"/>
            <w:tcMar>
              <w:top w:w="0" w:type="dxa"/>
              <w:bottom w:w="0" w:type="dxa"/>
            </w:tcMar>
          </w:tcPr>
          <w:p w14:paraId="11CD1DA0" w14:textId="77777777" w:rsidR="005830DE" w:rsidRPr="0009282C" w:rsidRDefault="005830DE" w:rsidP="00020F22">
            <w:pPr>
              <w:pStyle w:val="In-tableHeading"/>
              <w:rPr>
                <w:lang w:val="en-AU"/>
              </w:rPr>
            </w:pPr>
            <w:r w:rsidRPr="0009282C">
              <w:rPr>
                <w:lang w:val="en-AU"/>
              </w:rPr>
              <w:t>QALYs by health state</w:t>
            </w:r>
          </w:p>
        </w:tc>
      </w:tr>
      <w:tr w:rsidR="00C67E66" w:rsidRPr="0009282C" w14:paraId="48C5D0FF" w14:textId="77777777" w:rsidTr="002F33B1">
        <w:tc>
          <w:tcPr>
            <w:tcW w:w="3325" w:type="dxa"/>
            <w:tcMar>
              <w:top w:w="0" w:type="dxa"/>
              <w:bottom w:w="0" w:type="dxa"/>
            </w:tcMar>
          </w:tcPr>
          <w:p w14:paraId="75342A71" w14:textId="44B6EE69" w:rsidR="00C67E66" w:rsidRPr="0009282C" w:rsidRDefault="00C67E66" w:rsidP="00020F22">
            <w:pPr>
              <w:pStyle w:val="TableText0"/>
              <w:keepNext/>
              <w:keepLines/>
            </w:pPr>
            <w:r w:rsidRPr="0009282C">
              <w:rPr>
                <w:b/>
                <w:bCs w:val="0"/>
              </w:rPr>
              <w:t xml:space="preserve">Item </w:t>
            </w:r>
          </w:p>
        </w:tc>
        <w:tc>
          <w:tcPr>
            <w:tcW w:w="1530" w:type="dxa"/>
            <w:tcMar>
              <w:top w:w="0" w:type="dxa"/>
              <w:bottom w:w="0" w:type="dxa"/>
            </w:tcMar>
          </w:tcPr>
          <w:p w14:paraId="6D4D1467" w14:textId="36A237B5" w:rsidR="00C67E66" w:rsidRPr="0009282C" w:rsidRDefault="00C67E66" w:rsidP="00020F22">
            <w:pPr>
              <w:pStyle w:val="TableText0"/>
              <w:keepNext/>
              <w:keepLines/>
            </w:pPr>
            <w:proofErr w:type="spellStart"/>
            <w:r w:rsidRPr="0009282C">
              <w:rPr>
                <w:b/>
              </w:rPr>
              <w:t>Lumasiran</w:t>
            </w:r>
            <w:proofErr w:type="spellEnd"/>
          </w:p>
        </w:tc>
        <w:tc>
          <w:tcPr>
            <w:tcW w:w="1530" w:type="dxa"/>
            <w:tcMar>
              <w:top w:w="0" w:type="dxa"/>
              <w:bottom w:w="0" w:type="dxa"/>
            </w:tcMar>
          </w:tcPr>
          <w:p w14:paraId="4114AE3A" w14:textId="472EC707" w:rsidR="00C67E66" w:rsidRPr="0009282C" w:rsidRDefault="00C67E66" w:rsidP="00020F22">
            <w:pPr>
              <w:pStyle w:val="TableText0"/>
              <w:keepNext/>
              <w:keepLines/>
            </w:pPr>
            <w:r w:rsidRPr="0009282C">
              <w:rPr>
                <w:b/>
                <w:bCs w:val="0"/>
                <w:szCs w:val="20"/>
              </w:rPr>
              <w:t>BSC</w:t>
            </w:r>
          </w:p>
        </w:tc>
        <w:tc>
          <w:tcPr>
            <w:tcW w:w="1440" w:type="dxa"/>
            <w:tcMar>
              <w:top w:w="0" w:type="dxa"/>
              <w:bottom w:w="0" w:type="dxa"/>
            </w:tcMar>
          </w:tcPr>
          <w:p w14:paraId="516CB5D2" w14:textId="68963294" w:rsidR="00C67E66" w:rsidRPr="0009282C" w:rsidRDefault="00C67E66" w:rsidP="00020F22">
            <w:pPr>
              <w:pStyle w:val="TableText0"/>
              <w:keepNext/>
              <w:keepLines/>
              <w:rPr>
                <w:rFonts w:eastAsia="Times New Roman" w:cs="Times New Roman"/>
                <w:szCs w:val="20"/>
              </w:rPr>
            </w:pPr>
            <w:r w:rsidRPr="0009282C">
              <w:rPr>
                <w:b/>
                <w:bCs w:val="0"/>
              </w:rPr>
              <w:t>Incremental</w:t>
            </w:r>
          </w:p>
        </w:tc>
        <w:tc>
          <w:tcPr>
            <w:tcW w:w="1192" w:type="dxa"/>
            <w:tcMar>
              <w:top w:w="0" w:type="dxa"/>
              <w:bottom w:w="0" w:type="dxa"/>
            </w:tcMar>
          </w:tcPr>
          <w:p w14:paraId="52880F75" w14:textId="651F4C34" w:rsidR="00C67E66" w:rsidRPr="0009282C" w:rsidRDefault="00C67E66" w:rsidP="00020F22">
            <w:pPr>
              <w:pStyle w:val="TableText0"/>
              <w:keepNext/>
              <w:keepLines/>
              <w:rPr>
                <w:color w:val="000000"/>
                <w:szCs w:val="20"/>
              </w:rPr>
            </w:pPr>
            <w:r w:rsidRPr="0009282C">
              <w:rPr>
                <w:b/>
                <w:bCs w:val="0"/>
              </w:rPr>
              <w:t>% of total incremental</w:t>
            </w:r>
          </w:p>
        </w:tc>
      </w:tr>
      <w:tr w:rsidR="005830DE" w:rsidRPr="0009282C" w14:paraId="61DBE4F7" w14:textId="77777777" w:rsidTr="002F33B1">
        <w:tc>
          <w:tcPr>
            <w:tcW w:w="3325" w:type="dxa"/>
            <w:tcMar>
              <w:top w:w="0" w:type="dxa"/>
              <w:bottom w:w="0" w:type="dxa"/>
            </w:tcMar>
          </w:tcPr>
          <w:p w14:paraId="764E6FF5" w14:textId="77777777" w:rsidR="005830DE" w:rsidRPr="0009282C" w:rsidRDefault="005830DE" w:rsidP="00020F22">
            <w:pPr>
              <w:pStyle w:val="TableText0"/>
              <w:keepNext/>
              <w:keepLines/>
            </w:pPr>
            <w:r w:rsidRPr="0009282C">
              <w:t>CKD 1-2</w:t>
            </w:r>
          </w:p>
        </w:tc>
        <w:tc>
          <w:tcPr>
            <w:tcW w:w="1530" w:type="dxa"/>
            <w:tcMar>
              <w:top w:w="0" w:type="dxa"/>
              <w:bottom w:w="0" w:type="dxa"/>
            </w:tcMar>
          </w:tcPr>
          <w:p w14:paraId="3A29FD2B" w14:textId="77777777" w:rsidR="005830DE" w:rsidRPr="0009282C" w:rsidRDefault="005830DE" w:rsidP="00020F22">
            <w:pPr>
              <w:pStyle w:val="TableText0"/>
              <w:keepNext/>
              <w:keepLines/>
            </w:pPr>
            <w:r w:rsidRPr="0009282C">
              <w:t>2.74</w:t>
            </w:r>
          </w:p>
        </w:tc>
        <w:tc>
          <w:tcPr>
            <w:tcW w:w="1530" w:type="dxa"/>
            <w:tcMar>
              <w:top w:w="0" w:type="dxa"/>
              <w:bottom w:w="0" w:type="dxa"/>
            </w:tcMar>
          </w:tcPr>
          <w:p w14:paraId="77E23B80" w14:textId="77777777" w:rsidR="005830DE" w:rsidRPr="0009282C" w:rsidRDefault="005830DE" w:rsidP="00020F22">
            <w:pPr>
              <w:pStyle w:val="TableText0"/>
              <w:keepNext/>
              <w:keepLines/>
            </w:pPr>
            <w:r w:rsidRPr="0009282C">
              <w:t>0.75</w:t>
            </w:r>
          </w:p>
        </w:tc>
        <w:tc>
          <w:tcPr>
            <w:tcW w:w="1440" w:type="dxa"/>
            <w:tcMar>
              <w:top w:w="0" w:type="dxa"/>
              <w:bottom w:w="0" w:type="dxa"/>
            </w:tcMar>
          </w:tcPr>
          <w:p w14:paraId="3D119862" w14:textId="77777777" w:rsidR="005830DE" w:rsidRPr="0009282C" w:rsidRDefault="005830DE" w:rsidP="00020F22">
            <w:pPr>
              <w:pStyle w:val="TableText0"/>
              <w:keepNext/>
              <w:keepLines/>
            </w:pPr>
            <w:r w:rsidRPr="0009282C">
              <w:rPr>
                <w:rFonts w:eastAsia="Times New Roman" w:cs="Times New Roman"/>
                <w:szCs w:val="20"/>
              </w:rPr>
              <w:t xml:space="preserve">1.99 </w:t>
            </w:r>
          </w:p>
        </w:tc>
        <w:tc>
          <w:tcPr>
            <w:tcW w:w="1192" w:type="dxa"/>
            <w:tcMar>
              <w:top w:w="0" w:type="dxa"/>
              <w:bottom w:w="0" w:type="dxa"/>
            </w:tcMar>
            <w:vAlign w:val="center"/>
          </w:tcPr>
          <w:p w14:paraId="670FBD3E" w14:textId="77777777" w:rsidR="005830DE" w:rsidRPr="0009282C" w:rsidRDefault="005830DE" w:rsidP="00020F22">
            <w:pPr>
              <w:pStyle w:val="TableText0"/>
              <w:keepNext/>
              <w:keepLines/>
            </w:pPr>
            <w:r w:rsidRPr="0009282C">
              <w:rPr>
                <w:color w:val="000000"/>
                <w:szCs w:val="20"/>
              </w:rPr>
              <w:t>21.96%</w:t>
            </w:r>
          </w:p>
        </w:tc>
      </w:tr>
      <w:tr w:rsidR="005830DE" w:rsidRPr="0009282C" w14:paraId="10FF16FC" w14:textId="77777777" w:rsidTr="002F33B1">
        <w:tc>
          <w:tcPr>
            <w:tcW w:w="3325" w:type="dxa"/>
            <w:tcMar>
              <w:top w:w="0" w:type="dxa"/>
              <w:bottom w:w="0" w:type="dxa"/>
            </w:tcMar>
          </w:tcPr>
          <w:p w14:paraId="4BEBB1B8" w14:textId="77777777" w:rsidR="005830DE" w:rsidRPr="0009282C" w:rsidRDefault="005830DE" w:rsidP="00020F22">
            <w:pPr>
              <w:pStyle w:val="TableText0"/>
              <w:keepNext/>
              <w:keepLines/>
            </w:pPr>
            <w:r w:rsidRPr="0009282C">
              <w:t>CKD 3a</w:t>
            </w:r>
          </w:p>
        </w:tc>
        <w:tc>
          <w:tcPr>
            <w:tcW w:w="1530" w:type="dxa"/>
            <w:tcMar>
              <w:top w:w="0" w:type="dxa"/>
              <w:bottom w:w="0" w:type="dxa"/>
            </w:tcMar>
          </w:tcPr>
          <w:p w14:paraId="2C0DBF74" w14:textId="77777777" w:rsidR="005830DE" w:rsidRPr="0009282C" w:rsidRDefault="005830DE" w:rsidP="00020F22">
            <w:pPr>
              <w:pStyle w:val="TableText0"/>
              <w:keepNext/>
              <w:keepLines/>
            </w:pPr>
            <w:r w:rsidRPr="0009282C">
              <w:t>2.31</w:t>
            </w:r>
          </w:p>
        </w:tc>
        <w:tc>
          <w:tcPr>
            <w:tcW w:w="1530" w:type="dxa"/>
            <w:tcMar>
              <w:top w:w="0" w:type="dxa"/>
              <w:bottom w:w="0" w:type="dxa"/>
            </w:tcMar>
          </w:tcPr>
          <w:p w14:paraId="2676964A" w14:textId="77777777" w:rsidR="005830DE" w:rsidRPr="0009282C" w:rsidRDefault="005830DE" w:rsidP="00020F22">
            <w:pPr>
              <w:pStyle w:val="TableText0"/>
              <w:keepNext/>
              <w:keepLines/>
            </w:pPr>
            <w:r w:rsidRPr="0009282C">
              <w:t>0.58</w:t>
            </w:r>
          </w:p>
        </w:tc>
        <w:tc>
          <w:tcPr>
            <w:tcW w:w="1440" w:type="dxa"/>
            <w:tcMar>
              <w:top w:w="0" w:type="dxa"/>
              <w:bottom w:w="0" w:type="dxa"/>
            </w:tcMar>
          </w:tcPr>
          <w:p w14:paraId="2E7063DC" w14:textId="77777777" w:rsidR="005830DE" w:rsidRPr="0009282C" w:rsidRDefault="005830DE" w:rsidP="00020F22">
            <w:pPr>
              <w:pStyle w:val="TableText0"/>
              <w:keepNext/>
              <w:keepLines/>
            </w:pPr>
            <w:r w:rsidRPr="0009282C">
              <w:rPr>
                <w:rFonts w:eastAsia="Times New Roman" w:cs="Times New Roman"/>
                <w:szCs w:val="20"/>
              </w:rPr>
              <w:t xml:space="preserve">1.73 </w:t>
            </w:r>
          </w:p>
        </w:tc>
        <w:tc>
          <w:tcPr>
            <w:tcW w:w="1192" w:type="dxa"/>
            <w:tcMar>
              <w:top w:w="0" w:type="dxa"/>
              <w:bottom w:w="0" w:type="dxa"/>
            </w:tcMar>
            <w:vAlign w:val="center"/>
          </w:tcPr>
          <w:p w14:paraId="28B3B3A2" w14:textId="77777777" w:rsidR="005830DE" w:rsidRPr="0009282C" w:rsidRDefault="005830DE" w:rsidP="00020F22">
            <w:pPr>
              <w:pStyle w:val="TableText0"/>
              <w:keepNext/>
              <w:keepLines/>
            </w:pPr>
            <w:r w:rsidRPr="0009282C">
              <w:rPr>
                <w:color w:val="000000"/>
                <w:szCs w:val="20"/>
              </w:rPr>
              <w:t>19.09%</w:t>
            </w:r>
          </w:p>
        </w:tc>
      </w:tr>
      <w:tr w:rsidR="005830DE" w:rsidRPr="0009282C" w14:paraId="18DF5617" w14:textId="77777777" w:rsidTr="002F33B1">
        <w:tc>
          <w:tcPr>
            <w:tcW w:w="3325" w:type="dxa"/>
            <w:tcMar>
              <w:top w:w="0" w:type="dxa"/>
              <w:bottom w:w="0" w:type="dxa"/>
            </w:tcMar>
          </w:tcPr>
          <w:p w14:paraId="25217FD0" w14:textId="77777777" w:rsidR="005830DE" w:rsidRPr="0009282C" w:rsidRDefault="005830DE" w:rsidP="00020F22">
            <w:pPr>
              <w:pStyle w:val="TableText0"/>
              <w:keepNext/>
              <w:keepLines/>
            </w:pPr>
            <w:r w:rsidRPr="0009282C">
              <w:t>CKD 3b</w:t>
            </w:r>
          </w:p>
        </w:tc>
        <w:tc>
          <w:tcPr>
            <w:tcW w:w="1530" w:type="dxa"/>
            <w:tcMar>
              <w:top w:w="0" w:type="dxa"/>
              <w:bottom w:w="0" w:type="dxa"/>
            </w:tcMar>
          </w:tcPr>
          <w:p w14:paraId="1131263B" w14:textId="77777777" w:rsidR="005830DE" w:rsidRPr="0009282C" w:rsidRDefault="005830DE" w:rsidP="00020F22">
            <w:pPr>
              <w:pStyle w:val="TableText0"/>
              <w:keepNext/>
              <w:keepLines/>
            </w:pPr>
            <w:r w:rsidRPr="0009282C">
              <w:t>2.48</w:t>
            </w:r>
          </w:p>
        </w:tc>
        <w:tc>
          <w:tcPr>
            <w:tcW w:w="1530" w:type="dxa"/>
            <w:tcMar>
              <w:top w:w="0" w:type="dxa"/>
              <w:bottom w:w="0" w:type="dxa"/>
            </w:tcMar>
          </w:tcPr>
          <w:p w14:paraId="25946CD8" w14:textId="77777777" w:rsidR="005830DE" w:rsidRPr="0009282C" w:rsidRDefault="005830DE" w:rsidP="00020F22">
            <w:pPr>
              <w:pStyle w:val="TableText0"/>
              <w:keepNext/>
              <w:keepLines/>
            </w:pPr>
            <w:r w:rsidRPr="0009282C">
              <w:t>0.33</w:t>
            </w:r>
          </w:p>
        </w:tc>
        <w:tc>
          <w:tcPr>
            <w:tcW w:w="1440" w:type="dxa"/>
            <w:tcMar>
              <w:top w:w="0" w:type="dxa"/>
              <w:bottom w:w="0" w:type="dxa"/>
            </w:tcMar>
          </w:tcPr>
          <w:p w14:paraId="4A2051EA" w14:textId="77777777" w:rsidR="005830DE" w:rsidRPr="0009282C" w:rsidRDefault="005830DE" w:rsidP="00020F22">
            <w:pPr>
              <w:pStyle w:val="TableText0"/>
              <w:keepNext/>
              <w:keepLines/>
            </w:pPr>
            <w:r w:rsidRPr="0009282C">
              <w:rPr>
                <w:rFonts w:eastAsia="Times New Roman" w:cs="Times New Roman"/>
                <w:szCs w:val="20"/>
              </w:rPr>
              <w:t xml:space="preserve">2.15 </w:t>
            </w:r>
          </w:p>
        </w:tc>
        <w:tc>
          <w:tcPr>
            <w:tcW w:w="1192" w:type="dxa"/>
            <w:tcMar>
              <w:top w:w="0" w:type="dxa"/>
              <w:bottom w:w="0" w:type="dxa"/>
            </w:tcMar>
            <w:vAlign w:val="center"/>
          </w:tcPr>
          <w:p w14:paraId="54F367BB" w14:textId="77777777" w:rsidR="005830DE" w:rsidRPr="0009282C" w:rsidRDefault="005830DE" w:rsidP="00020F22">
            <w:pPr>
              <w:pStyle w:val="TableText0"/>
              <w:keepNext/>
              <w:keepLines/>
            </w:pPr>
            <w:r w:rsidRPr="0009282C">
              <w:rPr>
                <w:color w:val="000000"/>
                <w:szCs w:val="20"/>
              </w:rPr>
              <w:t>23.73%</w:t>
            </w:r>
          </w:p>
        </w:tc>
      </w:tr>
      <w:tr w:rsidR="005830DE" w:rsidRPr="0009282C" w14:paraId="407D8CFB" w14:textId="77777777" w:rsidTr="002F33B1">
        <w:tc>
          <w:tcPr>
            <w:tcW w:w="3325" w:type="dxa"/>
            <w:tcMar>
              <w:top w:w="0" w:type="dxa"/>
              <w:bottom w:w="0" w:type="dxa"/>
            </w:tcMar>
          </w:tcPr>
          <w:p w14:paraId="4AF66C13" w14:textId="77777777" w:rsidR="005830DE" w:rsidRPr="0009282C" w:rsidRDefault="005830DE" w:rsidP="00020F22">
            <w:pPr>
              <w:pStyle w:val="TableText0"/>
              <w:keepNext/>
              <w:keepLines/>
            </w:pPr>
            <w:r w:rsidRPr="0009282C">
              <w:t>CKD 4-OxC</w:t>
            </w:r>
          </w:p>
        </w:tc>
        <w:tc>
          <w:tcPr>
            <w:tcW w:w="1530" w:type="dxa"/>
            <w:tcMar>
              <w:top w:w="0" w:type="dxa"/>
              <w:bottom w:w="0" w:type="dxa"/>
            </w:tcMar>
          </w:tcPr>
          <w:p w14:paraId="6A9CE5D3" w14:textId="77777777" w:rsidR="005830DE" w:rsidRPr="0009282C" w:rsidRDefault="005830DE" w:rsidP="00020F22">
            <w:pPr>
              <w:pStyle w:val="TableText0"/>
              <w:keepNext/>
              <w:keepLines/>
            </w:pPr>
            <w:r w:rsidRPr="0009282C">
              <w:t>2.00</w:t>
            </w:r>
          </w:p>
        </w:tc>
        <w:tc>
          <w:tcPr>
            <w:tcW w:w="1530" w:type="dxa"/>
            <w:tcMar>
              <w:top w:w="0" w:type="dxa"/>
              <w:bottom w:w="0" w:type="dxa"/>
            </w:tcMar>
          </w:tcPr>
          <w:p w14:paraId="2029B016" w14:textId="77777777" w:rsidR="005830DE" w:rsidRPr="0009282C" w:rsidRDefault="005830DE" w:rsidP="00020F22">
            <w:pPr>
              <w:pStyle w:val="TableText0"/>
              <w:keepNext/>
              <w:keepLines/>
            </w:pPr>
            <w:r w:rsidRPr="0009282C">
              <w:t>0.00</w:t>
            </w:r>
          </w:p>
        </w:tc>
        <w:tc>
          <w:tcPr>
            <w:tcW w:w="1440" w:type="dxa"/>
            <w:tcMar>
              <w:top w:w="0" w:type="dxa"/>
              <w:bottom w:w="0" w:type="dxa"/>
            </w:tcMar>
          </w:tcPr>
          <w:p w14:paraId="7A550D10" w14:textId="77777777" w:rsidR="005830DE" w:rsidRPr="0009282C" w:rsidRDefault="005830DE" w:rsidP="00020F22">
            <w:pPr>
              <w:pStyle w:val="TableText0"/>
              <w:keepNext/>
              <w:keepLines/>
            </w:pPr>
            <w:r w:rsidRPr="0009282C">
              <w:rPr>
                <w:rFonts w:eastAsia="Times New Roman" w:cs="Times New Roman"/>
                <w:szCs w:val="20"/>
              </w:rPr>
              <w:t xml:space="preserve">2.00 </w:t>
            </w:r>
          </w:p>
        </w:tc>
        <w:tc>
          <w:tcPr>
            <w:tcW w:w="1192" w:type="dxa"/>
            <w:tcMar>
              <w:top w:w="0" w:type="dxa"/>
              <w:bottom w:w="0" w:type="dxa"/>
            </w:tcMar>
            <w:vAlign w:val="center"/>
          </w:tcPr>
          <w:p w14:paraId="2BE30D2F" w14:textId="77777777" w:rsidR="005830DE" w:rsidRPr="0009282C" w:rsidRDefault="005830DE" w:rsidP="00020F22">
            <w:pPr>
              <w:pStyle w:val="TableText0"/>
              <w:keepNext/>
              <w:keepLines/>
            </w:pPr>
            <w:r w:rsidRPr="0009282C">
              <w:rPr>
                <w:color w:val="000000"/>
                <w:szCs w:val="20"/>
              </w:rPr>
              <w:t>22.08%</w:t>
            </w:r>
          </w:p>
        </w:tc>
      </w:tr>
      <w:tr w:rsidR="005830DE" w:rsidRPr="0009282C" w14:paraId="62A8D10F" w14:textId="77777777" w:rsidTr="002F33B1">
        <w:tc>
          <w:tcPr>
            <w:tcW w:w="3325" w:type="dxa"/>
            <w:tcMar>
              <w:top w:w="0" w:type="dxa"/>
              <w:bottom w:w="0" w:type="dxa"/>
            </w:tcMar>
          </w:tcPr>
          <w:p w14:paraId="2B9648E9" w14:textId="77777777" w:rsidR="005830DE" w:rsidRPr="0009282C" w:rsidRDefault="005830DE" w:rsidP="00020F22">
            <w:pPr>
              <w:pStyle w:val="TableText0"/>
              <w:keepNext/>
              <w:keepLines/>
            </w:pPr>
            <w:r w:rsidRPr="0009282C">
              <w:t>CKD 4-OxU</w:t>
            </w:r>
          </w:p>
        </w:tc>
        <w:tc>
          <w:tcPr>
            <w:tcW w:w="1530" w:type="dxa"/>
            <w:tcMar>
              <w:top w:w="0" w:type="dxa"/>
              <w:bottom w:w="0" w:type="dxa"/>
            </w:tcMar>
          </w:tcPr>
          <w:p w14:paraId="3F77D050" w14:textId="77777777" w:rsidR="005830DE" w:rsidRPr="0009282C" w:rsidRDefault="005830DE" w:rsidP="00020F22">
            <w:pPr>
              <w:pStyle w:val="TableText0"/>
              <w:keepNext/>
              <w:keepLines/>
            </w:pPr>
            <w:r w:rsidRPr="0009282C">
              <w:t>0.04</w:t>
            </w:r>
          </w:p>
        </w:tc>
        <w:tc>
          <w:tcPr>
            <w:tcW w:w="1530" w:type="dxa"/>
            <w:tcMar>
              <w:top w:w="0" w:type="dxa"/>
              <w:bottom w:w="0" w:type="dxa"/>
            </w:tcMar>
          </w:tcPr>
          <w:p w14:paraId="727F5358" w14:textId="77777777" w:rsidR="005830DE" w:rsidRPr="0009282C" w:rsidRDefault="005830DE" w:rsidP="00020F22">
            <w:pPr>
              <w:pStyle w:val="TableText0"/>
              <w:keepNext/>
              <w:keepLines/>
            </w:pPr>
            <w:r w:rsidRPr="0009282C">
              <w:t>0.09</w:t>
            </w:r>
          </w:p>
        </w:tc>
        <w:tc>
          <w:tcPr>
            <w:tcW w:w="1440" w:type="dxa"/>
            <w:tcMar>
              <w:top w:w="0" w:type="dxa"/>
              <w:bottom w:w="0" w:type="dxa"/>
            </w:tcMar>
          </w:tcPr>
          <w:p w14:paraId="19AD3F59" w14:textId="77777777" w:rsidR="005830DE" w:rsidRPr="0009282C" w:rsidRDefault="005830DE" w:rsidP="00020F22">
            <w:pPr>
              <w:pStyle w:val="TableText0"/>
              <w:keepNext/>
              <w:keepLines/>
            </w:pPr>
            <w:r w:rsidRPr="0009282C">
              <w:rPr>
                <w:rFonts w:eastAsia="Times New Roman" w:cs="Times New Roman"/>
                <w:szCs w:val="20"/>
              </w:rPr>
              <w:t>-0.05</w:t>
            </w:r>
          </w:p>
        </w:tc>
        <w:tc>
          <w:tcPr>
            <w:tcW w:w="1192" w:type="dxa"/>
            <w:tcMar>
              <w:top w:w="0" w:type="dxa"/>
              <w:bottom w:w="0" w:type="dxa"/>
            </w:tcMar>
            <w:vAlign w:val="center"/>
          </w:tcPr>
          <w:p w14:paraId="2663EDDC" w14:textId="77777777" w:rsidR="005830DE" w:rsidRPr="0009282C" w:rsidRDefault="005830DE" w:rsidP="00020F22">
            <w:pPr>
              <w:pStyle w:val="TableText0"/>
              <w:keepNext/>
              <w:keepLines/>
            </w:pPr>
            <w:r w:rsidRPr="0009282C">
              <w:rPr>
                <w:color w:val="000000"/>
                <w:szCs w:val="20"/>
              </w:rPr>
              <w:t>-0.55%</w:t>
            </w:r>
          </w:p>
        </w:tc>
      </w:tr>
      <w:tr w:rsidR="005830DE" w:rsidRPr="0009282C" w14:paraId="67AA1973" w14:textId="77777777" w:rsidTr="002F33B1">
        <w:tc>
          <w:tcPr>
            <w:tcW w:w="3325" w:type="dxa"/>
            <w:tcMar>
              <w:top w:w="0" w:type="dxa"/>
              <w:bottom w:w="0" w:type="dxa"/>
            </w:tcMar>
          </w:tcPr>
          <w:p w14:paraId="016918E0" w14:textId="4009237A" w:rsidR="005830DE" w:rsidRPr="0009282C" w:rsidRDefault="005830DE" w:rsidP="00020F22">
            <w:pPr>
              <w:pStyle w:val="TableText0"/>
              <w:keepNext/>
              <w:keepLines/>
            </w:pPr>
            <w:r w:rsidRPr="0009282C">
              <w:t>ESKD-</w:t>
            </w:r>
            <w:proofErr w:type="spellStart"/>
            <w:r w:rsidRPr="0009282C">
              <w:t>OxC</w:t>
            </w:r>
            <w:proofErr w:type="spellEnd"/>
          </w:p>
        </w:tc>
        <w:tc>
          <w:tcPr>
            <w:tcW w:w="1530" w:type="dxa"/>
            <w:tcMar>
              <w:top w:w="0" w:type="dxa"/>
              <w:bottom w:w="0" w:type="dxa"/>
            </w:tcMar>
          </w:tcPr>
          <w:p w14:paraId="37EBF67C" w14:textId="77777777" w:rsidR="005830DE" w:rsidRPr="0009282C" w:rsidRDefault="005830DE" w:rsidP="00020F22">
            <w:pPr>
              <w:pStyle w:val="TableText0"/>
              <w:keepNext/>
              <w:keepLines/>
            </w:pPr>
            <w:r w:rsidRPr="0009282C">
              <w:t>1.76</w:t>
            </w:r>
          </w:p>
        </w:tc>
        <w:tc>
          <w:tcPr>
            <w:tcW w:w="1530" w:type="dxa"/>
            <w:tcMar>
              <w:top w:w="0" w:type="dxa"/>
              <w:bottom w:w="0" w:type="dxa"/>
            </w:tcMar>
          </w:tcPr>
          <w:p w14:paraId="725BB3DC" w14:textId="77777777" w:rsidR="005830DE" w:rsidRPr="0009282C" w:rsidRDefault="005830DE" w:rsidP="00020F22">
            <w:pPr>
              <w:pStyle w:val="TableText0"/>
              <w:keepNext/>
              <w:keepLines/>
            </w:pPr>
            <w:r w:rsidRPr="0009282C">
              <w:t>0.00</w:t>
            </w:r>
          </w:p>
        </w:tc>
        <w:tc>
          <w:tcPr>
            <w:tcW w:w="1440" w:type="dxa"/>
            <w:tcMar>
              <w:top w:w="0" w:type="dxa"/>
              <w:bottom w:w="0" w:type="dxa"/>
            </w:tcMar>
          </w:tcPr>
          <w:p w14:paraId="430FE8CC" w14:textId="77777777" w:rsidR="005830DE" w:rsidRPr="0009282C" w:rsidRDefault="005830DE" w:rsidP="00020F22">
            <w:pPr>
              <w:pStyle w:val="TableText0"/>
              <w:keepNext/>
              <w:keepLines/>
            </w:pPr>
            <w:r w:rsidRPr="0009282C">
              <w:rPr>
                <w:rFonts w:eastAsia="Times New Roman" w:cs="Times New Roman"/>
                <w:szCs w:val="20"/>
              </w:rPr>
              <w:t xml:space="preserve">1.76 </w:t>
            </w:r>
          </w:p>
        </w:tc>
        <w:tc>
          <w:tcPr>
            <w:tcW w:w="1192" w:type="dxa"/>
            <w:tcMar>
              <w:top w:w="0" w:type="dxa"/>
              <w:bottom w:w="0" w:type="dxa"/>
            </w:tcMar>
            <w:vAlign w:val="center"/>
          </w:tcPr>
          <w:p w14:paraId="5462A6E9" w14:textId="77777777" w:rsidR="005830DE" w:rsidRPr="0009282C" w:rsidRDefault="005830DE" w:rsidP="00020F22">
            <w:pPr>
              <w:pStyle w:val="TableText0"/>
              <w:keepNext/>
              <w:keepLines/>
            </w:pPr>
            <w:r w:rsidRPr="0009282C">
              <w:rPr>
                <w:color w:val="000000"/>
                <w:szCs w:val="20"/>
              </w:rPr>
              <w:t>19.43%</w:t>
            </w:r>
          </w:p>
        </w:tc>
      </w:tr>
      <w:tr w:rsidR="005830DE" w:rsidRPr="0009282C" w14:paraId="1B6964B9" w14:textId="77777777" w:rsidTr="002F33B1">
        <w:tc>
          <w:tcPr>
            <w:tcW w:w="3325" w:type="dxa"/>
            <w:tcMar>
              <w:top w:w="0" w:type="dxa"/>
              <w:bottom w:w="0" w:type="dxa"/>
            </w:tcMar>
          </w:tcPr>
          <w:p w14:paraId="039F44B2" w14:textId="68E305BD" w:rsidR="005830DE" w:rsidRPr="0009282C" w:rsidRDefault="005830DE" w:rsidP="00020F22">
            <w:pPr>
              <w:pStyle w:val="TableText0"/>
              <w:keepNext/>
              <w:keepLines/>
            </w:pPr>
            <w:r w:rsidRPr="0009282C">
              <w:t>ESKD-</w:t>
            </w:r>
            <w:proofErr w:type="spellStart"/>
            <w:r w:rsidRPr="0009282C">
              <w:t>OxU</w:t>
            </w:r>
            <w:proofErr w:type="spellEnd"/>
          </w:p>
        </w:tc>
        <w:tc>
          <w:tcPr>
            <w:tcW w:w="1530" w:type="dxa"/>
            <w:tcMar>
              <w:top w:w="0" w:type="dxa"/>
              <w:bottom w:w="0" w:type="dxa"/>
            </w:tcMar>
          </w:tcPr>
          <w:p w14:paraId="101B1411" w14:textId="77777777" w:rsidR="005830DE" w:rsidRPr="0009282C" w:rsidRDefault="005830DE" w:rsidP="00020F22">
            <w:pPr>
              <w:pStyle w:val="TableText0"/>
              <w:keepNext/>
              <w:keepLines/>
            </w:pPr>
            <w:r w:rsidRPr="0009282C">
              <w:t>0.07</w:t>
            </w:r>
          </w:p>
        </w:tc>
        <w:tc>
          <w:tcPr>
            <w:tcW w:w="1530" w:type="dxa"/>
            <w:tcMar>
              <w:top w:w="0" w:type="dxa"/>
              <w:bottom w:w="0" w:type="dxa"/>
            </w:tcMar>
          </w:tcPr>
          <w:p w14:paraId="79DD9AE0" w14:textId="77777777" w:rsidR="005830DE" w:rsidRPr="0009282C" w:rsidRDefault="005830DE" w:rsidP="00020F22">
            <w:pPr>
              <w:pStyle w:val="TableText0"/>
              <w:keepNext/>
              <w:keepLines/>
            </w:pPr>
            <w:r w:rsidRPr="0009282C">
              <w:t>0.58</w:t>
            </w:r>
          </w:p>
        </w:tc>
        <w:tc>
          <w:tcPr>
            <w:tcW w:w="1440" w:type="dxa"/>
            <w:tcMar>
              <w:top w:w="0" w:type="dxa"/>
              <w:bottom w:w="0" w:type="dxa"/>
            </w:tcMar>
          </w:tcPr>
          <w:p w14:paraId="458B8740" w14:textId="77777777" w:rsidR="005830DE" w:rsidRPr="0009282C" w:rsidRDefault="005830DE" w:rsidP="00020F22">
            <w:pPr>
              <w:pStyle w:val="TableText0"/>
              <w:keepNext/>
              <w:keepLines/>
            </w:pPr>
            <w:r w:rsidRPr="0009282C">
              <w:rPr>
                <w:rFonts w:eastAsia="Times New Roman" w:cs="Times New Roman"/>
                <w:szCs w:val="20"/>
              </w:rPr>
              <w:t>-0.51</w:t>
            </w:r>
          </w:p>
        </w:tc>
        <w:tc>
          <w:tcPr>
            <w:tcW w:w="1192" w:type="dxa"/>
            <w:tcMar>
              <w:top w:w="0" w:type="dxa"/>
              <w:bottom w:w="0" w:type="dxa"/>
            </w:tcMar>
            <w:vAlign w:val="center"/>
          </w:tcPr>
          <w:p w14:paraId="14D0701A" w14:textId="77777777" w:rsidR="005830DE" w:rsidRPr="0009282C" w:rsidRDefault="005830DE" w:rsidP="00020F22">
            <w:pPr>
              <w:pStyle w:val="TableText0"/>
              <w:keepNext/>
              <w:keepLines/>
            </w:pPr>
            <w:r w:rsidRPr="0009282C">
              <w:rPr>
                <w:color w:val="000000"/>
                <w:szCs w:val="20"/>
              </w:rPr>
              <w:t>-5.63%</w:t>
            </w:r>
          </w:p>
        </w:tc>
      </w:tr>
      <w:tr w:rsidR="005830DE" w:rsidRPr="0009282C" w14:paraId="36096099" w14:textId="77777777" w:rsidTr="002F33B1">
        <w:tc>
          <w:tcPr>
            <w:tcW w:w="3325" w:type="dxa"/>
            <w:tcMar>
              <w:top w:w="0" w:type="dxa"/>
              <w:bottom w:w="0" w:type="dxa"/>
            </w:tcMar>
          </w:tcPr>
          <w:p w14:paraId="3549C76D" w14:textId="60448CD3" w:rsidR="005830DE" w:rsidRPr="0009282C" w:rsidRDefault="005830DE" w:rsidP="00020F22">
            <w:pPr>
              <w:pStyle w:val="TableText0"/>
              <w:keepNext/>
              <w:keepLines/>
            </w:pPr>
            <w:proofErr w:type="spellStart"/>
            <w:r w:rsidRPr="0009282C">
              <w:t>cLKT-OxC</w:t>
            </w:r>
            <w:proofErr w:type="spellEnd"/>
          </w:p>
        </w:tc>
        <w:tc>
          <w:tcPr>
            <w:tcW w:w="1530" w:type="dxa"/>
            <w:tcMar>
              <w:top w:w="0" w:type="dxa"/>
              <w:bottom w:w="0" w:type="dxa"/>
            </w:tcMar>
          </w:tcPr>
          <w:p w14:paraId="6A747F9B" w14:textId="77777777" w:rsidR="005830DE" w:rsidRPr="0009282C" w:rsidRDefault="005830DE" w:rsidP="00020F22">
            <w:pPr>
              <w:pStyle w:val="TableText0"/>
              <w:keepNext/>
              <w:keepLines/>
            </w:pPr>
            <w:r w:rsidRPr="0009282C">
              <w:t>0.73</w:t>
            </w:r>
          </w:p>
        </w:tc>
        <w:tc>
          <w:tcPr>
            <w:tcW w:w="1530" w:type="dxa"/>
            <w:tcMar>
              <w:top w:w="0" w:type="dxa"/>
              <w:bottom w:w="0" w:type="dxa"/>
            </w:tcMar>
          </w:tcPr>
          <w:p w14:paraId="12504370" w14:textId="77777777" w:rsidR="005830DE" w:rsidRPr="0009282C" w:rsidRDefault="005830DE" w:rsidP="00020F22">
            <w:pPr>
              <w:pStyle w:val="TableText0"/>
              <w:keepNext/>
              <w:keepLines/>
            </w:pPr>
            <w:r w:rsidRPr="0009282C">
              <w:t>0.00</w:t>
            </w:r>
          </w:p>
        </w:tc>
        <w:tc>
          <w:tcPr>
            <w:tcW w:w="1440" w:type="dxa"/>
            <w:tcMar>
              <w:top w:w="0" w:type="dxa"/>
              <w:bottom w:w="0" w:type="dxa"/>
            </w:tcMar>
          </w:tcPr>
          <w:p w14:paraId="2C37E945" w14:textId="77777777" w:rsidR="005830DE" w:rsidRPr="0009282C" w:rsidRDefault="005830DE" w:rsidP="00020F22">
            <w:pPr>
              <w:pStyle w:val="TableText0"/>
              <w:keepNext/>
              <w:keepLines/>
            </w:pPr>
            <w:r w:rsidRPr="0009282C">
              <w:rPr>
                <w:rFonts w:eastAsia="Times New Roman" w:cs="Times New Roman"/>
                <w:szCs w:val="20"/>
              </w:rPr>
              <w:t xml:space="preserve">0.73 </w:t>
            </w:r>
          </w:p>
        </w:tc>
        <w:tc>
          <w:tcPr>
            <w:tcW w:w="1192" w:type="dxa"/>
            <w:tcMar>
              <w:top w:w="0" w:type="dxa"/>
              <w:bottom w:w="0" w:type="dxa"/>
            </w:tcMar>
            <w:vAlign w:val="center"/>
          </w:tcPr>
          <w:p w14:paraId="77FCBDC7" w14:textId="77777777" w:rsidR="005830DE" w:rsidRPr="0009282C" w:rsidRDefault="005830DE" w:rsidP="00020F22">
            <w:pPr>
              <w:pStyle w:val="TableText0"/>
              <w:keepNext/>
              <w:keepLines/>
            </w:pPr>
            <w:r w:rsidRPr="0009282C">
              <w:rPr>
                <w:color w:val="000000"/>
                <w:szCs w:val="20"/>
              </w:rPr>
              <w:t>8.06%</w:t>
            </w:r>
          </w:p>
        </w:tc>
      </w:tr>
      <w:tr w:rsidR="005830DE" w:rsidRPr="0009282C" w14:paraId="69F8D032" w14:textId="77777777" w:rsidTr="002F33B1">
        <w:tc>
          <w:tcPr>
            <w:tcW w:w="3325" w:type="dxa"/>
            <w:tcMar>
              <w:top w:w="0" w:type="dxa"/>
              <w:bottom w:w="0" w:type="dxa"/>
            </w:tcMar>
          </w:tcPr>
          <w:p w14:paraId="20CB973D" w14:textId="648B0E89" w:rsidR="005830DE" w:rsidRPr="0009282C" w:rsidRDefault="005830DE" w:rsidP="00020F22">
            <w:pPr>
              <w:pStyle w:val="TableText0"/>
              <w:keepNext/>
              <w:keepLines/>
            </w:pPr>
            <w:proofErr w:type="spellStart"/>
            <w:r w:rsidRPr="0009282C">
              <w:t>cLKT-OxU</w:t>
            </w:r>
            <w:proofErr w:type="spellEnd"/>
          </w:p>
        </w:tc>
        <w:tc>
          <w:tcPr>
            <w:tcW w:w="1530" w:type="dxa"/>
            <w:tcMar>
              <w:top w:w="0" w:type="dxa"/>
              <w:bottom w:w="0" w:type="dxa"/>
            </w:tcMar>
          </w:tcPr>
          <w:p w14:paraId="3D75C7D7" w14:textId="77777777" w:rsidR="005830DE" w:rsidRPr="0009282C" w:rsidRDefault="005830DE" w:rsidP="00020F22">
            <w:pPr>
              <w:pStyle w:val="TableText0"/>
              <w:keepNext/>
              <w:keepLines/>
            </w:pPr>
            <w:r w:rsidRPr="0009282C">
              <w:t>0.05</w:t>
            </w:r>
          </w:p>
        </w:tc>
        <w:tc>
          <w:tcPr>
            <w:tcW w:w="1530" w:type="dxa"/>
            <w:tcMar>
              <w:top w:w="0" w:type="dxa"/>
              <w:bottom w:w="0" w:type="dxa"/>
            </w:tcMar>
          </w:tcPr>
          <w:p w14:paraId="6A806449" w14:textId="77777777" w:rsidR="005830DE" w:rsidRPr="0009282C" w:rsidRDefault="005830DE" w:rsidP="00020F22">
            <w:pPr>
              <w:pStyle w:val="TableText0"/>
              <w:keepNext/>
              <w:keepLines/>
            </w:pPr>
            <w:r w:rsidRPr="0009282C">
              <w:t>0.79</w:t>
            </w:r>
          </w:p>
        </w:tc>
        <w:tc>
          <w:tcPr>
            <w:tcW w:w="1440" w:type="dxa"/>
            <w:tcMar>
              <w:top w:w="0" w:type="dxa"/>
              <w:bottom w:w="0" w:type="dxa"/>
            </w:tcMar>
          </w:tcPr>
          <w:p w14:paraId="5A9434E9" w14:textId="77777777" w:rsidR="005830DE" w:rsidRPr="0009282C" w:rsidRDefault="005830DE" w:rsidP="00020F22">
            <w:pPr>
              <w:pStyle w:val="TableText0"/>
              <w:keepNext/>
              <w:keepLines/>
            </w:pPr>
            <w:r w:rsidRPr="0009282C">
              <w:rPr>
                <w:rFonts w:eastAsia="Times New Roman" w:cs="Times New Roman"/>
                <w:szCs w:val="20"/>
              </w:rPr>
              <w:t>-0.74</w:t>
            </w:r>
          </w:p>
        </w:tc>
        <w:tc>
          <w:tcPr>
            <w:tcW w:w="1192" w:type="dxa"/>
            <w:tcMar>
              <w:top w:w="0" w:type="dxa"/>
              <w:bottom w:w="0" w:type="dxa"/>
            </w:tcMar>
            <w:vAlign w:val="center"/>
          </w:tcPr>
          <w:p w14:paraId="02BEBA2C" w14:textId="77777777" w:rsidR="005830DE" w:rsidRPr="0009282C" w:rsidRDefault="005830DE" w:rsidP="00020F22">
            <w:pPr>
              <w:pStyle w:val="TableText0"/>
              <w:keepNext/>
              <w:keepLines/>
            </w:pPr>
            <w:r w:rsidRPr="0009282C">
              <w:rPr>
                <w:color w:val="000000"/>
                <w:szCs w:val="20"/>
              </w:rPr>
              <w:t>-8.17%</w:t>
            </w:r>
          </w:p>
        </w:tc>
      </w:tr>
      <w:tr w:rsidR="005830DE" w:rsidRPr="0009282C" w14:paraId="28E7F3B7" w14:textId="77777777" w:rsidTr="002F33B1">
        <w:tc>
          <w:tcPr>
            <w:tcW w:w="3325" w:type="dxa"/>
            <w:tcMar>
              <w:top w:w="0" w:type="dxa"/>
              <w:bottom w:w="0" w:type="dxa"/>
            </w:tcMar>
          </w:tcPr>
          <w:p w14:paraId="09580070" w14:textId="77777777" w:rsidR="005830DE" w:rsidRPr="0009282C" w:rsidRDefault="005830DE" w:rsidP="00020F22">
            <w:pPr>
              <w:pStyle w:val="TableText0"/>
              <w:keepNext/>
              <w:keepLines/>
              <w:rPr>
                <w:b/>
                <w:bCs w:val="0"/>
              </w:rPr>
            </w:pPr>
            <w:r w:rsidRPr="0009282C">
              <w:rPr>
                <w:b/>
                <w:bCs w:val="0"/>
              </w:rPr>
              <w:t>Total</w:t>
            </w:r>
          </w:p>
        </w:tc>
        <w:tc>
          <w:tcPr>
            <w:tcW w:w="1530" w:type="dxa"/>
            <w:tcMar>
              <w:top w:w="0" w:type="dxa"/>
              <w:bottom w:w="0" w:type="dxa"/>
            </w:tcMar>
          </w:tcPr>
          <w:p w14:paraId="10156CE2" w14:textId="77777777" w:rsidR="005830DE" w:rsidRPr="0009282C" w:rsidRDefault="005830DE" w:rsidP="00020F22">
            <w:pPr>
              <w:pStyle w:val="TableText0"/>
              <w:keepNext/>
              <w:keepLines/>
              <w:rPr>
                <w:b/>
                <w:bCs w:val="0"/>
              </w:rPr>
            </w:pPr>
            <w:r w:rsidRPr="0009282C">
              <w:rPr>
                <w:b/>
                <w:bCs w:val="0"/>
              </w:rPr>
              <w:t>12.18</w:t>
            </w:r>
          </w:p>
        </w:tc>
        <w:tc>
          <w:tcPr>
            <w:tcW w:w="1530" w:type="dxa"/>
            <w:tcMar>
              <w:top w:w="0" w:type="dxa"/>
              <w:bottom w:w="0" w:type="dxa"/>
            </w:tcMar>
          </w:tcPr>
          <w:p w14:paraId="20FEC350" w14:textId="77777777" w:rsidR="005830DE" w:rsidRPr="0009282C" w:rsidRDefault="005830DE" w:rsidP="00020F22">
            <w:pPr>
              <w:pStyle w:val="TableText0"/>
              <w:keepNext/>
              <w:keepLines/>
              <w:rPr>
                <w:b/>
                <w:bCs w:val="0"/>
              </w:rPr>
            </w:pPr>
            <w:r w:rsidRPr="0009282C">
              <w:rPr>
                <w:b/>
                <w:bCs w:val="0"/>
              </w:rPr>
              <w:t>3.12</w:t>
            </w:r>
          </w:p>
        </w:tc>
        <w:tc>
          <w:tcPr>
            <w:tcW w:w="1440" w:type="dxa"/>
            <w:tcMar>
              <w:top w:w="0" w:type="dxa"/>
              <w:bottom w:w="0" w:type="dxa"/>
            </w:tcMar>
          </w:tcPr>
          <w:p w14:paraId="6897AA27" w14:textId="77777777" w:rsidR="005830DE" w:rsidRPr="0009282C" w:rsidRDefault="005830DE" w:rsidP="00020F22">
            <w:pPr>
              <w:pStyle w:val="TableText0"/>
              <w:keepNext/>
              <w:keepLines/>
              <w:rPr>
                <w:b/>
                <w:bCs w:val="0"/>
              </w:rPr>
            </w:pPr>
            <w:r w:rsidRPr="0009282C">
              <w:rPr>
                <w:b/>
                <w:bCs w:val="0"/>
              </w:rPr>
              <w:t>9.06</w:t>
            </w:r>
          </w:p>
        </w:tc>
        <w:tc>
          <w:tcPr>
            <w:tcW w:w="1192" w:type="dxa"/>
            <w:tcMar>
              <w:top w:w="0" w:type="dxa"/>
              <w:bottom w:w="0" w:type="dxa"/>
            </w:tcMar>
            <w:vAlign w:val="center"/>
          </w:tcPr>
          <w:p w14:paraId="1D678F0F" w14:textId="77777777" w:rsidR="005830DE" w:rsidRPr="0009282C" w:rsidRDefault="005830DE" w:rsidP="00020F22">
            <w:pPr>
              <w:pStyle w:val="TableText0"/>
              <w:keepNext/>
              <w:keepLines/>
              <w:rPr>
                <w:b/>
                <w:bCs w:val="0"/>
              </w:rPr>
            </w:pPr>
            <w:r w:rsidRPr="0009282C">
              <w:rPr>
                <w:b/>
                <w:bCs w:val="0"/>
                <w:color w:val="000000"/>
                <w:szCs w:val="20"/>
              </w:rPr>
              <w:t>100.00%</w:t>
            </w:r>
          </w:p>
        </w:tc>
      </w:tr>
    </w:tbl>
    <w:p w14:paraId="181728D7" w14:textId="5B667C0E" w:rsidR="005830DE" w:rsidRPr="0009282C" w:rsidRDefault="00580660" w:rsidP="00020F22">
      <w:pPr>
        <w:pStyle w:val="TableFigureFooter"/>
        <w:keepNext/>
      </w:pPr>
      <w:r w:rsidRPr="0009282C">
        <w:t>Abbreviations:</w:t>
      </w:r>
      <w:r w:rsidR="008D5AE0" w:rsidRPr="0009282C">
        <w:t xml:space="preserve"> </w:t>
      </w:r>
      <w:proofErr w:type="spellStart"/>
      <w:r w:rsidR="008D5AE0" w:rsidRPr="0009282C">
        <w:t>cLKT</w:t>
      </w:r>
      <w:proofErr w:type="spellEnd"/>
      <w:r w:rsidR="00B91037" w:rsidRPr="0009282C">
        <w:t>,</w:t>
      </w:r>
      <w:r w:rsidR="008D5AE0" w:rsidRPr="0009282C">
        <w:t xml:space="preserve"> combined liver kidney transplantation; BSC</w:t>
      </w:r>
      <w:r w:rsidR="00B91037" w:rsidRPr="0009282C">
        <w:t>,</w:t>
      </w:r>
      <w:r w:rsidR="008D5AE0" w:rsidRPr="0009282C">
        <w:t xml:space="preserve"> best supportive care; CKD</w:t>
      </w:r>
      <w:r w:rsidR="00B91037" w:rsidRPr="0009282C">
        <w:t>,</w:t>
      </w:r>
      <w:r w:rsidR="008D5AE0" w:rsidRPr="0009282C">
        <w:t xml:space="preserve"> chronic kidney disease; ESKD</w:t>
      </w:r>
      <w:r w:rsidR="00B91037" w:rsidRPr="0009282C">
        <w:t>,</w:t>
      </w:r>
      <w:r w:rsidR="008D5AE0" w:rsidRPr="0009282C">
        <w:t xml:space="preserve"> end stage kidney disease; QALY</w:t>
      </w:r>
      <w:r w:rsidR="00B91037" w:rsidRPr="0009282C">
        <w:t>,</w:t>
      </w:r>
      <w:r w:rsidR="008D5AE0" w:rsidRPr="0009282C">
        <w:t xml:space="preserve"> quality-adjusted life-year</w:t>
      </w:r>
      <w:r w:rsidR="00C50091" w:rsidRPr="0009282C">
        <w:t xml:space="preserve">; </w:t>
      </w:r>
      <w:proofErr w:type="spellStart"/>
      <w:r w:rsidR="00C50091" w:rsidRPr="0009282C">
        <w:t>OxC</w:t>
      </w:r>
      <w:proofErr w:type="spellEnd"/>
      <w:r w:rsidR="00C50091" w:rsidRPr="0009282C">
        <w:t xml:space="preserve">, controlled oxalate levels; </w:t>
      </w:r>
      <w:proofErr w:type="spellStart"/>
      <w:r w:rsidR="00C50091" w:rsidRPr="0009282C">
        <w:t>OxU</w:t>
      </w:r>
      <w:proofErr w:type="spellEnd"/>
      <w:r w:rsidR="00C50091" w:rsidRPr="0009282C">
        <w:t>, uncontrolled oxalate levels</w:t>
      </w:r>
    </w:p>
    <w:p w14:paraId="138ADD9F" w14:textId="6846842C" w:rsidR="00C511E5" w:rsidRPr="0009282C" w:rsidRDefault="00C511E5" w:rsidP="001E6A64">
      <w:pPr>
        <w:pStyle w:val="TableFigureFooter"/>
      </w:pPr>
      <w:r w:rsidRPr="0009282C">
        <w:t>Source: Table 3.50 and 3.51</w:t>
      </w:r>
      <w:r w:rsidR="00433630" w:rsidRPr="0009282C">
        <w:t xml:space="preserve">, </w:t>
      </w:r>
      <w:r w:rsidR="00AA7D8D" w:rsidRPr="0009282C">
        <w:t xml:space="preserve">p151 </w:t>
      </w:r>
      <w:r w:rsidR="00ED77DB" w:rsidRPr="0009282C">
        <w:t xml:space="preserve">and </w:t>
      </w:r>
      <w:r w:rsidR="00F2616F" w:rsidRPr="0009282C">
        <w:t>t</w:t>
      </w:r>
      <w:r w:rsidR="008D3207" w:rsidRPr="0009282C">
        <w:t>he E</w:t>
      </w:r>
      <w:r w:rsidR="00ED77DB" w:rsidRPr="0009282C">
        <w:t>xcel workbook of the submission</w:t>
      </w:r>
      <w:r w:rsidRPr="0009282C">
        <w:t xml:space="preserve"> (</w:t>
      </w:r>
      <w:proofErr w:type="spellStart"/>
      <w:r w:rsidRPr="0009282C">
        <w:t>Oxlumo</w:t>
      </w:r>
      <w:proofErr w:type="spellEnd"/>
      <w:r w:rsidRPr="0009282C">
        <w:t xml:space="preserve"> Section 3 CUA HPP009243</w:t>
      </w:r>
      <w:r w:rsidR="0078683C" w:rsidRPr="0009282C">
        <w:t>.xlsm</w:t>
      </w:r>
      <w:r w:rsidRPr="0009282C">
        <w:t>, economic model of the submission)</w:t>
      </w:r>
      <w:r w:rsidR="00ED77DB" w:rsidRPr="0009282C">
        <w:t>.</w:t>
      </w:r>
    </w:p>
    <w:p w14:paraId="2253CEAF" w14:textId="15FD9DA5" w:rsidR="008D5AE0" w:rsidRPr="0009282C" w:rsidRDefault="005830DE" w:rsidP="00EC48DC">
      <w:pPr>
        <w:pStyle w:val="3-BodyText"/>
      </w:pPr>
      <w:r w:rsidRPr="0009282C">
        <w:t xml:space="preserve">The results of </w:t>
      </w:r>
      <w:r w:rsidR="005428A7" w:rsidRPr="0009282C">
        <w:t xml:space="preserve">sensitivity </w:t>
      </w:r>
      <w:r w:rsidRPr="0009282C">
        <w:t>analyses are presented in</w:t>
      </w:r>
      <w:r w:rsidR="008D5AE0" w:rsidRPr="0009282C">
        <w:t xml:space="preserve"> </w:t>
      </w:r>
      <w:r w:rsidR="007B0E85" w:rsidRPr="0009282C">
        <w:fldChar w:fldCharType="begin" w:fldLock="1"/>
      </w:r>
      <w:r w:rsidR="007B0E85" w:rsidRPr="0009282C">
        <w:instrText xml:space="preserve"> REF _Ref185869244 \h </w:instrText>
      </w:r>
      <w:r w:rsidR="007B0E85" w:rsidRPr="0009282C">
        <w:fldChar w:fldCharType="separate"/>
      </w:r>
      <w:r w:rsidR="00771DFF" w:rsidRPr="0009282C">
        <w:t xml:space="preserve">Table </w:t>
      </w:r>
      <w:r w:rsidR="00771DFF">
        <w:rPr>
          <w:noProof/>
        </w:rPr>
        <w:t>16</w:t>
      </w:r>
      <w:r w:rsidR="007B0E85" w:rsidRPr="0009282C">
        <w:fldChar w:fldCharType="end"/>
      </w:r>
      <w:r w:rsidRPr="0009282C">
        <w:t xml:space="preserve">. </w:t>
      </w:r>
      <w:r w:rsidR="007B6A34" w:rsidRPr="0009282C">
        <w:t>To ensure the consistency of the modelling perspective with the PBAC guidelines</w:t>
      </w:r>
      <w:r w:rsidR="004B1A58" w:rsidRPr="0009282C">
        <w:rPr>
          <w:iCs/>
        </w:rPr>
        <w:t xml:space="preserve"> (Version </w:t>
      </w:r>
      <w:r w:rsidR="00B20661" w:rsidRPr="0009282C">
        <w:rPr>
          <w:iCs/>
        </w:rPr>
        <w:t>5</w:t>
      </w:r>
      <w:r w:rsidR="004B1A58" w:rsidRPr="0009282C">
        <w:rPr>
          <w:iCs/>
        </w:rPr>
        <w:t>.0)</w:t>
      </w:r>
      <w:r w:rsidR="007B6A34" w:rsidRPr="0009282C">
        <w:t xml:space="preserve">, the caregiver disutility was removed, and an alternate base case </w:t>
      </w:r>
      <w:r w:rsidR="00023D3A" w:rsidRPr="0009282C">
        <w:t>provided</w:t>
      </w:r>
      <w:r w:rsidR="007B6A34" w:rsidRPr="0009282C">
        <w:t xml:space="preserve">. The updated base case was </w:t>
      </w:r>
      <w:r w:rsidR="008D2332" w:rsidRPr="008D2332">
        <w:t>$455,000 to &lt; $555,000</w:t>
      </w:r>
      <w:r w:rsidR="008D2332">
        <w:t xml:space="preserve"> </w:t>
      </w:r>
      <w:r w:rsidR="007B6A34" w:rsidRPr="0009282C">
        <w:t xml:space="preserve">per QALY gained. </w:t>
      </w:r>
      <w:r w:rsidR="005B364C" w:rsidRPr="0009282C">
        <w:t xml:space="preserve">Sensitivity and scenario analyses presented in </w:t>
      </w:r>
      <w:r w:rsidR="005B364C" w:rsidRPr="0009282C">
        <w:fldChar w:fldCharType="begin" w:fldLock="1"/>
      </w:r>
      <w:r w:rsidR="005B364C" w:rsidRPr="0009282C">
        <w:instrText xml:space="preserve"> REF _Ref185869244 \h  \* MERGEFORMAT </w:instrText>
      </w:r>
      <w:r w:rsidR="005B364C" w:rsidRPr="0009282C">
        <w:fldChar w:fldCharType="separate"/>
      </w:r>
      <w:r w:rsidR="00771DFF" w:rsidRPr="0009282C">
        <w:t xml:space="preserve">Table </w:t>
      </w:r>
      <w:r w:rsidR="00771DFF">
        <w:t>16</w:t>
      </w:r>
      <w:r w:rsidR="005B364C" w:rsidRPr="0009282C">
        <w:fldChar w:fldCharType="end"/>
      </w:r>
      <w:r w:rsidR="005B364C" w:rsidRPr="0009282C">
        <w:t xml:space="preserve"> </w:t>
      </w:r>
      <w:r w:rsidR="008B7CA1" w:rsidRPr="0009282C">
        <w:t>are based</w:t>
      </w:r>
      <w:r w:rsidR="005B364C" w:rsidRPr="0009282C">
        <w:t xml:space="preserve"> on the alternative base case.</w:t>
      </w:r>
    </w:p>
    <w:p w14:paraId="71436B10" w14:textId="30DF6378" w:rsidR="007B0E85" w:rsidRPr="0009282C" w:rsidRDefault="007B0E85" w:rsidP="00020F22">
      <w:pPr>
        <w:pStyle w:val="Caption"/>
        <w:keepNext w:val="0"/>
        <w:keepLines w:val="0"/>
        <w:widowControl w:val="0"/>
      </w:pPr>
      <w:bookmarkStart w:id="69" w:name="_Ref185807042"/>
      <w:bookmarkStart w:id="70" w:name="_Ref185869244"/>
      <w:r w:rsidRPr="0009282C">
        <w:t xml:space="preserve">Table </w:t>
      </w:r>
      <w:bookmarkEnd w:id="69"/>
      <w:r w:rsidRPr="0009282C">
        <w:fldChar w:fldCharType="begin" w:fldLock="1"/>
      </w:r>
      <w:r w:rsidRPr="0009282C">
        <w:instrText xml:space="preserve"> SEQ Table \* ARABIC </w:instrText>
      </w:r>
      <w:r w:rsidRPr="0009282C">
        <w:fldChar w:fldCharType="separate"/>
      </w:r>
      <w:r w:rsidR="00771DFF">
        <w:rPr>
          <w:noProof/>
        </w:rPr>
        <w:t>16</w:t>
      </w:r>
      <w:r w:rsidRPr="0009282C">
        <w:fldChar w:fldCharType="end"/>
      </w:r>
      <w:bookmarkEnd w:id="70"/>
      <w:r w:rsidR="0040214D" w:rsidRPr="0009282C">
        <w:t xml:space="preserve">: </w:t>
      </w:r>
      <w:r w:rsidRPr="0009282C">
        <w:t xml:space="preserve">Results of </w:t>
      </w:r>
      <w:r w:rsidR="0009188E" w:rsidRPr="0009282C">
        <w:t>sensitivity</w:t>
      </w:r>
      <w:r w:rsidR="009B1731" w:rsidRPr="0009282C">
        <w:t xml:space="preserve"> and scenario</w:t>
      </w:r>
      <w:r w:rsidR="0009188E" w:rsidRPr="0009282C">
        <w:t xml:space="preserve"> </w:t>
      </w:r>
      <w:r w:rsidRPr="0009282C">
        <w:t>analyses</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4250"/>
        <w:gridCol w:w="1136"/>
        <w:gridCol w:w="1134"/>
        <w:gridCol w:w="1134"/>
        <w:gridCol w:w="1363"/>
      </w:tblGrid>
      <w:tr w:rsidR="005830DE" w:rsidRPr="0009282C" w14:paraId="5E5B3E74" w14:textId="77777777" w:rsidTr="003C3802">
        <w:trPr>
          <w:tblHeader/>
        </w:trPr>
        <w:tc>
          <w:tcPr>
            <w:tcW w:w="2356" w:type="pct"/>
            <w:tcMar>
              <w:top w:w="0" w:type="dxa"/>
              <w:bottom w:w="0" w:type="dxa"/>
            </w:tcMar>
          </w:tcPr>
          <w:p w14:paraId="107FAFEA" w14:textId="77777777" w:rsidR="005830DE" w:rsidRPr="0009282C" w:rsidRDefault="005830DE" w:rsidP="00020F22">
            <w:pPr>
              <w:pStyle w:val="TableText0"/>
              <w:widowControl w:val="0"/>
              <w:rPr>
                <w:b/>
                <w:bCs w:val="0"/>
              </w:rPr>
            </w:pPr>
            <w:r w:rsidRPr="0009282C">
              <w:rPr>
                <w:b/>
                <w:bCs w:val="0"/>
              </w:rPr>
              <w:t>Analyses</w:t>
            </w:r>
          </w:p>
        </w:tc>
        <w:tc>
          <w:tcPr>
            <w:tcW w:w="630" w:type="pct"/>
            <w:tcMar>
              <w:top w:w="0" w:type="dxa"/>
              <w:bottom w:w="0" w:type="dxa"/>
            </w:tcMar>
            <w:vAlign w:val="center"/>
          </w:tcPr>
          <w:p w14:paraId="0D8C6B7E" w14:textId="77777777" w:rsidR="005830DE" w:rsidRPr="0009282C" w:rsidRDefault="005830DE" w:rsidP="00020F22">
            <w:pPr>
              <w:pStyle w:val="TableText0"/>
              <w:widowControl w:val="0"/>
              <w:jc w:val="center"/>
              <w:rPr>
                <w:b/>
                <w:bCs w:val="0"/>
              </w:rPr>
            </w:pPr>
            <w:r w:rsidRPr="0009282C">
              <w:rPr>
                <w:b/>
                <w:bCs w:val="0"/>
              </w:rPr>
              <w:t>Incremental cost</w:t>
            </w:r>
          </w:p>
        </w:tc>
        <w:tc>
          <w:tcPr>
            <w:tcW w:w="629" w:type="pct"/>
            <w:tcMar>
              <w:top w:w="0" w:type="dxa"/>
              <w:bottom w:w="0" w:type="dxa"/>
            </w:tcMar>
            <w:vAlign w:val="center"/>
          </w:tcPr>
          <w:p w14:paraId="5F047F30" w14:textId="77777777" w:rsidR="005830DE" w:rsidRPr="0009282C" w:rsidRDefault="005830DE" w:rsidP="00020F22">
            <w:pPr>
              <w:pStyle w:val="TableText0"/>
              <w:widowControl w:val="0"/>
              <w:jc w:val="center"/>
              <w:rPr>
                <w:b/>
                <w:bCs w:val="0"/>
              </w:rPr>
            </w:pPr>
            <w:r w:rsidRPr="0009282C">
              <w:rPr>
                <w:b/>
                <w:bCs w:val="0"/>
              </w:rPr>
              <w:t>Incremental QALY</w:t>
            </w:r>
          </w:p>
        </w:tc>
        <w:tc>
          <w:tcPr>
            <w:tcW w:w="629" w:type="pct"/>
            <w:tcMar>
              <w:top w:w="0" w:type="dxa"/>
              <w:bottom w:w="0" w:type="dxa"/>
            </w:tcMar>
            <w:vAlign w:val="center"/>
          </w:tcPr>
          <w:p w14:paraId="23C92FEC" w14:textId="77777777" w:rsidR="005830DE" w:rsidRPr="0009282C" w:rsidRDefault="005830DE" w:rsidP="00020F22">
            <w:pPr>
              <w:pStyle w:val="TableText0"/>
              <w:widowControl w:val="0"/>
              <w:jc w:val="center"/>
              <w:rPr>
                <w:b/>
                <w:bCs w:val="0"/>
              </w:rPr>
            </w:pPr>
            <w:r w:rsidRPr="0009282C">
              <w:rPr>
                <w:b/>
                <w:bCs w:val="0"/>
              </w:rPr>
              <w:t>ICER</w:t>
            </w:r>
          </w:p>
          <w:p w14:paraId="4A903A0A" w14:textId="4AACD72C" w:rsidR="005830DE" w:rsidRPr="0009282C" w:rsidRDefault="00F91E1F" w:rsidP="00020F22">
            <w:pPr>
              <w:pStyle w:val="TableText0"/>
              <w:widowControl w:val="0"/>
              <w:jc w:val="center"/>
              <w:rPr>
                <w:b/>
                <w:bCs w:val="0"/>
              </w:rPr>
            </w:pPr>
            <w:r w:rsidRPr="0009282C">
              <w:rPr>
                <w:b/>
                <w:bCs w:val="0"/>
              </w:rPr>
              <w:t>$</w:t>
            </w:r>
          </w:p>
        </w:tc>
        <w:tc>
          <w:tcPr>
            <w:tcW w:w="757" w:type="pct"/>
            <w:tcMar>
              <w:top w:w="0" w:type="dxa"/>
              <w:bottom w:w="0" w:type="dxa"/>
            </w:tcMar>
            <w:vAlign w:val="center"/>
          </w:tcPr>
          <w:p w14:paraId="1A0F772A" w14:textId="77777777" w:rsidR="005830DE" w:rsidRPr="0009282C" w:rsidRDefault="005830DE" w:rsidP="00020F22">
            <w:pPr>
              <w:pStyle w:val="TableText0"/>
              <w:widowControl w:val="0"/>
              <w:jc w:val="center"/>
              <w:rPr>
                <w:b/>
                <w:bCs w:val="0"/>
              </w:rPr>
            </w:pPr>
            <w:r w:rsidRPr="0009282C">
              <w:rPr>
                <w:b/>
                <w:bCs w:val="0"/>
              </w:rPr>
              <w:t>Change from base case ICER</w:t>
            </w:r>
          </w:p>
        </w:tc>
      </w:tr>
      <w:tr w:rsidR="005830DE" w:rsidRPr="0009282C" w14:paraId="1A6BB557" w14:textId="77777777" w:rsidTr="003C3802">
        <w:tc>
          <w:tcPr>
            <w:tcW w:w="2356" w:type="pct"/>
            <w:tcMar>
              <w:top w:w="0" w:type="dxa"/>
              <w:bottom w:w="0" w:type="dxa"/>
            </w:tcMar>
          </w:tcPr>
          <w:p w14:paraId="6D77CAD2" w14:textId="77777777" w:rsidR="005830DE" w:rsidRPr="0009282C" w:rsidRDefault="005830DE" w:rsidP="00020F22">
            <w:pPr>
              <w:pStyle w:val="TableText0"/>
              <w:widowControl w:val="0"/>
            </w:pPr>
            <w:r w:rsidRPr="0009282C">
              <w:t>Base case</w:t>
            </w:r>
          </w:p>
        </w:tc>
        <w:tc>
          <w:tcPr>
            <w:tcW w:w="630" w:type="pct"/>
            <w:tcMar>
              <w:top w:w="0" w:type="dxa"/>
              <w:bottom w:w="0" w:type="dxa"/>
            </w:tcMar>
            <w:vAlign w:val="center"/>
          </w:tcPr>
          <w:p w14:paraId="27ACBC99" w14:textId="05C99259" w:rsidR="005830DE" w:rsidRPr="0009282C" w:rsidRDefault="003126D8" w:rsidP="00020F22">
            <w:pPr>
              <w:pStyle w:val="TableText0"/>
              <w:widowControl w:val="0"/>
              <w:jc w:val="center"/>
            </w:pPr>
            <w:r w:rsidRPr="0009282C">
              <w:t>$</w:t>
            </w:r>
            <w:r w:rsidR="002212A2" w:rsidRPr="002212A2">
              <w:rPr>
                <w:color w:val="000000"/>
                <w:spacing w:val="53"/>
                <w:shd w:val="solid" w:color="000000" w:fill="000000"/>
                <w:fitText w:val="330" w:id="-694423796"/>
                <w14:textFill>
                  <w14:solidFill>
                    <w14:srgbClr w14:val="000000">
                      <w14:alpha w14:val="100000"/>
                    </w14:srgbClr>
                  </w14:solidFill>
                </w14:textFill>
              </w:rPr>
              <w:t>|||</w:t>
            </w:r>
            <w:r w:rsidR="002212A2" w:rsidRPr="002212A2">
              <w:rPr>
                <w:color w:val="000000"/>
                <w:spacing w:val="1"/>
                <w:shd w:val="solid" w:color="000000" w:fill="000000"/>
                <w:fitText w:val="330" w:id="-694423796"/>
                <w14:textFill>
                  <w14:solidFill>
                    <w14:srgbClr w14:val="000000">
                      <w14:alpha w14:val="100000"/>
                    </w14:srgbClr>
                  </w14:solidFill>
                </w14:textFill>
              </w:rPr>
              <w:t>|</w:t>
            </w:r>
          </w:p>
        </w:tc>
        <w:tc>
          <w:tcPr>
            <w:tcW w:w="629" w:type="pct"/>
            <w:tcMar>
              <w:top w:w="0" w:type="dxa"/>
              <w:bottom w:w="0" w:type="dxa"/>
            </w:tcMar>
            <w:vAlign w:val="center"/>
          </w:tcPr>
          <w:p w14:paraId="28CBF90C" w14:textId="77777777" w:rsidR="005830DE" w:rsidRPr="0009282C" w:rsidRDefault="005830DE" w:rsidP="00020F22">
            <w:pPr>
              <w:pStyle w:val="TableText0"/>
              <w:widowControl w:val="0"/>
              <w:jc w:val="center"/>
            </w:pPr>
            <w:r w:rsidRPr="0009282C">
              <w:t>9.06</w:t>
            </w:r>
          </w:p>
        </w:tc>
        <w:tc>
          <w:tcPr>
            <w:tcW w:w="629" w:type="pct"/>
            <w:tcMar>
              <w:top w:w="0" w:type="dxa"/>
              <w:bottom w:w="0" w:type="dxa"/>
            </w:tcMar>
            <w:vAlign w:val="center"/>
          </w:tcPr>
          <w:p w14:paraId="341E156E" w14:textId="57975609" w:rsidR="005830DE" w:rsidRPr="008D2332" w:rsidRDefault="003126D8" w:rsidP="00020F22">
            <w:pPr>
              <w:pStyle w:val="TableText0"/>
              <w:widowControl w:val="0"/>
              <w:jc w:val="center"/>
              <w:rPr>
                <w:vertAlign w:val="superscript"/>
              </w:rPr>
            </w:pPr>
            <w:r w:rsidRPr="0009282C">
              <w:t>$</w:t>
            </w:r>
            <w:r w:rsidR="002212A2" w:rsidRPr="002212A2">
              <w:rPr>
                <w:color w:val="000000"/>
                <w:spacing w:val="53"/>
                <w:shd w:val="solid" w:color="000000" w:fill="000000"/>
                <w:fitText w:val="330" w:id="-694423795"/>
                <w14:textFill>
                  <w14:solidFill>
                    <w14:srgbClr w14:val="000000">
                      <w14:alpha w14:val="100000"/>
                    </w14:srgbClr>
                  </w14:solidFill>
                </w14:textFill>
              </w:rPr>
              <w:t>|||</w:t>
            </w:r>
            <w:r w:rsidR="002212A2" w:rsidRPr="002212A2">
              <w:rPr>
                <w:color w:val="000000"/>
                <w:spacing w:val="1"/>
                <w:shd w:val="solid" w:color="000000" w:fill="000000"/>
                <w:fitText w:val="330" w:id="-694423795"/>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0128EF29" w14:textId="42B0B4C5" w:rsidR="005830DE" w:rsidRPr="0009282C" w:rsidRDefault="00063400" w:rsidP="00020F22">
            <w:pPr>
              <w:pStyle w:val="TableText0"/>
              <w:widowControl w:val="0"/>
              <w:jc w:val="center"/>
            </w:pPr>
            <w:r w:rsidRPr="0009282C">
              <w:t>-</w:t>
            </w:r>
          </w:p>
        </w:tc>
      </w:tr>
      <w:tr w:rsidR="003126D8" w:rsidRPr="0009282C" w14:paraId="0917A558" w14:textId="77777777" w:rsidTr="003C3802">
        <w:tc>
          <w:tcPr>
            <w:tcW w:w="2356" w:type="pct"/>
            <w:tcMar>
              <w:top w:w="0" w:type="dxa"/>
              <w:bottom w:w="0" w:type="dxa"/>
            </w:tcMar>
          </w:tcPr>
          <w:p w14:paraId="121B2124" w14:textId="62A72571" w:rsidR="003126D8" w:rsidRPr="0009282C" w:rsidRDefault="003126D8" w:rsidP="00020F22">
            <w:pPr>
              <w:pStyle w:val="TableText0"/>
              <w:widowControl w:val="0"/>
            </w:pPr>
            <w:r w:rsidRPr="0009282C">
              <w:t>Alternative base case</w:t>
            </w:r>
          </w:p>
          <w:p w14:paraId="15E4DF84" w14:textId="289038B4" w:rsidR="003126D8" w:rsidRPr="0009282C" w:rsidRDefault="003126D8" w:rsidP="00020F22">
            <w:pPr>
              <w:pStyle w:val="TableText0"/>
              <w:widowControl w:val="0"/>
            </w:pPr>
            <w:r w:rsidRPr="0009282C">
              <w:t>No caregiver utility reduction</w:t>
            </w:r>
          </w:p>
        </w:tc>
        <w:tc>
          <w:tcPr>
            <w:tcW w:w="630" w:type="pct"/>
            <w:tcMar>
              <w:top w:w="0" w:type="dxa"/>
              <w:bottom w:w="0" w:type="dxa"/>
            </w:tcMar>
            <w:vAlign w:val="center"/>
          </w:tcPr>
          <w:p w14:paraId="085F9968" w14:textId="6FF95E1A" w:rsidR="003126D8" w:rsidRPr="0009282C" w:rsidRDefault="003126D8" w:rsidP="00020F22">
            <w:pPr>
              <w:pStyle w:val="TableText0"/>
              <w:widowControl w:val="0"/>
              <w:jc w:val="center"/>
            </w:pPr>
            <w:r w:rsidRPr="0009282C">
              <w:t>$</w:t>
            </w:r>
            <w:r w:rsidR="002212A2" w:rsidRPr="002212A2">
              <w:rPr>
                <w:color w:val="000000"/>
                <w:spacing w:val="53"/>
                <w:shd w:val="solid" w:color="000000" w:fill="000000"/>
                <w:fitText w:val="330" w:id="-694423794"/>
                <w14:textFill>
                  <w14:solidFill>
                    <w14:srgbClr w14:val="000000">
                      <w14:alpha w14:val="100000"/>
                    </w14:srgbClr>
                  </w14:solidFill>
                </w14:textFill>
              </w:rPr>
              <w:t>|||</w:t>
            </w:r>
            <w:r w:rsidR="002212A2" w:rsidRPr="002212A2">
              <w:rPr>
                <w:color w:val="000000"/>
                <w:spacing w:val="1"/>
                <w:shd w:val="solid" w:color="000000" w:fill="000000"/>
                <w:fitText w:val="330" w:id="-694423794"/>
                <w14:textFill>
                  <w14:solidFill>
                    <w14:srgbClr w14:val="000000">
                      <w14:alpha w14:val="100000"/>
                    </w14:srgbClr>
                  </w14:solidFill>
                </w14:textFill>
              </w:rPr>
              <w:t>|</w:t>
            </w:r>
          </w:p>
        </w:tc>
        <w:tc>
          <w:tcPr>
            <w:tcW w:w="629" w:type="pct"/>
            <w:tcMar>
              <w:top w:w="0" w:type="dxa"/>
              <w:bottom w:w="0" w:type="dxa"/>
            </w:tcMar>
            <w:vAlign w:val="center"/>
          </w:tcPr>
          <w:p w14:paraId="568CE513" w14:textId="61C3585F" w:rsidR="003126D8" w:rsidRPr="0009282C" w:rsidRDefault="002F08FE" w:rsidP="00020F22">
            <w:pPr>
              <w:pStyle w:val="TableText0"/>
              <w:widowControl w:val="0"/>
              <w:jc w:val="center"/>
            </w:pPr>
            <w:r w:rsidRPr="0009282C">
              <w:t>8.25</w:t>
            </w:r>
          </w:p>
        </w:tc>
        <w:tc>
          <w:tcPr>
            <w:tcW w:w="629" w:type="pct"/>
            <w:tcMar>
              <w:top w:w="0" w:type="dxa"/>
              <w:bottom w:w="0" w:type="dxa"/>
            </w:tcMar>
            <w:vAlign w:val="center"/>
          </w:tcPr>
          <w:p w14:paraId="763CEFE0" w14:textId="44540355" w:rsidR="003126D8" w:rsidRPr="0009282C" w:rsidRDefault="003126D8" w:rsidP="00020F22">
            <w:pPr>
              <w:pStyle w:val="TableText0"/>
              <w:widowControl w:val="0"/>
              <w:jc w:val="center"/>
            </w:pPr>
            <w:r w:rsidRPr="0009282C">
              <w:t>$</w:t>
            </w:r>
            <w:r w:rsidR="002212A2" w:rsidRPr="002212A2">
              <w:rPr>
                <w:color w:val="000000"/>
                <w:spacing w:val="53"/>
                <w:shd w:val="solid" w:color="000000" w:fill="000000"/>
                <w:fitText w:val="330" w:id="-694423793"/>
                <w14:textFill>
                  <w14:solidFill>
                    <w14:srgbClr w14:val="000000">
                      <w14:alpha w14:val="100000"/>
                    </w14:srgbClr>
                  </w14:solidFill>
                </w14:textFill>
              </w:rPr>
              <w:t>|||</w:t>
            </w:r>
            <w:r w:rsidR="002212A2" w:rsidRPr="002212A2">
              <w:rPr>
                <w:color w:val="000000"/>
                <w:spacing w:val="1"/>
                <w:shd w:val="solid" w:color="000000" w:fill="000000"/>
                <w:fitText w:val="330" w:id="-694423793"/>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1ACB6CBF" w14:textId="5FB2D2EE" w:rsidR="003126D8" w:rsidRPr="0009282C" w:rsidRDefault="00063400" w:rsidP="00020F22">
            <w:pPr>
              <w:pStyle w:val="TableText0"/>
              <w:widowControl w:val="0"/>
              <w:jc w:val="center"/>
            </w:pPr>
            <w:r w:rsidRPr="0009282C">
              <w:t>-</w:t>
            </w:r>
          </w:p>
        </w:tc>
      </w:tr>
      <w:tr w:rsidR="005830DE" w:rsidRPr="0009282C" w14:paraId="13594C6D" w14:textId="77777777" w:rsidTr="003C3802">
        <w:trPr>
          <w:trHeight w:val="206"/>
        </w:trPr>
        <w:tc>
          <w:tcPr>
            <w:tcW w:w="5000" w:type="pct"/>
            <w:gridSpan w:val="5"/>
            <w:tcMar>
              <w:top w:w="0" w:type="dxa"/>
              <w:bottom w:w="0" w:type="dxa"/>
            </w:tcMar>
          </w:tcPr>
          <w:p w14:paraId="31187BFC" w14:textId="77777777" w:rsidR="005830DE" w:rsidRPr="0009282C" w:rsidRDefault="005830DE" w:rsidP="00020F22">
            <w:pPr>
              <w:pStyle w:val="TableText0"/>
              <w:widowControl w:val="0"/>
              <w:rPr>
                <w:b/>
                <w:bCs w:val="0"/>
              </w:rPr>
            </w:pPr>
            <w:r w:rsidRPr="0009282C">
              <w:rPr>
                <w:b/>
                <w:bCs w:val="0"/>
              </w:rPr>
              <w:t>Discount rate (base case 5% costs and outcomes)</w:t>
            </w:r>
          </w:p>
        </w:tc>
      </w:tr>
      <w:tr w:rsidR="005830DE" w:rsidRPr="0009282C" w14:paraId="2CEF25E4" w14:textId="77777777" w:rsidTr="003C3802">
        <w:tc>
          <w:tcPr>
            <w:tcW w:w="2356" w:type="pct"/>
            <w:tcMar>
              <w:top w:w="0" w:type="dxa"/>
              <w:bottom w:w="0" w:type="dxa"/>
            </w:tcMar>
          </w:tcPr>
          <w:p w14:paraId="63D5B392" w14:textId="77777777" w:rsidR="005830DE" w:rsidRPr="0009282C" w:rsidRDefault="005830DE" w:rsidP="00020F22">
            <w:pPr>
              <w:pStyle w:val="TableText0"/>
              <w:widowControl w:val="0"/>
            </w:pPr>
            <w:r w:rsidRPr="0009282C">
              <w:t>0% costs and outcomes</w:t>
            </w:r>
          </w:p>
        </w:tc>
        <w:tc>
          <w:tcPr>
            <w:tcW w:w="630" w:type="pct"/>
            <w:tcMar>
              <w:top w:w="0" w:type="dxa"/>
              <w:bottom w:w="0" w:type="dxa"/>
            </w:tcMar>
            <w:vAlign w:val="center"/>
          </w:tcPr>
          <w:p w14:paraId="1856D28D" w14:textId="2C320825" w:rsidR="005830DE"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2"/>
                <w14:textFill>
                  <w14:solidFill>
                    <w14:srgbClr w14:val="000000">
                      <w14:alpha w14:val="100000"/>
                    </w14:srgbClr>
                  </w14:solidFill>
                </w14:textFill>
              </w:rPr>
              <w:t>|||</w:t>
            </w:r>
            <w:r w:rsidR="002212A2" w:rsidRPr="002212A2">
              <w:rPr>
                <w:color w:val="000000"/>
                <w:spacing w:val="1"/>
                <w:shd w:val="solid" w:color="000000" w:fill="000000"/>
                <w:fitText w:val="330" w:id="-694423792"/>
                <w14:textFill>
                  <w14:solidFill>
                    <w14:srgbClr w14:val="000000">
                      <w14:alpha w14:val="100000"/>
                    </w14:srgbClr>
                  </w14:solidFill>
                </w14:textFill>
              </w:rPr>
              <w:t>|</w:t>
            </w:r>
          </w:p>
        </w:tc>
        <w:tc>
          <w:tcPr>
            <w:tcW w:w="629" w:type="pct"/>
            <w:tcMar>
              <w:top w:w="0" w:type="dxa"/>
              <w:bottom w:w="0" w:type="dxa"/>
            </w:tcMar>
            <w:vAlign w:val="center"/>
          </w:tcPr>
          <w:p w14:paraId="55D83999" w14:textId="51F57486" w:rsidR="005830DE" w:rsidRPr="0009282C" w:rsidRDefault="00F368BF" w:rsidP="00020F22">
            <w:pPr>
              <w:pStyle w:val="TableText0"/>
              <w:widowControl w:val="0"/>
              <w:jc w:val="center"/>
            </w:pPr>
            <w:r w:rsidRPr="0009282C">
              <w:t>27.09</w:t>
            </w:r>
          </w:p>
        </w:tc>
        <w:tc>
          <w:tcPr>
            <w:tcW w:w="629" w:type="pct"/>
            <w:tcMar>
              <w:top w:w="0" w:type="dxa"/>
              <w:bottom w:w="0" w:type="dxa"/>
            </w:tcMar>
            <w:vAlign w:val="center"/>
          </w:tcPr>
          <w:p w14:paraId="63267C45" w14:textId="42E80F5B" w:rsidR="005830DE"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8"/>
                <w14:textFill>
                  <w14:solidFill>
                    <w14:srgbClr w14:val="000000">
                      <w14:alpha w14:val="100000"/>
                    </w14:srgbClr>
                  </w14:solidFill>
                </w14:textFill>
              </w:rPr>
              <w:t>|||</w:t>
            </w:r>
            <w:r w:rsidR="002212A2" w:rsidRPr="002212A2">
              <w:rPr>
                <w:color w:val="000000"/>
                <w:spacing w:val="1"/>
                <w:shd w:val="solid" w:color="000000" w:fill="000000"/>
                <w:fitText w:val="330" w:id="-694423808"/>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567A4D2A" w14:textId="4A61B207" w:rsidR="005830DE" w:rsidRPr="0009282C" w:rsidRDefault="00F368BF" w:rsidP="00020F22">
            <w:pPr>
              <w:pStyle w:val="TableText0"/>
              <w:widowControl w:val="0"/>
              <w:jc w:val="center"/>
            </w:pPr>
            <w:r w:rsidRPr="0009282C">
              <w:t>-</w:t>
            </w:r>
            <w:r w:rsidR="002212A2" w:rsidRPr="002212A2">
              <w:rPr>
                <w:color w:val="000000"/>
                <w:spacing w:val="53"/>
                <w:shd w:val="solid" w:color="000000" w:fill="000000"/>
                <w:fitText w:val="330" w:id="-694423807"/>
                <w14:textFill>
                  <w14:solidFill>
                    <w14:srgbClr w14:val="000000">
                      <w14:alpha w14:val="100000"/>
                    </w14:srgbClr>
                  </w14:solidFill>
                </w14:textFill>
              </w:rPr>
              <w:t>|||</w:t>
            </w:r>
            <w:r w:rsidR="002212A2" w:rsidRPr="002212A2">
              <w:rPr>
                <w:color w:val="000000"/>
                <w:spacing w:val="1"/>
                <w:shd w:val="solid" w:color="000000" w:fill="000000"/>
                <w:fitText w:val="330" w:id="-694423807"/>
                <w14:textFill>
                  <w14:solidFill>
                    <w14:srgbClr w14:val="000000">
                      <w14:alpha w14:val="100000"/>
                    </w14:srgbClr>
                  </w14:solidFill>
                </w14:textFill>
              </w:rPr>
              <w:t>|</w:t>
            </w:r>
            <w:r w:rsidRPr="0009282C">
              <w:t>%</w:t>
            </w:r>
          </w:p>
        </w:tc>
      </w:tr>
      <w:tr w:rsidR="005830DE" w:rsidRPr="0009282C" w14:paraId="6A58A8F3" w14:textId="77777777" w:rsidTr="003C3802">
        <w:tc>
          <w:tcPr>
            <w:tcW w:w="2356" w:type="pct"/>
            <w:tcMar>
              <w:top w:w="0" w:type="dxa"/>
              <w:bottom w:w="0" w:type="dxa"/>
            </w:tcMar>
          </w:tcPr>
          <w:p w14:paraId="6D8D694D" w14:textId="77777777" w:rsidR="005830DE" w:rsidRPr="0009282C" w:rsidRDefault="005830DE" w:rsidP="00020F22">
            <w:pPr>
              <w:pStyle w:val="TableText0"/>
              <w:widowControl w:val="0"/>
            </w:pPr>
            <w:r w:rsidRPr="0009282C">
              <w:t>3.5% costs and outcomes</w:t>
            </w:r>
          </w:p>
        </w:tc>
        <w:tc>
          <w:tcPr>
            <w:tcW w:w="630" w:type="pct"/>
            <w:tcMar>
              <w:top w:w="0" w:type="dxa"/>
              <w:bottom w:w="0" w:type="dxa"/>
            </w:tcMar>
            <w:vAlign w:val="center"/>
          </w:tcPr>
          <w:p w14:paraId="650DA821" w14:textId="38C0A047" w:rsidR="005830DE"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6"/>
                <w14:textFill>
                  <w14:solidFill>
                    <w14:srgbClr w14:val="000000">
                      <w14:alpha w14:val="100000"/>
                    </w14:srgbClr>
                  </w14:solidFill>
                </w14:textFill>
              </w:rPr>
              <w:t>|||</w:t>
            </w:r>
            <w:r w:rsidR="002212A2" w:rsidRPr="002212A2">
              <w:rPr>
                <w:color w:val="000000"/>
                <w:spacing w:val="1"/>
                <w:shd w:val="solid" w:color="000000" w:fill="000000"/>
                <w:fitText w:val="330" w:id="-694423806"/>
                <w14:textFill>
                  <w14:solidFill>
                    <w14:srgbClr w14:val="000000">
                      <w14:alpha w14:val="100000"/>
                    </w14:srgbClr>
                  </w14:solidFill>
                </w14:textFill>
              </w:rPr>
              <w:t>|</w:t>
            </w:r>
          </w:p>
        </w:tc>
        <w:tc>
          <w:tcPr>
            <w:tcW w:w="629" w:type="pct"/>
            <w:tcMar>
              <w:top w:w="0" w:type="dxa"/>
              <w:bottom w:w="0" w:type="dxa"/>
            </w:tcMar>
            <w:vAlign w:val="center"/>
          </w:tcPr>
          <w:p w14:paraId="57F7EF40" w14:textId="770C1B5F" w:rsidR="005830DE" w:rsidRPr="0009282C" w:rsidRDefault="00F368BF" w:rsidP="00020F22">
            <w:pPr>
              <w:pStyle w:val="TableText0"/>
              <w:widowControl w:val="0"/>
              <w:jc w:val="center"/>
            </w:pPr>
            <w:r w:rsidRPr="0009282C">
              <w:t>10.87</w:t>
            </w:r>
          </w:p>
        </w:tc>
        <w:tc>
          <w:tcPr>
            <w:tcW w:w="629" w:type="pct"/>
            <w:tcMar>
              <w:top w:w="0" w:type="dxa"/>
              <w:bottom w:w="0" w:type="dxa"/>
            </w:tcMar>
            <w:vAlign w:val="center"/>
          </w:tcPr>
          <w:p w14:paraId="5DA24E5A" w14:textId="21D00269" w:rsidR="005830DE"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5"/>
                <w14:textFill>
                  <w14:solidFill>
                    <w14:srgbClr w14:val="000000">
                      <w14:alpha w14:val="100000"/>
                    </w14:srgbClr>
                  </w14:solidFill>
                </w14:textFill>
              </w:rPr>
              <w:t>|||</w:t>
            </w:r>
            <w:r w:rsidR="002212A2" w:rsidRPr="002212A2">
              <w:rPr>
                <w:color w:val="000000"/>
                <w:spacing w:val="1"/>
                <w:shd w:val="solid" w:color="000000" w:fill="000000"/>
                <w:fitText w:val="330" w:id="-694423805"/>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36A4C650" w14:textId="3710841C" w:rsidR="005830DE" w:rsidRPr="0009282C" w:rsidRDefault="00F368BF" w:rsidP="00020F22">
            <w:pPr>
              <w:pStyle w:val="TableText0"/>
              <w:widowControl w:val="0"/>
              <w:jc w:val="center"/>
            </w:pPr>
            <w:r w:rsidRPr="0009282C">
              <w:t>-</w:t>
            </w:r>
            <w:r w:rsidR="002212A2" w:rsidRPr="002212A2">
              <w:rPr>
                <w:color w:val="000000"/>
                <w:spacing w:val="53"/>
                <w:shd w:val="solid" w:color="000000" w:fill="000000"/>
                <w:fitText w:val="330" w:id="-694423804"/>
                <w14:textFill>
                  <w14:solidFill>
                    <w14:srgbClr w14:val="000000">
                      <w14:alpha w14:val="100000"/>
                    </w14:srgbClr>
                  </w14:solidFill>
                </w14:textFill>
              </w:rPr>
              <w:t>|||</w:t>
            </w:r>
            <w:r w:rsidR="002212A2" w:rsidRPr="002212A2">
              <w:rPr>
                <w:color w:val="000000"/>
                <w:spacing w:val="1"/>
                <w:shd w:val="solid" w:color="000000" w:fill="000000"/>
                <w:fitText w:val="330" w:id="-694423804"/>
                <w14:textFill>
                  <w14:solidFill>
                    <w14:srgbClr w14:val="000000">
                      <w14:alpha w14:val="100000"/>
                    </w14:srgbClr>
                  </w14:solidFill>
                </w14:textFill>
              </w:rPr>
              <w:t>|</w:t>
            </w:r>
            <w:r w:rsidRPr="0009282C">
              <w:t>%</w:t>
            </w:r>
          </w:p>
        </w:tc>
      </w:tr>
      <w:tr w:rsidR="005830DE" w:rsidRPr="0009282C" w14:paraId="1DA66808" w14:textId="77777777" w:rsidTr="003C3802">
        <w:tc>
          <w:tcPr>
            <w:tcW w:w="5000" w:type="pct"/>
            <w:gridSpan w:val="5"/>
            <w:tcMar>
              <w:top w:w="0" w:type="dxa"/>
              <w:bottom w:w="0" w:type="dxa"/>
            </w:tcMar>
          </w:tcPr>
          <w:p w14:paraId="665673D4" w14:textId="77777777" w:rsidR="005830DE" w:rsidRPr="0009282C" w:rsidRDefault="005830DE" w:rsidP="00020F22">
            <w:pPr>
              <w:pStyle w:val="TableText0"/>
              <w:widowControl w:val="0"/>
              <w:rPr>
                <w:b/>
                <w:bCs w:val="0"/>
              </w:rPr>
            </w:pPr>
            <w:r w:rsidRPr="0009282C">
              <w:rPr>
                <w:b/>
                <w:bCs w:val="0"/>
              </w:rPr>
              <w:t xml:space="preserve">Time horizon (base case was for lifetime) </w:t>
            </w:r>
          </w:p>
        </w:tc>
      </w:tr>
      <w:tr w:rsidR="00670625" w:rsidRPr="0009282C" w14:paraId="52FF1A1A" w14:textId="77777777" w:rsidTr="003C3802">
        <w:tc>
          <w:tcPr>
            <w:tcW w:w="2356" w:type="pct"/>
            <w:tcMar>
              <w:top w:w="0" w:type="dxa"/>
              <w:bottom w:w="0" w:type="dxa"/>
            </w:tcMar>
          </w:tcPr>
          <w:p w14:paraId="3A8A9FF8" w14:textId="0B8BC41E" w:rsidR="00670625" w:rsidRPr="0009282C" w:rsidRDefault="00670625" w:rsidP="00020F22">
            <w:pPr>
              <w:pStyle w:val="TableText0"/>
              <w:widowControl w:val="0"/>
            </w:pPr>
            <w:r w:rsidRPr="0009282C">
              <w:t xml:space="preserve">Time horizon of 10 years </w:t>
            </w:r>
          </w:p>
        </w:tc>
        <w:tc>
          <w:tcPr>
            <w:tcW w:w="630" w:type="pct"/>
            <w:tcMar>
              <w:top w:w="0" w:type="dxa"/>
              <w:bottom w:w="0" w:type="dxa"/>
            </w:tcMar>
            <w:vAlign w:val="center"/>
          </w:tcPr>
          <w:p w14:paraId="7327C9DA" w14:textId="656645A5" w:rsidR="00670625"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3"/>
                <w14:textFill>
                  <w14:solidFill>
                    <w14:srgbClr w14:val="000000">
                      <w14:alpha w14:val="100000"/>
                    </w14:srgbClr>
                  </w14:solidFill>
                </w14:textFill>
              </w:rPr>
              <w:t>|||</w:t>
            </w:r>
            <w:r w:rsidR="002212A2" w:rsidRPr="002212A2">
              <w:rPr>
                <w:color w:val="000000"/>
                <w:spacing w:val="1"/>
                <w:shd w:val="solid" w:color="000000" w:fill="000000"/>
                <w:fitText w:val="330" w:id="-694423803"/>
                <w14:textFill>
                  <w14:solidFill>
                    <w14:srgbClr w14:val="000000">
                      <w14:alpha w14:val="100000"/>
                    </w14:srgbClr>
                  </w14:solidFill>
                </w14:textFill>
              </w:rPr>
              <w:t>|</w:t>
            </w:r>
          </w:p>
        </w:tc>
        <w:tc>
          <w:tcPr>
            <w:tcW w:w="629" w:type="pct"/>
            <w:tcMar>
              <w:top w:w="0" w:type="dxa"/>
              <w:bottom w:w="0" w:type="dxa"/>
            </w:tcMar>
            <w:vAlign w:val="center"/>
          </w:tcPr>
          <w:p w14:paraId="5877AB74" w14:textId="4D9F592B" w:rsidR="00670625" w:rsidRPr="0009282C" w:rsidRDefault="00104FAB" w:rsidP="00020F22">
            <w:pPr>
              <w:pStyle w:val="TableText0"/>
              <w:widowControl w:val="0"/>
              <w:jc w:val="center"/>
            </w:pPr>
            <w:r w:rsidRPr="0009282C">
              <w:t>2.99</w:t>
            </w:r>
          </w:p>
        </w:tc>
        <w:tc>
          <w:tcPr>
            <w:tcW w:w="629" w:type="pct"/>
            <w:tcMar>
              <w:top w:w="0" w:type="dxa"/>
              <w:bottom w:w="0" w:type="dxa"/>
            </w:tcMar>
            <w:vAlign w:val="center"/>
          </w:tcPr>
          <w:p w14:paraId="01F95357" w14:textId="1CFC698B" w:rsidR="00670625"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2"/>
                <w14:textFill>
                  <w14:solidFill>
                    <w14:srgbClr w14:val="000000">
                      <w14:alpha w14:val="100000"/>
                    </w14:srgbClr>
                  </w14:solidFill>
                </w14:textFill>
              </w:rPr>
              <w:t>|||</w:t>
            </w:r>
            <w:r w:rsidR="002212A2" w:rsidRPr="002212A2">
              <w:rPr>
                <w:color w:val="000000"/>
                <w:spacing w:val="1"/>
                <w:shd w:val="solid" w:color="000000" w:fill="000000"/>
                <w:fitText w:val="330" w:id="-694423802"/>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54FEEE0C" w14:textId="160CEAC0" w:rsidR="00670625" w:rsidRPr="0009282C" w:rsidRDefault="002212A2" w:rsidP="00020F22">
            <w:pPr>
              <w:pStyle w:val="TableText0"/>
              <w:widowControl w:val="0"/>
              <w:jc w:val="center"/>
            </w:pPr>
            <w:r w:rsidRPr="002212A2">
              <w:rPr>
                <w:color w:val="000000"/>
                <w:spacing w:val="53"/>
                <w:shd w:val="solid" w:color="000000" w:fill="000000"/>
                <w:fitText w:val="330" w:id="-694423801"/>
                <w14:textFill>
                  <w14:solidFill>
                    <w14:srgbClr w14:val="000000">
                      <w14:alpha w14:val="100000"/>
                    </w14:srgbClr>
                  </w14:solidFill>
                </w14:textFill>
              </w:rPr>
              <w:t>|||</w:t>
            </w:r>
            <w:r w:rsidRPr="002212A2">
              <w:rPr>
                <w:color w:val="000000"/>
                <w:spacing w:val="1"/>
                <w:shd w:val="solid" w:color="000000" w:fill="000000"/>
                <w:fitText w:val="330" w:id="-694423801"/>
                <w14:textFill>
                  <w14:solidFill>
                    <w14:srgbClr w14:val="000000">
                      <w14:alpha w14:val="100000"/>
                    </w14:srgbClr>
                  </w14:solidFill>
                </w14:textFill>
              </w:rPr>
              <w:t>|</w:t>
            </w:r>
            <w:r w:rsidR="00104FAB" w:rsidRPr="0009282C">
              <w:t>%</w:t>
            </w:r>
          </w:p>
        </w:tc>
      </w:tr>
      <w:tr w:rsidR="005830DE" w:rsidRPr="0009282C" w14:paraId="23F5BA94" w14:textId="77777777" w:rsidTr="003C3802">
        <w:tc>
          <w:tcPr>
            <w:tcW w:w="2356" w:type="pct"/>
            <w:tcBorders>
              <w:bottom w:val="single" w:sz="4" w:space="0" w:color="auto"/>
            </w:tcBorders>
            <w:tcMar>
              <w:top w:w="0" w:type="dxa"/>
              <w:bottom w:w="0" w:type="dxa"/>
            </w:tcMar>
          </w:tcPr>
          <w:p w14:paraId="13F1B07C" w14:textId="77777777" w:rsidR="005830DE" w:rsidRPr="0009282C" w:rsidRDefault="005830DE" w:rsidP="00020F22">
            <w:pPr>
              <w:pStyle w:val="TableText0"/>
              <w:widowControl w:val="0"/>
            </w:pPr>
            <w:r w:rsidRPr="0009282C">
              <w:t>Time horizon of 20 years</w:t>
            </w:r>
          </w:p>
        </w:tc>
        <w:tc>
          <w:tcPr>
            <w:tcW w:w="630" w:type="pct"/>
            <w:tcBorders>
              <w:bottom w:val="single" w:sz="4" w:space="0" w:color="auto"/>
            </w:tcBorders>
            <w:tcMar>
              <w:top w:w="0" w:type="dxa"/>
              <w:bottom w:w="0" w:type="dxa"/>
            </w:tcMar>
            <w:vAlign w:val="center"/>
          </w:tcPr>
          <w:p w14:paraId="3A0C33A7" w14:textId="6D5B875D" w:rsidR="005830DE"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0"/>
                <w14:textFill>
                  <w14:solidFill>
                    <w14:srgbClr w14:val="000000">
                      <w14:alpha w14:val="100000"/>
                    </w14:srgbClr>
                  </w14:solidFill>
                </w14:textFill>
              </w:rPr>
              <w:t>|||</w:t>
            </w:r>
            <w:r w:rsidR="002212A2" w:rsidRPr="002212A2">
              <w:rPr>
                <w:color w:val="000000"/>
                <w:spacing w:val="1"/>
                <w:shd w:val="solid" w:color="000000" w:fill="000000"/>
                <w:fitText w:val="330" w:id="-694423800"/>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012666C3" w14:textId="4C0C00ED" w:rsidR="005830DE" w:rsidRPr="0009282C" w:rsidRDefault="00B83698" w:rsidP="00020F22">
            <w:pPr>
              <w:pStyle w:val="TableText0"/>
              <w:widowControl w:val="0"/>
              <w:jc w:val="center"/>
            </w:pPr>
            <w:r w:rsidRPr="0009282C">
              <w:t>5.33</w:t>
            </w:r>
          </w:p>
        </w:tc>
        <w:tc>
          <w:tcPr>
            <w:tcW w:w="629" w:type="pct"/>
            <w:tcBorders>
              <w:bottom w:val="single" w:sz="4" w:space="0" w:color="auto"/>
            </w:tcBorders>
            <w:tcMar>
              <w:top w:w="0" w:type="dxa"/>
              <w:bottom w:w="0" w:type="dxa"/>
            </w:tcMar>
            <w:vAlign w:val="center"/>
          </w:tcPr>
          <w:p w14:paraId="3940F931" w14:textId="08E3AAC3" w:rsidR="005830DE"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9"/>
                <w14:textFill>
                  <w14:solidFill>
                    <w14:srgbClr w14:val="000000">
                      <w14:alpha w14:val="100000"/>
                    </w14:srgbClr>
                  </w14:solidFill>
                </w14:textFill>
              </w:rPr>
              <w:t>|||</w:t>
            </w:r>
            <w:r w:rsidR="002212A2" w:rsidRPr="002212A2">
              <w:rPr>
                <w:color w:val="000000"/>
                <w:spacing w:val="1"/>
                <w:shd w:val="solid" w:color="000000" w:fill="000000"/>
                <w:fitText w:val="330" w:id="-694423799"/>
                <w14:textFill>
                  <w14:solidFill>
                    <w14:srgbClr w14:val="000000">
                      <w14:alpha w14:val="100000"/>
                    </w14:srgbClr>
                  </w14:solidFill>
                </w14:textFill>
              </w:rPr>
              <w:t>|</w:t>
            </w:r>
            <w:r w:rsidR="008D2332">
              <w:rPr>
                <w:vertAlign w:val="superscript"/>
              </w:rPr>
              <w:t xml:space="preserve"> 1</w:t>
            </w:r>
          </w:p>
        </w:tc>
        <w:tc>
          <w:tcPr>
            <w:tcW w:w="757" w:type="pct"/>
            <w:tcBorders>
              <w:bottom w:val="single" w:sz="4" w:space="0" w:color="auto"/>
            </w:tcBorders>
            <w:tcMar>
              <w:top w:w="0" w:type="dxa"/>
              <w:bottom w:w="0" w:type="dxa"/>
            </w:tcMar>
            <w:vAlign w:val="center"/>
          </w:tcPr>
          <w:p w14:paraId="0CA4A90B" w14:textId="4D79E903" w:rsidR="005830DE" w:rsidRPr="0009282C" w:rsidRDefault="002212A2" w:rsidP="00020F22">
            <w:pPr>
              <w:pStyle w:val="TableText0"/>
              <w:widowControl w:val="0"/>
              <w:jc w:val="center"/>
            </w:pPr>
            <w:r w:rsidRPr="002212A2">
              <w:rPr>
                <w:color w:val="000000"/>
                <w:spacing w:val="53"/>
                <w:shd w:val="solid" w:color="000000" w:fill="000000"/>
                <w:fitText w:val="330" w:id="-694423798"/>
                <w14:textFill>
                  <w14:solidFill>
                    <w14:srgbClr w14:val="000000">
                      <w14:alpha w14:val="100000"/>
                    </w14:srgbClr>
                  </w14:solidFill>
                </w14:textFill>
              </w:rPr>
              <w:t>|||</w:t>
            </w:r>
            <w:r w:rsidRPr="002212A2">
              <w:rPr>
                <w:color w:val="000000"/>
                <w:spacing w:val="1"/>
                <w:shd w:val="solid" w:color="000000" w:fill="000000"/>
                <w:fitText w:val="330" w:id="-694423798"/>
                <w14:textFill>
                  <w14:solidFill>
                    <w14:srgbClr w14:val="000000">
                      <w14:alpha w14:val="100000"/>
                    </w14:srgbClr>
                  </w14:solidFill>
                </w14:textFill>
              </w:rPr>
              <w:t>|</w:t>
            </w:r>
            <w:r w:rsidR="00B83698" w:rsidRPr="0009282C">
              <w:t>%</w:t>
            </w:r>
          </w:p>
        </w:tc>
      </w:tr>
      <w:tr w:rsidR="005830DE" w:rsidRPr="0009282C" w14:paraId="3A3AEA08" w14:textId="77777777" w:rsidTr="003C3802">
        <w:tc>
          <w:tcPr>
            <w:tcW w:w="2356" w:type="pct"/>
            <w:tcBorders>
              <w:right w:val="nil"/>
            </w:tcBorders>
            <w:tcMar>
              <w:top w:w="0" w:type="dxa"/>
              <w:bottom w:w="0" w:type="dxa"/>
            </w:tcMar>
          </w:tcPr>
          <w:p w14:paraId="2503805B" w14:textId="77777777" w:rsidR="005830DE" w:rsidRPr="0009282C" w:rsidRDefault="005830DE" w:rsidP="00020F22">
            <w:pPr>
              <w:pStyle w:val="TableText0"/>
              <w:widowControl w:val="0"/>
              <w:rPr>
                <w:b/>
                <w:bCs w:val="0"/>
              </w:rPr>
            </w:pPr>
            <w:r w:rsidRPr="0009282C">
              <w:rPr>
                <w:b/>
                <w:bCs w:val="0"/>
              </w:rPr>
              <w:t>Utility</w:t>
            </w:r>
          </w:p>
        </w:tc>
        <w:tc>
          <w:tcPr>
            <w:tcW w:w="630" w:type="pct"/>
            <w:tcBorders>
              <w:left w:val="nil"/>
              <w:right w:val="nil"/>
            </w:tcBorders>
            <w:tcMar>
              <w:top w:w="0" w:type="dxa"/>
              <w:bottom w:w="0" w:type="dxa"/>
            </w:tcMar>
          </w:tcPr>
          <w:p w14:paraId="125FEC91" w14:textId="77777777" w:rsidR="005830DE" w:rsidRPr="0009282C" w:rsidRDefault="005830DE" w:rsidP="00020F22">
            <w:pPr>
              <w:pStyle w:val="TableText0"/>
              <w:widowControl w:val="0"/>
            </w:pPr>
          </w:p>
        </w:tc>
        <w:tc>
          <w:tcPr>
            <w:tcW w:w="629" w:type="pct"/>
            <w:tcBorders>
              <w:left w:val="nil"/>
              <w:right w:val="nil"/>
            </w:tcBorders>
            <w:tcMar>
              <w:top w:w="0" w:type="dxa"/>
              <w:bottom w:w="0" w:type="dxa"/>
            </w:tcMar>
          </w:tcPr>
          <w:p w14:paraId="0503316C" w14:textId="77777777" w:rsidR="005830DE" w:rsidRPr="0009282C" w:rsidRDefault="005830DE" w:rsidP="00020F22">
            <w:pPr>
              <w:pStyle w:val="TableText0"/>
              <w:widowControl w:val="0"/>
            </w:pPr>
          </w:p>
        </w:tc>
        <w:tc>
          <w:tcPr>
            <w:tcW w:w="629" w:type="pct"/>
            <w:tcBorders>
              <w:left w:val="nil"/>
              <w:right w:val="nil"/>
            </w:tcBorders>
            <w:tcMar>
              <w:top w:w="0" w:type="dxa"/>
              <w:bottom w:w="0" w:type="dxa"/>
            </w:tcMar>
          </w:tcPr>
          <w:p w14:paraId="668BBF4B" w14:textId="77777777" w:rsidR="005830DE" w:rsidRPr="0009282C" w:rsidRDefault="005830DE" w:rsidP="00020F22">
            <w:pPr>
              <w:pStyle w:val="TableText0"/>
              <w:widowControl w:val="0"/>
            </w:pPr>
          </w:p>
        </w:tc>
        <w:tc>
          <w:tcPr>
            <w:tcW w:w="757" w:type="pct"/>
            <w:tcBorders>
              <w:left w:val="nil"/>
            </w:tcBorders>
            <w:tcMar>
              <w:top w:w="0" w:type="dxa"/>
              <w:bottom w:w="0" w:type="dxa"/>
            </w:tcMar>
          </w:tcPr>
          <w:p w14:paraId="1A368FE4" w14:textId="77777777" w:rsidR="005830DE" w:rsidRPr="0009282C" w:rsidRDefault="005830DE" w:rsidP="00020F22">
            <w:pPr>
              <w:pStyle w:val="TableText0"/>
              <w:widowControl w:val="0"/>
            </w:pPr>
          </w:p>
        </w:tc>
      </w:tr>
      <w:tr w:rsidR="005830DE" w:rsidRPr="0009282C" w14:paraId="1BFBD51C" w14:textId="77777777" w:rsidTr="003C3802">
        <w:tc>
          <w:tcPr>
            <w:tcW w:w="2356" w:type="pct"/>
            <w:tcMar>
              <w:top w:w="0" w:type="dxa"/>
              <w:bottom w:w="0" w:type="dxa"/>
            </w:tcMar>
          </w:tcPr>
          <w:p w14:paraId="01310456" w14:textId="77777777" w:rsidR="005830DE" w:rsidRPr="0009282C" w:rsidRDefault="005830DE" w:rsidP="00020F22">
            <w:pPr>
              <w:pStyle w:val="TableText0"/>
              <w:widowControl w:val="0"/>
            </w:pPr>
            <w:r w:rsidRPr="0009282C">
              <w:t>EQ-5D derived utilities</w:t>
            </w:r>
          </w:p>
        </w:tc>
        <w:tc>
          <w:tcPr>
            <w:tcW w:w="630" w:type="pct"/>
            <w:tcMar>
              <w:top w:w="0" w:type="dxa"/>
              <w:bottom w:w="0" w:type="dxa"/>
            </w:tcMar>
            <w:vAlign w:val="center"/>
          </w:tcPr>
          <w:p w14:paraId="507FF909" w14:textId="65C97683" w:rsidR="005830DE"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7"/>
                <w14:textFill>
                  <w14:solidFill>
                    <w14:srgbClr w14:val="000000">
                      <w14:alpha w14:val="100000"/>
                    </w14:srgbClr>
                  </w14:solidFill>
                </w14:textFill>
              </w:rPr>
              <w:t>|||</w:t>
            </w:r>
            <w:r w:rsidR="002212A2" w:rsidRPr="002212A2">
              <w:rPr>
                <w:color w:val="000000"/>
                <w:spacing w:val="1"/>
                <w:shd w:val="solid" w:color="000000" w:fill="000000"/>
                <w:fitText w:val="330" w:id="-694423797"/>
                <w14:textFill>
                  <w14:solidFill>
                    <w14:srgbClr w14:val="000000">
                      <w14:alpha w14:val="100000"/>
                    </w14:srgbClr>
                  </w14:solidFill>
                </w14:textFill>
              </w:rPr>
              <w:t>|</w:t>
            </w:r>
          </w:p>
        </w:tc>
        <w:tc>
          <w:tcPr>
            <w:tcW w:w="629" w:type="pct"/>
            <w:tcMar>
              <w:top w:w="0" w:type="dxa"/>
              <w:bottom w:w="0" w:type="dxa"/>
            </w:tcMar>
            <w:vAlign w:val="center"/>
          </w:tcPr>
          <w:p w14:paraId="5881A509" w14:textId="4DD0B1BB" w:rsidR="005830DE" w:rsidRPr="0009282C" w:rsidRDefault="00353787" w:rsidP="00020F22">
            <w:pPr>
              <w:pStyle w:val="TableText0"/>
              <w:widowControl w:val="0"/>
              <w:jc w:val="center"/>
            </w:pPr>
            <w:r w:rsidRPr="0009282C">
              <w:t>13.30</w:t>
            </w:r>
          </w:p>
        </w:tc>
        <w:tc>
          <w:tcPr>
            <w:tcW w:w="629" w:type="pct"/>
            <w:tcMar>
              <w:top w:w="0" w:type="dxa"/>
              <w:bottom w:w="0" w:type="dxa"/>
            </w:tcMar>
            <w:vAlign w:val="center"/>
          </w:tcPr>
          <w:p w14:paraId="00A53C9D" w14:textId="2FCE07FA" w:rsidR="005830DE"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6"/>
                <w14:textFill>
                  <w14:solidFill>
                    <w14:srgbClr w14:val="000000">
                      <w14:alpha w14:val="100000"/>
                    </w14:srgbClr>
                  </w14:solidFill>
                </w14:textFill>
              </w:rPr>
              <w:t>|||</w:t>
            </w:r>
            <w:r w:rsidR="002212A2" w:rsidRPr="002212A2">
              <w:rPr>
                <w:color w:val="000000"/>
                <w:spacing w:val="1"/>
                <w:shd w:val="solid" w:color="000000" w:fill="000000"/>
                <w:fitText w:val="330" w:id="-694423796"/>
                <w14:textFill>
                  <w14:solidFill>
                    <w14:srgbClr w14:val="000000">
                      <w14:alpha w14:val="100000"/>
                    </w14:srgbClr>
                  </w14:solidFill>
                </w14:textFill>
              </w:rPr>
              <w:t>|</w:t>
            </w:r>
            <w:r w:rsidR="003C3802">
              <w:rPr>
                <w:vertAlign w:val="superscript"/>
              </w:rPr>
              <w:t xml:space="preserve"> 2</w:t>
            </w:r>
          </w:p>
        </w:tc>
        <w:tc>
          <w:tcPr>
            <w:tcW w:w="757" w:type="pct"/>
            <w:tcMar>
              <w:top w:w="0" w:type="dxa"/>
              <w:bottom w:w="0" w:type="dxa"/>
            </w:tcMar>
            <w:vAlign w:val="center"/>
          </w:tcPr>
          <w:p w14:paraId="5E130D8D" w14:textId="2EAB7E05" w:rsidR="005830DE" w:rsidRPr="0009282C" w:rsidRDefault="00353787" w:rsidP="00020F22">
            <w:pPr>
              <w:pStyle w:val="TableText0"/>
              <w:widowControl w:val="0"/>
              <w:jc w:val="center"/>
            </w:pPr>
            <w:r w:rsidRPr="0009282C">
              <w:t>-</w:t>
            </w:r>
            <w:r w:rsidR="002212A2" w:rsidRPr="002212A2">
              <w:rPr>
                <w:color w:val="000000"/>
                <w:spacing w:val="53"/>
                <w:shd w:val="solid" w:color="000000" w:fill="000000"/>
                <w:fitText w:val="330" w:id="-694423795"/>
                <w14:textFill>
                  <w14:solidFill>
                    <w14:srgbClr w14:val="000000">
                      <w14:alpha w14:val="100000"/>
                    </w14:srgbClr>
                  </w14:solidFill>
                </w14:textFill>
              </w:rPr>
              <w:t>|||</w:t>
            </w:r>
            <w:r w:rsidR="002212A2" w:rsidRPr="002212A2">
              <w:rPr>
                <w:color w:val="000000"/>
                <w:spacing w:val="1"/>
                <w:shd w:val="solid" w:color="000000" w:fill="000000"/>
                <w:fitText w:val="330" w:id="-694423795"/>
                <w14:textFill>
                  <w14:solidFill>
                    <w14:srgbClr w14:val="000000">
                      <w14:alpha w14:val="100000"/>
                    </w14:srgbClr>
                  </w14:solidFill>
                </w14:textFill>
              </w:rPr>
              <w:t>|</w:t>
            </w:r>
            <w:r w:rsidRPr="0009282C">
              <w:t>%</w:t>
            </w:r>
          </w:p>
        </w:tc>
      </w:tr>
      <w:tr w:rsidR="008E5085" w:rsidRPr="0009282C" w:rsidDel="00EB3FF8" w14:paraId="14C31D08" w14:textId="77777777" w:rsidTr="003C3802">
        <w:tc>
          <w:tcPr>
            <w:tcW w:w="2356" w:type="pct"/>
            <w:tcMar>
              <w:top w:w="0" w:type="dxa"/>
              <w:bottom w:w="0" w:type="dxa"/>
            </w:tcMar>
          </w:tcPr>
          <w:p w14:paraId="1240A4D9" w14:textId="2FAC68E5" w:rsidR="008E5085" w:rsidRPr="0009282C" w:rsidDel="00EB3FF8" w:rsidRDefault="008E5085" w:rsidP="00020F22">
            <w:pPr>
              <w:pStyle w:val="TableText0"/>
              <w:widowControl w:val="0"/>
            </w:pPr>
            <w:r w:rsidRPr="0009282C">
              <w:t>Remove systemic oxalosis-related disutility values</w:t>
            </w:r>
          </w:p>
        </w:tc>
        <w:tc>
          <w:tcPr>
            <w:tcW w:w="630" w:type="pct"/>
            <w:tcMar>
              <w:top w:w="0" w:type="dxa"/>
              <w:bottom w:w="0" w:type="dxa"/>
            </w:tcMar>
            <w:vAlign w:val="center"/>
          </w:tcPr>
          <w:p w14:paraId="5500CB42" w14:textId="0FAFFBCC" w:rsidR="008E5085" w:rsidRPr="0009282C" w:rsidDel="00EB3FF8" w:rsidRDefault="00E00951" w:rsidP="00020F22">
            <w:pPr>
              <w:pStyle w:val="TableText0"/>
              <w:widowControl w:val="0"/>
              <w:jc w:val="center"/>
            </w:pPr>
            <w:r w:rsidRPr="0009282C">
              <w:t>$</w:t>
            </w:r>
            <w:r w:rsidR="002212A2" w:rsidRPr="002212A2">
              <w:rPr>
                <w:color w:val="000000"/>
                <w:spacing w:val="53"/>
                <w:shd w:val="solid" w:color="000000" w:fill="000000"/>
                <w:fitText w:val="330" w:id="-694423794"/>
                <w14:textFill>
                  <w14:solidFill>
                    <w14:srgbClr w14:val="000000">
                      <w14:alpha w14:val="100000"/>
                    </w14:srgbClr>
                  </w14:solidFill>
                </w14:textFill>
              </w:rPr>
              <w:t>|||</w:t>
            </w:r>
            <w:r w:rsidR="002212A2" w:rsidRPr="002212A2">
              <w:rPr>
                <w:color w:val="000000"/>
                <w:spacing w:val="1"/>
                <w:shd w:val="solid" w:color="000000" w:fill="000000"/>
                <w:fitText w:val="330" w:id="-694423794"/>
                <w14:textFill>
                  <w14:solidFill>
                    <w14:srgbClr w14:val="000000">
                      <w14:alpha w14:val="100000"/>
                    </w14:srgbClr>
                  </w14:solidFill>
                </w14:textFill>
              </w:rPr>
              <w:t>|</w:t>
            </w:r>
          </w:p>
        </w:tc>
        <w:tc>
          <w:tcPr>
            <w:tcW w:w="629" w:type="pct"/>
            <w:tcMar>
              <w:top w:w="0" w:type="dxa"/>
              <w:bottom w:w="0" w:type="dxa"/>
            </w:tcMar>
            <w:vAlign w:val="center"/>
          </w:tcPr>
          <w:p w14:paraId="1A82862F" w14:textId="0B834D66" w:rsidR="008E5085" w:rsidRPr="0009282C" w:rsidDel="00EB3FF8" w:rsidRDefault="008E5085" w:rsidP="00020F22">
            <w:pPr>
              <w:pStyle w:val="TableText0"/>
              <w:widowControl w:val="0"/>
              <w:jc w:val="center"/>
            </w:pPr>
            <w:r w:rsidRPr="0009282C">
              <w:t>7.53</w:t>
            </w:r>
          </w:p>
        </w:tc>
        <w:tc>
          <w:tcPr>
            <w:tcW w:w="629" w:type="pct"/>
            <w:tcMar>
              <w:top w:w="0" w:type="dxa"/>
              <w:bottom w:w="0" w:type="dxa"/>
            </w:tcMar>
            <w:vAlign w:val="center"/>
          </w:tcPr>
          <w:p w14:paraId="1C627F6F" w14:textId="566CB39C" w:rsidR="008E5085" w:rsidRPr="0009282C" w:rsidDel="00EB3FF8" w:rsidRDefault="00B76E26" w:rsidP="00020F22">
            <w:pPr>
              <w:pStyle w:val="TableText0"/>
              <w:widowControl w:val="0"/>
              <w:jc w:val="center"/>
            </w:pPr>
            <w:r w:rsidRPr="0009282C">
              <w:t>$</w:t>
            </w:r>
            <w:r w:rsidR="002212A2" w:rsidRPr="002212A2">
              <w:rPr>
                <w:color w:val="000000"/>
                <w:spacing w:val="53"/>
                <w:shd w:val="solid" w:color="000000" w:fill="000000"/>
                <w:fitText w:val="330" w:id="-694423793"/>
                <w14:textFill>
                  <w14:solidFill>
                    <w14:srgbClr w14:val="000000">
                      <w14:alpha w14:val="100000"/>
                    </w14:srgbClr>
                  </w14:solidFill>
                </w14:textFill>
              </w:rPr>
              <w:t>|||</w:t>
            </w:r>
            <w:r w:rsidR="002212A2" w:rsidRPr="002212A2">
              <w:rPr>
                <w:color w:val="000000"/>
                <w:spacing w:val="1"/>
                <w:shd w:val="solid" w:color="000000" w:fill="000000"/>
                <w:fitText w:val="330" w:id="-694423793"/>
                <w14:textFill>
                  <w14:solidFill>
                    <w14:srgbClr w14:val="000000">
                      <w14:alpha w14:val="100000"/>
                    </w14:srgbClr>
                  </w14:solidFill>
                </w14:textFill>
              </w:rPr>
              <w:t>|</w:t>
            </w:r>
            <w:r w:rsidR="003C3802">
              <w:rPr>
                <w:vertAlign w:val="superscript"/>
              </w:rPr>
              <w:t xml:space="preserve"> 3</w:t>
            </w:r>
          </w:p>
        </w:tc>
        <w:tc>
          <w:tcPr>
            <w:tcW w:w="757" w:type="pct"/>
            <w:tcMar>
              <w:top w:w="0" w:type="dxa"/>
              <w:bottom w:w="0" w:type="dxa"/>
            </w:tcMar>
            <w:vAlign w:val="center"/>
          </w:tcPr>
          <w:p w14:paraId="09BF8E4F" w14:textId="4D3A39B3" w:rsidR="008E5085" w:rsidRPr="0009282C" w:rsidDel="00EB3FF8" w:rsidRDefault="002212A2" w:rsidP="00020F22">
            <w:pPr>
              <w:pStyle w:val="TableText0"/>
              <w:widowControl w:val="0"/>
              <w:jc w:val="center"/>
            </w:pPr>
            <w:r w:rsidRPr="002212A2">
              <w:rPr>
                <w:color w:val="000000"/>
                <w:spacing w:val="53"/>
                <w:shd w:val="solid" w:color="000000" w:fill="000000"/>
                <w:fitText w:val="330" w:id="-694423792"/>
                <w14:textFill>
                  <w14:solidFill>
                    <w14:srgbClr w14:val="000000">
                      <w14:alpha w14:val="100000"/>
                    </w14:srgbClr>
                  </w14:solidFill>
                </w14:textFill>
              </w:rPr>
              <w:t>|||</w:t>
            </w:r>
            <w:r w:rsidRPr="002212A2">
              <w:rPr>
                <w:color w:val="000000"/>
                <w:spacing w:val="1"/>
                <w:shd w:val="solid" w:color="000000" w:fill="000000"/>
                <w:fitText w:val="330" w:id="-694423792"/>
                <w14:textFill>
                  <w14:solidFill>
                    <w14:srgbClr w14:val="000000">
                      <w14:alpha w14:val="100000"/>
                    </w14:srgbClr>
                  </w14:solidFill>
                </w14:textFill>
              </w:rPr>
              <w:t>|</w:t>
            </w:r>
            <w:r w:rsidR="008E5085" w:rsidRPr="0009282C">
              <w:t>%</w:t>
            </w:r>
          </w:p>
        </w:tc>
      </w:tr>
      <w:tr w:rsidR="00870B8A" w:rsidRPr="0009282C" w:rsidDel="00EB3FF8" w14:paraId="536B360D" w14:textId="77777777" w:rsidTr="003C3802">
        <w:tc>
          <w:tcPr>
            <w:tcW w:w="2356" w:type="pct"/>
            <w:tcMar>
              <w:top w:w="0" w:type="dxa"/>
              <w:bottom w:w="0" w:type="dxa"/>
            </w:tcMar>
          </w:tcPr>
          <w:p w14:paraId="6794B62A" w14:textId="0CAE4F63" w:rsidR="00870B8A" w:rsidRPr="0009282C" w:rsidRDefault="00870B8A" w:rsidP="00020F22">
            <w:pPr>
              <w:pStyle w:val="TableText0"/>
              <w:widowControl w:val="0"/>
            </w:pPr>
            <w:r w:rsidRPr="0009282C">
              <w:t>Remove all disutility values</w:t>
            </w:r>
          </w:p>
        </w:tc>
        <w:tc>
          <w:tcPr>
            <w:tcW w:w="630" w:type="pct"/>
            <w:tcMar>
              <w:top w:w="0" w:type="dxa"/>
              <w:bottom w:w="0" w:type="dxa"/>
            </w:tcMar>
            <w:vAlign w:val="center"/>
          </w:tcPr>
          <w:p w14:paraId="4F1D5049" w14:textId="4673EB86" w:rsidR="00870B8A"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8"/>
                <w14:textFill>
                  <w14:solidFill>
                    <w14:srgbClr w14:val="000000">
                      <w14:alpha w14:val="100000"/>
                    </w14:srgbClr>
                  </w14:solidFill>
                </w14:textFill>
              </w:rPr>
              <w:t>|||</w:t>
            </w:r>
            <w:r w:rsidR="002212A2" w:rsidRPr="002212A2">
              <w:rPr>
                <w:color w:val="000000"/>
                <w:spacing w:val="1"/>
                <w:shd w:val="solid" w:color="000000" w:fill="000000"/>
                <w:fitText w:val="330" w:id="-694423808"/>
                <w14:textFill>
                  <w14:solidFill>
                    <w14:srgbClr w14:val="000000">
                      <w14:alpha w14:val="100000"/>
                    </w14:srgbClr>
                  </w14:solidFill>
                </w14:textFill>
              </w:rPr>
              <w:t>|</w:t>
            </w:r>
          </w:p>
        </w:tc>
        <w:tc>
          <w:tcPr>
            <w:tcW w:w="629" w:type="pct"/>
            <w:tcMar>
              <w:top w:w="0" w:type="dxa"/>
              <w:bottom w:w="0" w:type="dxa"/>
            </w:tcMar>
            <w:vAlign w:val="center"/>
          </w:tcPr>
          <w:p w14:paraId="329DD0FE" w14:textId="181E7EEF" w:rsidR="00870B8A" w:rsidRPr="0009282C" w:rsidRDefault="00870B8A" w:rsidP="00020F22">
            <w:pPr>
              <w:pStyle w:val="TableText0"/>
              <w:widowControl w:val="0"/>
              <w:jc w:val="center"/>
            </w:pPr>
            <w:r w:rsidRPr="0009282C">
              <w:t>7.14</w:t>
            </w:r>
          </w:p>
        </w:tc>
        <w:tc>
          <w:tcPr>
            <w:tcW w:w="629" w:type="pct"/>
            <w:tcMar>
              <w:top w:w="0" w:type="dxa"/>
              <w:bottom w:w="0" w:type="dxa"/>
            </w:tcMar>
            <w:vAlign w:val="center"/>
          </w:tcPr>
          <w:p w14:paraId="6B677D42" w14:textId="76AC7989" w:rsidR="00870B8A"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7"/>
                <w14:textFill>
                  <w14:solidFill>
                    <w14:srgbClr w14:val="000000">
                      <w14:alpha w14:val="100000"/>
                    </w14:srgbClr>
                  </w14:solidFill>
                </w14:textFill>
              </w:rPr>
              <w:t>|||</w:t>
            </w:r>
            <w:r w:rsidR="002212A2" w:rsidRPr="002212A2">
              <w:rPr>
                <w:color w:val="000000"/>
                <w:spacing w:val="1"/>
                <w:shd w:val="solid" w:color="000000" w:fill="000000"/>
                <w:fitText w:val="330" w:id="-694423807"/>
                <w14:textFill>
                  <w14:solidFill>
                    <w14:srgbClr w14:val="000000">
                      <w14:alpha w14:val="100000"/>
                    </w14:srgbClr>
                  </w14:solidFill>
                </w14:textFill>
              </w:rPr>
              <w:t>|</w:t>
            </w:r>
            <w:r w:rsidR="003C3802">
              <w:rPr>
                <w:vertAlign w:val="superscript"/>
              </w:rPr>
              <w:t xml:space="preserve"> 3</w:t>
            </w:r>
          </w:p>
        </w:tc>
        <w:tc>
          <w:tcPr>
            <w:tcW w:w="757" w:type="pct"/>
            <w:tcMar>
              <w:top w:w="0" w:type="dxa"/>
              <w:bottom w:w="0" w:type="dxa"/>
            </w:tcMar>
            <w:vAlign w:val="center"/>
          </w:tcPr>
          <w:p w14:paraId="7C3D36C6" w14:textId="6AACA17F" w:rsidR="00870B8A" w:rsidRPr="0009282C" w:rsidRDefault="002212A2" w:rsidP="00020F22">
            <w:pPr>
              <w:pStyle w:val="TableText0"/>
              <w:widowControl w:val="0"/>
              <w:jc w:val="center"/>
            </w:pPr>
            <w:r w:rsidRPr="002212A2">
              <w:rPr>
                <w:color w:val="000000"/>
                <w:spacing w:val="53"/>
                <w:shd w:val="solid" w:color="000000" w:fill="000000"/>
                <w:fitText w:val="330" w:id="-694423806"/>
                <w14:textFill>
                  <w14:solidFill>
                    <w14:srgbClr w14:val="000000">
                      <w14:alpha w14:val="100000"/>
                    </w14:srgbClr>
                  </w14:solidFill>
                </w14:textFill>
              </w:rPr>
              <w:t>|||</w:t>
            </w:r>
            <w:r w:rsidRPr="002212A2">
              <w:rPr>
                <w:color w:val="000000"/>
                <w:spacing w:val="1"/>
                <w:shd w:val="solid" w:color="000000" w:fill="000000"/>
                <w:fitText w:val="330" w:id="-694423806"/>
                <w14:textFill>
                  <w14:solidFill>
                    <w14:srgbClr w14:val="000000">
                      <w14:alpha w14:val="100000"/>
                    </w14:srgbClr>
                  </w14:solidFill>
                </w14:textFill>
              </w:rPr>
              <w:t>|</w:t>
            </w:r>
            <w:r w:rsidR="00870B8A" w:rsidRPr="0009282C">
              <w:t>%</w:t>
            </w:r>
          </w:p>
        </w:tc>
      </w:tr>
      <w:tr w:rsidR="00255B2B" w:rsidRPr="0009282C" w:rsidDel="00EB3FF8" w14:paraId="164B74D4" w14:textId="77777777" w:rsidTr="003C3802">
        <w:tc>
          <w:tcPr>
            <w:tcW w:w="2356" w:type="pct"/>
            <w:tcBorders>
              <w:bottom w:val="single" w:sz="4" w:space="0" w:color="auto"/>
            </w:tcBorders>
            <w:tcMar>
              <w:top w:w="0" w:type="dxa"/>
              <w:bottom w:w="0" w:type="dxa"/>
            </w:tcMar>
          </w:tcPr>
          <w:p w14:paraId="1F1F8B40" w14:textId="6ED95836" w:rsidR="00255B2B" w:rsidRPr="0009282C" w:rsidRDefault="00255B2B" w:rsidP="00020F22">
            <w:pPr>
              <w:pStyle w:val="TableText0"/>
              <w:widowControl w:val="0"/>
            </w:pPr>
            <w:r w:rsidRPr="0009282C">
              <w:t xml:space="preserve">Set CKD4-5 </w:t>
            </w:r>
            <w:r w:rsidR="001C3D04" w:rsidRPr="0009282C">
              <w:t>health state utility value</w:t>
            </w:r>
            <w:r w:rsidRPr="0009282C">
              <w:t xml:space="preserve">s equivalent for </w:t>
            </w:r>
            <w:proofErr w:type="spellStart"/>
            <w:r w:rsidRPr="0009282C">
              <w:t>lumasiran</w:t>
            </w:r>
            <w:proofErr w:type="spellEnd"/>
            <w:r w:rsidRPr="0009282C">
              <w:t xml:space="preserve"> and BSC (by setting to high-intensity </w:t>
            </w:r>
            <w:proofErr w:type="spellStart"/>
            <w:r w:rsidRPr="0009282C">
              <w:t>Oxu</w:t>
            </w:r>
            <w:proofErr w:type="spellEnd"/>
            <w:r w:rsidRPr="0009282C">
              <w:t xml:space="preserve"> </w:t>
            </w:r>
            <w:r w:rsidR="001C3D04" w:rsidRPr="0009282C">
              <w:t>health state utility value</w:t>
            </w:r>
            <w:r w:rsidRPr="0009282C">
              <w:t>s)</w:t>
            </w:r>
            <w:r w:rsidR="002E4031" w:rsidRPr="0009282C">
              <w:t xml:space="preserve"> </w:t>
            </w:r>
          </w:p>
        </w:tc>
        <w:tc>
          <w:tcPr>
            <w:tcW w:w="630" w:type="pct"/>
            <w:tcBorders>
              <w:bottom w:val="single" w:sz="4" w:space="0" w:color="auto"/>
            </w:tcBorders>
            <w:tcMar>
              <w:top w:w="0" w:type="dxa"/>
              <w:bottom w:w="0" w:type="dxa"/>
            </w:tcMar>
            <w:vAlign w:val="center"/>
          </w:tcPr>
          <w:p w14:paraId="182DD904" w14:textId="5263BB8E" w:rsidR="00255B2B"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5"/>
                <w14:textFill>
                  <w14:solidFill>
                    <w14:srgbClr w14:val="000000">
                      <w14:alpha w14:val="100000"/>
                    </w14:srgbClr>
                  </w14:solidFill>
                </w14:textFill>
              </w:rPr>
              <w:t>|||</w:t>
            </w:r>
            <w:r w:rsidR="002212A2" w:rsidRPr="002212A2">
              <w:rPr>
                <w:color w:val="000000"/>
                <w:spacing w:val="1"/>
                <w:shd w:val="solid" w:color="000000" w:fill="000000"/>
                <w:fitText w:val="330" w:id="-694423805"/>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31EB1BDC" w14:textId="5E39DA9B" w:rsidR="00255B2B" w:rsidRPr="0009282C" w:rsidRDefault="00522518" w:rsidP="00020F22">
            <w:pPr>
              <w:pStyle w:val="TableText0"/>
              <w:widowControl w:val="0"/>
              <w:jc w:val="center"/>
            </w:pPr>
            <w:r w:rsidRPr="0009282C">
              <w:t>5.89</w:t>
            </w:r>
          </w:p>
        </w:tc>
        <w:tc>
          <w:tcPr>
            <w:tcW w:w="629" w:type="pct"/>
            <w:tcBorders>
              <w:bottom w:val="single" w:sz="4" w:space="0" w:color="auto"/>
            </w:tcBorders>
            <w:tcMar>
              <w:top w:w="0" w:type="dxa"/>
              <w:bottom w:w="0" w:type="dxa"/>
            </w:tcMar>
            <w:vAlign w:val="center"/>
          </w:tcPr>
          <w:p w14:paraId="2398A39C" w14:textId="54B5904E" w:rsidR="00255B2B"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4"/>
                <w14:textFill>
                  <w14:solidFill>
                    <w14:srgbClr w14:val="000000">
                      <w14:alpha w14:val="100000"/>
                    </w14:srgbClr>
                  </w14:solidFill>
                </w14:textFill>
              </w:rPr>
              <w:t>|||</w:t>
            </w:r>
            <w:r w:rsidR="002212A2" w:rsidRPr="002212A2">
              <w:rPr>
                <w:color w:val="000000"/>
                <w:spacing w:val="1"/>
                <w:shd w:val="solid" w:color="000000" w:fill="000000"/>
                <w:fitText w:val="330" w:id="-694423804"/>
                <w14:textFill>
                  <w14:solidFill>
                    <w14:srgbClr w14:val="000000">
                      <w14:alpha w14:val="100000"/>
                    </w14:srgbClr>
                  </w14:solidFill>
                </w14:textFill>
              </w:rPr>
              <w:t>|</w:t>
            </w:r>
            <w:r w:rsidR="003C3802">
              <w:rPr>
                <w:vertAlign w:val="superscript"/>
              </w:rPr>
              <w:t xml:space="preserve"> 4</w:t>
            </w:r>
          </w:p>
        </w:tc>
        <w:tc>
          <w:tcPr>
            <w:tcW w:w="757" w:type="pct"/>
            <w:tcBorders>
              <w:bottom w:val="single" w:sz="4" w:space="0" w:color="auto"/>
            </w:tcBorders>
            <w:tcMar>
              <w:top w:w="0" w:type="dxa"/>
              <w:bottom w:w="0" w:type="dxa"/>
            </w:tcMar>
            <w:vAlign w:val="center"/>
          </w:tcPr>
          <w:p w14:paraId="31C96599" w14:textId="2593A20B" w:rsidR="00255B2B" w:rsidRPr="0009282C" w:rsidRDefault="002212A2" w:rsidP="00020F22">
            <w:pPr>
              <w:pStyle w:val="TableText0"/>
              <w:widowControl w:val="0"/>
              <w:jc w:val="center"/>
            </w:pPr>
            <w:r w:rsidRPr="002212A2">
              <w:rPr>
                <w:color w:val="000000"/>
                <w:spacing w:val="53"/>
                <w:shd w:val="solid" w:color="000000" w:fill="000000"/>
                <w:fitText w:val="330" w:id="-694423803"/>
                <w14:textFill>
                  <w14:solidFill>
                    <w14:srgbClr w14:val="000000">
                      <w14:alpha w14:val="100000"/>
                    </w14:srgbClr>
                  </w14:solidFill>
                </w14:textFill>
              </w:rPr>
              <w:t>|||</w:t>
            </w:r>
            <w:r w:rsidRPr="002212A2">
              <w:rPr>
                <w:color w:val="000000"/>
                <w:spacing w:val="1"/>
                <w:shd w:val="solid" w:color="000000" w:fill="000000"/>
                <w:fitText w:val="330" w:id="-694423803"/>
                <w14:textFill>
                  <w14:solidFill>
                    <w14:srgbClr w14:val="000000">
                      <w14:alpha w14:val="100000"/>
                    </w14:srgbClr>
                  </w14:solidFill>
                </w14:textFill>
              </w:rPr>
              <w:t>|</w:t>
            </w:r>
            <w:r w:rsidR="00522518" w:rsidRPr="0009282C">
              <w:t>%</w:t>
            </w:r>
          </w:p>
        </w:tc>
      </w:tr>
      <w:tr w:rsidR="0049698A" w:rsidRPr="0009282C" w:rsidDel="00EB3FF8" w14:paraId="00E277AB" w14:textId="77777777" w:rsidTr="003C3802">
        <w:tc>
          <w:tcPr>
            <w:tcW w:w="2356" w:type="pct"/>
            <w:tcBorders>
              <w:bottom w:val="single" w:sz="4" w:space="0" w:color="auto"/>
            </w:tcBorders>
            <w:tcMar>
              <w:top w:w="0" w:type="dxa"/>
              <w:bottom w:w="0" w:type="dxa"/>
            </w:tcMar>
          </w:tcPr>
          <w:p w14:paraId="4299F20B" w14:textId="5D66F80B" w:rsidR="0049698A" w:rsidRPr="0009282C" w:rsidRDefault="0049698A" w:rsidP="00020F22">
            <w:pPr>
              <w:pStyle w:val="TableText0"/>
              <w:widowControl w:val="0"/>
            </w:pPr>
            <w:r w:rsidRPr="0009282C">
              <w:t xml:space="preserve">Set CKD4-5 </w:t>
            </w:r>
            <w:r w:rsidR="001C3D04" w:rsidRPr="0009282C">
              <w:t>health state utility value</w:t>
            </w:r>
            <w:r w:rsidRPr="0009282C">
              <w:t xml:space="preserve">s equivalent for both </w:t>
            </w:r>
            <w:proofErr w:type="spellStart"/>
            <w:r w:rsidRPr="0009282C">
              <w:t>lumasiran</w:t>
            </w:r>
            <w:proofErr w:type="spellEnd"/>
            <w:r w:rsidRPr="0009282C">
              <w:t xml:space="preserve"> and BSC (by setting to high-intensity </w:t>
            </w:r>
            <w:proofErr w:type="spellStart"/>
            <w:r w:rsidRPr="0009282C">
              <w:t>Oxu</w:t>
            </w:r>
            <w:proofErr w:type="spellEnd"/>
            <w:r w:rsidRPr="0009282C">
              <w:t xml:space="preserve"> </w:t>
            </w:r>
            <w:r w:rsidR="001C3D04" w:rsidRPr="0009282C">
              <w:t>health state utility value</w:t>
            </w:r>
            <w:r w:rsidRPr="0009282C">
              <w:t>s) and set SO disutility decrements to zero</w:t>
            </w:r>
            <w:r w:rsidR="006B680D" w:rsidRPr="0009282C">
              <w:t xml:space="preserve"> </w:t>
            </w:r>
          </w:p>
        </w:tc>
        <w:tc>
          <w:tcPr>
            <w:tcW w:w="630" w:type="pct"/>
            <w:tcBorders>
              <w:bottom w:val="single" w:sz="4" w:space="0" w:color="auto"/>
            </w:tcBorders>
            <w:tcMar>
              <w:top w:w="0" w:type="dxa"/>
              <w:bottom w:w="0" w:type="dxa"/>
            </w:tcMar>
            <w:vAlign w:val="center"/>
          </w:tcPr>
          <w:p w14:paraId="26E77646" w14:textId="0F4A829F" w:rsidR="0049698A"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2"/>
                <w14:textFill>
                  <w14:solidFill>
                    <w14:srgbClr w14:val="000000">
                      <w14:alpha w14:val="100000"/>
                    </w14:srgbClr>
                  </w14:solidFill>
                </w14:textFill>
              </w:rPr>
              <w:t>|||</w:t>
            </w:r>
            <w:r w:rsidR="002212A2" w:rsidRPr="002212A2">
              <w:rPr>
                <w:color w:val="000000"/>
                <w:spacing w:val="1"/>
                <w:shd w:val="solid" w:color="000000" w:fill="000000"/>
                <w:fitText w:val="330" w:id="-694423802"/>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18B132F3" w14:textId="2592B929" w:rsidR="0049698A" w:rsidRPr="0009282C" w:rsidRDefault="0049698A" w:rsidP="00020F22">
            <w:pPr>
              <w:pStyle w:val="TableText0"/>
              <w:widowControl w:val="0"/>
              <w:jc w:val="center"/>
            </w:pPr>
            <w:r w:rsidRPr="0009282C">
              <w:t>4.95</w:t>
            </w:r>
          </w:p>
        </w:tc>
        <w:tc>
          <w:tcPr>
            <w:tcW w:w="629" w:type="pct"/>
            <w:tcBorders>
              <w:bottom w:val="single" w:sz="4" w:space="0" w:color="auto"/>
            </w:tcBorders>
            <w:tcMar>
              <w:top w:w="0" w:type="dxa"/>
              <w:bottom w:w="0" w:type="dxa"/>
            </w:tcMar>
            <w:vAlign w:val="center"/>
          </w:tcPr>
          <w:p w14:paraId="60FC4DBF" w14:textId="78DFAE52" w:rsidR="0049698A"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1"/>
                <w14:textFill>
                  <w14:solidFill>
                    <w14:srgbClr w14:val="000000">
                      <w14:alpha w14:val="100000"/>
                    </w14:srgbClr>
                  </w14:solidFill>
                </w14:textFill>
              </w:rPr>
              <w:t>|||</w:t>
            </w:r>
            <w:r w:rsidR="002212A2" w:rsidRPr="002212A2">
              <w:rPr>
                <w:color w:val="000000"/>
                <w:spacing w:val="1"/>
                <w:shd w:val="solid" w:color="000000" w:fill="000000"/>
                <w:fitText w:val="330" w:id="-694423801"/>
                <w14:textFill>
                  <w14:solidFill>
                    <w14:srgbClr w14:val="000000">
                      <w14:alpha w14:val="100000"/>
                    </w14:srgbClr>
                  </w14:solidFill>
                </w14:textFill>
              </w:rPr>
              <w:t>|</w:t>
            </w:r>
            <w:r w:rsidR="003C3802">
              <w:rPr>
                <w:vertAlign w:val="superscript"/>
              </w:rPr>
              <w:t xml:space="preserve"> 5</w:t>
            </w:r>
          </w:p>
        </w:tc>
        <w:tc>
          <w:tcPr>
            <w:tcW w:w="757" w:type="pct"/>
            <w:tcBorders>
              <w:bottom w:val="single" w:sz="4" w:space="0" w:color="auto"/>
            </w:tcBorders>
            <w:tcMar>
              <w:top w:w="0" w:type="dxa"/>
              <w:bottom w:w="0" w:type="dxa"/>
            </w:tcMar>
            <w:vAlign w:val="center"/>
          </w:tcPr>
          <w:p w14:paraId="4A3F7E70" w14:textId="33612D8E" w:rsidR="0049698A" w:rsidRPr="0009282C" w:rsidRDefault="002212A2" w:rsidP="00020F22">
            <w:pPr>
              <w:pStyle w:val="TableText0"/>
              <w:widowControl w:val="0"/>
              <w:jc w:val="center"/>
            </w:pPr>
            <w:r w:rsidRPr="002212A2">
              <w:rPr>
                <w:color w:val="000000"/>
                <w:spacing w:val="53"/>
                <w:shd w:val="solid" w:color="000000" w:fill="000000"/>
                <w:fitText w:val="330" w:id="-694423800"/>
                <w14:textFill>
                  <w14:solidFill>
                    <w14:srgbClr w14:val="000000">
                      <w14:alpha w14:val="100000"/>
                    </w14:srgbClr>
                  </w14:solidFill>
                </w14:textFill>
              </w:rPr>
              <w:t>|||</w:t>
            </w:r>
            <w:r w:rsidRPr="002212A2">
              <w:rPr>
                <w:color w:val="000000"/>
                <w:spacing w:val="1"/>
                <w:shd w:val="solid" w:color="000000" w:fill="000000"/>
                <w:fitText w:val="330" w:id="-694423800"/>
                <w14:textFill>
                  <w14:solidFill>
                    <w14:srgbClr w14:val="000000">
                      <w14:alpha w14:val="100000"/>
                    </w14:srgbClr>
                  </w14:solidFill>
                </w14:textFill>
              </w:rPr>
              <w:t>|</w:t>
            </w:r>
            <w:r w:rsidR="0049698A" w:rsidRPr="0009282C">
              <w:t>%</w:t>
            </w:r>
          </w:p>
        </w:tc>
      </w:tr>
      <w:tr w:rsidR="00522518" w:rsidRPr="0009282C" w:rsidDel="00EB3FF8" w14:paraId="02B0ED96" w14:textId="77777777" w:rsidTr="003C3802">
        <w:tc>
          <w:tcPr>
            <w:tcW w:w="2356" w:type="pct"/>
            <w:tcBorders>
              <w:right w:val="nil"/>
            </w:tcBorders>
            <w:tcMar>
              <w:top w:w="0" w:type="dxa"/>
              <w:bottom w:w="0" w:type="dxa"/>
            </w:tcMar>
          </w:tcPr>
          <w:p w14:paraId="7390EB71" w14:textId="185CCF6C" w:rsidR="00522518" w:rsidRPr="0009282C" w:rsidRDefault="00522518" w:rsidP="00020F22">
            <w:pPr>
              <w:pStyle w:val="TableText0"/>
              <w:widowControl w:val="0"/>
              <w:rPr>
                <w:b/>
                <w:bCs w:val="0"/>
              </w:rPr>
            </w:pPr>
            <w:r w:rsidRPr="0009282C">
              <w:rPr>
                <w:b/>
                <w:bCs w:val="0"/>
              </w:rPr>
              <w:t>Inclusion of renal stone events</w:t>
            </w:r>
          </w:p>
        </w:tc>
        <w:tc>
          <w:tcPr>
            <w:tcW w:w="630" w:type="pct"/>
            <w:tcBorders>
              <w:left w:val="nil"/>
              <w:right w:val="nil"/>
            </w:tcBorders>
            <w:tcMar>
              <w:top w:w="0" w:type="dxa"/>
              <w:bottom w:w="0" w:type="dxa"/>
            </w:tcMar>
          </w:tcPr>
          <w:p w14:paraId="19A536E1" w14:textId="77777777" w:rsidR="00522518" w:rsidRPr="0009282C" w:rsidRDefault="00522518" w:rsidP="00020F22">
            <w:pPr>
              <w:pStyle w:val="TableText0"/>
              <w:widowControl w:val="0"/>
            </w:pPr>
          </w:p>
        </w:tc>
        <w:tc>
          <w:tcPr>
            <w:tcW w:w="629" w:type="pct"/>
            <w:tcBorders>
              <w:left w:val="nil"/>
              <w:right w:val="nil"/>
            </w:tcBorders>
            <w:tcMar>
              <w:top w:w="0" w:type="dxa"/>
              <w:bottom w:w="0" w:type="dxa"/>
            </w:tcMar>
          </w:tcPr>
          <w:p w14:paraId="72370DB5" w14:textId="77777777" w:rsidR="00522518" w:rsidRPr="0009282C" w:rsidRDefault="00522518" w:rsidP="00020F22">
            <w:pPr>
              <w:pStyle w:val="TableText0"/>
              <w:widowControl w:val="0"/>
            </w:pPr>
          </w:p>
        </w:tc>
        <w:tc>
          <w:tcPr>
            <w:tcW w:w="629" w:type="pct"/>
            <w:tcBorders>
              <w:left w:val="nil"/>
              <w:right w:val="nil"/>
            </w:tcBorders>
            <w:tcMar>
              <w:top w:w="0" w:type="dxa"/>
              <w:bottom w:w="0" w:type="dxa"/>
            </w:tcMar>
          </w:tcPr>
          <w:p w14:paraId="4515CCE5" w14:textId="77777777" w:rsidR="00522518" w:rsidRPr="0009282C" w:rsidRDefault="00522518" w:rsidP="00020F22">
            <w:pPr>
              <w:pStyle w:val="TableText0"/>
              <w:widowControl w:val="0"/>
            </w:pPr>
          </w:p>
        </w:tc>
        <w:tc>
          <w:tcPr>
            <w:tcW w:w="757" w:type="pct"/>
            <w:tcBorders>
              <w:left w:val="nil"/>
            </w:tcBorders>
            <w:tcMar>
              <w:top w:w="0" w:type="dxa"/>
              <w:bottom w:w="0" w:type="dxa"/>
            </w:tcMar>
          </w:tcPr>
          <w:p w14:paraId="706235A5" w14:textId="77777777" w:rsidR="00522518" w:rsidRPr="0009282C" w:rsidRDefault="00522518" w:rsidP="00020F22">
            <w:pPr>
              <w:pStyle w:val="TableText0"/>
              <w:widowControl w:val="0"/>
            </w:pPr>
          </w:p>
        </w:tc>
      </w:tr>
      <w:tr w:rsidR="00522518" w:rsidRPr="0009282C" w:rsidDel="00EB3FF8" w14:paraId="51CD4052" w14:textId="77777777" w:rsidTr="003C3802">
        <w:tc>
          <w:tcPr>
            <w:tcW w:w="2356" w:type="pct"/>
            <w:tcBorders>
              <w:bottom w:val="single" w:sz="4" w:space="0" w:color="auto"/>
            </w:tcBorders>
            <w:tcMar>
              <w:top w:w="0" w:type="dxa"/>
              <w:bottom w:w="0" w:type="dxa"/>
            </w:tcMar>
          </w:tcPr>
          <w:p w14:paraId="0612635F" w14:textId="73940810" w:rsidR="00522518" w:rsidRPr="0009282C" w:rsidRDefault="00522518" w:rsidP="00020F22">
            <w:pPr>
              <w:pStyle w:val="TableText0"/>
              <w:widowControl w:val="0"/>
            </w:pPr>
            <w:r w:rsidRPr="0009282C">
              <w:t>Remove renal stone events (by setting cost and utility inputs to zero)</w:t>
            </w:r>
          </w:p>
        </w:tc>
        <w:tc>
          <w:tcPr>
            <w:tcW w:w="630" w:type="pct"/>
            <w:tcBorders>
              <w:bottom w:val="single" w:sz="4" w:space="0" w:color="auto"/>
            </w:tcBorders>
            <w:tcMar>
              <w:top w:w="0" w:type="dxa"/>
              <w:bottom w:w="0" w:type="dxa"/>
            </w:tcMar>
            <w:vAlign w:val="center"/>
          </w:tcPr>
          <w:p w14:paraId="0A7AE2F2" w14:textId="4B3037A7" w:rsidR="00522518"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9"/>
                <w14:textFill>
                  <w14:solidFill>
                    <w14:srgbClr w14:val="000000">
                      <w14:alpha w14:val="100000"/>
                    </w14:srgbClr>
                  </w14:solidFill>
                </w14:textFill>
              </w:rPr>
              <w:t>|||</w:t>
            </w:r>
            <w:r w:rsidR="002212A2" w:rsidRPr="002212A2">
              <w:rPr>
                <w:color w:val="000000"/>
                <w:spacing w:val="1"/>
                <w:shd w:val="solid" w:color="000000" w:fill="000000"/>
                <w:fitText w:val="330" w:id="-694423799"/>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27611091" w14:textId="01446FC0" w:rsidR="00522518" w:rsidRPr="0009282C" w:rsidRDefault="0032134D" w:rsidP="00020F22">
            <w:pPr>
              <w:pStyle w:val="TableText0"/>
              <w:widowControl w:val="0"/>
              <w:jc w:val="center"/>
            </w:pPr>
            <w:r w:rsidRPr="0009282C">
              <w:t>7.84</w:t>
            </w:r>
          </w:p>
        </w:tc>
        <w:tc>
          <w:tcPr>
            <w:tcW w:w="629" w:type="pct"/>
            <w:tcBorders>
              <w:bottom w:val="single" w:sz="4" w:space="0" w:color="auto"/>
            </w:tcBorders>
            <w:tcMar>
              <w:top w:w="0" w:type="dxa"/>
              <w:bottom w:w="0" w:type="dxa"/>
            </w:tcMar>
            <w:vAlign w:val="center"/>
          </w:tcPr>
          <w:p w14:paraId="51C55C6C" w14:textId="0DA609FB" w:rsidR="00522518"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8"/>
                <w14:textFill>
                  <w14:solidFill>
                    <w14:srgbClr w14:val="000000">
                      <w14:alpha w14:val="100000"/>
                    </w14:srgbClr>
                  </w14:solidFill>
                </w14:textFill>
              </w:rPr>
              <w:t>|||</w:t>
            </w:r>
            <w:r w:rsidR="002212A2" w:rsidRPr="002212A2">
              <w:rPr>
                <w:color w:val="000000"/>
                <w:spacing w:val="1"/>
                <w:shd w:val="solid" w:color="000000" w:fill="000000"/>
                <w:fitText w:val="330" w:id="-694423798"/>
                <w14:textFill>
                  <w14:solidFill>
                    <w14:srgbClr w14:val="000000">
                      <w14:alpha w14:val="100000"/>
                    </w14:srgbClr>
                  </w14:solidFill>
                </w14:textFill>
              </w:rPr>
              <w:t>|</w:t>
            </w:r>
            <w:r w:rsidR="008D2332">
              <w:rPr>
                <w:vertAlign w:val="superscript"/>
              </w:rPr>
              <w:t xml:space="preserve"> 1</w:t>
            </w:r>
          </w:p>
        </w:tc>
        <w:tc>
          <w:tcPr>
            <w:tcW w:w="757" w:type="pct"/>
            <w:tcBorders>
              <w:bottom w:val="single" w:sz="4" w:space="0" w:color="auto"/>
            </w:tcBorders>
            <w:tcMar>
              <w:top w:w="0" w:type="dxa"/>
              <w:bottom w:w="0" w:type="dxa"/>
            </w:tcMar>
            <w:vAlign w:val="center"/>
          </w:tcPr>
          <w:p w14:paraId="1B777B98" w14:textId="06877086" w:rsidR="00522518" w:rsidRPr="0009282C" w:rsidRDefault="002212A2" w:rsidP="00020F22">
            <w:pPr>
              <w:pStyle w:val="TableText0"/>
              <w:widowControl w:val="0"/>
              <w:jc w:val="center"/>
            </w:pPr>
            <w:r w:rsidRPr="002212A2">
              <w:rPr>
                <w:color w:val="000000"/>
                <w:spacing w:val="53"/>
                <w:shd w:val="solid" w:color="000000" w:fill="000000"/>
                <w:fitText w:val="330" w:id="-694423797"/>
                <w14:textFill>
                  <w14:solidFill>
                    <w14:srgbClr w14:val="000000">
                      <w14:alpha w14:val="100000"/>
                    </w14:srgbClr>
                  </w14:solidFill>
                </w14:textFill>
              </w:rPr>
              <w:t>|||</w:t>
            </w:r>
            <w:r w:rsidRPr="002212A2">
              <w:rPr>
                <w:color w:val="000000"/>
                <w:spacing w:val="1"/>
                <w:shd w:val="solid" w:color="000000" w:fill="000000"/>
                <w:fitText w:val="330" w:id="-694423797"/>
                <w14:textFill>
                  <w14:solidFill>
                    <w14:srgbClr w14:val="000000">
                      <w14:alpha w14:val="100000"/>
                    </w14:srgbClr>
                  </w14:solidFill>
                </w14:textFill>
              </w:rPr>
              <w:t>|</w:t>
            </w:r>
            <w:r w:rsidR="0032134D" w:rsidRPr="0009282C">
              <w:t>%</w:t>
            </w:r>
          </w:p>
        </w:tc>
      </w:tr>
      <w:tr w:rsidR="00522518" w:rsidRPr="0009282C" w:rsidDel="00EB3FF8" w14:paraId="37491912" w14:textId="77777777" w:rsidTr="003C3802">
        <w:tc>
          <w:tcPr>
            <w:tcW w:w="5000" w:type="pct"/>
            <w:gridSpan w:val="5"/>
            <w:tcMar>
              <w:top w:w="0" w:type="dxa"/>
              <w:bottom w:w="0" w:type="dxa"/>
            </w:tcMar>
          </w:tcPr>
          <w:p w14:paraId="040E6519" w14:textId="7A822223" w:rsidR="00522518" w:rsidRPr="0009282C" w:rsidRDefault="008E20EA" w:rsidP="00020F22">
            <w:pPr>
              <w:pStyle w:val="TableText0"/>
              <w:widowControl w:val="0"/>
            </w:pPr>
            <w:r w:rsidRPr="0009282C">
              <w:rPr>
                <w:b/>
                <w:bCs w:val="0"/>
              </w:rPr>
              <w:t>Treatment discontinuation in the CKD4-5 health states</w:t>
            </w:r>
          </w:p>
        </w:tc>
      </w:tr>
      <w:tr w:rsidR="0032134D" w:rsidRPr="0009282C" w:rsidDel="00EB3FF8" w14:paraId="2856D4E1" w14:textId="77777777" w:rsidTr="003C3802">
        <w:tc>
          <w:tcPr>
            <w:tcW w:w="2356" w:type="pct"/>
            <w:tcBorders>
              <w:bottom w:val="single" w:sz="4" w:space="0" w:color="auto"/>
            </w:tcBorders>
            <w:tcMar>
              <w:top w:w="0" w:type="dxa"/>
              <w:bottom w:w="0" w:type="dxa"/>
            </w:tcMar>
          </w:tcPr>
          <w:p w14:paraId="54FD1AE6" w14:textId="435BBDF6" w:rsidR="0032134D" w:rsidRPr="0009282C" w:rsidRDefault="008E20EA" w:rsidP="00020F22">
            <w:pPr>
              <w:pStyle w:val="TableText0"/>
              <w:widowControl w:val="0"/>
            </w:pPr>
            <w:r w:rsidRPr="0009282C">
              <w:t>Set</w:t>
            </w:r>
            <w:r w:rsidR="00D231AE" w:rsidRPr="0009282C">
              <w:t xml:space="preserve"> equal to rates in early disease stage</w:t>
            </w:r>
          </w:p>
        </w:tc>
        <w:tc>
          <w:tcPr>
            <w:tcW w:w="630" w:type="pct"/>
            <w:tcBorders>
              <w:bottom w:val="single" w:sz="4" w:space="0" w:color="auto"/>
            </w:tcBorders>
            <w:tcMar>
              <w:top w:w="0" w:type="dxa"/>
              <w:bottom w:w="0" w:type="dxa"/>
            </w:tcMar>
            <w:vAlign w:val="center"/>
          </w:tcPr>
          <w:p w14:paraId="0CFDC86B" w14:textId="751D8BE3" w:rsidR="0032134D"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6"/>
                <w14:textFill>
                  <w14:solidFill>
                    <w14:srgbClr w14:val="000000">
                      <w14:alpha w14:val="100000"/>
                    </w14:srgbClr>
                  </w14:solidFill>
                </w14:textFill>
              </w:rPr>
              <w:t>|||</w:t>
            </w:r>
            <w:r w:rsidR="002212A2" w:rsidRPr="002212A2">
              <w:rPr>
                <w:color w:val="000000"/>
                <w:spacing w:val="1"/>
                <w:shd w:val="solid" w:color="000000" w:fill="000000"/>
                <w:fitText w:val="330" w:id="-694423796"/>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7EFE62B2" w14:textId="5BDF65E3" w:rsidR="0032134D" w:rsidRPr="0009282C" w:rsidRDefault="00D231AE" w:rsidP="00020F22">
            <w:pPr>
              <w:pStyle w:val="TableText0"/>
              <w:widowControl w:val="0"/>
              <w:jc w:val="center"/>
            </w:pPr>
            <w:r w:rsidRPr="0009282C">
              <w:t>8.20</w:t>
            </w:r>
          </w:p>
        </w:tc>
        <w:tc>
          <w:tcPr>
            <w:tcW w:w="629" w:type="pct"/>
            <w:tcBorders>
              <w:bottom w:val="single" w:sz="4" w:space="0" w:color="auto"/>
            </w:tcBorders>
            <w:tcMar>
              <w:top w:w="0" w:type="dxa"/>
              <w:bottom w:w="0" w:type="dxa"/>
            </w:tcMar>
            <w:vAlign w:val="center"/>
          </w:tcPr>
          <w:p w14:paraId="001D3EDA" w14:textId="7E74BEE5" w:rsidR="0032134D"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5"/>
                <w14:textFill>
                  <w14:solidFill>
                    <w14:srgbClr w14:val="000000">
                      <w14:alpha w14:val="100000"/>
                    </w14:srgbClr>
                  </w14:solidFill>
                </w14:textFill>
              </w:rPr>
              <w:t>|||</w:t>
            </w:r>
            <w:r w:rsidR="002212A2" w:rsidRPr="002212A2">
              <w:rPr>
                <w:color w:val="000000"/>
                <w:spacing w:val="1"/>
                <w:shd w:val="solid" w:color="000000" w:fill="000000"/>
                <w:fitText w:val="330" w:id="-694423795"/>
                <w14:textFill>
                  <w14:solidFill>
                    <w14:srgbClr w14:val="000000">
                      <w14:alpha w14:val="100000"/>
                    </w14:srgbClr>
                  </w14:solidFill>
                </w14:textFill>
              </w:rPr>
              <w:t>|</w:t>
            </w:r>
            <w:r w:rsidR="008D2332">
              <w:rPr>
                <w:vertAlign w:val="superscript"/>
              </w:rPr>
              <w:t xml:space="preserve"> 1</w:t>
            </w:r>
          </w:p>
        </w:tc>
        <w:tc>
          <w:tcPr>
            <w:tcW w:w="757" w:type="pct"/>
            <w:tcBorders>
              <w:bottom w:val="single" w:sz="4" w:space="0" w:color="auto"/>
            </w:tcBorders>
            <w:tcMar>
              <w:top w:w="0" w:type="dxa"/>
              <w:bottom w:w="0" w:type="dxa"/>
            </w:tcMar>
            <w:vAlign w:val="center"/>
          </w:tcPr>
          <w:p w14:paraId="7D00F228" w14:textId="704B873E" w:rsidR="0032134D" w:rsidRPr="0009282C" w:rsidRDefault="00D231AE" w:rsidP="00020F22">
            <w:pPr>
              <w:pStyle w:val="TableText0"/>
              <w:widowControl w:val="0"/>
              <w:jc w:val="center"/>
            </w:pPr>
            <w:r w:rsidRPr="0009282C">
              <w:t>-</w:t>
            </w:r>
            <w:r w:rsidR="002212A2" w:rsidRPr="002212A2">
              <w:rPr>
                <w:color w:val="000000"/>
                <w:spacing w:val="53"/>
                <w:shd w:val="solid" w:color="000000" w:fill="000000"/>
                <w:fitText w:val="330" w:id="-694423794"/>
                <w14:textFill>
                  <w14:solidFill>
                    <w14:srgbClr w14:val="000000">
                      <w14:alpha w14:val="100000"/>
                    </w14:srgbClr>
                  </w14:solidFill>
                </w14:textFill>
              </w:rPr>
              <w:t>|||</w:t>
            </w:r>
            <w:r w:rsidR="002212A2" w:rsidRPr="002212A2">
              <w:rPr>
                <w:color w:val="000000"/>
                <w:spacing w:val="1"/>
                <w:shd w:val="solid" w:color="000000" w:fill="000000"/>
                <w:fitText w:val="330" w:id="-694423794"/>
                <w14:textFill>
                  <w14:solidFill>
                    <w14:srgbClr w14:val="000000">
                      <w14:alpha w14:val="100000"/>
                    </w14:srgbClr>
                  </w14:solidFill>
                </w14:textFill>
              </w:rPr>
              <w:t>|</w:t>
            </w:r>
            <w:r w:rsidRPr="0009282C">
              <w:t>%</w:t>
            </w:r>
          </w:p>
        </w:tc>
      </w:tr>
      <w:tr w:rsidR="008E20EA" w:rsidRPr="0009282C" w:rsidDel="00EB3FF8" w14:paraId="548DC4D8" w14:textId="77777777" w:rsidTr="003C3802">
        <w:tc>
          <w:tcPr>
            <w:tcW w:w="2356" w:type="pct"/>
            <w:tcBorders>
              <w:bottom w:val="single" w:sz="4" w:space="0" w:color="auto"/>
            </w:tcBorders>
            <w:tcMar>
              <w:top w:w="0" w:type="dxa"/>
              <w:bottom w:w="0" w:type="dxa"/>
            </w:tcMar>
          </w:tcPr>
          <w:p w14:paraId="2C3227A3" w14:textId="7C0FD61B" w:rsidR="008E20EA" w:rsidRPr="0009282C" w:rsidRDefault="008E20EA" w:rsidP="00020F22">
            <w:pPr>
              <w:pStyle w:val="TableText0"/>
              <w:widowControl w:val="0"/>
            </w:pPr>
            <w:r w:rsidRPr="0009282C">
              <w:t>Set equal to 5% discontinuation rate per year</w:t>
            </w:r>
          </w:p>
        </w:tc>
        <w:tc>
          <w:tcPr>
            <w:tcW w:w="630" w:type="pct"/>
            <w:tcBorders>
              <w:bottom w:val="single" w:sz="4" w:space="0" w:color="auto"/>
            </w:tcBorders>
            <w:tcMar>
              <w:top w:w="0" w:type="dxa"/>
              <w:bottom w:w="0" w:type="dxa"/>
            </w:tcMar>
            <w:vAlign w:val="center"/>
          </w:tcPr>
          <w:p w14:paraId="1B276F5C" w14:textId="26346298" w:rsidR="008E20EA"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3"/>
                <w14:textFill>
                  <w14:solidFill>
                    <w14:srgbClr w14:val="000000">
                      <w14:alpha w14:val="100000"/>
                    </w14:srgbClr>
                  </w14:solidFill>
                </w14:textFill>
              </w:rPr>
              <w:t>|||</w:t>
            </w:r>
            <w:r w:rsidR="002212A2" w:rsidRPr="002212A2">
              <w:rPr>
                <w:color w:val="000000"/>
                <w:spacing w:val="1"/>
                <w:shd w:val="solid" w:color="000000" w:fill="000000"/>
                <w:fitText w:val="330" w:id="-694423793"/>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52E7D96A" w14:textId="3ADA4FCC" w:rsidR="008E20EA" w:rsidRPr="0009282C" w:rsidRDefault="0073482A" w:rsidP="00020F22">
            <w:pPr>
              <w:pStyle w:val="TableText0"/>
              <w:widowControl w:val="0"/>
              <w:jc w:val="center"/>
            </w:pPr>
            <w:r w:rsidRPr="0009282C">
              <w:t>8.06</w:t>
            </w:r>
          </w:p>
        </w:tc>
        <w:tc>
          <w:tcPr>
            <w:tcW w:w="629" w:type="pct"/>
            <w:tcBorders>
              <w:bottom w:val="single" w:sz="4" w:space="0" w:color="auto"/>
            </w:tcBorders>
            <w:tcMar>
              <w:top w:w="0" w:type="dxa"/>
              <w:bottom w:w="0" w:type="dxa"/>
            </w:tcMar>
            <w:vAlign w:val="center"/>
          </w:tcPr>
          <w:p w14:paraId="238C8BCE" w14:textId="3D03FB85" w:rsidR="008E20EA"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2"/>
                <w14:textFill>
                  <w14:solidFill>
                    <w14:srgbClr w14:val="000000">
                      <w14:alpha w14:val="100000"/>
                    </w14:srgbClr>
                  </w14:solidFill>
                </w14:textFill>
              </w:rPr>
              <w:t>|||</w:t>
            </w:r>
            <w:r w:rsidR="002212A2" w:rsidRPr="002212A2">
              <w:rPr>
                <w:color w:val="000000"/>
                <w:spacing w:val="1"/>
                <w:shd w:val="solid" w:color="000000" w:fill="000000"/>
                <w:fitText w:val="330" w:id="-694423792"/>
                <w14:textFill>
                  <w14:solidFill>
                    <w14:srgbClr w14:val="000000">
                      <w14:alpha w14:val="100000"/>
                    </w14:srgbClr>
                  </w14:solidFill>
                </w14:textFill>
              </w:rPr>
              <w:t>|</w:t>
            </w:r>
            <w:r w:rsidR="003C3802">
              <w:rPr>
                <w:vertAlign w:val="superscript"/>
              </w:rPr>
              <w:t xml:space="preserve"> 6</w:t>
            </w:r>
          </w:p>
        </w:tc>
        <w:tc>
          <w:tcPr>
            <w:tcW w:w="757" w:type="pct"/>
            <w:tcBorders>
              <w:bottom w:val="single" w:sz="4" w:space="0" w:color="auto"/>
            </w:tcBorders>
            <w:tcMar>
              <w:top w:w="0" w:type="dxa"/>
              <w:bottom w:w="0" w:type="dxa"/>
            </w:tcMar>
            <w:vAlign w:val="center"/>
          </w:tcPr>
          <w:p w14:paraId="61DC1E92" w14:textId="27CD78D6" w:rsidR="008E20EA" w:rsidRPr="0009282C" w:rsidRDefault="0073482A" w:rsidP="00020F22">
            <w:pPr>
              <w:pStyle w:val="TableText0"/>
              <w:widowControl w:val="0"/>
              <w:jc w:val="center"/>
            </w:pPr>
            <w:r w:rsidRPr="0009282C">
              <w:t>-</w:t>
            </w:r>
            <w:r w:rsidR="002212A2" w:rsidRPr="002212A2">
              <w:rPr>
                <w:color w:val="000000"/>
                <w:spacing w:val="53"/>
                <w:shd w:val="solid" w:color="000000" w:fill="000000"/>
                <w:fitText w:val="330" w:id="-694423808"/>
                <w14:textFill>
                  <w14:solidFill>
                    <w14:srgbClr w14:val="000000">
                      <w14:alpha w14:val="100000"/>
                    </w14:srgbClr>
                  </w14:solidFill>
                </w14:textFill>
              </w:rPr>
              <w:t>|||</w:t>
            </w:r>
            <w:r w:rsidR="002212A2" w:rsidRPr="002212A2">
              <w:rPr>
                <w:color w:val="000000"/>
                <w:spacing w:val="1"/>
                <w:shd w:val="solid" w:color="000000" w:fill="000000"/>
                <w:fitText w:val="330" w:id="-694423808"/>
                <w14:textFill>
                  <w14:solidFill>
                    <w14:srgbClr w14:val="000000">
                      <w14:alpha w14:val="100000"/>
                    </w14:srgbClr>
                  </w14:solidFill>
                </w14:textFill>
              </w:rPr>
              <w:t>|</w:t>
            </w:r>
            <w:r w:rsidRPr="0009282C">
              <w:t>%</w:t>
            </w:r>
          </w:p>
        </w:tc>
      </w:tr>
      <w:tr w:rsidR="0032134D" w:rsidRPr="0009282C" w:rsidDel="00EB3FF8" w14:paraId="389C019B" w14:textId="77777777" w:rsidTr="003C3802">
        <w:tc>
          <w:tcPr>
            <w:tcW w:w="2356" w:type="pct"/>
            <w:tcBorders>
              <w:right w:val="nil"/>
            </w:tcBorders>
            <w:tcMar>
              <w:top w:w="0" w:type="dxa"/>
              <w:bottom w:w="0" w:type="dxa"/>
            </w:tcMar>
          </w:tcPr>
          <w:p w14:paraId="57518773" w14:textId="02D3C572" w:rsidR="0032134D" w:rsidRPr="0009282C" w:rsidRDefault="0032134D" w:rsidP="00020F22">
            <w:pPr>
              <w:pStyle w:val="TableText0"/>
              <w:widowControl w:val="0"/>
              <w:rPr>
                <w:b/>
                <w:bCs w:val="0"/>
              </w:rPr>
            </w:pPr>
            <w:r w:rsidRPr="0009282C">
              <w:rPr>
                <w:b/>
                <w:bCs w:val="0"/>
              </w:rPr>
              <w:t>Disease progression</w:t>
            </w:r>
          </w:p>
        </w:tc>
        <w:tc>
          <w:tcPr>
            <w:tcW w:w="630" w:type="pct"/>
            <w:tcBorders>
              <w:left w:val="nil"/>
              <w:right w:val="nil"/>
            </w:tcBorders>
            <w:tcMar>
              <w:top w:w="0" w:type="dxa"/>
              <w:bottom w:w="0" w:type="dxa"/>
            </w:tcMar>
            <w:vAlign w:val="center"/>
          </w:tcPr>
          <w:p w14:paraId="6DC639CA" w14:textId="77777777" w:rsidR="0032134D" w:rsidRPr="0009282C" w:rsidRDefault="0032134D" w:rsidP="00020F22">
            <w:pPr>
              <w:pStyle w:val="TableText0"/>
              <w:widowControl w:val="0"/>
              <w:jc w:val="center"/>
            </w:pPr>
          </w:p>
        </w:tc>
        <w:tc>
          <w:tcPr>
            <w:tcW w:w="629" w:type="pct"/>
            <w:tcBorders>
              <w:left w:val="nil"/>
              <w:right w:val="nil"/>
            </w:tcBorders>
            <w:tcMar>
              <w:top w:w="0" w:type="dxa"/>
              <w:bottom w:w="0" w:type="dxa"/>
            </w:tcMar>
            <w:vAlign w:val="center"/>
          </w:tcPr>
          <w:p w14:paraId="68A3F39D" w14:textId="77777777" w:rsidR="0032134D" w:rsidRPr="0009282C" w:rsidRDefault="0032134D" w:rsidP="00020F22">
            <w:pPr>
              <w:pStyle w:val="TableText0"/>
              <w:widowControl w:val="0"/>
              <w:jc w:val="center"/>
            </w:pPr>
          </w:p>
        </w:tc>
        <w:tc>
          <w:tcPr>
            <w:tcW w:w="629" w:type="pct"/>
            <w:tcBorders>
              <w:left w:val="nil"/>
              <w:right w:val="nil"/>
            </w:tcBorders>
            <w:tcMar>
              <w:top w:w="0" w:type="dxa"/>
              <w:bottom w:w="0" w:type="dxa"/>
            </w:tcMar>
            <w:vAlign w:val="center"/>
          </w:tcPr>
          <w:p w14:paraId="74C5CA57" w14:textId="77777777" w:rsidR="0032134D" w:rsidRPr="0009282C" w:rsidRDefault="0032134D" w:rsidP="00020F22">
            <w:pPr>
              <w:pStyle w:val="TableText0"/>
              <w:widowControl w:val="0"/>
              <w:jc w:val="center"/>
            </w:pPr>
          </w:p>
        </w:tc>
        <w:tc>
          <w:tcPr>
            <w:tcW w:w="757" w:type="pct"/>
            <w:tcBorders>
              <w:left w:val="nil"/>
            </w:tcBorders>
            <w:tcMar>
              <w:top w:w="0" w:type="dxa"/>
              <w:bottom w:w="0" w:type="dxa"/>
            </w:tcMar>
            <w:vAlign w:val="center"/>
          </w:tcPr>
          <w:p w14:paraId="62F0528E" w14:textId="77777777" w:rsidR="0032134D" w:rsidRPr="0009282C" w:rsidRDefault="0032134D" w:rsidP="00020F22">
            <w:pPr>
              <w:pStyle w:val="TableText0"/>
              <w:widowControl w:val="0"/>
              <w:jc w:val="center"/>
            </w:pPr>
          </w:p>
        </w:tc>
      </w:tr>
      <w:tr w:rsidR="0032134D" w:rsidRPr="0009282C" w:rsidDel="00EB3FF8" w14:paraId="01C02705" w14:textId="77777777" w:rsidTr="003C3802">
        <w:tc>
          <w:tcPr>
            <w:tcW w:w="2356" w:type="pct"/>
            <w:tcMar>
              <w:top w:w="0" w:type="dxa"/>
              <w:bottom w:w="0" w:type="dxa"/>
            </w:tcMar>
          </w:tcPr>
          <w:p w14:paraId="5DF4C39C" w14:textId="1E053BEE" w:rsidR="0032134D" w:rsidRPr="0009282C" w:rsidRDefault="00D231AE" w:rsidP="00020F22">
            <w:pPr>
              <w:pStyle w:val="TableText0"/>
              <w:widowControl w:val="0"/>
            </w:pPr>
            <w:r w:rsidRPr="0009282C">
              <w:t>Slower disease progression in BSC by using Singh et al (2022) values for CKD1-3a health states</w:t>
            </w:r>
          </w:p>
        </w:tc>
        <w:tc>
          <w:tcPr>
            <w:tcW w:w="630" w:type="pct"/>
            <w:tcMar>
              <w:top w:w="0" w:type="dxa"/>
              <w:bottom w:w="0" w:type="dxa"/>
            </w:tcMar>
            <w:vAlign w:val="center"/>
          </w:tcPr>
          <w:p w14:paraId="12011197" w14:textId="3B274434" w:rsidR="0032134D"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7"/>
                <w14:textFill>
                  <w14:solidFill>
                    <w14:srgbClr w14:val="000000">
                      <w14:alpha w14:val="100000"/>
                    </w14:srgbClr>
                  </w14:solidFill>
                </w14:textFill>
              </w:rPr>
              <w:t>|||</w:t>
            </w:r>
            <w:r w:rsidR="002212A2" w:rsidRPr="002212A2">
              <w:rPr>
                <w:color w:val="000000"/>
                <w:spacing w:val="1"/>
                <w:shd w:val="solid" w:color="000000" w:fill="000000"/>
                <w:fitText w:val="330" w:id="-694423807"/>
                <w14:textFill>
                  <w14:solidFill>
                    <w14:srgbClr w14:val="000000">
                      <w14:alpha w14:val="100000"/>
                    </w14:srgbClr>
                  </w14:solidFill>
                </w14:textFill>
              </w:rPr>
              <w:t>|</w:t>
            </w:r>
          </w:p>
        </w:tc>
        <w:tc>
          <w:tcPr>
            <w:tcW w:w="629" w:type="pct"/>
            <w:tcMar>
              <w:top w:w="0" w:type="dxa"/>
              <w:bottom w:w="0" w:type="dxa"/>
            </w:tcMar>
            <w:vAlign w:val="center"/>
          </w:tcPr>
          <w:p w14:paraId="4E0C8022" w14:textId="73CADEF8" w:rsidR="0032134D" w:rsidRPr="0009282C" w:rsidRDefault="001C6400" w:rsidP="00020F22">
            <w:pPr>
              <w:pStyle w:val="TableText0"/>
              <w:widowControl w:val="0"/>
              <w:jc w:val="center"/>
            </w:pPr>
            <w:r w:rsidRPr="0009282C">
              <w:t>7.87</w:t>
            </w:r>
          </w:p>
        </w:tc>
        <w:tc>
          <w:tcPr>
            <w:tcW w:w="629" w:type="pct"/>
            <w:tcMar>
              <w:top w:w="0" w:type="dxa"/>
              <w:bottom w:w="0" w:type="dxa"/>
            </w:tcMar>
            <w:vAlign w:val="center"/>
          </w:tcPr>
          <w:p w14:paraId="509C6D9F" w14:textId="202EC97B" w:rsidR="0032134D"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6"/>
                <w14:textFill>
                  <w14:solidFill>
                    <w14:srgbClr w14:val="000000">
                      <w14:alpha w14:val="100000"/>
                    </w14:srgbClr>
                  </w14:solidFill>
                </w14:textFill>
              </w:rPr>
              <w:t>|||</w:t>
            </w:r>
            <w:r w:rsidR="002212A2" w:rsidRPr="002212A2">
              <w:rPr>
                <w:color w:val="000000"/>
                <w:spacing w:val="1"/>
                <w:shd w:val="solid" w:color="000000" w:fill="000000"/>
                <w:fitText w:val="330" w:id="-694423806"/>
                <w14:textFill>
                  <w14:solidFill>
                    <w14:srgbClr w14:val="000000">
                      <w14:alpha w14:val="100000"/>
                    </w14:srgbClr>
                  </w14:solidFill>
                </w14:textFill>
              </w:rPr>
              <w:t>|</w:t>
            </w:r>
            <w:r w:rsidR="003C3802">
              <w:rPr>
                <w:vertAlign w:val="superscript"/>
              </w:rPr>
              <w:t xml:space="preserve"> 3</w:t>
            </w:r>
          </w:p>
        </w:tc>
        <w:tc>
          <w:tcPr>
            <w:tcW w:w="757" w:type="pct"/>
            <w:tcMar>
              <w:top w:w="0" w:type="dxa"/>
              <w:bottom w:w="0" w:type="dxa"/>
            </w:tcMar>
            <w:vAlign w:val="center"/>
          </w:tcPr>
          <w:p w14:paraId="1C263B5D" w14:textId="7F3BF4F4" w:rsidR="0032134D" w:rsidRPr="0009282C" w:rsidRDefault="002212A2" w:rsidP="00020F22">
            <w:pPr>
              <w:pStyle w:val="TableText0"/>
              <w:widowControl w:val="0"/>
              <w:jc w:val="center"/>
            </w:pPr>
            <w:r w:rsidRPr="002212A2">
              <w:rPr>
                <w:color w:val="000000"/>
                <w:spacing w:val="53"/>
                <w:shd w:val="solid" w:color="000000" w:fill="000000"/>
                <w:fitText w:val="330" w:id="-694423805"/>
                <w14:textFill>
                  <w14:solidFill>
                    <w14:srgbClr w14:val="000000">
                      <w14:alpha w14:val="100000"/>
                    </w14:srgbClr>
                  </w14:solidFill>
                </w14:textFill>
              </w:rPr>
              <w:t>|||</w:t>
            </w:r>
            <w:r w:rsidRPr="002212A2">
              <w:rPr>
                <w:color w:val="000000"/>
                <w:spacing w:val="1"/>
                <w:shd w:val="solid" w:color="000000" w:fill="000000"/>
                <w:fitText w:val="330" w:id="-694423805"/>
                <w14:textFill>
                  <w14:solidFill>
                    <w14:srgbClr w14:val="000000">
                      <w14:alpha w14:val="100000"/>
                    </w14:srgbClr>
                  </w14:solidFill>
                </w14:textFill>
              </w:rPr>
              <w:t>|</w:t>
            </w:r>
            <w:r w:rsidR="001C6400" w:rsidRPr="0009282C">
              <w:t>%</w:t>
            </w:r>
          </w:p>
        </w:tc>
      </w:tr>
      <w:tr w:rsidR="0032134D" w:rsidRPr="0009282C" w:rsidDel="00EB3FF8" w14:paraId="183010DB" w14:textId="77777777" w:rsidTr="003C3802">
        <w:tc>
          <w:tcPr>
            <w:tcW w:w="2356" w:type="pct"/>
            <w:tcMar>
              <w:top w:w="0" w:type="dxa"/>
              <w:bottom w:w="0" w:type="dxa"/>
            </w:tcMar>
          </w:tcPr>
          <w:p w14:paraId="693259D2" w14:textId="70AB2D34" w:rsidR="0032134D" w:rsidRPr="0009282C" w:rsidRDefault="001C6400" w:rsidP="00020F22">
            <w:pPr>
              <w:pStyle w:val="TableText0"/>
              <w:widowControl w:val="0"/>
            </w:pPr>
            <w:r w:rsidRPr="0009282C">
              <w:t>Remove additional background CKD progression for BSC</w:t>
            </w:r>
          </w:p>
        </w:tc>
        <w:tc>
          <w:tcPr>
            <w:tcW w:w="630" w:type="pct"/>
            <w:tcMar>
              <w:top w:w="0" w:type="dxa"/>
              <w:bottom w:w="0" w:type="dxa"/>
            </w:tcMar>
            <w:vAlign w:val="center"/>
          </w:tcPr>
          <w:p w14:paraId="4BACBBE2" w14:textId="5C772A4E" w:rsidR="0032134D"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4"/>
                <w14:textFill>
                  <w14:solidFill>
                    <w14:srgbClr w14:val="000000">
                      <w14:alpha w14:val="100000"/>
                    </w14:srgbClr>
                  </w14:solidFill>
                </w14:textFill>
              </w:rPr>
              <w:t>|||</w:t>
            </w:r>
            <w:r w:rsidR="002212A2" w:rsidRPr="002212A2">
              <w:rPr>
                <w:color w:val="000000"/>
                <w:spacing w:val="1"/>
                <w:shd w:val="solid" w:color="000000" w:fill="000000"/>
                <w:fitText w:val="330" w:id="-694423804"/>
                <w14:textFill>
                  <w14:solidFill>
                    <w14:srgbClr w14:val="000000">
                      <w14:alpha w14:val="100000"/>
                    </w14:srgbClr>
                  </w14:solidFill>
                </w14:textFill>
              </w:rPr>
              <w:t>|</w:t>
            </w:r>
          </w:p>
        </w:tc>
        <w:tc>
          <w:tcPr>
            <w:tcW w:w="629" w:type="pct"/>
            <w:tcMar>
              <w:top w:w="0" w:type="dxa"/>
              <w:bottom w:w="0" w:type="dxa"/>
            </w:tcMar>
            <w:vAlign w:val="center"/>
          </w:tcPr>
          <w:p w14:paraId="3CB0AAD6" w14:textId="7303BF0E" w:rsidR="0032134D" w:rsidRPr="0009282C" w:rsidRDefault="001C6400" w:rsidP="00020F22">
            <w:pPr>
              <w:pStyle w:val="TableText0"/>
              <w:widowControl w:val="0"/>
              <w:jc w:val="center"/>
            </w:pPr>
            <w:r w:rsidRPr="0009282C">
              <w:t>8.22</w:t>
            </w:r>
          </w:p>
        </w:tc>
        <w:tc>
          <w:tcPr>
            <w:tcW w:w="629" w:type="pct"/>
            <w:tcMar>
              <w:top w:w="0" w:type="dxa"/>
              <w:bottom w:w="0" w:type="dxa"/>
            </w:tcMar>
            <w:vAlign w:val="center"/>
          </w:tcPr>
          <w:p w14:paraId="6096B67F" w14:textId="4EDED2F5" w:rsidR="0032134D"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3"/>
                <w14:textFill>
                  <w14:solidFill>
                    <w14:srgbClr w14:val="000000">
                      <w14:alpha w14:val="100000"/>
                    </w14:srgbClr>
                  </w14:solidFill>
                </w14:textFill>
              </w:rPr>
              <w:t>|||</w:t>
            </w:r>
            <w:r w:rsidR="002212A2" w:rsidRPr="002212A2">
              <w:rPr>
                <w:color w:val="000000"/>
                <w:spacing w:val="1"/>
                <w:shd w:val="solid" w:color="000000" w:fill="000000"/>
                <w:fitText w:val="330" w:id="-694423803"/>
                <w14:textFill>
                  <w14:solidFill>
                    <w14:srgbClr w14:val="000000">
                      <w14:alpha w14:val="100000"/>
                    </w14:srgbClr>
                  </w14:solidFill>
                </w14:textFill>
              </w:rPr>
              <w:t>|</w:t>
            </w:r>
            <w:r w:rsidR="008D2332">
              <w:rPr>
                <w:vertAlign w:val="superscript"/>
              </w:rPr>
              <w:t xml:space="preserve"> 1</w:t>
            </w:r>
          </w:p>
        </w:tc>
        <w:tc>
          <w:tcPr>
            <w:tcW w:w="757" w:type="pct"/>
            <w:tcMar>
              <w:top w:w="0" w:type="dxa"/>
              <w:bottom w:w="0" w:type="dxa"/>
            </w:tcMar>
            <w:vAlign w:val="center"/>
          </w:tcPr>
          <w:p w14:paraId="10E40F6A" w14:textId="7B860C6B" w:rsidR="0032134D" w:rsidRPr="0009282C" w:rsidRDefault="002212A2" w:rsidP="00020F22">
            <w:pPr>
              <w:pStyle w:val="TableText0"/>
              <w:widowControl w:val="0"/>
              <w:jc w:val="center"/>
            </w:pPr>
            <w:r w:rsidRPr="002212A2">
              <w:rPr>
                <w:color w:val="000000"/>
                <w:spacing w:val="53"/>
                <w:shd w:val="solid" w:color="000000" w:fill="000000"/>
                <w:fitText w:val="330" w:id="-694423802"/>
                <w14:textFill>
                  <w14:solidFill>
                    <w14:srgbClr w14:val="000000">
                      <w14:alpha w14:val="100000"/>
                    </w14:srgbClr>
                  </w14:solidFill>
                </w14:textFill>
              </w:rPr>
              <w:t>|||</w:t>
            </w:r>
            <w:r w:rsidRPr="002212A2">
              <w:rPr>
                <w:color w:val="000000"/>
                <w:spacing w:val="1"/>
                <w:shd w:val="solid" w:color="000000" w:fill="000000"/>
                <w:fitText w:val="330" w:id="-694423802"/>
                <w14:textFill>
                  <w14:solidFill>
                    <w14:srgbClr w14:val="000000">
                      <w14:alpha w14:val="100000"/>
                    </w14:srgbClr>
                  </w14:solidFill>
                </w14:textFill>
              </w:rPr>
              <w:t>|</w:t>
            </w:r>
            <w:r w:rsidR="001C6400" w:rsidRPr="0009282C">
              <w:t>%</w:t>
            </w:r>
          </w:p>
        </w:tc>
      </w:tr>
      <w:tr w:rsidR="001C6400" w:rsidRPr="0009282C" w:rsidDel="00EB3FF8" w14:paraId="5AB3D406" w14:textId="77777777" w:rsidTr="003C3802">
        <w:tc>
          <w:tcPr>
            <w:tcW w:w="2356" w:type="pct"/>
            <w:tcBorders>
              <w:bottom w:val="single" w:sz="4" w:space="0" w:color="auto"/>
            </w:tcBorders>
            <w:tcMar>
              <w:top w:w="0" w:type="dxa"/>
              <w:bottom w:w="0" w:type="dxa"/>
            </w:tcMar>
          </w:tcPr>
          <w:p w14:paraId="1EF73F34" w14:textId="4F396778" w:rsidR="001C6400" w:rsidRPr="0009282C" w:rsidRDefault="001C6400" w:rsidP="00020F22">
            <w:pPr>
              <w:pStyle w:val="TableText0"/>
              <w:widowControl w:val="0"/>
            </w:pPr>
            <w:r w:rsidRPr="0009282C">
              <w:t xml:space="preserve">Use of Singh et al (2022) values and remove additional background progression </w:t>
            </w:r>
          </w:p>
        </w:tc>
        <w:tc>
          <w:tcPr>
            <w:tcW w:w="630" w:type="pct"/>
            <w:tcBorders>
              <w:bottom w:val="single" w:sz="4" w:space="0" w:color="auto"/>
            </w:tcBorders>
            <w:tcMar>
              <w:top w:w="0" w:type="dxa"/>
              <w:bottom w:w="0" w:type="dxa"/>
            </w:tcMar>
            <w:vAlign w:val="center"/>
          </w:tcPr>
          <w:p w14:paraId="0E406FE8" w14:textId="6A81218D" w:rsidR="001C6400"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1"/>
                <w14:textFill>
                  <w14:solidFill>
                    <w14:srgbClr w14:val="000000">
                      <w14:alpha w14:val="100000"/>
                    </w14:srgbClr>
                  </w14:solidFill>
                </w14:textFill>
              </w:rPr>
              <w:t>|||</w:t>
            </w:r>
            <w:r w:rsidR="002212A2" w:rsidRPr="002212A2">
              <w:rPr>
                <w:color w:val="000000"/>
                <w:spacing w:val="1"/>
                <w:shd w:val="solid" w:color="000000" w:fill="000000"/>
                <w:fitText w:val="330" w:id="-694423801"/>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5911CBBB" w14:textId="32660470" w:rsidR="001C6400" w:rsidRPr="0009282C" w:rsidRDefault="001C6400" w:rsidP="00020F22">
            <w:pPr>
              <w:pStyle w:val="TableText0"/>
              <w:widowControl w:val="0"/>
              <w:jc w:val="center"/>
            </w:pPr>
            <w:r w:rsidRPr="0009282C">
              <w:t>7.82</w:t>
            </w:r>
          </w:p>
        </w:tc>
        <w:tc>
          <w:tcPr>
            <w:tcW w:w="629" w:type="pct"/>
            <w:tcBorders>
              <w:bottom w:val="single" w:sz="4" w:space="0" w:color="auto"/>
            </w:tcBorders>
            <w:tcMar>
              <w:top w:w="0" w:type="dxa"/>
              <w:bottom w:w="0" w:type="dxa"/>
            </w:tcMar>
            <w:vAlign w:val="center"/>
          </w:tcPr>
          <w:p w14:paraId="1AC1A478" w14:textId="4AE6736A" w:rsidR="001C6400"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0"/>
                <w14:textFill>
                  <w14:solidFill>
                    <w14:srgbClr w14:val="000000">
                      <w14:alpha w14:val="100000"/>
                    </w14:srgbClr>
                  </w14:solidFill>
                </w14:textFill>
              </w:rPr>
              <w:t>|||</w:t>
            </w:r>
            <w:r w:rsidR="002212A2" w:rsidRPr="002212A2">
              <w:rPr>
                <w:color w:val="000000"/>
                <w:spacing w:val="1"/>
                <w:shd w:val="solid" w:color="000000" w:fill="000000"/>
                <w:fitText w:val="330" w:id="-694423800"/>
                <w14:textFill>
                  <w14:solidFill>
                    <w14:srgbClr w14:val="000000">
                      <w14:alpha w14:val="100000"/>
                    </w14:srgbClr>
                  </w14:solidFill>
                </w14:textFill>
              </w:rPr>
              <w:t>|</w:t>
            </w:r>
            <w:r w:rsidR="003C3802">
              <w:rPr>
                <w:vertAlign w:val="superscript"/>
              </w:rPr>
              <w:t xml:space="preserve"> 3</w:t>
            </w:r>
          </w:p>
        </w:tc>
        <w:tc>
          <w:tcPr>
            <w:tcW w:w="757" w:type="pct"/>
            <w:tcBorders>
              <w:bottom w:val="single" w:sz="4" w:space="0" w:color="auto"/>
            </w:tcBorders>
            <w:tcMar>
              <w:top w:w="0" w:type="dxa"/>
              <w:bottom w:w="0" w:type="dxa"/>
            </w:tcMar>
            <w:vAlign w:val="center"/>
          </w:tcPr>
          <w:p w14:paraId="11CF59C7" w14:textId="1CDBD5C4" w:rsidR="001C6400" w:rsidRPr="0009282C" w:rsidRDefault="002212A2" w:rsidP="00020F22">
            <w:pPr>
              <w:pStyle w:val="TableText0"/>
              <w:widowControl w:val="0"/>
              <w:jc w:val="center"/>
            </w:pPr>
            <w:r w:rsidRPr="002212A2">
              <w:rPr>
                <w:color w:val="000000"/>
                <w:spacing w:val="53"/>
                <w:shd w:val="solid" w:color="000000" w:fill="000000"/>
                <w:fitText w:val="330" w:id="-694423799"/>
                <w14:textFill>
                  <w14:solidFill>
                    <w14:srgbClr w14:val="000000">
                      <w14:alpha w14:val="100000"/>
                    </w14:srgbClr>
                  </w14:solidFill>
                </w14:textFill>
              </w:rPr>
              <w:t>|||</w:t>
            </w:r>
            <w:r w:rsidRPr="002212A2">
              <w:rPr>
                <w:color w:val="000000"/>
                <w:spacing w:val="1"/>
                <w:shd w:val="solid" w:color="000000" w:fill="000000"/>
                <w:fitText w:val="330" w:id="-694423799"/>
                <w14:textFill>
                  <w14:solidFill>
                    <w14:srgbClr w14:val="000000">
                      <w14:alpha w14:val="100000"/>
                    </w14:srgbClr>
                  </w14:solidFill>
                </w14:textFill>
              </w:rPr>
              <w:t>|</w:t>
            </w:r>
            <w:r w:rsidR="001C6400" w:rsidRPr="0009282C">
              <w:t>%</w:t>
            </w:r>
          </w:p>
        </w:tc>
      </w:tr>
      <w:tr w:rsidR="00BE7C08" w:rsidRPr="0009282C" w:rsidDel="00EB3FF8" w14:paraId="6C04B325" w14:textId="77777777" w:rsidTr="003C3802">
        <w:tc>
          <w:tcPr>
            <w:tcW w:w="2356" w:type="pct"/>
            <w:tcBorders>
              <w:bottom w:val="single" w:sz="4" w:space="0" w:color="auto"/>
            </w:tcBorders>
            <w:tcMar>
              <w:top w:w="0" w:type="dxa"/>
              <w:bottom w:w="0" w:type="dxa"/>
            </w:tcMar>
          </w:tcPr>
          <w:p w14:paraId="709EE9AC" w14:textId="5F42DE9A" w:rsidR="00BE7C08" w:rsidRPr="0009282C" w:rsidRDefault="00BE7C08" w:rsidP="00020F22">
            <w:pPr>
              <w:pStyle w:val="TableText0"/>
              <w:widowControl w:val="0"/>
            </w:pPr>
            <w:r w:rsidRPr="0009282C">
              <w:t xml:space="preserve">Set progression in </w:t>
            </w:r>
            <w:proofErr w:type="spellStart"/>
            <w:r w:rsidRPr="0009282C">
              <w:t>lum</w:t>
            </w:r>
            <w:r w:rsidR="005A4E30" w:rsidRPr="0009282C">
              <w:t>a</w:t>
            </w:r>
            <w:r w:rsidRPr="0009282C">
              <w:t>siran</w:t>
            </w:r>
            <w:proofErr w:type="spellEnd"/>
            <w:r w:rsidRPr="0009282C">
              <w:t xml:space="preserve"> arm equivalent to BSC arm (with use of Singh et al (2022) values and removal of background progression) </w:t>
            </w:r>
          </w:p>
        </w:tc>
        <w:tc>
          <w:tcPr>
            <w:tcW w:w="630" w:type="pct"/>
            <w:tcBorders>
              <w:bottom w:val="single" w:sz="4" w:space="0" w:color="auto"/>
            </w:tcBorders>
            <w:tcMar>
              <w:top w:w="0" w:type="dxa"/>
              <w:bottom w:w="0" w:type="dxa"/>
            </w:tcMar>
            <w:vAlign w:val="center"/>
          </w:tcPr>
          <w:p w14:paraId="1B775A61" w14:textId="345D51E5" w:rsidR="00BE7C08"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8"/>
                <w14:textFill>
                  <w14:solidFill>
                    <w14:srgbClr w14:val="000000">
                      <w14:alpha w14:val="100000"/>
                    </w14:srgbClr>
                  </w14:solidFill>
                </w14:textFill>
              </w:rPr>
              <w:t>|||</w:t>
            </w:r>
            <w:r w:rsidR="002212A2" w:rsidRPr="002212A2">
              <w:rPr>
                <w:color w:val="000000"/>
                <w:spacing w:val="1"/>
                <w:shd w:val="solid" w:color="000000" w:fill="000000"/>
                <w:fitText w:val="330" w:id="-694423798"/>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4CD30E7C" w14:textId="77B38051" w:rsidR="00BE7C08" w:rsidRPr="0009282C" w:rsidRDefault="00BE7C08" w:rsidP="00020F22">
            <w:pPr>
              <w:pStyle w:val="TableText0"/>
              <w:widowControl w:val="0"/>
              <w:jc w:val="center"/>
            </w:pPr>
            <w:r w:rsidRPr="0009282C">
              <w:t>7.00</w:t>
            </w:r>
          </w:p>
        </w:tc>
        <w:tc>
          <w:tcPr>
            <w:tcW w:w="629" w:type="pct"/>
            <w:tcBorders>
              <w:bottom w:val="single" w:sz="4" w:space="0" w:color="auto"/>
            </w:tcBorders>
            <w:tcMar>
              <w:top w:w="0" w:type="dxa"/>
              <w:bottom w:w="0" w:type="dxa"/>
            </w:tcMar>
            <w:vAlign w:val="center"/>
          </w:tcPr>
          <w:p w14:paraId="57DF7D51" w14:textId="38EC5865" w:rsidR="00BE7C08"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7"/>
                <w14:textFill>
                  <w14:solidFill>
                    <w14:srgbClr w14:val="000000">
                      <w14:alpha w14:val="100000"/>
                    </w14:srgbClr>
                  </w14:solidFill>
                </w14:textFill>
              </w:rPr>
              <w:t>|||</w:t>
            </w:r>
            <w:r w:rsidR="002212A2" w:rsidRPr="002212A2">
              <w:rPr>
                <w:color w:val="000000"/>
                <w:spacing w:val="1"/>
                <w:shd w:val="solid" w:color="000000" w:fill="000000"/>
                <w:fitText w:val="330" w:id="-694423797"/>
                <w14:textFill>
                  <w14:solidFill>
                    <w14:srgbClr w14:val="000000">
                      <w14:alpha w14:val="100000"/>
                    </w14:srgbClr>
                  </w14:solidFill>
                </w14:textFill>
              </w:rPr>
              <w:t>|</w:t>
            </w:r>
            <w:r w:rsidR="003C3802">
              <w:rPr>
                <w:vertAlign w:val="superscript"/>
              </w:rPr>
              <w:t xml:space="preserve"> 3</w:t>
            </w:r>
          </w:p>
        </w:tc>
        <w:tc>
          <w:tcPr>
            <w:tcW w:w="757" w:type="pct"/>
            <w:tcBorders>
              <w:bottom w:val="single" w:sz="4" w:space="0" w:color="auto"/>
            </w:tcBorders>
            <w:tcMar>
              <w:top w:w="0" w:type="dxa"/>
              <w:bottom w:w="0" w:type="dxa"/>
            </w:tcMar>
            <w:vAlign w:val="center"/>
          </w:tcPr>
          <w:p w14:paraId="33D77733" w14:textId="4EB5BB44" w:rsidR="00BE7C08" w:rsidRPr="0009282C" w:rsidRDefault="002212A2" w:rsidP="00020F22">
            <w:pPr>
              <w:pStyle w:val="TableText0"/>
              <w:widowControl w:val="0"/>
              <w:jc w:val="center"/>
            </w:pPr>
            <w:r w:rsidRPr="002212A2">
              <w:rPr>
                <w:color w:val="000000"/>
                <w:spacing w:val="53"/>
                <w:shd w:val="solid" w:color="000000" w:fill="000000"/>
                <w:fitText w:val="330" w:id="-694423796"/>
                <w14:textFill>
                  <w14:solidFill>
                    <w14:srgbClr w14:val="000000">
                      <w14:alpha w14:val="100000"/>
                    </w14:srgbClr>
                  </w14:solidFill>
                </w14:textFill>
              </w:rPr>
              <w:t>|||</w:t>
            </w:r>
            <w:r w:rsidRPr="002212A2">
              <w:rPr>
                <w:color w:val="000000"/>
                <w:spacing w:val="1"/>
                <w:shd w:val="solid" w:color="000000" w:fill="000000"/>
                <w:fitText w:val="330" w:id="-694423796"/>
                <w14:textFill>
                  <w14:solidFill>
                    <w14:srgbClr w14:val="000000">
                      <w14:alpha w14:val="100000"/>
                    </w14:srgbClr>
                  </w14:solidFill>
                </w14:textFill>
              </w:rPr>
              <w:t>|</w:t>
            </w:r>
            <w:r w:rsidR="00BE7C08" w:rsidRPr="0009282C">
              <w:t>%</w:t>
            </w:r>
          </w:p>
        </w:tc>
      </w:tr>
      <w:tr w:rsidR="006B680D" w:rsidRPr="0009282C" w:rsidDel="00EB3FF8" w14:paraId="09B76715" w14:textId="77777777" w:rsidTr="003C3802">
        <w:tc>
          <w:tcPr>
            <w:tcW w:w="2356" w:type="pct"/>
            <w:tcBorders>
              <w:bottom w:val="single" w:sz="4" w:space="0" w:color="auto"/>
            </w:tcBorders>
            <w:tcMar>
              <w:top w:w="0" w:type="dxa"/>
              <w:bottom w:w="0" w:type="dxa"/>
            </w:tcMar>
          </w:tcPr>
          <w:p w14:paraId="63A20CF9" w14:textId="0DCC36BB" w:rsidR="00937ED6" w:rsidRPr="0009282C" w:rsidRDefault="006B680D" w:rsidP="00020F22">
            <w:pPr>
              <w:pStyle w:val="TableText0"/>
              <w:widowControl w:val="0"/>
            </w:pPr>
            <w:r w:rsidRPr="0009282C">
              <w:t xml:space="preserve">Set progression in </w:t>
            </w:r>
            <w:proofErr w:type="spellStart"/>
            <w:r w:rsidRPr="0009282C">
              <w:t>lum</w:t>
            </w:r>
            <w:r w:rsidR="005A4E30" w:rsidRPr="0009282C">
              <w:t>a</w:t>
            </w:r>
            <w:r w:rsidRPr="0009282C">
              <w:t>siran</w:t>
            </w:r>
            <w:proofErr w:type="spellEnd"/>
            <w:r w:rsidRPr="0009282C">
              <w:t xml:space="preserve"> arm equivalent to BSC arm (as above), and remove transitions between uncontrolled and controlled states </w:t>
            </w:r>
          </w:p>
        </w:tc>
        <w:tc>
          <w:tcPr>
            <w:tcW w:w="630" w:type="pct"/>
            <w:tcBorders>
              <w:bottom w:val="single" w:sz="4" w:space="0" w:color="auto"/>
            </w:tcBorders>
            <w:tcMar>
              <w:top w:w="0" w:type="dxa"/>
              <w:bottom w:w="0" w:type="dxa"/>
            </w:tcMar>
            <w:vAlign w:val="center"/>
          </w:tcPr>
          <w:p w14:paraId="5AD89668" w14:textId="3176C83C" w:rsidR="006B680D"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5"/>
                <w14:textFill>
                  <w14:solidFill>
                    <w14:srgbClr w14:val="000000">
                      <w14:alpha w14:val="100000"/>
                    </w14:srgbClr>
                  </w14:solidFill>
                </w14:textFill>
              </w:rPr>
              <w:t>|||</w:t>
            </w:r>
            <w:r w:rsidR="002212A2" w:rsidRPr="002212A2">
              <w:rPr>
                <w:color w:val="000000"/>
                <w:spacing w:val="1"/>
                <w:shd w:val="solid" w:color="000000" w:fill="000000"/>
                <w:fitText w:val="330" w:id="-694423795"/>
                <w14:textFill>
                  <w14:solidFill>
                    <w14:srgbClr w14:val="000000">
                      <w14:alpha w14:val="100000"/>
                    </w14:srgbClr>
                  </w14:solidFill>
                </w14:textFill>
              </w:rPr>
              <w:t>|</w:t>
            </w:r>
          </w:p>
        </w:tc>
        <w:tc>
          <w:tcPr>
            <w:tcW w:w="629" w:type="pct"/>
            <w:tcBorders>
              <w:bottom w:val="single" w:sz="4" w:space="0" w:color="auto"/>
            </w:tcBorders>
            <w:tcMar>
              <w:top w:w="0" w:type="dxa"/>
              <w:bottom w:w="0" w:type="dxa"/>
            </w:tcMar>
            <w:vAlign w:val="center"/>
          </w:tcPr>
          <w:p w14:paraId="420EE77A" w14:textId="2D906861" w:rsidR="006B680D" w:rsidRPr="0009282C" w:rsidRDefault="006B680D" w:rsidP="00020F22">
            <w:pPr>
              <w:pStyle w:val="TableText0"/>
              <w:widowControl w:val="0"/>
              <w:jc w:val="center"/>
            </w:pPr>
            <w:r w:rsidRPr="0009282C">
              <w:t>6.23</w:t>
            </w:r>
          </w:p>
        </w:tc>
        <w:tc>
          <w:tcPr>
            <w:tcW w:w="629" w:type="pct"/>
            <w:tcBorders>
              <w:bottom w:val="single" w:sz="4" w:space="0" w:color="auto"/>
            </w:tcBorders>
            <w:tcMar>
              <w:top w:w="0" w:type="dxa"/>
              <w:bottom w:w="0" w:type="dxa"/>
            </w:tcMar>
            <w:vAlign w:val="center"/>
          </w:tcPr>
          <w:p w14:paraId="50D3090A" w14:textId="78212B79" w:rsidR="006B680D"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794"/>
                <w14:textFill>
                  <w14:solidFill>
                    <w14:srgbClr w14:val="000000">
                      <w14:alpha w14:val="100000"/>
                    </w14:srgbClr>
                  </w14:solidFill>
                </w14:textFill>
              </w:rPr>
              <w:t>|||</w:t>
            </w:r>
            <w:r w:rsidR="002212A2" w:rsidRPr="002212A2">
              <w:rPr>
                <w:color w:val="000000"/>
                <w:spacing w:val="1"/>
                <w:shd w:val="solid" w:color="000000" w:fill="000000"/>
                <w:fitText w:val="330" w:id="-694423794"/>
                <w14:textFill>
                  <w14:solidFill>
                    <w14:srgbClr w14:val="000000">
                      <w14:alpha w14:val="100000"/>
                    </w14:srgbClr>
                  </w14:solidFill>
                </w14:textFill>
              </w:rPr>
              <w:t>|</w:t>
            </w:r>
            <w:r w:rsidR="003C3802">
              <w:rPr>
                <w:vertAlign w:val="superscript"/>
              </w:rPr>
              <w:t xml:space="preserve"> 4</w:t>
            </w:r>
          </w:p>
        </w:tc>
        <w:tc>
          <w:tcPr>
            <w:tcW w:w="757" w:type="pct"/>
            <w:tcBorders>
              <w:bottom w:val="single" w:sz="4" w:space="0" w:color="auto"/>
            </w:tcBorders>
            <w:tcMar>
              <w:top w:w="0" w:type="dxa"/>
              <w:bottom w:w="0" w:type="dxa"/>
            </w:tcMar>
            <w:vAlign w:val="center"/>
          </w:tcPr>
          <w:p w14:paraId="4B0E96AE" w14:textId="6E2186C6" w:rsidR="006B680D" w:rsidRPr="0009282C" w:rsidRDefault="002212A2" w:rsidP="00020F22">
            <w:pPr>
              <w:pStyle w:val="TableText0"/>
              <w:widowControl w:val="0"/>
              <w:jc w:val="center"/>
            </w:pPr>
            <w:r w:rsidRPr="002212A2">
              <w:rPr>
                <w:color w:val="000000"/>
                <w:spacing w:val="53"/>
                <w:shd w:val="solid" w:color="000000" w:fill="000000"/>
                <w:fitText w:val="330" w:id="-694423793"/>
                <w14:textFill>
                  <w14:solidFill>
                    <w14:srgbClr w14:val="000000">
                      <w14:alpha w14:val="100000"/>
                    </w14:srgbClr>
                  </w14:solidFill>
                </w14:textFill>
              </w:rPr>
              <w:t>|||</w:t>
            </w:r>
            <w:r w:rsidRPr="002212A2">
              <w:rPr>
                <w:color w:val="000000"/>
                <w:spacing w:val="1"/>
                <w:shd w:val="solid" w:color="000000" w:fill="000000"/>
                <w:fitText w:val="330" w:id="-694423793"/>
                <w14:textFill>
                  <w14:solidFill>
                    <w14:srgbClr w14:val="000000">
                      <w14:alpha w14:val="100000"/>
                    </w14:srgbClr>
                  </w14:solidFill>
                </w14:textFill>
              </w:rPr>
              <w:t>|</w:t>
            </w:r>
            <w:r w:rsidR="006B680D" w:rsidRPr="0009282C">
              <w:t>%</w:t>
            </w:r>
          </w:p>
        </w:tc>
      </w:tr>
      <w:tr w:rsidR="00AB1F3D" w:rsidRPr="0009282C" w:rsidDel="00EB3FF8" w14:paraId="43ECD3D2" w14:textId="77777777" w:rsidTr="003C3802">
        <w:tc>
          <w:tcPr>
            <w:tcW w:w="2356" w:type="pct"/>
            <w:tcBorders>
              <w:right w:val="nil"/>
            </w:tcBorders>
            <w:tcMar>
              <w:top w:w="0" w:type="dxa"/>
              <w:bottom w:w="0" w:type="dxa"/>
            </w:tcMar>
          </w:tcPr>
          <w:p w14:paraId="47964D9B" w14:textId="72CE2C53" w:rsidR="00AB1F3D" w:rsidRPr="0009282C" w:rsidRDefault="00AB1F3D" w:rsidP="00020F22">
            <w:pPr>
              <w:pStyle w:val="TableText0"/>
              <w:widowControl w:val="0"/>
              <w:rPr>
                <w:b/>
                <w:bCs w:val="0"/>
              </w:rPr>
            </w:pPr>
            <w:r w:rsidRPr="0009282C">
              <w:rPr>
                <w:b/>
                <w:bCs w:val="0"/>
              </w:rPr>
              <w:t>Dialysis costs</w:t>
            </w:r>
          </w:p>
        </w:tc>
        <w:tc>
          <w:tcPr>
            <w:tcW w:w="630" w:type="pct"/>
            <w:tcBorders>
              <w:left w:val="nil"/>
              <w:right w:val="nil"/>
            </w:tcBorders>
            <w:tcMar>
              <w:top w:w="0" w:type="dxa"/>
              <w:bottom w:w="0" w:type="dxa"/>
            </w:tcMar>
          </w:tcPr>
          <w:p w14:paraId="6C2C16F6" w14:textId="77777777" w:rsidR="00AB1F3D" w:rsidRPr="0009282C" w:rsidRDefault="00AB1F3D" w:rsidP="00020F22">
            <w:pPr>
              <w:pStyle w:val="TableText0"/>
              <w:widowControl w:val="0"/>
            </w:pPr>
          </w:p>
        </w:tc>
        <w:tc>
          <w:tcPr>
            <w:tcW w:w="629" w:type="pct"/>
            <w:tcBorders>
              <w:left w:val="nil"/>
              <w:right w:val="nil"/>
            </w:tcBorders>
            <w:tcMar>
              <w:top w:w="0" w:type="dxa"/>
              <w:bottom w:w="0" w:type="dxa"/>
            </w:tcMar>
          </w:tcPr>
          <w:p w14:paraId="7279CB88" w14:textId="77777777" w:rsidR="00AB1F3D" w:rsidRPr="0009282C" w:rsidRDefault="00AB1F3D" w:rsidP="00020F22">
            <w:pPr>
              <w:pStyle w:val="TableText0"/>
              <w:widowControl w:val="0"/>
            </w:pPr>
          </w:p>
        </w:tc>
        <w:tc>
          <w:tcPr>
            <w:tcW w:w="629" w:type="pct"/>
            <w:tcBorders>
              <w:left w:val="nil"/>
              <w:right w:val="nil"/>
            </w:tcBorders>
            <w:tcMar>
              <w:top w:w="0" w:type="dxa"/>
              <w:bottom w:w="0" w:type="dxa"/>
            </w:tcMar>
          </w:tcPr>
          <w:p w14:paraId="45821D76" w14:textId="77777777" w:rsidR="00AB1F3D" w:rsidRPr="0009282C" w:rsidRDefault="00AB1F3D" w:rsidP="00020F22">
            <w:pPr>
              <w:pStyle w:val="TableText0"/>
              <w:widowControl w:val="0"/>
            </w:pPr>
          </w:p>
        </w:tc>
        <w:tc>
          <w:tcPr>
            <w:tcW w:w="757" w:type="pct"/>
            <w:tcBorders>
              <w:left w:val="nil"/>
            </w:tcBorders>
            <w:tcMar>
              <w:top w:w="0" w:type="dxa"/>
              <w:bottom w:w="0" w:type="dxa"/>
            </w:tcMar>
          </w:tcPr>
          <w:p w14:paraId="2BB117DA" w14:textId="77777777" w:rsidR="00AB1F3D" w:rsidRPr="0009282C" w:rsidRDefault="00AB1F3D" w:rsidP="00020F22">
            <w:pPr>
              <w:pStyle w:val="TableText0"/>
              <w:widowControl w:val="0"/>
            </w:pPr>
          </w:p>
        </w:tc>
      </w:tr>
      <w:tr w:rsidR="00AB1F3D" w:rsidRPr="0009282C" w:rsidDel="00EB3FF8" w14:paraId="2EEF1C5A" w14:textId="77777777" w:rsidTr="003C3802">
        <w:tc>
          <w:tcPr>
            <w:tcW w:w="2356" w:type="pct"/>
            <w:tcMar>
              <w:top w:w="0" w:type="dxa"/>
              <w:bottom w:w="0" w:type="dxa"/>
            </w:tcMar>
          </w:tcPr>
          <w:p w14:paraId="62B7AEA4" w14:textId="024E314F" w:rsidR="00AB1F3D" w:rsidRPr="0009282C" w:rsidRDefault="00AB1F3D" w:rsidP="00020F22">
            <w:pPr>
              <w:pStyle w:val="TableText0"/>
              <w:widowControl w:val="0"/>
            </w:pPr>
            <w:r w:rsidRPr="0009282C">
              <w:t xml:space="preserve">Set dialysis costs equivalent to high-intensity </w:t>
            </w:r>
            <w:r w:rsidR="00964EE3" w:rsidRPr="0009282C">
              <w:t>regimen</w:t>
            </w:r>
            <w:r w:rsidR="00C75206" w:rsidRPr="0009282C">
              <w:t xml:space="preserve"> </w:t>
            </w:r>
            <w:r w:rsidRPr="0009282C">
              <w:t xml:space="preserve">for both </w:t>
            </w:r>
            <w:proofErr w:type="spellStart"/>
            <w:r w:rsidRPr="0009282C">
              <w:t>lumasiran</w:t>
            </w:r>
            <w:proofErr w:type="spellEnd"/>
            <w:r w:rsidRPr="0009282C">
              <w:t xml:space="preserve"> and BSC</w:t>
            </w:r>
          </w:p>
        </w:tc>
        <w:tc>
          <w:tcPr>
            <w:tcW w:w="630" w:type="pct"/>
            <w:tcMar>
              <w:top w:w="0" w:type="dxa"/>
              <w:bottom w:w="0" w:type="dxa"/>
            </w:tcMar>
            <w:vAlign w:val="center"/>
          </w:tcPr>
          <w:p w14:paraId="3BB3A764" w14:textId="594C3BD0" w:rsidR="00AB1F3D"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792"/>
                <w14:textFill>
                  <w14:solidFill>
                    <w14:srgbClr w14:val="000000">
                      <w14:alpha w14:val="100000"/>
                    </w14:srgbClr>
                  </w14:solidFill>
                </w14:textFill>
              </w:rPr>
              <w:t>|||</w:t>
            </w:r>
            <w:r w:rsidR="002212A2" w:rsidRPr="002212A2">
              <w:rPr>
                <w:color w:val="000000"/>
                <w:spacing w:val="1"/>
                <w:shd w:val="solid" w:color="000000" w:fill="000000"/>
                <w:fitText w:val="330" w:id="-694423792"/>
                <w14:textFill>
                  <w14:solidFill>
                    <w14:srgbClr w14:val="000000">
                      <w14:alpha w14:val="100000"/>
                    </w14:srgbClr>
                  </w14:solidFill>
                </w14:textFill>
              </w:rPr>
              <w:t>|</w:t>
            </w:r>
          </w:p>
        </w:tc>
        <w:tc>
          <w:tcPr>
            <w:tcW w:w="629" w:type="pct"/>
            <w:tcMar>
              <w:top w:w="0" w:type="dxa"/>
              <w:bottom w:w="0" w:type="dxa"/>
            </w:tcMar>
            <w:vAlign w:val="center"/>
          </w:tcPr>
          <w:p w14:paraId="76296AB0" w14:textId="5345C9DF" w:rsidR="00AB1F3D" w:rsidRPr="0009282C" w:rsidRDefault="00C75206" w:rsidP="00020F22">
            <w:pPr>
              <w:pStyle w:val="TableText0"/>
              <w:widowControl w:val="0"/>
              <w:jc w:val="center"/>
            </w:pPr>
            <w:r w:rsidRPr="0009282C">
              <w:t>8.25</w:t>
            </w:r>
          </w:p>
        </w:tc>
        <w:tc>
          <w:tcPr>
            <w:tcW w:w="629" w:type="pct"/>
            <w:tcMar>
              <w:top w:w="0" w:type="dxa"/>
              <w:bottom w:w="0" w:type="dxa"/>
            </w:tcMar>
            <w:vAlign w:val="center"/>
          </w:tcPr>
          <w:p w14:paraId="2DEEC718" w14:textId="50C070C1" w:rsidR="00AB1F3D"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8"/>
                <w14:textFill>
                  <w14:solidFill>
                    <w14:srgbClr w14:val="000000">
                      <w14:alpha w14:val="100000"/>
                    </w14:srgbClr>
                  </w14:solidFill>
                </w14:textFill>
              </w:rPr>
              <w:t>|||</w:t>
            </w:r>
            <w:r w:rsidR="002212A2" w:rsidRPr="002212A2">
              <w:rPr>
                <w:color w:val="000000"/>
                <w:spacing w:val="1"/>
                <w:shd w:val="solid" w:color="000000" w:fill="000000"/>
                <w:fitText w:val="330" w:id="-694423808"/>
                <w14:textFill>
                  <w14:solidFill>
                    <w14:srgbClr w14:val="000000">
                      <w14:alpha w14:val="100000"/>
                    </w14:srgbClr>
                  </w14:solidFill>
                </w14:textFill>
              </w:rPr>
              <w:t>|</w:t>
            </w:r>
            <w:r w:rsidR="003C3802">
              <w:rPr>
                <w:vertAlign w:val="superscript"/>
              </w:rPr>
              <w:t xml:space="preserve"> 3</w:t>
            </w:r>
          </w:p>
        </w:tc>
        <w:tc>
          <w:tcPr>
            <w:tcW w:w="757" w:type="pct"/>
            <w:tcMar>
              <w:top w:w="0" w:type="dxa"/>
              <w:bottom w:w="0" w:type="dxa"/>
            </w:tcMar>
            <w:vAlign w:val="center"/>
          </w:tcPr>
          <w:p w14:paraId="3C589F96" w14:textId="7B8ADC30" w:rsidR="00AB1F3D" w:rsidRPr="0009282C" w:rsidRDefault="002212A2" w:rsidP="00020F22">
            <w:pPr>
              <w:pStyle w:val="TableText0"/>
              <w:widowControl w:val="0"/>
              <w:jc w:val="center"/>
            </w:pPr>
            <w:r w:rsidRPr="002212A2">
              <w:rPr>
                <w:color w:val="000000"/>
                <w:spacing w:val="53"/>
                <w:shd w:val="solid" w:color="000000" w:fill="000000"/>
                <w:fitText w:val="330" w:id="-694423807"/>
                <w14:textFill>
                  <w14:solidFill>
                    <w14:srgbClr w14:val="000000">
                      <w14:alpha w14:val="100000"/>
                    </w14:srgbClr>
                  </w14:solidFill>
                </w14:textFill>
              </w:rPr>
              <w:t>|||</w:t>
            </w:r>
            <w:r w:rsidRPr="002212A2">
              <w:rPr>
                <w:color w:val="000000"/>
                <w:spacing w:val="1"/>
                <w:shd w:val="solid" w:color="000000" w:fill="000000"/>
                <w:fitText w:val="330" w:id="-694423807"/>
                <w14:textFill>
                  <w14:solidFill>
                    <w14:srgbClr w14:val="000000">
                      <w14:alpha w14:val="100000"/>
                    </w14:srgbClr>
                  </w14:solidFill>
                </w14:textFill>
              </w:rPr>
              <w:t>|</w:t>
            </w:r>
            <w:r w:rsidR="00C75206" w:rsidRPr="0009282C">
              <w:t>%</w:t>
            </w:r>
          </w:p>
        </w:tc>
      </w:tr>
      <w:tr w:rsidR="008D75A4" w:rsidRPr="0009282C" w:rsidDel="00EB3FF8" w14:paraId="742430CA" w14:textId="77777777" w:rsidTr="003C3802">
        <w:tc>
          <w:tcPr>
            <w:tcW w:w="5000" w:type="pct"/>
            <w:gridSpan w:val="5"/>
            <w:tcMar>
              <w:top w:w="0" w:type="dxa"/>
              <w:bottom w:w="0" w:type="dxa"/>
            </w:tcMar>
          </w:tcPr>
          <w:p w14:paraId="5B415344" w14:textId="1BBE48F8" w:rsidR="008D75A4" w:rsidRPr="0009282C" w:rsidRDefault="008D75A4" w:rsidP="00020F22">
            <w:pPr>
              <w:pStyle w:val="TableText0"/>
              <w:widowControl w:val="0"/>
              <w:rPr>
                <w:b/>
                <w:bCs w:val="0"/>
              </w:rPr>
            </w:pPr>
            <w:r w:rsidRPr="0009282C">
              <w:rPr>
                <w:b/>
                <w:bCs w:val="0"/>
              </w:rPr>
              <w:t>Probability of transplant</w:t>
            </w:r>
          </w:p>
        </w:tc>
      </w:tr>
      <w:tr w:rsidR="00592490" w:rsidRPr="0009282C" w:rsidDel="00EB3FF8" w14:paraId="2E6360C6" w14:textId="77777777" w:rsidTr="003C3802">
        <w:tc>
          <w:tcPr>
            <w:tcW w:w="2356" w:type="pct"/>
            <w:tcMar>
              <w:top w:w="0" w:type="dxa"/>
              <w:bottom w:w="0" w:type="dxa"/>
            </w:tcMar>
          </w:tcPr>
          <w:p w14:paraId="0EBFE8A1" w14:textId="52276081" w:rsidR="00592490" w:rsidRPr="0009282C" w:rsidRDefault="00592490" w:rsidP="00020F22">
            <w:pPr>
              <w:pStyle w:val="TableText0"/>
              <w:widowControl w:val="0"/>
            </w:pPr>
            <w:r w:rsidRPr="0009282C">
              <w:t>Double the transition probability</w:t>
            </w:r>
          </w:p>
        </w:tc>
        <w:tc>
          <w:tcPr>
            <w:tcW w:w="630" w:type="pct"/>
            <w:tcMar>
              <w:top w:w="0" w:type="dxa"/>
              <w:bottom w:w="0" w:type="dxa"/>
            </w:tcMar>
            <w:vAlign w:val="center"/>
          </w:tcPr>
          <w:p w14:paraId="734C19A2" w14:textId="730681E9" w:rsidR="00592490"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6"/>
                <w14:textFill>
                  <w14:solidFill>
                    <w14:srgbClr w14:val="000000">
                      <w14:alpha w14:val="100000"/>
                    </w14:srgbClr>
                  </w14:solidFill>
                </w14:textFill>
              </w:rPr>
              <w:t>|||</w:t>
            </w:r>
            <w:r w:rsidR="002212A2" w:rsidRPr="002212A2">
              <w:rPr>
                <w:color w:val="000000"/>
                <w:spacing w:val="1"/>
                <w:shd w:val="solid" w:color="000000" w:fill="000000"/>
                <w:fitText w:val="330" w:id="-694423806"/>
                <w14:textFill>
                  <w14:solidFill>
                    <w14:srgbClr w14:val="000000">
                      <w14:alpha w14:val="100000"/>
                    </w14:srgbClr>
                  </w14:solidFill>
                </w14:textFill>
              </w:rPr>
              <w:t>|</w:t>
            </w:r>
          </w:p>
        </w:tc>
        <w:tc>
          <w:tcPr>
            <w:tcW w:w="629" w:type="pct"/>
            <w:tcMar>
              <w:top w:w="0" w:type="dxa"/>
              <w:bottom w:w="0" w:type="dxa"/>
            </w:tcMar>
            <w:vAlign w:val="center"/>
          </w:tcPr>
          <w:p w14:paraId="49805A6D" w14:textId="7A77E9B9" w:rsidR="00592490" w:rsidRPr="0009282C" w:rsidRDefault="00592490" w:rsidP="00020F22">
            <w:pPr>
              <w:pStyle w:val="TableText0"/>
              <w:widowControl w:val="0"/>
              <w:jc w:val="center"/>
            </w:pPr>
            <w:r w:rsidRPr="0009282C">
              <w:t>7.98</w:t>
            </w:r>
          </w:p>
        </w:tc>
        <w:tc>
          <w:tcPr>
            <w:tcW w:w="629" w:type="pct"/>
            <w:tcMar>
              <w:top w:w="0" w:type="dxa"/>
              <w:bottom w:w="0" w:type="dxa"/>
            </w:tcMar>
            <w:vAlign w:val="center"/>
          </w:tcPr>
          <w:p w14:paraId="5C19D1B3" w14:textId="2B2C8C2D" w:rsidR="00592490"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5"/>
                <w14:textFill>
                  <w14:solidFill>
                    <w14:srgbClr w14:val="000000">
                      <w14:alpha w14:val="100000"/>
                    </w14:srgbClr>
                  </w14:solidFill>
                </w14:textFill>
              </w:rPr>
              <w:t>|||</w:t>
            </w:r>
            <w:r w:rsidR="002212A2" w:rsidRPr="002212A2">
              <w:rPr>
                <w:color w:val="000000"/>
                <w:spacing w:val="1"/>
                <w:shd w:val="solid" w:color="000000" w:fill="000000"/>
                <w:fitText w:val="330" w:id="-694423805"/>
                <w14:textFill>
                  <w14:solidFill>
                    <w14:srgbClr w14:val="000000">
                      <w14:alpha w14:val="100000"/>
                    </w14:srgbClr>
                  </w14:solidFill>
                </w14:textFill>
              </w:rPr>
              <w:t>|</w:t>
            </w:r>
            <w:r w:rsidR="003C3802">
              <w:rPr>
                <w:vertAlign w:val="superscript"/>
              </w:rPr>
              <w:t xml:space="preserve"> 1</w:t>
            </w:r>
          </w:p>
        </w:tc>
        <w:tc>
          <w:tcPr>
            <w:tcW w:w="757" w:type="pct"/>
            <w:tcMar>
              <w:top w:w="0" w:type="dxa"/>
              <w:bottom w:w="0" w:type="dxa"/>
            </w:tcMar>
            <w:vAlign w:val="center"/>
          </w:tcPr>
          <w:p w14:paraId="658EB284" w14:textId="22D93D04" w:rsidR="00592490" w:rsidRPr="0009282C" w:rsidRDefault="00592490" w:rsidP="00020F22">
            <w:pPr>
              <w:pStyle w:val="TableText0"/>
              <w:widowControl w:val="0"/>
              <w:jc w:val="center"/>
            </w:pPr>
            <w:r w:rsidRPr="0009282C">
              <w:t>-</w:t>
            </w:r>
            <w:r w:rsidR="002212A2" w:rsidRPr="002212A2">
              <w:rPr>
                <w:color w:val="000000"/>
                <w:spacing w:val="53"/>
                <w:shd w:val="solid" w:color="000000" w:fill="000000"/>
                <w:fitText w:val="330" w:id="-694423804"/>
                <w14:textFill>
                  <w14:solidFill>
                    <w14:srgbClr w14:val="000000">
                      <w14:alpha w14:val="100000"/>
                    </w14:srgbClr>
                  </w14:solidFill>
                </w14:textFill>
              </w:rPr>
              <w:t>|||</w:t>
            </w:r>
            <w:r w:rsidR="002212A2" w:rsidRPr="002212A2">
              <w:rPr>
                <w:color w:val="000000"/>
                <w:spacing w:val="1"/>
                <w:shd w:val="solid" w:color="000000" w:fill="000000"/>
                <w:fitText w:val="330" w:id="-694423804"/>
                <w14:textFill>
                  <w14:solidFill>
                    <w14:srgbClr w14:val="000000">
                      <w14:alpha w14:val="100000"/>
                    </w14:srgbClr>
                  </w14:solidFill>
                </w14:textFill>
              </w:rPr>
              <w:t>|</w:t>
            </w:r>
            <w:r w:rsidRPr="0009282C">
              <w:t>%</w:t>
            </w:r>
          </w:p>
        </w:tc>
      </w:tr>
      <w:tr w:rsidR="00027A1B" w:rsidRPr="0009282C" w:rsidDel="00EB3FF8" w14:paraId="4DE522F8" w14:textId="77777777" w:rsidTr="003C3802">
        <w:tc>
          <w:tcPr>
            <w:tcW w:w="2356" w:type="pct"/>
            <w:tcMar>
              <w:top w:w="0" w:type="dxa"/>
              <w:bottom w:w="0" w:type="dxa"/>
            </w:tcMar>
          </w:tcPr>
          <w:p w14:paraId="5A72AC25" w14:textId="64B70A22" w:rsidR="00027A1B" w:rsidRPr="0009282C" w:rsidRDefault="00027A1B" w:rsidP="00020F22">
            <w:pPr>
              <w:pStyle w:val="TableText0"/>
              <w:widowControl w:val="0"/>
            </w:pPr>
            <w:r w:rsidRPr="0009282C">
              <w:t>Increase by factor of 10</w:t>
            </w:r>
          </w:p>
        </w:tc>
        <w:tc>
          <w:tcPr>
            <w:tcW w:w="630" w:type="pct"/>
            <w:tcMar>
              <w:top w:w="0" w:type="dxa"/>
              <w:bottom w:w="0" w:type="dxa"/>
            </w:tcMar>
            <w:vAlign w:val="center"/>
          </w:tcPr>
          <w:p w14:paraId="7C42EAF1" w14:textId="2D5E1160" w:rsidR="00027A1B" w:rsidRPr="0009282C" w:rsidRDefault="00E00951" w:rsidP="00020F22">
            <w:pPr>
              <w:pStyle w:val="TableText0"/>
              <w:widowControl w:val="0"/>
              <w:jc w:val="center"/>
            </w:pPr>
            <w:r w:rsidRPr="0009282C">
              <w:t>$</w:t>
            </w:r>
            <w:r w:rsidR="002212A2" w:rsidRPr="002212A2">
              <w:rPr>
                <w:color w:val="000000"/>
                <w:spacing w:val="53"/>
                <w:shd w:val="solid" w:color="000000" w:fill="000000"/>
                <w:fitText w:val="330" w:id="-694423803"/>
                <w14:textFill>
                  <w14:solidFill>
                    <w14:srgbClr w14:val="000000">
                      <w14:alpha w14:val="100000"/>
                    </w14:srgbClr>
                  </w14:solidFill>
                </w14:textFill>
              </w:rPr>
              <w:t>|||</w:t>
            </w:r>
            <w:r w:rsidR="002212A2" w:rsidRPr="002212A2">
              <w:rPr>
                <w:color w:val="000000"/>
                <w:spacing w:val="1"/>
                <w:shd w:val="solid" w:color="000000" w:fill="000000"/>
                <w:fitText w:val="330" w:id="-694423803"/>
                <w14:textFill>
                  <w14:solidFill>
                    <w14:srgbClr w14:val="000000">
                      <w14:alpha w14:val="100000"/>
                    </w14:srgbClr>
                  </w14:solidFill>
                </w14:textFill>
              </w:rPr>
              <w:t>|</w:t>
            </w:r>
          </w:p>
        </w:tc>
        <w:tc>
          <w:tcPr>
            <w:tcW w:w="629" w:type="pct"/>
            <w:tcMar>
              <w:top w:w="0" w:type="dxa"/>
              <w:bottom w:w="0" w:type="dxa"/>
            </w:tcMar>
            <w:vAlign w:val="center"/>
          </w:tcPr>
          <w:p w14:paraId="2E3C2825" w14:textId="491DA720" w:rsidR="00027A1B" w:rsidRPr="0009282C" w:rsidRDefault="00D771DD" w:rsidP="00020F22">
            <w:pPr>
              <w:pStyle w:val="TableText0"/>
              <w:widowControl w:val="0"/>
              <w:jc w:val="center"/>
            </w:pPr>
            <w:r w:rsidRPr="0009282C">
              <w:t>6.85</w:t>
            </w:r>
          </w:p>
        </w:tc>
        <w:tc>
          <w:tcPr>
            <w:tcW w:w="629" w:type="pct"/>
            <w:tcMar>
              <w:top w:w="0" w:type="dxa"/>
              <w:bottom w:w="0" w:type="dxa"/>
            </w:tcMar>
            <w:vAlign w:val="center"/>
          </w:tcPr>
          <w:p w14:paraId="54DCF260" w14:textId="44E63A87" w:rsidR="00027A1B" w:rsidRPr="0009282C" w:rsidRDefault="00B76E26" w:rsidP="00020F22">
            <w:pPr>
              <w:pStyle w:val="TableText0"/>
              <w:widowControl w:val="0"/>
              <w:jc w:val="center"/>
            </w:pPr>
            <w:r w:rsidRPr="0009282C">
              <w:t>$</w:t>
            </w:r>
            <w:r w:rsidR="002212A2" w:rsidRPr="002212A2">
              <w:rPr>
                <w:color w:val="000000"/>
                <w:spacing w:val="53"/>
                <w:shd w:val="solid" w:color="000000" w:fill="000000"/>
                <w:fitText w:val="330" w:id="-694423802"/>
                <w14:textFill>
                  <w14:solidFill>
                    <w14:srgbClr w14:val="000000">
                      <w14:alpha w14:val="100000"/>
                    </w14:srgbClr>
                  </w14:solidFill>
                </w14:textFill>
              </w:rPr>
              <w:t>|||</w:t>
            </w:r>
            <w:r w:rsidR="002212A2" w:rsidRPr="002212A2">
              <w:rPr>
                <w:color w:val="000000"/>
                <w:spacing w:val="1"/>
                <w:shd w:val="solid" w:color="000000" w:fill="000000"/>
                <w:fitText w:val="330" w:id="-694423802"/>
                <w14:textFill>
                  <w14:solidFill>
                    <w14:srgbClr w14:val="000000">
                      <w14:alpha w14:val="100000"/>
                    </w14:srgbClr>
                  </w14:solidFill>
                </w14:textFill>
              </w:rPr>
              <w:t>|</w:t>
            </w:r>
            <w:r w:rsidR="003C3802">
              <w:rPr>
                <w:vertAlign w:val="superscript"/>
              </w:rPr>
              <w:t xml:space="preserve"> 1</w:t>
            </w:r>
          </w:p>
        </w:tc>
        <w:tc>
          <w:tcPr>
            <w:tcW w:w="757" w:type="pct"/>
            <w:tcMar>
              <w:top w:w="0" w:type="dxa"/>
              <w:bottom w:w="0" w:type="dxa"/>
            </w:tcMar>
            <w:vAlign w:val="center"/>
          </w:tcPr>
          <w:p w14:paraId="3B4B2C09" w14:textId="7677B87F" w:rsidR="00027A1B" w:rsidRPr="0009282C" w:rsidRDefault="00D771DD" w:rsidP="00020F22">
            <w:pPr>
              <w:pStyle w:val="TableText0"/>
              <w:widowControl w:val="0"/>
              <w:jc w:val="center"/>
            </w:pPr>
            <w:r w:rsidRPr="0009282C">
              <w:t>-</w:t>
            </w:r>
            <w:r w:rsidR="002212A2" w:rsidRPr="002212A2">
              <w:rPr>
                <w:color w:val="000000"/>
                <w:spacing w:val="53"/>
                <w:shd w:val="solid" w:color="000000" w:fill="000000"/>
                <w:fitText w:val="330" w:id="-694423801"/>
                <w14:textFill>
                  <w14:solidFill>
                    <w14:srgbClr w14:val="000000">
                      <w14:alpha w14:val="100000"/>
                    </w14:srgbClr>
                  </w14:solidFill>
                </w14:textFill>
              </w:rPr>
              <w:t>|||</w:t>
            </w:r>
            <w:r w:rsidR="002212A2" w:rsidRPr="002212A2">
              <w:rPr>
                <w:color w:val="000000"/>
                <w:spacing w:val="1"/>
                <w:shd w:val="solid" w:color="000000" w:fill="000000"/>
                <w:fitText w:val="330" w:id="-694423801"/>
                <w14:textFill>
                  <w14:solidFill>
                    <w14:srgbClr w14:val="000000">
                      <w14:alpha w14:val="100000"/>
                    </w14:srgbClr>
                  </w14:solidFill>
                </w14:textFill>
              </w:rPr>
              <w:t>|</w:t>
            </w:r>
            <w:r w:rsidRPr="0009282C">
              <w:t>%</w:t>
            </w:r>
          </w:p>
        </w:tc>
      </w:tr>
    </w:tbl>
    <w:p w14:paraId="64F90FAB" w14:textId="1F1B7CE9" w:rsidR="006F4910" w:rsidRPr="0009282C" w:rsidRDefault="6042C43C" w:rsidP="00020F22">
      <w:pPr>
        <w:pStyle w:val="TableFigureFooter"/>
        <w:keepLines w:val="0"/>
        <w:widowControl w:val="0"/>
      </w:pPr>
      <w:r w:rsidRPr="0009282C">
        <w:t>Abbreviation</w:t>
      </w:r>
      <w:r w:rsidR="00580660" w:rsidRPr="0009282C">
        <w:t>s</w:t>
      </w:r>
      <w:r w:rsidRPr="0009282C">
        <w:t xml:space="preserve">: </w:t>
      </w:r>
      <w:r w:rsidR="00B349A0" w:rsidRPr="0009282C">
        <w:t xml:space="preserve">BSC, best standard of care; </w:t>
      </w:r>
      <w:r w:rsidRPr="0009282C">
        <w:t>ICER</w:t>
      </w:r>
      <w:r w:rsidR="00B91037" w:rsidRPr="0009282C">
        <w:t>,</w:t>
      </w:r>
      <w:r w:rsidRPr="0009282C">
        <w:t> incremental cost-effectiveness ratio; EQ-5D</w:t>
      </w:r>
      <w:r w:rsidR="00B91037" w:rsidRPr="0009282C">
        <w:t>,</w:t>
      </w:r>
      <w:r w:rsidRPr="0009282C">
        <w:t xml:space="preserve"> </w:t>
      </w:r>
      <w:proofErr w:type="spellStart"/>
      <w:r w:rsidRPr="0009282C">
        <w:t>EuroQol</w:t>
      </w:r>
      <w:proofErr w:type="spellEnd"/>
      <w:r w:rsidRPr="0009282C">
        <w:t>- 5 dimension</w:t>
      </w:r>
      <w:r w:rsidR="003724DF" w:rsidRPr="0009282C">
        <w:rPr>
          <w:b/>
        </w:rPr>
        <w:t>.</w:t>
      </w:r>
    </w:p>
    <w:p w14:paraId="27B09094" w14:textId="51B6C0F2" w:rsidR="006F4910" w:rsidRDefault="00580660" w:rsidP="00020F22">
      <w:pPr>
        <w:pStyle w:val="TableFigureFooter"/>
        <w:keepLines w:val="0"/>
        <w:widowControl w:val="0"/>
      </w:pPr>
      <w:r w:rsidRPr="0009282C">
        <w:t>Source:</w:t>
      </w:r>
      <w:r w:rsidR="006F4910" w:rsidRPr="0009282C">
        <w:t xml:space="preserve"> Table 3.57</w:t>
      </w:r>
      <w:r w:rsidR="00D60B39" w:rsidRPr="0009282C">
        <w:t>, p</w:t>
      </w:r>
      <w:r w:rsidR="00E55791" w:rsidRPr="0009282C">
        <w:t>157</w:t>
      </w:r>
      <w:r w:rsidR="006F4910" w:rsidRPr="0009282C">
        <w:t xml:space="preserve"> </w:t>
      </w:r>
      <w:r w:rsidR="00704A30" w:rsidRPr="0009282C">
        <w:t xml:space="preserve">and </w:t>
      </w:r>
      <w:r w:rsidR="008D3207" w:rsidRPr="0009282C">
        <w:t>the E</w:t>
      </w:r>
      <w:r w:rsidR="00704A30" w:rsidRPr="0009282C">
        <w:t>xcel workbook of the submission (</w:t>
      </w:r>
      <w:proofErr w:type="spellStart"/>
      <w:r w:rsidR="00704A30" w:rsidRPr="0009282C">
        <w:t>Oxlumo</w:t>
      </w:r>
      <w:proofErr w:type="spellEnd"/>
      <w:r w:rsidR="00704A30" w:rsidRPr="0009282C">
        <w:t xml:space="preserve"> Section 3 CUA HPP009243</w:t>
      </w:r>
      <w:r w:rsidR="00B45FE7" w:rsidRPr="0009282C">
        <w:t>.xlsm</w:t>
      </w:r>
      <w:r w:rsidR="00704A30" w:rsidRPr="0009282C">
        <w:t>, economic model of the submission).</w:t>
      </w:r>
    </w:p>
    <w:p w14:paraId="62C1BD4A" w14:textId="77777777"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rPr>
        <w:t xml:space="preserve">The redacted values correspond to the following ranges: </w:t>
      </w:r>
    </w:p>
    <w:p w14:paraId="3D87B2C0" w14:textId="6B288678"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1</w:t>
      </w:r>
      <w:r w:rsidRPr="002D4A81">
        <w:rPr>
          <w:rFonts w:ascii="Arial Narrow" w:eastAsia="Times New Roman" w:hAnsi="Arial Narrow"/>
          <w:iCs/>
          <w:sz w:val="18"/>
          <w:szCs w:val="18"/>
        </w:rPr>
        <w:t xml:space="preserve"> </w:t>
      </w:r>
      <w:r w:rsidR="00A56F54" w:rsidRPr="002D4A81">
        <w:rPr>
          <w:rFonts w:ascii="Arial Narrow" w:eastAsia="Times New Roman" w:hAnsi="Arial Narrow"/>
          <w:iCs/>
          <w:sz w:val="18"/>
          <w:szCs w:val="18"/>
        </w:rPr>
        <w:t>$455,000 to &lt; $555,000</w:t>
      </w:r>
    </w:p>
    <w:p w14:paraId="19E134B0" w14:textId="4F0EFA11"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2</w:t>
      </w:r>
      <w:r w:rsidRPr="002D4A81">
        <w:rPr>
          <w:rFonts w:ascii="Arial Narrow" w:eastAsia="Times New Roman" w:hAnsi="Arial Narrow"/>
          <w:iCs/>
          <w:sz w:val="18"/>
          <w:szCs w:val="18"/>
        </w:rPr>
        <w:t xml:space="preserve"> </w:t>
      </w:r>
      <w:r w:rsidR="00CB367B" w:rsidRPr="002D4A81">
        <w:rPr>
          <w:rFonts w:ascii="Arial Narrow" w:eastAsia="Times New Roman" w:hAnsi="Arial Narrow"/>
          <w:iCs/>
          <w:sz w:val="18"/>
          <w:szCs w:val="18"/>
        </w:rPr>
        <w:t>$255,000 to &lt; $355,000</w:t>
      </w:r>
    </w:p>
    <w:p w14:paraId="6FAEFB9B" w14:textId="4BF7122E"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3</w:t>
      </w:r>
      <w:r w:rsidRPr="002D4A81">
        <w:rPr>
          <w:rFonts w:ascii="Arial Narrow" w:eastAsia="Times New Roman" w:hAnsi="Arial Narrow"/>
          <w:iCs/>
          <w:sz w:val="18"/>
          <w:szCs w:val="18"/>
        </w:rPr>
        <w:t xml:space="preserve"> </w:t>
      </w:r>
      <w:r w:rsidR="00B2227C" w:rsidRPr="002D4A81">
        <w:rPr>
          <w:rFonts w:ascii="Arial Narrow" w:eastAsia="Times New Roman" w:hAnsi="Arial Narrow"/>
          <w:iCs/>
          <w:sz w:val="18"/>
          <w:szCs w:val="18"/>
        </w:rPr>
        <w:t>$555,000 to &lt; $655,000</w:t>
      </w:r>
    </w:p>
    <w:p w14:paraId="26F767F0" w14:textId="76A74E77"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4</w:t>
      </w:r>
      <w:r w:rsidRPr="002D4A81">
        <w:rPr>
          <w:rFonts w:ascii="Arial Narrow" w:eastAsia="Times New Roman" w:hAnsi="Arial Narrow"/>
          <w:iCs/>
          <w:sz w:val="18"/>
          <w:szCs w:val="18"/>
        </w:rPr>
        <w:t xml:space="preserve"> </w:t>
      </w:r>
      <w:r w:rsidR="00521297" w:rsidRPr="002D4A81">
        <w:rPr>
          <w:rFonts w:ascii="Arial Narrow" w:eastAsia="Times New Roman" w:hAnsi="Arial Narrow"/>
          <w:iCs/>
          <w:sz w:val="18"/>
          <w:szCs w:val="18"/>
        </w:rPr>
        <w:t>$655,000 to &lt; $755,000</w:t>
      </w:r>
    </w:p>
    <w:p w14:paraId="7C5B3B20" w14:textId="12289465"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5</w:t>
      </w:r>
      <w:r w:rsidRPr="002D4A81">
        <w:rPr>
          <w:rFonts w:ascii="Arial Narrow" w:eastAsia="Times New Roman" w:hAnsi="Arial Narrow"/>
          <w:iCs/>
          <w:sz w:val="18"/>
          <w:szCs w:val="18"/>
        </w:rPr>
        <w:t xml:space="preserve"> </w:t>
      </w:r>
      <w:r w:rsidR="000F3620" w:rsidRPr="002D4A81">
        <w:rPr>
          <w:rFonts w:ascii="Arial Narrow" w:eastAsia="Times New Roman" w:hAnsi="Arial Narrow"/>
          <w:iCs/>
          <w:sz w:val="18"/>
          <w:szCs w:val="18"/>
        </w:rPr>
        <w:t>$855,000 to &lt; $955,000</w:t>
      </w:r>
    </w:p>
    <w:p w14:paraId="12DE449E" w14:textId="51117C0D" w:rsidR="00BD4892" w:rsidRPr="002D4A81" w:rsidRDefault="00BD4892" w:rsidP="00020F22">
      <w:pPr>
        <w:widowControl w:val="0"/>
        <w:rPr>
          <w:rFonts w:ascii="Arial Narrow" w:eastAsia="Times New Roman" w:hAnsi="Arial Narrow"/>
          <w:iCs/>
          <w:sz w:val="18"/>
          <w:szCs w:val="18"/>
        </w:rPr>
      </w:pPr>
      <w:r w:rsidRPr="002D4A81">
        <w:rPr>
          <w:rFonts w:ascii="Arial Narrow" w:eastAsia="Times New Roman" w:hAnsi="Arial Narrow"/>
          <w:iCs/>
          <w:sz w:val="18"/>
          <w:szCs w:val="18"/>
          <w:vertAlign w:val="superscript"/>
        </w:rPr>
        <w:t>6</w:t>
      </w:r>
      <w:r w:rsidRPr="002D4A81">
        <w:rPr>
          <w:rFonts w:ascii="Arial Narrow" w:eastAsia="Times New Roman" w:hAnsi="Arial Narrow"/>
          <w:iCs/>
          <w:sz w:val="18"/>
          <w:szCs w:val="18"/>
        </w:rPr>
        <w:t xml:space="preserve"> </w:t>
      </w:r>
      <w:r w:rsidR="00CA4EC9" w:rsidRPr="002D4A81">
        <w:rPr>
          <w:rFonts w:ascii="Arial Narrow" w:eastAsia="Times New Roman" w:hAnsi="Arial Narrow"/>
          <w:iCs/>
          <w:sz w:val="18"/>
          <w:szCs w:val="18"/>
        </w:rPr>
        <w:t>$355,000 to &lt; $455,000</w:t>
      </w:r>
    </w:p>
    <w:p w14:paraId="1CB8C716" w14:textId="46AD0CBD" w:rsidR="00F55BAF" w:rsidRPr="0009282C" w:rsidRDefault="00FF79B6" w:rsidP="00EC48DC">
      <w:pPr>
        <w:pStyle w:val="3-BodyText"/>
        <w:rPr>
          <w:iCs/>
        </w:rPr>
      </w:pPr>
      <w:r w:rsidRPr="0009282C">
        <w:rPr>
          <w:iCs/>
        </w:rPr>
        <w:t>The ESC</w:t>
      </w:r>
      <w:r w:rsidR="00970481" w:rsidRPr="0009282C">
        <w:rPr>
          <w:iCs/>
        </w:rPr>
        <w:t xml:space="preserve"> considered the economic model was associated with a number of uncertainties</w:t>
      </w:r>
      <w:r w:rsidR="002A3C4B" w:rsidRPr="0009282C">
        <w:rPr>
          <w:iCs/>
        </w:rPr>
        <w:t xml:space="preserve"> and potentially </w:t>
      </w:r>
      <w:r w:rsidR="00BD30FF" w:rsidRPr="0009282C">
        <w:rPr>
          <w:iCs/>
        </w:rPr>
        <w:t>optimistic</w:t>
      </w:r>
      <w:r w:rsidR="002A3C4B" w:rsidRPr="0009282C">
        <w:rPr>
          <w:iCs/>
        </w:rPr>
        <w:t xml:space="preserve"> assumptions</w:t>
      </w:r>
      <w:r w:rsidR="00970481" w:rsidRPr="0009282C">
        <w:rPr>
          <w:iCs/>
        </w:rPr>
        <w:t xml:space="preserve">, </w:t>
      </w:r>
      <w:r w:rsidR="0074744E" w:rsidRPr="0009282C">
        <w:rPr>
          <w:iCs/>
        </w:rPr>
        <w:t xml:space="preserve">which </w:t>
      </w:r>
      <w:r w:rsidR="002A3C4B" w:rsidRPr="0009282C">
        <w:rPr>
          <w:iCs/>
        </w:rPr>
        <w:t>if</w:t>
      </w:r>
      <w:r w:rsidR="0074744E" w:rsidRPr="0009282C">
        <w:rPr>
          <w:iCs/>
        </w:rPr>
        <w:t xml:space="preserve"> taken into account would lead to </w:t>
      </w:r>
      <w:r w:rsidR="00003C4B" w:rsidRPr="0009282C">
        <w:rPr>
          <w:iCs/>
        </w:rPr>
        <w:t>a higher</w:t>
      </w:r>
      <w:r w:rsidR="0074744E" w:rsidRPr="0009282C">
        <w:rPr>
          <w:iCs/>
        </w:rPr>
        <w:t xml:space="preserve"> ICER</w:t>
      </w:r>
      <w:r w:rsidR="00003C4B" w:rsidRPr="0009282C">
        <w:rPr>
          <w:iCs/>
        </w:rPr>
        <w:t xml:space="preserve"> than presented</w:t>
      </w:r>
      <w:r w:rsidR="002A3C4B" w:rsidRPr="0009282C">
        <w:rPr>
          <w:iCs/>
        </w:rPr>
        <w:t>.</w:t>
      </w:r>
      <w:r w:rsidR="00D2185D" w:rsidRPr="0009282C">
        <w:rPr>
          <w:iCs/>
        </w:rPr>
        <w:t xml:space="preserve"> Due to the uncertainties related to the economic model, the ESC </w:t>
      </w:r>
      <w:r w:rsidRPr="0009282C">
        <w:rPr>
          <w:iCs/>
        </w:rPr>
        <w:t>considered</w:t>
      </w:r>
      <w:r w:rsidR="007F127D" w:rsidRPr="0009282C">
        <w:rPr>
          <w:iCs/>
        </w:rPr>
        <w:t xml:space="preserve"> a</w:t>
      </w:r>
      <w:r w:rsidR="00380A76" w:rsidRPr="0009282C">
        <w:rPr>
          <w:iCs/>
        </w:rPr>
        <w:t xml:space="preserve"> supplementary </w:t>
      </w:r>
      <w:r w:rsidR="007F127D" w:rsidRPr="0009282C">
        <w:rPr>
          <w:iCs/>
        </w:rPr>
        <w:t xml:space="preserve">method for assessing the cost-effectiveness of </w:t>
      </w:r>
      <w:proofErr w:type="spellStart"/>
      <w:r w:rsidR="00326B71" w:rsidRPr="0009282C">
        <w:rPr>
          <w:iCs/>
        </w:rPr>
        <w:t>lumasiran</w:t>
      </w:r>
      <w:proofErr w:type="spellEnd"/>
      <w:r w:rsidR="007F127D" w:rsidRPr="0009282C">
        <w:rPr>
          <w:iCs/>
        </w:rPr>
        <w:t xml:space="preserve"> versus </w:t>
      </w:r>
      <w:r w:rsidR="00326B71" w:rsidRPr="0009282C">
        <w:rPr>
          <w:iCs/>
        </w:rPr>
        <w:t>BSC</w:t>
      </w:r>
      <w:r w:rsidR="007F127D" w:rsidRPr="0009282C">
        <w:rPr>
          <w:iCs/>
        </w:rPr>
        <w:t xml:space="preserve"> </w:t>
      </w:r>
      <w:r w:rsidR="00380A76" w:rsidRPr="0009282C">
        <w:rPr>
          <w:iCs/>
        </w:rPr>
        <w:t xml:space="preserve">may be </w:t>
      </w:r>
      <w:r w:rsidR="00B64D30" w:rsidRPr="0009282C">
        <w:rPr>
          <w:iCs/>
        </w:rPr>
        <w:t>informative</w:t>
      </w:r>
      <w:r w:rsidR="00326B71" w:rsidRPr="0009282C">
        <w:rPr>
          <w:iCs/>
        </w:rPr>
        <w:t>. T</w:t>
      </w:r>
      <w:r w:rsidR="008911D2" w:rsidRPr="0009282C">
        <w:rPr>
          <w:iCs/>
        </w:rPr>
        <w:t xml:space="preserve">he PBAC </w:t>
      </w:r>
      <w:r w:rsidR="00F32A3D" w:rsidRPr="0009282C">
        <w:rPr>
          <w:iCs/>
        </w:rPr>
        <w:t xml:space="preserve">has </w:t>
      </w:r>
      <w:r w:rsidR="00606A3C" w:rsidRPr="0009282C">
        <w:rPr>
          <w:iCs/>
        </w:rPr>
        <w:t>made</w:t>
      </w:r>
      <w:r w:rsidR="008911D2" w:rsidRPr="0009282C">
        <w:rPr>
          <w:iCs/>
        </w:rPr>
        <w:t xml:space="preserve"> previous decisions using incremental cost per responder </w:t>
      </w:r>
      <w:r w:rsidR="00323081" w:rsidRPr="0009282C">
        <w:rPr>
          <w:iCs/>
        </w:rPr>
        <w:t>analyses</w:t>
      </w:r>
      <w:r w:rsidR="008911D2" w:rsidRPr="0009282C">
        <w:rPr>
          <w:iCs/>
        </w:rPr>
        <w:t xml:space="preserve"> (Table 10, </w:t>
      </w:r>
      <w:proofErr w:type="spellStart"/>
      <w:r w:rsidR="008911D2" w:rsidRPr="0009282C">
        <w:rPr>
          <w:iCs/>
        </w:rPr>
        <w:t>osildrostat</w:t>
      </w:r>
      <w:proofErr w:type="spellEnd"/>
      <w:r w:rsidR="008911D2" w:rsidRPr="0009282C">
        <w:rPr>
          <w:iCs/>
        </w:rPr>
        <w:t xml:space="preserve"> </w:t>
      </w:r>
      <w:r w:rsidR="00D606ED">
        <w:rPr>
          <w:iCs/>
        </w:rPr>
        <w:t>Public Summary Document (</w:t>
      </w:r>
      <w:r w:rsidR="008911D2" w:rsidRPr="0009282C">
        <w:rPr>
          <w:iCs/>
        </w:rPr>
        <w:t>PSD</w:t>
      </w:r>
      <w:r w:rsidR="00D606ED">
        <w:rPr>
          <w:iCs/>
        </w:rPr>
        <w:t>)</w:t>
      </w:r>
      <w:r w:rsidR="008911D2" w:rsidRPr="0009282C">
        <w:rPr>
          <w:iCs/>
        </w:rPr>
        <w:t>, March 2024 PBAC meeting)</w:t>
      </w:r>
      <w:r w:rsidR="00326B71" w:rsidRPr="0009282C">
        <w:rPr>
          <w:iCs/>
        </w:rPr>
        <w:t>.</w:t>
      </w:r>
    </w:p>
    <w:p w14:paraId="49302316" w14:textId="3E870182" w:rsidR="008A285F" w:rsidRPr="0009282C" w:rsidRDefault="00B116AE" w:rsidP="00EC48DC">
      <w:pPr>
        <w:pStyle w:val="3-BodyText"/>
        <w:rPr>
          <w:iCs/>
        </w:rPr>
      </w:pPr>
      <w:r w:rsidRPr="0009282C">
        <w:rPr>
          <w:iCs/>
        </w:rPr>
        <w:t xml:space="preserve">Cost per responder </w:t>
      </w:r>
      <w:r w:rsidR="00E35971" w:rsidRPr="0009282C">
        <w:rPr>
          <w:iCs/>
        </w:rPr>
        <w:t>analyses</w:t>
      </w:r>
      <w:r w:rsidRPr="0009282C">
        <w:rPr>
          <w:iCs/>
        </w:rPr>
        <w:t xml:space="preserve"> are provided in </w:t>
      </w:r>
      <w:r w:rsidR="00AA221D" w:rsidRPr="0009282C">
        <w:rPr>
          <w:iCs/>
        </w:rPr>
        <w:fldChar w:fldCharType="begin" w:fldLock="1"/>
      </w:r>
      <w:r w:rsidR="00AA221D" w:rsidRPr="0009282C">
        <w:rPr>
          <w:iCs/>
        </w:rPr>
        <w:instrText xml:space="preserve"> REF _Ref190690482 \h </w:instrText>
      </w:r>
      <w:r w:rsidR="00ED515B" w:rsidRPr="0009282C">
        <w:rPr>
          <w:iCs/>
        </w:rPr>
        <w:instrText xml:space="preserve"> \* MERGEFORMAT </w:instrText>
      </w:r>
      <w:r w:rsidR="00AA221D" w:rsidRPr="0009282C">
        <w:rPr>
          <w:iCs/>
        </w:rPr>
      </w:r>
      <w:r w:rsidR="00AA221D" w:rsidRPr="0009282C">
        <w:rPr>
          <w:iCs/>
        </w:rPr>
        <w:fldChar w:fldCharType="separate"/>
      </w:r>
      <w:r w:rsidR="00771DFF" w:rsidRPr="0009282C">
        <w:rPr>
          <w:iCs/>
        </w:rPr>
        <w:t xml:space="preserve">Table </w:t>
      </w:r>
      <w:r w:rsidR="00771DFF">
        <w:rPr>
          <w:iCs/>
          <w:noProof/>
        </w:rPr>
        <w:t>17</w:t>
      </w:r>
      <w:r w:rsidR="00AA221D" w:rsidRPr="0009282C">
        <w:rPr>
          <w:iCs/>
        </w:rPr>
        <w:fldChar w:fldCharType="end"/>
      </w:r>
      <w:r w:rsidR="00AA221D" w:rsidRPr="0009282C">
        <w:rPr>
          <w:iCs/>
        </w:rPr>
        <w:t>.</w:t>
      </w:r>
    </w:p>
    <w:p w14:paraId="16458FDC" w14:textId="6F50EEA0" w:rsidR="00B116AE" w:rsidRPr="0009282C" w:rsidRDefault="006A7C2B" w:rsidP="00C24F68">
      <w:pPr>
        <w:pStyle w:val="Caption"/>
        <w:rPr>
          <w:iCs/>
        </w:rPr>
      </w:pPr>
      <w:bookmarkStart w:id="71" w:name="_Ref190690482"/>
      <w:r w:rsidRPr="0009282C">
        <w:rPr>
          <w:iCs/>
        </w:rPr>
        <w:t xml:space="preserve">Table </w:t>
      </w:r>
      <w:r w:rsidRPr="0009282C">
        <w:rPr>
          <w:iCs/>
        </w:rPr>
        <w:fldChar w:fldCharType="begin" w:fldLock="1"/>
      </w:r>
      <w:r w:rsidRPr="0009282C">
        <w:rPr>
          <w:iCs/>
        </w:rPr>
        <w:instrText xml:space="preserve"> SEQ Table \* ARABIC </w:instrText>
      </w:r>
      <w:r w:rsidRPr="0009282C">
        <w:rPr>
          <w:iCs/>
        </w:rPr>
        <w:fldChar w:fldCharType="separate"/>
      </w:r>
      <w:r w:rsidR="00771DFF">
        <w:rPr>
          <w:iCs/>
          <w:noProof/>
        </w:rPr>
        <w:t>17</w:t>
      </w:r>
      <w:r w:rsidRPr="0009282C">
        <w:rPr>
          <w:iCs/>
        </w:rPr>
        <w:fldChar w:fldCharType="end"/>
      </w:r>
      <w:bookmarkEnd w:id="71"/>
      <w:r w:rsidRPr="0009282C">
        <w:rPr>
          <w:iCs/>
        </w:rPr>
        <w:t>:</w:t>
      </w:r>
      <w:r w:rsidR="00E35971" w:rsidRPr="0009282C">
        <w:rPr>
          <w:iCs/>
        </w:rPr>
        <w:t xml:space="preserve"> Cost and clinical outcome ratio analyses</w:t>
      </w:r>
      <w:r w:rsidR="000E19EA" w:rsidRPr="0009282C">
        <w:rPr>
          <w:iCs/>
        </w:rPr>
        <w:t xml:space="preserve"> </w:t>
      </w:r>
      <w:r w:rsidR="00FC5A25" w:rsidRPr="0009282C">
        <w:rPr>
          <w:iCs/>
        </w:rPr>
        <w:t>at 6 months and over a lifetime</w:t>
      </w:r>
      <w:r w:rsidR="000E19EA" w:rsidRPr="0009282C">
        <w:rPr>
          <w:iCs/>
          <w:vertAlign w:val="superscript"/>
        </w:rPr>
        <w:t xml:space="preserve">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41"/>
        <w:gridCol w:w="2130"/>
        <w:gridCol w:w="1834"/>
        <w:gridCol w:w="1812"/>
      </w:tblGrid>
      <w:tr w:rsidR="00E85F60" w:rsidRPr="0009282C" w14:paraId="3FAEF14D" w14:textId="77777777" w:rsidTr="00B90CF8">
        <w:trPr>
          <w:tblHeader/>
        </w:trPr>
        <w:tc>
          <w:tcPr>
            <w:tcW w:w="1788" w:type="pct"/>
            <w:vAlign w:val="center"/>
          </w:tcPr>
          <w:p w14:paraId="696460EB" w14:textId="77777777" w:rsidR="0099352E" w:rsidRPr="0009282C" w:rsidRDefault="0099352E" w:rsidP="00C24F68">
            <w:pPr>
              <w:pStyle w:val="In-tableHeading"/>
              <w:rPr>
                <w:iCs/>
                <w:szCs w:val="20"/>
                <w:lang w:val="en-AU"/>
              </w:rPr>
            </w:pPr>
            <w:r w:rsidRPr="0009282C">
              <w:rPr>
                <w:iCs/>
                <w:szCs w:val="20"/>
                <w:lang w:val="en-AU"/>
              </w:rPr>
              <w:t>Step and component</w:t>
            </w:r>
          </w:p>
        </w:tc>
        <w:tc>
          <w:tcPr>
            <w:tcW w:w="1181" w:type="pct"/>
            <w:vAlign w:val="center"/>
          </w:tcPr>
          <w:p w14:paraId="550760FF" w14:textId="5055299D" w:rsidR="0098399B" w:rsidRPr="0009282C" w:rsidRDefault="0099352E" w:rsidP="00C24F68">
            <w:pPr>
              <w:pStyle w:val="In-tableHeading"/>
              <w:jc w:val="center"/>
              <w:rPr>
                <w:iCs/>
                <w:szCs w:val="20"/>
                <w:lang w:val="en-AU"/>
              </w:rPr>
            </w:pPr>
            <w:proofErr w:type="spellStart"/>
            <w:r w:rsidRPr="0009282C">
              <w:rPr>
                <w:iCs/>
                <w:szCs w:val="20"/>
                <w:lang w:val="en-AU"/>
              </w:rPr>
              <w:t>Lumasiran</w:t>
            </w:r>
            <w:proofErr w:type="spellEnd"/>
          </w:p>
          <w:p w14:paraId="4B96A200" w14:textId="1BD4FD55" w:rsidR="0099352E" w:rsidRPr="0009282C" w:rsidRDefault="00783E7D" w:rsidP="00C24F68">
            <w:pPr>
              <w:pStyle w:val="In-tableHeading"/>
              <w:jc w:val="center"/>
              <w:rPr>
                <w:iCs/>
                <w:szCs w:val="20"/>
                <w:lang w:val="en-AU"/>
              </w:rPr>
            </w:pPr>
            <w:r w:rsidRPr="0009282C">
              <w:rPr>
                <w:iCs/>
                <w:szCs w:val="20"/>
                <w:lang w:val="en-AU"/>
              </w:rPr>
              <w:t>+ BSC</w:t>
            </w:r>
          </w:p>
        </w:tc>
        <w:tc>
          <w:tcPr>
            <w:tcW w:w="1017" w:type="pct"/>
            <w:vAlign w:val="center"/>
          </w:tcPr>
          <w:p w14:paraId="6CD1AEAB" w14:textId="7C47C310" w:rsidR="0099352E" w:rsidRPr="0009282C" w:rsidRDefault="00FF0605" w:rsidP="00C24F68">
            <w:pPr>
              <w:pStyle w:val="In-tableHeading"/>
              <w:jc w:val="center"/>
              <w:rPr>
                <w:iCs/>
                <w:szCs w:val="20"/>
                <w:lang w:val="en-AU"/>
              </w:rPr>
            </w:pPr>
            <w:r w:rsidRPr="0009282C">
              <w:rPr>
                <w:iCs/>
                <w:szCs w:val="20"/>
                <w:lang w:val="en-AU"/>
              </w:rPr>
              <w:t>BSC</w:t>
            </w:r>
          </w:p>
        </w:tc>
        <w:tc>
          <w:tcPr>
            <w:tcW w:w="1014" w:type="pct"/>
            <w:vAlign w:val="center"/>
          </w:tcPr>
          <w:p w14:paraId="4326B9B3" w14:textId="77777777" w:rsidR="0099352E" w:rsidRPr="0009282C" w:rsidRDefault="0099352E" w:rsidP="00C24F68">
            <w:pPr>
              <w:pStyle w:val="In-tableHeading"/>
              <w:jc w:val="center"/>
              <w:rPr>
                <w:iCs/>
                <w:szCs w:val="20"/>
                <w:lang w:val="en-AU"/>
              </w:rPr>
            </w:pPr>
            <w:r w:rsidRPr="0009282C">
              <w:rPr>
                <w:iCs/>
                <w:szCs w:val="20"/>
                <w:lang w:val="en-AU"/>
              </w:rPr>
              <w:t>Increment</w:t>
            </w:r>
          </w:p>
        </w:tc>
      </w:tr>
      <w:tr w:rsidR="00E85F60" w:rsidRPr="0009282C" w14:paraId="654FEE54" w14:textId="77777777" w:rsidTr="001640F2">
        <w:trPr>
          <w:trHeight w:val="64"/>
          <w:tblHeader/>
        </w:trPr>
        <w:tc>
          <w:tcPr>
            <w:tcW w:w="1788" w:type="pct"/>
          </w:tcPr>
          <w:p w14:paraId="356BF8AE" w14:textId="30286996" w:rsidR="0099352E" w:rsidRPr="0009282C" w:rsidRDefault="0099352E" w:rsidP="00C24F68">
            <w:pPr>
              <w:pStyle w:val="NoSpacing"/>
              <w:keepNext/>
              <w:keepLines/>
              <w:widowControl/>
              <w:rPr>
                <w:rFonts w:ascii="Arial Narrow" w:hAnsi="Arial Narrow" w:cs="Calibri"/>
                <w:iCs/>
                <w:sz w:val="20"/>
              </w:rPr>
            </w:pPr>
            <w:proofErr w:type="spellStart"/>
            <w:r w:rsidRPr="0009282C">
              <w:rPr>
                <w:rFonts w:ascii="Arial Narrow" w:hAnsi="Arial Narrow" w:cs="Calibri"/>
                <w:iCs/>
                <w:sz w:val="20"/>
              </w:rPr>
              <w:t>Lumasiran</w:t>
            </w:r>
            <w:proofErr w:type="spellEnd"/>
            <w:r w:rsidRPr="0009282C">
              <w:rPr>
                <w:rFonts w:ascii="Arial Narrow" w:hAnsi="Arial Narrow" w:cs="Calibri"/>
                <w:iCs/>
                <w:sz w:val="20"/>
              </w:rPr>
              <w:t xml:space="preserve"> costs per 6 months</w:t>
            </w:r>
          </w:p>
        </w:tc>
        <w:tc>
          <w:tcPr>
            <w:tcW w:w="1181" w:type="pct"/>
          </w:tcPr>
          <w:p w14:paraId="0A2FFFA9" w14:textId="5E9CD5DF" w:rsidR="0099352E" w:rsidRPr="0009282C" w:rsidRDefault="0099352E" w:rsidP="00C24F68">
            <w:pPr>
              <w:pStyle w:val="TableText0"/>
              <w:keepNext/>
              <w:keepLines/>
              <w:jc w:val="center"/>
              <w:rPr>
                <w:rFonts w:cs="Calibri"/>
                <w:iCs/>
                <w:szCs w:val="20"/>
              </w:rPr>
            </w:pPr>
            <w:r w:rsidRPr="0009282C">
              <w:rPr>
                <w:rFonts w:cs="Calibri"/>
                <w:iCs/>
                <w:szCs w:val="20"/>
              </w:rPr>
              <w:t>$</w:t>
            </w:r>
            <w:r w:rsidR="002212A2" w:rsidRPr="002212A2">
              <w:rPr>
                <w:rFonts w:cs="Calibri"/>
                <w:iCs/>
                <w:color w:val="000000"/>
                <w:spacing w:val="53"/>
                <w:szCs w:val="20"/>
                <w:shd w:val="solid" w:color="000000" w:fill="000000"/>
                <w:fitText w:val="330" w:id="-694423800"/>
                <w14:textFill>
                  <w14:solidFill>
                    <w14:srgbClr w14:val="000000">
                      <w14:alpha w14:val="100000"/>
                    </w14:srgbClr>
                  </w14:solidFill>
                </w14:textFill>
              </w:rPr>
              <w:t>|||</w:t>
            </w:r>
            <w:r w:rsidR="002212A2" w:rsidRPr="002212A2">
              <w:rPr>
                <w:rFonts w:cs="Calibri"/>
                <w:iCs/>
                <w:color w:val="000000"/>
                <w:spacing w:val="1"/>
                <w:szCs w:val="20"/>
                <w:shd w:val="solid" w:color="000000" w:fill="000000"/>
                <w:fitText w:val="330" w:id="-694423800"/>
                <w14:textFill>
                  <w14:solidFill>
                    <w14:srgbClr w14:val="000000">
                      <w14:alpha w14:val="100000"/>
                    </w14:srgbClr>
                  </w14:solidFill>
                </w14:textFill>
              </w:rPr>
              <w:t>|</w:t>
            </w:r>
            <w:r w:rsidR="00CC6BA2" w:rsidRPr="0009282C">
              <w:rPr>
                <w:iCs/>
                <w:vertAlign w:val="superscript"/>
              </w:rPr>
              <w:t>b</w:t>
            </w:r>
          </w:p>
        </w:tc>
        <w:tc>
          <w:tcPr>
            <w:tcW w:w="1017" w:type="pct"/>
          </w:tcPr>
          <w:p w14:paraId="6E6F9EB4" w14:textId="743B2BDA" w:rsidR="0099352E" w:rsidRPr="0009282C" w:rsidRDefault="0099352E" w:rsidP="00C24F68">
            <w:pPr>
              <w:pStyle w:val="TableText0"/>
              <w:keepNext/>
              <w:keepLines/>
              <w:jc w:val="center"/>
              <w:rPr>
                <w:rFonts w:cs="Calibri"/>
                <w:iCs/>
                <w:szCs w:val="20"/>
              </w:rPr>
            </w:pPr>
            <w:r w:rsidRPr="0009282C">
              <w:rPr>
                <w:rFonts w:cs="Calibri"/>
                <w:iCs/>
                <w:szCs w:val="20"/>
              </w:rPr>
              <w:t>$</w:t>
            </w:r>
            <w:r w:rsidR="00634435" w:rsidRPr="0009282C">
              <w:rPr>
                <w:rFonts w:cs="Calibri"/>
                <w:iCs/>
                <w:szCs w:val="20"/>
              </w:rPr>
              <w:t>0</w:t>
            </w:r>
          </w:p>
        </w:tc>
        <w:tc>
          <w:tcPr>
            <w:tcW w:w="1014" w:type="pct"/>
          </w:tcPr>
          <w:p w14:paraId="4B2854F4" w14:textId="244F76DD" w:rsidR="0099352E" w:rsidRPr="0009282C" w:rsidRDefault="0099352E" w:rsidP="00C24F68">
            <w:pPr>
              <w:pStyle w:val="TableText0"/>
              <w:keepNext/>
              <w:keepLines/>
              <w:jc w:val="center"/>
              <w:rPr>
                <w:rFonts w:cs="Calibri"/>
                <w:iCs/>
                <w:szCs w:val="20"/>
              </w:rPr>
            </w:pPr>
            <w:r w:rsidRPr="0009282C">
              <w:rPr>
                <w:rFonts w:cs="Calibri"/>
                <w:iCs/>
                <w:szCs w:val="20"/>
              </w:rPr>
              <w:t>$</w:t>
            </w:r>
            <w:r w:rsidR="002212A2" w:rsidRPr="002212A2">
              <w:rPr>
                <w:rFonts w:cs="Calibri"/>
                <w:iCs/>
                <w:color w:val="000000"/>
                <w:spacing w:val="53"/>
                <w:szCs w:val="20"/>
                <w:shd w:val="solid" w:color="000000" w:fill="000000"/>
                <w:fitText w:val="330" w:id="-694423799"/>
                <w14:textFill>
                  <w14:solidFill>
                    <w14:srgbClr w14:val="000000">
                      <w14:alpha w14:val="100000"/>
                    </w14:srgbClr>
                  </w14:solidFill>
                </w14:textFill>
              </w:rPr>
              <w:t>|||</w:t>
            </w:r>
            <w:r w:rsidR="002212A2" w:rsidRPr="002212A2">
              <w:rPr>
                <w:rFonts w:cs="Calibri"/>
                <w:iCs/>
                <w:color w:val="000000"/>
                <w:spacing w:val="1"/>
                <w:szCs w:val="20"/>
                <w:shd w:val="solid" w:color="000000" w:fill="000000"/>
                <w:fitText w:val="330" w:id="-694423799"/>
                <w14:textFill>
                  <w14:solidFill>
                    <w14:srgbClr w14:val="000000">
                      <w14:alpha w14:val="100000"/>
                    </w14:srgbClr>
                  </w14:solidFill>
                </w14:textFill>
              </w:rPr>
              <w:t>|</w:t>
            </w:r>
          </w:p>
        </w:tc>
      </w:tr>
      <w:tr w:rsidR="00D32A77" w:rsidRPr="0009282C" w14:paraId="3F2E4BAB" w14:textId="77777777" w:rsidTr="00D32A77">
        <w:trPr>
          <w:tblHeader/>
        </w:trPr>
        <w:tc>
          <w:tcPr>
            <w:tcW w:w="5000" w:type="pct"/>
            <w:gridSpan w:val="4"/>
            <w:vAlign w:val="center"/>
          </w:tcPr>
          <w:p w14:paraId="68F94DE5" w14:textId="77777777" w:rsidR="00D32A77" w:rsidRPr="0009282C" w:rsidRDefault="00D32A77" w:rsidP="00C24F68">
            <w:pPr>
              <w:pStyle w:val="TableText0"/>
              <w:keepNext/>
              <w:keepLines/>
              <w:jc w:val="center"/>
              <w:rPr>
                <w:rFonts w:cs="Calibri"/>
                <w:iCs/>
                <w:szCs w:val="20"/>
              </w:rPr>
            </w:pPr>
          </w:p>
        </w:tc>
      </w:tr>
      <w:tr w:rsidR="00E85F60" w:rsidRPr="0009282C" w14:paraId="1D4B8B11" w14:textId="77777777" w:rsidTr="001640F2">
        <w:trPr>
          <w:tblHeader/>
        </w:trPr>
        <w:tc>
          <w:tcPr>
            <w:tcW w:w="1788" w:type="pct"/>
            <w:vAlign w:val="center"/>
          </w:tcPr>
          <w:p w14:paraId="74DD28C9" w14:textId="77777777" w:rsidR="009740C8" w:rsidRPr="0009282C" w:rsidRDefault="0099352E" w:rsidP="00C24F68">
            <w:pPr>
              <w:pStyle w:val="NoSpacing"/>
              <w:keepNext/>
              <w:keepLines/>
              <w:widowControl/>
              <w:rPr>
                <w:rFonts w:ascii="Arial Narrow" w:hAnsi="Arial Narrow" w:cs="Calibri"/>
                <w:iCs/>
                <w:sz w:val="20"/>
              </w:rPr>
            </w:pPr>
            <w:r w:rsidRPr="0009282C">
              <w:rPr>
                <w:rFonts w:ascii="Arial Narrow" w:hAnsi="Arial Narrow" w:cs="Calibri"/>
                <w:iCs/>
                <w:sz w:val="20"/>
              </w:rPr>
              <w:t xml:space="preserve">Proportion of patients 24-h urinary oxalate </w:t>
            </w:r>
          </w:p>
          <w:p w14:paraId="4676F69D" w14:textId="2DAD987B" w:rsidR="0099352E" w:rsidRPr="0009282C" w:rsidRDefault="009740C8" w:rsidP="00C24F68">
            <w:pPr>
              <w:pStyle w:val="NoSpacing"/>
              <w:keepNext/>
              <w:keepLines/>
              <w:widowControl/>
              <w:rPr>
                <w:rFonts w:ascii="Arial Narrow" w:hAnsi="Arial Narrow" w:cs="Calibri"/>
                <w:iCs/>
                <w:sz w:val="20"/>
              </w:rPr>
            </w:pPr>
            <w:r w:rsidRPr="0009282C">
              <w:rPr>
                <w:rFonts w:ascii="Arial Narrow" w:hAnsi="Arial Narrow" w:cs="Calibri"/>
                <w:iCs/>
                <w:sz w:val="20"/>
              </w:rPr>
              <w:t>≤</w:t>
            </w:r>
            <w:r w:rsidR="0099352E" w:rsidRPr="0009282C">
              <w:rPr>
                <w:rFonts w:ascii="Arial Narrow" w:hAnsi="Arial Narrow" w:cs="Calibri"/>
                <w:iCs/>
                <w:sz w:val="20"/>
              </w:rPr>
              <w:t>ULN</w:t>
            </w:r>
            <w:r w:rsidR="006644B6" w:rsidRPr="0009282C">
              <w:rPr>
                <w:rFonts w:ascii="Arial Narrow" w:hAnsi="Arial Narrow" w:cs="Calibri"/>
                <w:iCs/>
                <w:sz w:val="20"/>
              </w:rPr>
              <w:t xml:space="preserve"> (at 6 months)</w:t>
            </w:r>
          </w:p>
        </w:tc>
        <w:tc>
          <w:tcPr>
            <w:tcW w:w="1181" w:type="pct"/>
            <w:vAlign w:val="center"/>
          </w:tcPr>
          <w:p w14:paraId="5CDFC6AA" w14:textId="3C976F6D" w:rsidR="0099352E" w:rsidRPr="0009282C" w:rsidRDefault="00D650DF" w:rsidP="00C24F68">
            <w:pPr>
              <w:pStyle w:val="TableText0"/>
              <w:keepNext/>
              <w:keepLines/>
              <w:jc w:val="center"/>
              <w:rPr>
                <w:rFonts w:cs="Calibri"/>
                <w:iCs/>
                <w:szCs w:val="20"/>
              </w:rPr>
            </w:pPr>
            <w:r w:rsidRPr="0009282C">
              <w:rPr>
                <w:rFonts w:cs="Calibri"/>
                <w:iCs/>
                <w:szCs w:val="20"/>
              </w:rPr>
              <w:t>0.52</w:t>
            </w:r>
          </w:p>
        </w:tc>
        <w:tc>
          <w:tcPr>
            <w:tcW w:w="1017" w:type="pct"/>
            <w:vAlign w:val="center"/>
          </w:tcPr>
          <w:p w14:paraId="0FD55B9A" w14:textId="301D9273" w:rsidR="0099352E" w:rsidRPr="0009282C" w:rsidRDefault="00D650DF" w:rsidP="00C24F68">
            <w:pPr>
              <w:pStyle w:val="TableText0"/>
              <w:keepNext/>
              <w:keepLines/>
              <w:jc w:val="center"/>
              <w:rPr>
                <w:rFonts w:cs="Calibri"/>
                <w:iCs/>
                <w:szCs w:val="20"/>
              </w:rPr>
            </w:pPr>
            <w:r w:rsidRPr="0009282C">
              <w:rPr>
                <w:rFonts w:cs="Calibri"/>
                <w:iCs/>
                <w:szCs w:val="20"/>
              </w:rPr>
              <w:t>0.00</w:t>
            </w:r>
          </w:p>
        </w:tc>
        <w:tc>
          <w:tcPr>
            <w:tcW w:w="1014" w:type="pct"/>
            <w:vAlign w:val="center"/>
          </w:tcPr>
          <w:p w14:paraId="0727CF62" w14:textId="25CA8EEC" w:rsidR="0099352E" w:rsidRPr="0009282C" w:rsidRDefault="00D650DF" w:rsidP="00C24F68">
            <w:pPr>
              <w:pStyle w:val="TableText0"/>
              <w:keepNext/>
              <w:keepLines/>
              <w:jc w:val="center"/>
              <w:rPr>
                <w:rFonts w:cs="Calibri"/>
                <w:iCs/>
                <w:szCs w:val="20"/>
              </w:rPr>
            </w:pPr>
            <w:r w:rsidRPr="0009282C">
              <w:rPr>
                <w:rFonts w:cs="Calibri"/>
                <w:iCs/>
                <w:szCs w:val="20"/>
              </w:rPr>
              <w:t>0.52</w:t>
            </w:r>
          </w:p>
        </w:tc>
      </w:tr>
      <w:tr w:rsidR="001640F2" w:rsidRPr="0009282C" w14:paraId="1A5DBAEC" w14:textId="77777777" w:rsidTr="001640F2">
        <w:trPr>
          <w:trHeight w:val="136"/>
          <w:tblHeader/>
        </w:trPr>
        <w:tc>
          <w:tcPr>
            <w:tcW w:w="3986" w:type="pct"/>
            <w:gridSpan w:val="3"/>
            <w:vAlign w:val="center"/>
          </w:tcPr>
          <w:p w14:paraId="7622C1F2" w14:textId="609F7BD8" w:rsidR="0099352E" w:rsidRPr="0009282C" w:rsidRDefault="0099352E" w:rsidP="00C24F68">
            <w:pPr>
              <w:pStyle w:val="NoSpacing"/>
              <w:keepNext/>
              <w:keepLines/>
              <w:widowControl/>
              <w:rPr>
                <w:rFonts w:ascii="Arial Narrow" w:hAnsi="Arial Narrow" w:cs="Calibri"/>
                <w:b/>
                <w:bCs/>
                <w:iCs/>
                <w:sz w:val="20"/>
              </w:rPr>
            </w:pPr>
            <w:r w:rsidRPr="0009282C">
              <w:rPr>
                <w:rFonts w:ascii="Arial Narrow" w:hAnsi="Arial Narrow" w:cs="Calibri"/>
                <w:b/>
                <w:bCs/>
                <w:iCs/>
                <w:sz w:val="20"/>
              </w:rPr>
              <w:t xml:space="preserve">Incremental cost per patient with a </w:t>
            </w:r>
            <w:r w:rsidR="00361F2D" w:rsidRPr="0009282C">
              <w:rPr>
                <w:rFonts w:ascii="Arial Narrow" w:hAnsi="Arial Narrow" w:cs="Calibri"/>
                <w:b/>
                <w:bCs/>
                <w:iCs/>
                <w:sz w:val="20"/>
              </w:rPr>
              <w:t>24-h urinary oxalate ≤ULN</w:t>
            </w:r>
          </w:p>
        </w:tc>
        <w:tc>
          <w:tcPr>
            <w:tcW w:w="1014" w:type="pct"/>
            <w:vAlign w:val="center"/>
          </w:tcPr>
          <w:p w14:paraId="2E7758A7" w14:textId="2DBE6807" w:rsidR="0099352E" w:rsidRPr="00B90CF8" w:rsidRDefault="00361F2D" w:rsidP="00C24F68">
            <w:pPr>
              <w:pStyle w:val="TableText0"/>
              <w:keepNext/>
              <w:keepLines/>
              <w:jc w:val="center"/>
              <w:rPr>
                <w:b/>
                <w:iCs/>
                <w:vertAlign w:val="superscript"/>
              </w:rPr>
            </w:pPr>
            <w:r w:rsidRPr="0009282C">
              <w:rPr>
                <w:rFonts w:cs="Calibri"/>
                <w:b/>
                <w:iCs/>
                <w:szCs w:val="20"/>
              </w:rPr>
              <w:t>$</w:t>
            </w:r>
            <w:r w:rsidR="002212A2" w:rsidRPr="002212A2">
              <w:rPr>
                <w:rFonts w:cs="Calibri"/>
                <w:b/>
                <w:iCs/>
                <w:color w:val="000000"/>
                <w:spacing w:val="58"/>
                <w:szCs w:val="20"/>
                <w:shd w:val="solid" w:color="000000" w:fill="000000"/>
                <w:fitText w:val="360" w:id="-694423798"/>
                <w14:textFill>
                  <w14:solidFill>
                    <w14:srgbClr w14:val="000000">
                      <w14:alpha w14:val="100000"/>
                    </w14:srgbClr>
                  </w14:solidFill>
                </w14:textFill>
              </w:rPr>
              <w:t>|||</w:t>
            </w:r>
            <w:r w:rsidR="002212A2" w:rsidRPr="002212A2">
              <w:rPr>
                <w:rFonts w:cs="Calibri"/>
                <w:b/>
                <w:iCs/>
                <w:color w:val="000000"/>
                <w:spacing w:val="3"/>
                <w:szCs w:val="20"/>
                <w:shd w:val="solid" w:color="000000" w:fill="000000"/>
                <w:fitText w:val="360" w:id="-694423798"/>
                <w14:textFill>
                  <w14:solidFill>
                    <w14:srgbClr w14:val="000000">
                      <w14:alpha w14:val="100000"/>
                    </w14:srgbClr>
                  </w14:solidFill>
                </w14:textFill>
              </w:rPr>
              <w:t>|</w:t>
            </w:r>
            <w:r w:rsidR="00B90CF8">
              <w:rPr>
                <w:rFonts w:cs="Calibri"/>
                <w:b/>
                <w:iCs/>
                <w:szCs w:val="20"/>
                <w:vertAlign w:val="superscript"/>
              </w:rPr>
              <w:t xml:space="preserve"> 1</w:t>
            </w:r>
          </w:p>
        </w:tc>
      </w:tr>
      <w:tr w:rsidR="00D32A77" w:rsidRPr="0009282C" w14:paraId="38447E73" w14:textId="77777777" w:rsidTr="00D32A77">
        <w:trPr>
          <w:tblHeader/>
        </w:trPr>
        <w:tc>
          <w:tcPr>
            <w:tcW w:w="5000" w:type="pct"/>
            <w:gridSpan w:val="4"/>
            <w:vAlign w:val="center"/>
          </w:tcPr>
          <w:p w14:paraId="3130CD66" w14:textId="77777777" w:rsidR="00D32A77" w:rsidRPr="0009282C" w:rsidRDefault="00D32A77" w:rsidP="00C24F68">
            <w:pPr>
              <w:pStyle w:val="TableText0"/>
              <w:keepNext/>
              <w:keepLines/>
              <w:jc w:val="center"/>
              <w:rPr>
                <w:rFonts w:cs="Calibri"/>
                <w:iCs/>
                <w:szCs w:val="20"/>
              </w:rPr>
            </w:pPr>
          </w:p>
        </w:tc>
      </w:tr>
      <w:tr w:rsidR="001640F2" w:rsidRPr="0009282C" w14:paraId="4C564C0A" w14:textId="77777777" w:rsidTr="001640F2">
        <w:trPr>
          <w:tblHeader/>
        </w:trPr>
        <w:tc>
          <w:tcPr>
            <w:tcW w:w="1788" w:type="pct"/>
            <w:vAlign w:val="center"/>
          </w:tcPr>
          <w:p w14:paraId="0D207E04" w14:textId="7B5D2728" w:rsidR="00E85F60" w:rsidRPr="0009282C" w:rsidRDefault="00E85F60" w:rsidP="00C24F68">
            <w:pPr>
              <w:pStyle w:val="NoSpacing"/>
              <w:keepNext/>
              <w:keepLines/>
              <w:widowControl/>
              <w:jc w:val="left"/>
              <w:rPr>
                <w:rFonts w:ascii="Arial Narrow" w:hAnsi="Arial Narrow" w:cs="Calibri"/>
                <w:iCs/>
                <w:sz w:val="20"/>
              </w:rPr>
            </w:pPr>
            <w:r w:rsidRPr="0009282C">
              <w:rPr>
                <w:rFonts w:ascii="Arial Narrow" w:hAnsi="Arial Narrow" w:cs="Calibri"/>
                <w:iCs/>
                <w:sz w:val="20"/>
              </w:rPr>
              <w:t xml:space="preserve">Proportion of patients </w:t>
            </w:r>
            <w:r w:rsidR="0020596E" w:rsidRPr="0009282C">
              <w:rPr>
                <w:rFonts w:ascii="Arial Narrow" w:hAnsi="Arial Narrow" w:cs="Calibri"/>
                <w:iCs/>
                <w:sz w:val="20"/>
              </w:rPr>
              <w:t>24-h urinary oxalate 1.5 ≤ULN</w:t>
            </w:r>
            <w:r w:rsidR="006644B6" w:rsidRPr="0009282C">
              <w:rPr>
                <w:rFonts w:ascii="Arial Narrow" w:hAnsi="Arial Narrow" w:cs="Calibri"/>
                <w:iCs/>
                <w:sz w:val="20"/>
              </w:rPr>
              <w:t xml:space="preserve"> (at 6 months)</w:t>
            </w:r>
          </w:p>
        </w:tc>
        <w:tc>
          <w:tcPr>
            <w:tcW w:w="1181" w:type="pct"/>
            <w:vAlign w:val="center"/>
          </w:tcPr>
          <w:p w14:paraId="328F17F3" w14:textId="527C9047" w:rsidR="00E85F60" w:rsidRPr="0009282C" w:rsidRDefault="00E85F60" w:rsidP="00C24F68">
            <w:pPr>
              <w:pStyle w:val="TableText0"/>
              <w:keepNext/>
              <w:keepLines/>
              <w:jc w:val="center"/>
              <w:rPr>
                <w:rFonts w:cs="Calibri"/>
                <w:iCs/>
                <w:szCs w:val="20"/>
              </w:rPr>
            </w:pPr>
            <w:r w:rsidRPr="0009282C">
              <w:rPr>
                <w:rFonts w:cs="Calibri"/>
                <w:iCs/>
                <w:szCs w:val="20"/>
              </w:rPr>
              <w:t>0.</w:t>
            </w:r>
            <w:r w:rsidR="003D0C7F" w:rsidRPr="0009282C">
              <w:rPr>
                <w:rFonts w:cs="Calibri"/>
                <w:iCs/>
                <w:szCs w:val="20"/>
              </w:rPr>
              <w:t>84</w:t>
            </w:r>
          </w:p>
        </w:tc>
        <w:tc>
          <w:tcPr>
            <w:tcW w:w="1017" w:type="pct"/>
            <w:vAlign w:val="center"/>
          </w:tcPr>
          <w:p w14:paraId="36969D78" w14:textId="77777777" w:rsidR="00E85F60" w:rsidRPr="0009282C" w:rsidRDefault="00E85F60" w:rsidP="00C24F68">
            <w:pPr>
              <w:pStyle w:val="TableText0"/>
              <w:keepNext/>
              <w:keepLines/>
              <w:jc w:val="center"/>
              <w:rPr>
                <w:rFonts w:cs="Calibri"/>
                <w:iCs/>
                <w:szCs w:val="20"/>
              </w:rPr>
            </w:pPr>
            <w:r w:rsidRPr="0009282C">
              <w:rPr>
                <w:rFonts w:cs="Calibri"/>
                <w:iCs/>
                <w:szCs w:val="20"/>
              </w:rPr>
              <w:t>0.00</w:t>
            </w:r>
          </w:p>
        </w:tc>
        <w:tc>
          <w:tcPr>
            <w:tcW w:w="1014" w:type="pct"/>
            <w:vAlign w:val="center"/>
          </w:tcPr>
          <w:p w14:paraId="4B23D66A" w14:textId="338F5E46" w:rsidR="00E85F60" w:rsidRPr="0009282C" w:rsidRDefault="00E85F60" w:rsidP="00C24F68">
            <w:pPr>
              <w:pStyle w:val="TableText0"/>
              <w:keepNext/>
              <w:keepLines/>
              <w:jc w:val="center"/>
              <w:rPr>
                <w:rFonts w:cs="Calibri"/>
                <w:iCs/>
                <w:szCs w:val="20"/>
              </w:rPr>
            </w:pPr>
            <w:r w:rsidRPr="0009282C">
              <w:rPr>
                <w:rFonts w:cs="Calibri"/>
                <w:iCs/>
                <w:szCs w:val="20"/>
              </w:rPr>
              <w:t>0.</w:t>
            </w:r>
            <w:r w:rsidR="003D0C7F" w:rsidRPr="0009282C">
              <w:rPr>
                <w:rFonts w:cs="Calibri"/>
                <w:iCs/>
                <w:szCs w:val="20"/>
              </w:rPr>
              <w:t>84</w:t>
            </w:r>
          </w:p>
        </w:tc>
      </w:tr>
      <w:tr w:rsidR="001640F2" w:rsidRPr="0009282C" w14:paraId="0F418BD7" w14:textId="77777777" w:rsidTr="001640F2">
        <w:trPr>
          <w:trHeight w:val="136"/>
          <w:tblHeader/>
        </w:trPr>
        <w:tc>
          <w:tcPr>
            <w:tcW w:w="3986" w:type="pct"/>
            <w:gridSpan w:val="3"/>
            <w:vAlign w:val="center"/>
          </w:tcPr>
          <w:p w14:paraId="5898E2B9" w14:textId="0AFA89C9" w:rsidR="00E85F60" w:rsidRPr="0009282C" w:rsidRDefault="00E85F60" w:rsidP="00C24F68">
            <w:pPr>
              <w:pStyle w:val="NoSpacing"/>
              <w:keepNext/>
              <w:keepLines/>
              <w:widowControl/>
              <w:rPr>
                <w:rFonts w:ascii="Arial Narrow" w:hAnsi="Arial Narrow" w:cs="Calibri"/>
                <w:b/>
                <w:bCs/>
                <w:iCs/>
                <w:sz w:val="20"/>
              </w:rPr>
            </w:pPr>
            <w:r w:rsidRPr="0009282C">
              <w:rPr>
                <w:rFonts w:ascii="Arial Narrow" w:hAnsi="Arial Narrow" w:cs="Calibri"/>
                <w:b/>
                <w:bCs/>
                <w:iCs/>
                <w:sz w:val="20"/>
              </w:rPr>
              <w:t xml:space="preserve">Incremental cost per patient with a 24-h urinary oxalate </w:t>
            </w:r>
            <w:r w:rsidR="00E92F03" w:rsidRPr="0009282C">
              <w:rPr>
                <w:rFonts w:ascii="Arial Narrow" w:hAnsi="Arial Narrow" w:cs="Calibri"/>
                <w:b/>
                <w:bCs/>
                <w:iCs/>
                <w:sz w:val="20"/>
              </w:rPr>
              <w:t>1.5</w:t>
            </w:r>
            <w:r w:rsidRPr="0009282C">
              <w:rPr>
                <w:rFonts w:ascii="Arial Narrow" w:hAnsi="Arial Narrow" w:cs="Calibri"/>
                <w:b/>
                <w:bCs/>
                <w:iCs/>
                <w:sz w:val="20"/>
              </w:rPr>
              <w:t>≤ULN</w:t>
            </w:r>
          </w:p>
        </w:tc>
        <w:tc>
          <w:tcPr>
            <w:tcW w:w="1014" w:type="pct"/>
            <w:vAlign w:val="center"/>
          </w:tcPr>
          <w:p w14:paraId="7C3EC612" w14:textId="2FA5C858" w:rsidR="00E85F60" w:rsidRPr="0009282C" w:rsidRDefault="00E85F60" w:rsidP="00C24F68">
            <w:pPr>
              <w:pStyle w:val="TableText0"/>
              <w:keepNext/>
              <w:keepLines/>
              <w:jc w:val="center"/>
              <w:rPr>
                <w:b/>
                <w:iCs/>
              </w:rPr>
            </w:pPr>
            <w:r w:rsidRPr="0009282C">
              <w:rPr>
                <w:rFonts w:cs="Calibri"/>
                <w:b/>
                <w:iCs/>
                <w:szCs w:val="20"/>
              </w:rPr>
              <w:t>$</w:t>
            </w:r>
            <w:r w:rsidR="002212A2" w:rsidRPr="002212A2">
              <w:rPr>
                <w:rFonts w:cs="Calibri"/>
                <w:b/>
                <w:iCs/>
                <w:color w:val="000000"/>
                <w:spacing w:val="58"/>
                <w:szCs w:val="20"/>
                <w:shd w:val="solid" w:color="000000" w:fill="000000"/>
                <w:fitText w:val="360" w:id="-694423797"/>
                <w14:textFill>
                  <w14:solidFill>
                    <w14:srgbClr w14:val="000000">
                      <w14:alpha w14:val="100000"/>
                    </w14:srgbClr>
                  </w14:solidFill>
                </w14:textFill>
              </w:rPr>
              <w:t>|||</w:t>
            </w:r>
            <w:r w:rsidR="002212A2" w:rsidRPr="002212A2">
              <w:rPr>
                <w:rFonts w:cs="Calibri"/>
                <w:b/>
                <w:iCs/>
                <w:color w:val="000000"/>
                <w:spacing w:val="3"/>
                <w:szCs w:val="20"/>
                <w:shd w:val="solid" w:color="000000" w:fill="000000"/>
                <w:fitText w:val="360" w:id="-694423797"/>
                <w14:textFill>
                  <w14:solidFill>
                    <w14:srgbClr w14:val="000000">
                      <w14:alpha w14:val="100000"/>
                    </w14:srgbClr>
                  </w14:solidFill>
                </w14:textFill>
              </w:rPr>
              <w:t>|</w:t>
            </w:r>
            <w:r w:rsidR="009321A3">
              <w:rPr>
                <w:rFonts w:cs="Calibri"/>
                <w:b/>
                <w:iCs/>
                <w:szCs w:val="20"/>
                <w:vertAlign w:val="superscript"/>
              </w:rPr>
              <w:t xml:space="preserve"> 1</w:t>
            </w:r>
          </w:p>
        </w:tc>
      </w:tr>
      <w:tr w:rsidR="009C3448" w:rsidRPr="0009282C" w14:paraId="2DC485FA" w14:textId="77777777" w:rsidTr="001640F2">
        <w:trPr>
          <w:tblHeader/>
        </w:trPr>
        <w:tc>
          <w:tcPr>
            <w:tcW w:w="1797" w:type="pct"/>
            <w:vAlign w:val="center"/>
          </w:tcPr>
          <w:p w14:paraId="25E3D267" w14:textId="0D7F9B70" w:rsidR="00E5048E" w:rsidRPr="0009282C" w:rsidRDefault="00E5048E" w:rsidP="00C24F68">
            <w:pPr>
              <w:pStyle w:val="NoSpacing"/>
              <w:keepNext/>
              <w:keepLines/>
              <w:widowControl/>
              <w:rPr>
                <w:rFonts w:ascii="Arial Narrow" w:hAnsi="Arial Narrow" w:cs="Calibri"/>
                <w:iCs/>
                <w:sz w:val="20"/>
              </w:rPr>
            </w:pPr>
            <w:r w:rsidRPr="0009282C">
              <w:rPr>
                <w:rFonts w:ascii="Arial Narrow" w:hAnsi="Arial Narrow" w:cs="Calibri"/>
                <w:iCs/>
                <w:sz w:val="20"/>
              </w:rPr>
              <w:t xml:space="preserve">Modelled </w:t>
            </w:r>
            <w:proofErr w:type="spellStart"/>
            <w:r w:rsidRPr="0009282C">
              <w:rPr>
                <w:rFonts w:ascii="Arial Narrow" w:hAnsi="Arial Narrow" w:cs="Calibri"/>
                <w:iCs/>
                <w:sz w:val="20"/>
              </w:rPr>
              <w:t>l</w:t>
            </w:r>
            <w:r w:rsidR="00923A45" w:rsidRPr="0009282C">
              <w:rPr>
                <w:rFonts w:ascii="Arial Narrow" w:hAnsi="Arial Narrow" w:cs="Calibri"/>
                <w:iCs/>
                <w:sz w:val="20"/>
              </w:rPr>
              <w:t>umasiran</w:t>
            </w:r>
            <w:proofErr w:type="spellEnd"/>
            <w:r w:rsidR="00923A45" w:rsidRPr="0009282C">
              <w:rPr>
                <w:rFonts w:ascii="Arial Narrow" w:hAnsi="Arial Narrow" w:cs="Calibri"/>
                <w:iCs/>
                <w:sz w:val="20"/>
              </w:rPr>
              <w:t xml:space="preserve"> </w:t>
            </w:r>
            <w:r w:rsidR="0091348A" w:rsidRPr="0009282C">
              <w:rPr>
                <w:rFonts w:ascii="Arial Narrow" w:hAnsi="Arial Narrow" w:cs="Calibri"/>
                <w:iCs/>
                <w:sz w:val="20"/>
              </w:rPr>
              <w:t xml:space="preserve">drug </w:t>
            </w:r>
            <w:r w:rsidR="00923A45" w:rsidRPr="0009282C">
              <w:rPr>
                <w:rFonts w:ascii="Arial Narrow" w:hAnsi="Arial Narrow" w:cs="Calibri"/>
                <w:iCs/>
                <w:sz w:val="20"/>
              </w:rPr>
              <w:t xml:space="preserve">cost </w:t>
            </w:r>
          </w:p>
          <w:p w14:paraId="0531FAB7" w14:textId="7C6DE480" w:rsidR="009C3448" w:rsidRPr="0009282C" w:rsidRDefault="0067459B" w:rsidP="00C24F68">
            <w:pPr>
              <w:pStyle w:val="NoSpacing"/>
              <w:keepNext/>
              <w:keepLines/>
              <w:widowControl/>
              <w:rPr>
                <w:rFonts w:ascii="Arial Narrow" w:hAnsi="Arial Narrow" w:cs="Calibri"/>
                <w:iCs/>
                <w:sz w:val="20"/>
              </w:rPr>
            </w:pPr>
            <w:r w:rsidRPr="0009282C">
              <w:rPr>
                <w:rFonts w:ascii="Arial Narrow" w:hAnsi="Arial Narrow" w:cs="Calibri"/>
                <w:iCs/>
                <w:sz w:val="20"/>
              </w:rPr>
              <w:t>(lifetime time horizon</w:t>
            </w:r>
            <w:r w:rsidR="00E5048E" w:rsidRPr="0009282C">
              <w:rPr>
                <w:rFonts w:ascii="Arial Narrow" w:hAnsi="Arial Narrow" w:cs="Calibri"/>
                <w:iCs/>
                <w:sz w:val="20"/>
              </w:rPr>
              <w:t>/undiscounted</w:t>
            </w:r>
            <w:r w:rsidRPr="0009282C">
              <w:rPr>
                <w:rFonts w:ascii="Arial Narrow" w:hAnsi="Arial Narrow" w:cs="Calibri"/>
                <w:iCs/>
                <w:sz w:val="20"/>
              </w:rPr>
              <w:t>)</w:t>
            </w:r>
          </w:p>
        </w:tc>
        <w:tc>
          <w:tcPr>
            <w:tcW w:w="1172" w:type="pct"/>
            <w:vAlign w:val="center"/>
          </w:tcPr>
          <w:p w14:paraId="696BF51A" w14:textId="3ECB5F10" w:rsidR="009C3448" w:rsidRPr="0009282C" w:rsidRDefault="00DD26A5" w:rsidP="00C24F68">
            <w:pPr>
              <w:pStyle w:val="TableText0"/>
              <w:keepNext/>
              <w:keepLines/>
              <w:jc w:val="center"/>
              <w:rPr>
                <w:rFonts w:cs="Calibri"/>
                <w:iCs/>
                <w:szCs w:val="20"/>
              </w:rPr>
            </w:pPr>
            <w:r w:rsidRPr="0009282C">
              <w:rPr>
                <w:rFonts w:cs="Calibri"/>
                <w:iCs/>
                <w:szCs w:val="20"/>
              </w:rPr>
              <w:t>$</w:t>
            </w:r>
            <w:r w:rsidR="002212A2" w:rsidRPr="002212A2">
              <w:rPr>
                <w:rFonts w:cs="Calibri"/>
                <w:iCs/>
                <w:color w:val="000000"/>
                <w:spacing w:val="53"/>
                <w:szCs w:val="20"/>
                <w:shd w:val="solid" w:color="000000" w:fill="000000"/>
                <w:fitText w:val="330" w:id="-694423796"/>
                <w14:textFill>
                  <w14:solidFill>
                    <w14:srgbClr w14:val="000000">
                      <w14:alpha w14:val="100000"/>
                    </w14:srgbClr>
                  </w14:solidFill>
                </w14:textFill>
              </w:rPr>
              <w:t>|||</w:t>
            </w:r>
            <w:r w:rsidR="002212A2" w:rsidRPr="002212A2">
              <w:rPr>
                <w:rFonts w:cs="Calibri"/>
                <w:iCs/>
                <w:color w:val="000000"/>
                <w:spacing w:val="1"/>
                <w:szCs w:val="20"/>
                <w:shd w:val="solid" w:color="000000" w:fill="000000"/>
                <w:fitText w:val="330" w:id="-694423796"/>
                <w14:textFill>
                  <w14:solidFill>
                    <w14:srgbClr w14:val="000000">
                      <w14:alpha w14:val="100000"/>
                    </w14:srgbClr>
                  </w14:solidFill>
                </w14:textFill>
              </w:rPr>
              <w:t>|</w:t>
            </w:r>
          </w:p>
        </w:tc>
        <w:tc>
          <w:tcPr>
            <w:tcW w:w="1017" w:type="pct"/>
            <w:vAlign w:val="center"/>
          </w:tcPr>
          <w:p w14:paraId="6DA6D03E" w14:textId="54AE6DDA" w:rsidR="009C3448" w:rsidRPr="0009282C" w:rsidRDefault="00B058DB" w:rsidP="00C24F68">
            <w:pPr>
              <w:pStyle w:val="TableText0"/>
              <w:keepNext/>
              <w:keepLines/>
              <w:jc w:val="center"/>
              <w:rPr>
                <w:rFonts w:cs="Calibri"/>
                <w:iCs/>
                <w:szCs w:val="20"/>
              </w:rPr>
            </w:pPr>
            <w:r w:rsidRPr="0009282C">
              <w:rPr>
                <w:rFonts w:cs="Calibri"/>
                <w:iCs/>
                <w:szCs w:val="20"/>
              </w:rPr>
              <w:t>$0</w:t>
            </w:r>
          </w:p>
        </w:tc>
        <w:tc>
          <w:tcPr>
            <w:tcW w:w="1014" w:type="pct"/>
            <w:vAlign w:val="center"/>
          </w:tcPr>
          <w:p w14:paraId="338FC6A5" w14:textId="5721CB76" w:rsidR="009C3448" w:rsidRPr="0009282C" w:rsidRDefault="00F2205E" w:rsidP="00C24F68">
            <w:pPr>
              <w:pStyle w:val="TableText0"/>
              <w:keepNext/>
              <w:keepLines/>
              <w:jc w:val="center"/>
              <w:rPr>
                <w:rFonts w:cs="Calibri"/>
                <w:iCs/>
                <w:szCs w:val="20"/>
              </w:rPr>
            </w:pPr>
            <w:r w:rsidRPr="0009282C">
              <w:rPr>
                <w:rFonts w:cs="Calibri"/>
                <w:iCs/>
                <w:szCs w:val="20"/>
              </w:rPr>
              <w:t>$</w:t>
            </w:r>
            <w:r w:rsidR="002212A2" w:rsidRPr="002212A2">
              <w:rPr>
                <w:rFonts w:cs="Calibri"/>
                <w:iCs/>
                <w:color w:val="000000"/>
                <w:spacing w:val="53"/>
                <w:szCs w:val="20"/>
                <w:shd w:val="solid" w:color="000000" w:fill="000000"/>
                <w:fitText w:val="330" w:id="-694423795"/>
                <w14:textFill>
                  <w14:solidFill>
                    <w14:srgbClr w14:val="000000">
                      <w14:alpha w14:val="100000"/>
                    </w14:srgbClr>
                  </w14:solidFill>
                </w14:textFill>
              </w:rPr>
              <w:t>|||</w:t>
            </w:r>
            <w:r w:rsidR="002212A2" w:rsidRPr="002212A2">
              <w:rPr>
                <w:rFonts w:cs="Calibri"/>
                <w:iCs/>
                <w:color w:val="000000"/>
                <w:spacing w:val="1"/>
                <w:szCs w:val="20"/>
                <w:shd w:val="solid" w:color="000000" w:fill="000000"/>
                <w:fitText w:val="330" w:id="-694423795"/>
                <w14:textFill>
                  <w14:solidFill>
                    <w14:srgbClr w14:val="000000">
                      <w14:alpha w14:val="100000"/>
                    </w14:srgbClr>
                  </w14:solidFill>
                </w14:textFill>
              </w:rPr>
              <w:t>|</w:t>
            </w:r>
          </w:p>
        </w:tc>
      </w:tr>
      <w:tr w:rsidR="00E5048E" w:rsidRPr="0009282C" w14:paraId="15E3D580" w14:textId="77777777" w:rsidTr="00E5048E">
        <w:trPr>
          <w:tblHeader/>
        </w:trPr>
        <w:tc>
          <w:tcPr>
            <w:tcW w:w="5000" w:type="pct"/>
            <w:gridSpan w:val="4"/>
            <w:vAlign w:val="center"/>
          </w:tcPr>
          <w:p w14:paraId="4BD718EB" w14:textId="77777777" w:rsidR="00E5048E" w:rsidRPr="0009282C" w:rsidRDefault="00E5048E" w:rsidP="00C24F68">
            <w:pPr>
              <w:pStyle w:val="TableText0"/>
              <w:keepNext/>
              <w:keepLines/>
              <w:jc w:val="center"/>
              <w:rPr>
                <w:rFonts w:cs="Calibri"/>
                <w:iCs/>
                <w:szCs w:val="20"/>
              </w:rPr>
            </w:pPr>
          </w:p>
        </w:tc>
      </w:tr>
      <w:tr w:rsidR="001640F2" w:rsidRPr="0009282C" w14:paraId="5C53D3FE" w14:textId="77777777" w:rsidTr="001640F2">
        <w:trPr>
          <w:tblHeader/>
        </w:trPr>
        <w:tc>
          <w:tcPr>
            <w:tcW w:w="1797" w:type="pct"/>
            <w:vAlign w:val="center"/>
          </w:tcPr>
          <w:p w14:paraId="5005369E" w14:textId="661C797A" w:rsidR="001640F2" w:rsidRPr="0009282C" w:rsidRDefault="009C0093" w:rsidP="00C24F68">
            <w:pPr>
              <w:pStyle w:val="NoSpacing"/>
              <w:keepNext/>
              <w:keepLines/>
              <w:widowControl/>
              <w:rPr>
                <w:rFonts w:ascii="Arial Narrow" w:hAnsi="Arial Narrow" w:cs="Calibri"/>
                <w:iCs/>
                <w:sz w:val="20"/>
                <w:vertAlign w:val="superscript"/>
              </w:rPr>
            </w:pPr>
            <w:r w:rsidRPr="0009282C">
              <w:rPr>
                <w:rFonts w:ascii="Arial Narrow" w:hAnsi="Arial Narrow" w:cs="Calibri"/>
                <w:iCs/>
                <w:sz w:val="20"/>
              </w:rPr>
              <w:t>Modelled year</w:t>
            </w:r>
            <w:r w:rsidR="004B35C8" w:rsidRPr="0009282C">
              <w:rPr>
                <w:rFonts w:ascii="Arial Narrow" w:hAnsi="Arial Narrow" w:cs="Calibri"/>
                <w:iCs/>
                <w:sz w:val="20"/>
              </w:rPr>
              <w:t>s</w:t>
            </w:r>
            <w:r w:rsidRPr="0009282C">
              <w:rPr>
                <w:rFonts w:ascii="Arial Narrow" w:hAnsi="Arial Narrow" w:cs="Calibri"/>
                <w:iCs/>
                <w:sz w:val="20"/>
              </w:rPr>
              <w:t xml:space="preserve"> on </w:t>
            </w:r>
            <w:r w:rsidR="00827A01" w:rsidRPr="0009282C">
              <w:rPr>
                <w:rFonts w:ascii="Arial Narrow" w:hAnsi="Arial Narrow" w:cs="Calibri"/>
                <w:iCs/>
                <w:sz w:val="20"/>
              </w:rPr>
              <w:t>dialysis</w:t>
            </w:r>
            <w:r w:rsidR="004B35C8" w:rsidRPr="0009282C">
              <w:rPr>
                <w:rFonts w:ascii="Arial Narrow" w:hAnsi="Arial Narrow" w:cs="Calibri"/>
                <w:iCs/>
                <w:sz w:val="20"/>
              </w:rPr>
              <w:t xml:space="preserve"> (</w:t>
            </w:r>
            <w:r w:rsidR="006644B6" w:rsidRPr="0009282C">
              <w:rPr>
                <w:rFonts w:ascii="Arial Narrow" w:hAnsi="Arial Narrow" w:cs="Calibri"/>
                <w:iCs/>
                <w:sz w:val="20"/>
              </w:rPr>
              <w:t>lifetime time horizon/</w:t>
            </w:r>
            <w:r w:rsidR="00AD73FC" w:rsidRPr="0009282C">
              <w:rPr>
                <w:rFonts w:ascii="Arial Narrow" w:hAnsi="Arial Narrow" w:cs="Calibri"/>
                <w:iCs/>
                <w:sz w:val="20"/>
              </w:rPr>
              <w:t>undiscounted)</w:t>
            </w:r>
            <w:r w:rsidR="00251DB0" w:rsidRPr="0009282C">
              <w:rPr>
                <w:rFonts w:ascii="Arial Narrow" w:hAnsi="Arial Narrow" w:cs="Calibri"/>
                <w:iCs/>
                <w:sz w:val="20"/>
                <w:vertAlign w:val="superscript"/>
              </w:rPr>
              <w:t>c</w:t>
            </w:r>
          </w:p>
        </w:tc>
        <w:tc>
          <w:tcPr>
            <w:tcW w:w="1172" w:type="pct"/>
            <w:vAlign w:val="center"/>
          </w:tcPr>
          <w:p w14:paraId="730D356B" w14:textId="42D419C9" w:rsidR="001640F2" w:rsidRPr="0009282C" w:rsidRDefault="00147D38" w:rsidP="00C24F68">
            <w:pPr>
              <w:pStyle w:val="TableText0"/>
              <w:keepNext/>
              <w:keepLines/>
              <w:jc w:val="center"/>
              <w:rPr>
                <w:rFonts w:cs="Calibri"/>
                <w:iCs/>
                <w:szCs w:val="20"/>
              </w:rPr>
            </w:pPr>
            <w:r w:rsidRPr="0009282C">
              <w:rPr>
                <w:rFonts w:cs="Calibri"/>
                <w:iCs/>
                <w:szCs w:val="20"/>
              </w:rPr>
              <w:t>26.91</w:t>
            </w:r>
          </w:p>
        </w:tc>
        <w:tc>
          <w:tcPr>
            <w:tcW w:w="1017" w:type="pct"/>
            <w:vAlign w:val="center"/>
          </w:tcPr>
          <w:p w14:paraId="5CC74AE5" w14:textId="5897B0FE" w:rsidR="001640F2" w:rsidRPr="0009282C" w:rsidRDefault="00147D38" w:rsidP="00C24F68">
            <w:pPr>
              <w:pStyle w:val="TableText0"/>
              <w:keepNext/>
              <w:keepLines/>
              <w:jc w:val="center"/>
              <w:rPr>
                <w:rFonts w:cs="Calibri"/>
                <w:iCs/>
                <w:szCs w:val="20"/>
              </w:rPr>
            </w:pPr>
            <w:r w:rsidRPr="0009282C">
              <w:rPr>
                <w:rFonts w:cs="Calibri"/>
                <w:iCs/>
                <w:szCs w:val="20"/>
              </w:rPr>
              <w:t>37.86</w:t>
            </w:r>
          </w:p>
        </w:tc>
        <w:tc>
          <w:tcPr>
            <w:tcW w:w="1014" w:type="pct"/>
            <w:vAlign w:val="center"/>
          </w:tcPr>
          <w:p w14:paraId="64912B4D" w14:textId="31188737" w:rsidR="001640F2" w:rsidRPr="0009282C" w:rsidRDefault="00817D85" w:rsidP="00C24F68">
            <w:pPr>
              <w:pStyle w:val="TableText0"/>
              <w:keepNext/>
              <w:keepLines/>
              <w:jc w:val="center"/>
              <w:rPr>
                <w:rFonts w:cs="Calibri"/>
                <w:iCs/>
                <w:szCs w:val="20"/>
              </w:rPr>
            </w:pPr>
            <w:r w:rsidRPr="0009282C">
              <w:rPr>
                <w:rFonts w:cs="Calibri"/>
                <w:iCs/>
                <w:szCs w:val="20"/>
              </w:rPr>
              <w:t>10.95</w:t>
            </w:r>
          </w:p>
        </w:tc>
      </w:tr>
      <w:tr w:rsidR="001640F2" w:rsidRPr="0009282C" w14:paraId="20DC0A16" w14:textId="77777777" w:rsidTr="001640F2">
        <w:trPr>
          <w:trHeight w:val="136"/>
          <w:tblHeader/>
        </w:trPr>
        <w:tc>
          <w:tcPr>
            <w:tcW w:w="3986" w:type="pct"/>
            <w:gridSpan w:val="3"/>
            <w:vAlign w:val="center"/>
          </w:tcPr>
          <w:p w14:paraId="4A6DCBFC" w14:textId="7F94EF0D" w:rsidR="001640F2" w:rsidRPr="0009282C" w:rsidRDefault="00F2205E" w:rsidP="00C24F68">
            <w:pPr>
              <w:pStyle w:val="NoSpacing"/>
              <w:keepNext/>
              <w:keepLines/>
              <w:widowControl/>
              <w:rPr>
                <w:rFonts w:ascii="Arial Narrow" w:hAnsi="Arial Narrow" w:cs="Calibri"/>
                <w:b/>
                <w:bCs/>
                <w:iCs/>
                <w:sz w:val="20"/>
              </w:rPr>
            </w:pPr>
            <w:r w:rsidRPr="0009282C">
              <w:rPr>
                <w:rFonts w:ascii="Arial Narrow" w:hAnsi="Arial Narrow" w:cs="Calibri"/>
                <w:b/>
                <w:bCs/>
                <w:iCs/>
                <w:sz w:val="20"/>
              </w:rPr>
              <w:t xml:space="preserve">Cost per year of dialysis </w:t>
            </w:r>
            <w:r w:rsidR="00584C94" w:rsidRPr="0009282C">
              <w:rPr>
                <w:rFonts w:ascii="Arial Narrow" w:hAnsi="Arial Narrow" w:cs="Calibri"/>
                <w:b/>
                <w:bCs/>
                <w:iCs/>
                <w:sz w:val="20"/>
              </w:rPr>
              <w:t>avoided</w:t>
            </w:r>
            <w:r w:rsidR="00020660" w:rsidRPr="0009282C">
              <w:rPr>
                <w:rFonts w:ascii="Arial Narrow" w:hAnsi="Arial Narrow" w:cs="Calibri"/>
                <w:b/>
                <w:bCs/>
                <w:iCs/>
                <w:sz w:val="20"/>
              </w:rPr>
              <w:t xml:space="preserve"> (undiscounted)</w:t>
            </w:r>
          </w:p>
        </w:tc>
        <w:tc>
          <w:tcPr>
            <w:tcW w:w="1014" w:type="pct"/>
            <w:vAlign w:val="center"/>
          </w:tcPr>
          <w:p w14:paraId="71374EAC" w14:textId="4E09006E" w:rsidR="001640F2" w:rsidRPr="009321A3" w:rsidRDefault="00817D85" w:rsidP="00C24F68">
            <w:pPr>
              <w:pStyle w:val="TableText0"/>
              <w:keepNext/>
              <w:keepLines/>
              <w:jc w:val="center"/>
              <w:rPr>
                <w:b/>
                <w:iCs/>
                <w:vertAlign w:val="superscript"/>
              </w:rPr>
            </w:pPr>
            <w:r w:rsidRPr="0009282C">
              <w:rPr>
                <w:b/>
                <w:iCs/>
              </w:rPr>
              <w:t>$</w:t>
            </w:r>
            <w:r w:rsidR="002212A2" w:rsidRPr="002212A2">
              <w:rPr>
                <w:b/>
                <w:iCs/>
                <w:color w:val="000000"/>
                <w:spacing w:val="58"/>
                <w:shd w:val="solid" w:color="000000" w:fill="000000"/>
                <w:fitText w:val="360" w:id="-694423794"/>
                <w14:textFill>
                  <w14:solidFill>
                    <w14:srgbClr w14:val="000000">
                      <w14:alpha w14:val="100000"/>
                    </w14:srgbClr>
                  </w14:solidFill>
                </w14:textFill>
              </w:rPr>
              <w:t>|||</w:t>
            </w:r>
            <w:r w:rsidR="002212A2" w:rsidRPr="002212A2">
              <w:rPr>
                <w:b/>
                <w:iCs/>
                <w:color w:val="000000"/>
                <w:spacing w:val="3"/>
                <w:shd w:val="solid" w:color="000000" w:fill="000000"/>
                <w:fitText w:val="360" w:id="-694423794"/>
                <w14:textFill>
                  <w14:solidFill>
                    <w14:srgbClr w14:val="000000">
                      <w14:alpha w14:val="100000"/>
                    </w14:srgbClr>
                  </w14:solidFill>
                </w14:textFill>
              </w:rPr>
              <w:t>|</w:t>
            </w:r>
            <w:r w:rsidR="009321A3">
              <w:rPr>
                <w:b/>
                <w:iCs/>
              </w:rPr>
              <w:t xml:space="preserve"> </w:t>
            </w:r>
            <w:r w:rsidR="009321A3">
              <w:rPr>
                <w:b/>
                <w:iCs/>
                <w:vertAlign w:val="superscript"/>
              </w:rPr>
              <w:t>2</w:t>
            </w:r>
          </w:p>
        </w:tc>
      </w:tr>
    </w:tbl>
    <w:p w14:paraId="4EA3B573" w14:textId="58AE69A0" w:rsidR="00B116AE" w:rsidRPr="0009282C" w:rsidRDefault="00DF76BA" w:rsidP="00C24F68">
      <w:pPr>
        <w:pStyle w:val="TableFigureFooter"/>
        <w:keepNext/>
        <w:jc w:val="both"/>
      </w:pPr>
      <w:r w:rsidRPr="0009282C">
        <w:t>A</w:t>
      </w:r>
      <w:r w:rsidR="00305334" w:rsidRPr="0009282C">
        <w:t>bbreviations: BSC, best supportive care</w:t>
      </w:r>
      <w:r w:rsidR="00CD03A5" w:rsidRPr="0009282C">
        <w:t xml:space="preserve">; ULN, </w:t>
      </w:r>
      <w:r w:rsidR="00361F2D" w:rsidRPr="0009282C">
        <w:t>upper limit of normal</w:t>
      </w:r>
    </w:p>
    <w:p w14:paraId="245A4251" w14:textId="0133B95E" w:rsidR="00CC6BA2" w:rsidRPr="0009282C" w:rsidRDefault="0015743F" w:rsidP="00C24F68">
      <w:pPr>
        <w:pStyle w:val="TableFigureFooter"/>
        <w:keepNext/>
        <w:jc w:val="both"/>
      </w:pPr>
      <w:proofErr w:type="spellStart"/>
      <w:r w:rsidRPr="0009282C">
        <w:rPr>
          <w:vertAlign w:val="superscript"/>
        </w:rPr>
        <w:t>a</w:t>
      </w:r>
      <w:proofErr w:type="spellEnd"/>
      <w:r w:rsidRPr="0009282C">
        <w:t xml:space="preserve"> </w:t>
      </w:r>
      <w:r w:rsidR="00B211FF" w:rsidRPr="0009282C">
        <w:t>The cost of vitamin B6 (Pyridoxine) not considered</w:t>
      </w:r>
    </w:p>
    <w:p w14:paraId="6EF21F9A" w14:textId="30E95701" w:rsidR="00CD03A5" w:rsidRPr="0009282C" w:rsidRDefault="00CC6BA2" w:rsidP="00C24F68">
      <w:pPr>
        <w:pStyle w:val="TableFigureFooter"/>
        <w:keepNext/>
        <w:jc w:val="both"/>
      </w:pPr>
      <w:r w:rsidRPr="0009282C">
        <w:rPr>
          <w:vertAlign w:val="superscript"/>
        </w:rPr>
        <w:t xml:space="preserve">b </w:t>
      </w:r>
      <w:r w:rsidR="007157B3" w:rsidRPr="0009282C">
        <w:t xml:space="preserve">Maintenance doses </w:t>
      </w:r>
      <w:r w:rsidR="00CC1437" w:rsidRPr="0009282C">
        <w:t>applied</w:t>
      </w:r>
      <w:r w:rsidR="007157B3" w:rsidRPr="0009282C">
        <w:t xml:space="preserve">, weighted by </w:t>
      </w:r>
      <w:r w:rsidR="00CC1437" w:rsidRPr="0009282C">
        <w:t>child/adult ratio assumed in the economic model</w:t>
      </w:r>
      <w:r w:rsidR="007157B3" w:rsidRPr="0009282C">
        <w:t xml:space="preserve">: </w:t>
      </w:r>
      <w:r w:rsidR="0015743F" w:rsidRPr="0009282C">
        <w:t>$</w:t>
      </w:r>
      <w:r w:rsidR="002212A2" w:rsidRPr="002212A2">
        <w:rPr>
          <w:color w:val="000000"/>
          <w:spacing w:val="40"/>
          <w:shd w:val="solid" w:color="000000" w:fill="000000"/>
          <w:fitText w:val="280" w:id="-694423793"/>
          <w14:textFill>
            <w14:solidFill>
              <w14:srgbClr w14:val="000000">
                <w14:alpha w14:val="100000"/>
              </w14:srgbClr>
            </w14:solidFill>
          </w14:textFill>
        </w:rPr>
        <w:t xml:space="preserve">|  </w:t>
      </w:r>
      <w:r w:rsidR="002212A2" w:rsidRPr="002212A2">
        <w:rPr>
          <w:color w:val="000000"/>
          <w:spacing w:val="2"/>
          <w:shd w:val="solid" w:color="000000" w:fill="000000"/>
          <w:fitText w:val="280" w:id="-694423793"/>
          <w14:textFill>
            <w14:solidFill>
              <w14:srgbClr w14:val="000000">
                <w14:alpha w14:val="100000"/>
              </w14:srgbClr>
            </w14:solidFill>
          </w14:textFill>
        </w:rPr>
        <w:t>|</w:t>
      </w:r>
      <w:r w:rsidR="0015743F" w:rsidRPr="0009282C">
        <w:t xml:space="preserve"> x 0.706</w:t>
      </w:r>
      <w:r w:rsidR="007157B3" w:rsidRPr="0009282C">
        <w:t xml:space="preserve"> + </w:t>
      </w:r>
      <w:r w:rsidR="00F641BC" w:rsidRPr="0009282C">
        <w:t>$</w:t>
      </w:r>
      <w:r w:rsidR="002212A2" w:rsidRPr="002212A2">
        <w:rPr>
          <w:color w:val="000000"/>
          <w:spacing w:val="40"/>
          <w:shd w:val="solid" w:color="000000" w:fill="000000"/>
          <w:fitText w:val="280" w:id="-694423792"/>
          <w14:textFill>
            <w14:solidFill>
              <w14:srgbClr w14:val="000000">
                <w14:alpha w14:val="100000"/>
              </w14:srgbClr>
            </w14:solidFill>
          </w14:textFill>
        </w:rPr>
        <w:t xml:space="preserve">|  </w:t>
      </w:r>
      <w:r w:rsidR="002212A2" w:rsidRPr="002212A2">
        <w:rPr>
          <w:color w:val="000000"/>
          <w:spacing w:val="2"/>
          <w:shd w:val="solid" w:color="000000" w:fill="000000"/>
          <w:fitText w:val="280" w:id="-694423792"/>
          <w14:textFill>
            <w14:solidFill>
              <w14:srgbClr w14:val="000000">
                <w14:alpha w14:val="100000"/>
              </w14:srgbClr>
            </w14:solidFill>
          </w14:textFill>
        </w:rPr>
        <w:t>|</w:t>
      </w:r>
      <w:r w:rsidR="008F3447" w:rsidRPr="0009282C">
        <w:t xml:space="preserve"> x 0.294</w:t>
      </w:r>
    </w:p>
    <w:p w14:paraId="1A1F3FBC" w14:textId="7CC374ED" w:rsidR="00251DB0" w:rsidRDefault="00251DB0" w:rsidP="00C24F68">
      <w:pPr>
        <w:pStyle w:val="TableFigureFooter"/>
        <w:keepNext/>
        <w:jc w:val="both"/>
      </w:pPr>
      <w:r w:rsidRPr="0009282C">
        <w:rPr>
          <w:vertAlign w:val="superscript"/>
        </w:rPr>
        <w:t>c</w:t>
      </w:r>
      <w:r w:rsidR="00CB3A70" w:rsidRPr="0009282C">
        <w:t xml:space="preserve"> Estimated by summing life years (undiscounted) accrued in the CKD4-Oxc, CKD4-Oxu, ESRD-</w:t>
      </w:r>
      <w:proofErr w:type="spellStart"/>
      <w:r w:rsidR="00CB3A70" w:rsidRPr="0009282C">
        <w:t>Oxc</w:t>
      </w:r>
      <w:proofErr w:type="spellEnd"/>
      <w:r w:rsidR="00CB3A70" w:rsidRPr="0009282C">
        <w:t>, and ESRD-</w:t>
      </w:r>
      <w:proofErr w:type="spellStart"/>
      <w:r w:rsidR="00CB3A70" w:rsidRPr="0009282C">
        <w:t>OXu</w:t>
      </w:r>
      <w:proofErr w:type="spellEnd"/>
      <w:r w:rsidR="00CB3A70" w:rsidRPr="0009282C">
        <w:t xml:space="preserve"> health states</w:t>
      </w:r>
      <w:r w:rsidR="00B33380" w:rsidRPr="0009282C">
        <w:t xml:space="preserve"> over the model time horizon. It should be noted that dialysis in the </w:t>
      </w:r>
      <w:proofErr w:type="spellStart"/>
      <w:r w:rsidR="00B33380" w:rsidRPr="0009282C">
        <w:t>lumasiran</w:t>
      </w:r>
      <w:proofErr w:type="spellEnd"/>
      <w:r w:rsidR="00B33380" w:rsidRPr="0009282C">
        <w:t xml:space="preserve"> arm is assumed to be of normal intensity, whereas </w:t>
      </w:r>
      <w:r w:rsidR="004953D2" w:rsidRPr="0009282C">
        <w:t>dialysis in the BSC is assumed to be of high intensity.</w:t>
      </w:r>
    </w:p>
    <w:p w14:paraId="6D0F831A" w14:textId="77777777" w:rsidR="001366D5" w:rsidRPr="009A6D58" w:rsidRDefault="001366D5" w:rsidP="00C24F68">
      <w:pPr>
        <w:keepNext/>
        <w:keepLines/>
        <w:rPr>
          <w:rFonts w:ascii="Arial Narrow" w:eastAsia="Times New Roman" w:hAnsi="Arial Narrow"/>
          <w:i/>
          <w:sz w:val="18"/>
          <w:szCs w:val="18"/>
        </w:rPr>
      </w:pPr>
      <w:r w:rsidRPr="009A6D58">
        <w:rPr>
          <w:rFonts w:ascii="Arial Narrow" w:eastAsia="Times New Roman" w:hAnsi="Arial Narrow"/>
          <w:i/>
          <w:sz w:val="18"/>
          <w:szCs w:val="18"/>
        </w:rPr>
        <w:t xml:space="preserve">The redacted values correspond to the following ranges: </w:t>
      </w:r>
    </w:p>
    <w:p w14:paraId="072564F9" w14:textId="5044C096" w:rsidR="001366D5" w:rsidRPr="002D4A81" w:rsidRDefault="001366D5" w:rsidP="00C24F68">
      <w:pPr>
        <w:keepNext/>
        <w:keepLines/>
        <w:rPr>
          <w:rFonts w:ascii="Arial Narrow" w:eastAsia="Times New Roman" w:hAnsi="Arial Narrow"/>
          <w:iCs/>
          <w:sz w:val="18"/>
          <w:szCs w:val="18"/>
        </w:rPr>
      </w:pPr>
      <w:r w:rsidRPr="002D4A81">
        <w:rPr>
          <w:rFonts w:ascii="Arial Narrow" w:eastAsia="Times New Roman" w:hAnsi="Arial Narrow"/>
          <w:iCs/>
          <w:sz w:val="18"/>
          <w:szCs w:val="18"/>
          <w:vertAlign w:val="superscript"/>
        </w:rPr>
        <w:t>1</w:t>
      </w:r>
      <w:r w:rsidRPr="002D4A81">
        <w:rPr>
          <w:rFonts w:ascii="Arial Narrow" w:eastAsia="Times New Roman" w:hAnsi="Arial Narrow"/>
          <w:iCs/>
          <w:sz w:val="18"/>
          <w:szCs w:val="18"/>
        </w:rPr>
        <w:t xml:space="preserve"> </w:t>
      </w:r>
      <w:r w:rsidR="007C723B" w:rsidRPr="002D4A81">
        <w:rPr>
          <w:rFonts w:ascii="Arial Narrow" w:eastAsia="Times New Roman" w:hAnsi="Arial Narrow"/>
          <w:iCs/>
          <w:sz w:val="18"/>
          <w:szCs w:val="18"/>
        </w:rPr>
        <w:t>$155,000 to &lt; $255,000</w:t>
      </w:r>
    </w:p>
    <w:p w14:paraId="4D7B7EA2" w14:textId="5547B290" w:rsidR="001366D5" w:rsidRPr="002D4A81" w:rsidRDefault="001366D5" w:rsidP="00C24F68">
      <w:pPr>
        <w:rPr>
          <w:rFonts w:ascii="Arial Narrow" w:eastAsia="Times New Roman" w:hAnsi="Arial Narrow"/>
          <w:iCs/>
          <w:sz w:val="18"/>
          <w:szCs w:val="18"/>
        </w:rPr>
      </w:pPr>
      <w:r w:rsidRPr="002D4A81">
        <w:rPr>
          <w:rFonts w:ascii="Arial Narrow" w:eastAsia="Times New Roman" w:hAnsi="Arial Narrow"/>
          <w:iCs/>
          <w:sz w:val="18"/>
          <w:szCs w:val="18"/>
          <w:vertAlign w:val="superscript"/>
        </w:rPr>
        <w:t>2</w:t>
      </w:r>
      <w:r w:rsidRPr="002D4A81">
        <w:rPr>
          <w:rFonts w:ascii="Arial Narrow" w:eastAsia="Times New Roman" w:hAnsi="Arial Narrow"/>
          <w:iCs/>
          <w:sz w:val="18"/>
          <w:szCs w:val="18"/>
        </w:rPr>
        <w:t xml:space="preserve"> </w:t>
      </w:r>
      <w:r w:rsidR="00C24F68" w:rsidRPr="002D4A81">
        <w:rPr>
          <w:rFonts w:ascii="Arial Narrow" w:eastAsia="Times New Roman" w:hAnsi="Arial Narrow"/>
          <w:iCs/>
          <w:sz w:val="18"/>
          <w:szCs w:val="18"/>
        </w:rPr>
        <w:t>&gt; $1,055,000</w:t>
      </w:r>
    </w:p>
    <w:p w14:paraId="7998B98F" w14:textId="2C0EDFF9" w:rsidR="00C634D8" w:rsidRPr="0009282C" w:rsidRDefault="00CC0673" w:rsidP="00B77499">
      <w:pPr>
        <w:pStyle w:val="3-BodyText"/>
      </w:pPr>
      <w:bookmarkStart w:id="72" w:name="_Toc22897646"/>
      <w:bookmarkStart w:id="73" w:name="_Toc107927632"/>
      <w:bookmarkStart w:id="74" w:name="_Toc188443842"/>
      <w:r w:rsidRPr="0009282C">
        <w:t xml:space="preserve">The pre-PBAC Response </w:t>
      </w:r>
      <w:r w:rsidR="008526BB" w:rsidRPr="0009282C">
        <w:t>maintained that the submitted economic model provide</w:t>
      </w:r>
      <w:r w:rsidR="00715DFA" w:rsidRPr="0009282C">
        <w:t>d</w:t>
      </w:r>
      <w:r w:rsidR="008526BB" w:rsidRPr="0009282C">
        <w:t xml:space="preserve"> a robust and plausible estimate of the cost-effectiveness of </w:t>
      </w:r>
      <w:proofErr w:type="spellStart"/>
      <w:r w:rsidR="008526BB" w:rsidRPr="0009282C">
        <w:t>lumasiran</w:t>
      </w:r>
      <w:proofErr w:type="spellEnd"/>
      <w:r w:rsidR="008526BB" w:rsidRPr="0009282C">
        <w:t xml:space="preserve">, however acknowledged that </w:t>
      </w:r>
      <w:r w:rsidR="00B77499" w:rsidRPr="0009282C">
        <w:t>using a cost-per-responder analysis may provide additional information relevant to PBAC’s decision-making.</w:t>
      </w:r>
      <w:r w:rsidR="005B6063" w:rsidRPr="0009282C">
        <w:t xml:space="preserve"> </w:t>
      </w:r>
    </w:p>
    <w:p w14:paraId="71ED7014" w14:textId="4CCEF6FD" w:rsidR="00EC5F4C" w:rsidRPr="0009282C" w:rsidRDefault="00EC5F4C" w:rsidP="00392EC8">
      <w:pPr>
        <w:pStyle w:val="4-SubsectionHeading"/>
      </w:pPr>
      <w:r w:rsidRPr="0009282C">
        <w:t>Drug cost/patient/year</w:t>
      </w:r>
      <w:bookmarkEnd w:id="72"/>
      <w:bookmarkEnd w:id="73"/>
      <w:bookmarkEnd w:id="74"/>
    </w:p>
    <w:p w14:paraId="59C2DF3F" w14:textId="36AE8271" w:rsidR="00F846C4" w:rsidRPr="0009282C" w:rsidRDefault="00C629A2" w:rsidP="00EC48DC">
      <w:pPr>
        <w:pStyle w:val="3-BodyText"/>
      </w:pPr>
      <w:r w:rsidRPr="0009282C">
        <w:t xml:space="preserve">The recommended dose of </w:t>
      </w:r>
      <w:proofErr w:type="spellStart"/>
      <w:r w:rsidRPr="0009282C">
        <w:t>lumasiran</w:t>
      </w:r>
      <w:proofErr w:type="spellEnd"/>
      <w:r w:rsidRPr="0009282C">
        <w:t xml:space="preserve"> consists of loading doses given once a month for 3 doses, followed by maintenance doses beginning one month after the last loading dose. Dosing is based on body weight. Including loading doses, the drug cost per paediatric patient per year is $</w:t>
      </w:r>
      <w:r w:rsidR="002212A2" w:rsidRPr="002212A2">
        <w:rPr>
          <w:color w:val="000000"/>
          <w:w w:val="60"/>
          <w:shd w:val="solid" w:color="000000" w:fill="000000"/>
          <w:fitText w:val="470" w:id="-694423808"/>
          <w14:textFill>
            <w14:solidFill>
              <w14:srgbClr w14:val="000000">
                <w14:alpha w14:val="100000"/>
              </w14:srgbClr>
            </w14:solidFill>
          </w14:textFill>
        </w:rPr>
        <w:t>|||  ||</w:t>
      </w:r>
      <w:r w:rsidR="002212A2" w:rsidRPr="002212A2">
        <w:rPr>
          <w:color w:val="000000"/>
          <w:spacing w:val="6"/>
          <w:w w:val="60"/>
          <w:shd w:val="solid" w:color="000000" w:fill="000000"/>
          <w:fitText w:val="470" w:id="-694423808"/>
          <w14:textFill>
            <w14:solidFill>
              <w14:srgbClr w14:val="000000">
                <w14:alpha w14:val="100000"/>
              </w14:srgbClr>
            </w14:solidFill>
          </w14:textFill>
        </w:rPr>
        <w:t>|</w:t>
      </w:r>
      <w:r w:rsidRPr="0009282C">
        <w:t>; in subsequent years on maintenance doses only, the drug cost per paediatric patient per year is $</w:t>
      </w:r>
      <w:r w:rsidR="002212A2" w:rsidRPr="002212A2">
        <w:rPr>
          <w:color w:val="000000"/>
          <w:w w:val="62"/>
          <w:shd w:val="solid" w:color="000000" w:fill="000000"/>
          <w:fitText w:val="480" w:id="-694423807"/>
          <w14:textFill>
            <w14:solidFill>
              <w14:srgbClr w14:val="000000">
                <w14:alpha w14:val="100000"/>
              </w14:srgbClr>
            </w14:solidFill>
          </w14:textFill>
        </w:rPr>
        <w:t>|||  ||</w:t>
      </w:r>
      <w:r w:rsidR="002212A2" w:rsidRPr="002212A2">
        <w:rPr>
          <w:color w:val="000000"/>
          <w:spacing w:val="2"/>
          <w:w w:val="62"/>
          <w:shd w:val="solid" w:color="000000" w:fill="000000"/>
          <w:fitText w:val="480" w:id="-694423807"/>
          <w14:textFill>
            <w14:solidFill>
              <w14:srgbClr w14:val="000000">
                <w14:alpha w14:val="100000"/>
              </w14:srgbClr>
            </w14:solidFill>
          </w14:textFill>
        </w:rPr>
        <w:t>|</w:t>
      </w:r>
      <w:r w:rsidRPr="0009282C">
        <w:t xml:space="preserve">. </w:t>
      </w:r>
    </w:p>
    <w:p w14:paraId="5A474A59" w14:textId="07F84B8D" w:rsidR="00C629A2" w:rsidRPr="0009282C" w:rsidRDefault="00C629A2" w:rsidP="00EC48DC">
      <w:pPr>
        <w:pStyle w:val="3-BodyText"/>
      </w:pPr>
      <w:bookmarkStart w:id="75" w:name="_Ref194589362"/>
      <w:r w:rsidRPr="0009282C">
        <w:t>Including loading doses, the drug cost per adult patient per year is $</w:t>
      </w:r>
      <w:r w:rsidR="002212A2" w:rsidRPr="002212A2">
        <w:rPr>
          <w:color w:val="000000"/>
          <w:w w:val="60"/>
          <w:shd w:val="solid" w:color="000000" w:fill="000000"/>
          <w:fitText w:val="470" w:id="-694423806"/>
          <w14:textFill>
            <w14:solidFill>
              <w14:srgbClr w14:val="000000">
                <w14:alpha w14:val="100000"/>
              </w14:srgbClr>
            </w14:solidFill>
          </w14:textFill>
        </w:rPr>
        <w:t>|||  ||</w:t>
      </w:r>
      <w:r w:rsidR="002212A2" w:rsidRPr="002212A2">
        <w:rPr>
          <w:color w:val="000000"/>
          <w:spacing w:val="6"/>
          <w:w w:val="60"/>
          <w:shd w:val="solid" w:color="000000" w:fill="000000"/>
          <w:fitText w:val="470" w:id="-694423806"/>
          <w14:textFill>
            <w14:solidFill>
              <w14:srgbClr w14:val="000000">
                <w14:alpha w14:val="100000"/>
              </w14:srgbClr>
            </w14:solidFill>
          </w14:textFill>
        </w:rPr>
        <w:t>|</w:t>
      </w:r>
      <w:r w:rsidRPr="0009282C">
        <w:t>; in subsequent years on maintenance doses only, the drug cost per adult patient per year is $</w:t>
      </w:r>
      <w:r w:rsidR="002212A2" w:rsidRPr="002212A2">
        <w:rPr>
          <w:color w:val="000000"/>
          <w:w w:val="60"/>
          <w:shd w:val="solid" w:color="000000" w:fill="000000"/>
          <w:fitText w:val="470" w:id="-694423805"/>
          <w14:textFill>
            <w14:solidFill>
              <w14:srgbClr w14:val="000000">
                <w14:alpha w14:val="100000"/>
              </w14:srgbClr>
            </w14:solidFill>
          </w14:textFill>
        </w:rPr>
        <w:t>|||  ||</w:t>
      </w:r>
      <w:r w:rsidR="002212A2" w:rsidRPr="002212A2">
        <w:rPr>
          <w:color w:val="000000"/>
          <w:spacing w:val="6"/>
          <w:w w:val="60"/>
          <w:shd w:val="solid" w:color="000000" w:fill="000000"/>
          <w:fitText w:val="470" w:id="-694423805"/>
          <w14:textFill>
            <w14:solidFill>
              <w14:srgbClr w14:val="000000">
                <w14:alpha w14:val="100000"/>
              </w14:srgbClr>
            </w14:solidFill>
          </w14:textFill>
        </w:rPr>
        <w:t>|</w:t>
      </w:r>
      <w:r w:rsidRPr="0009282C">
        <w:t xml:space="preserve">. The model assumes 71% are paediatric patients and 29% are adult patients. On average, the annual cost of </w:t>
      </w:r>
      <w:proofErr w:type="spellStart"/>
      <w:r w:rsidRPr="0009282C">
        <w:t>lumasiran</w:t>
      </w:r>
      <w:proofErr w:type="spellEnd"/>
      <w:r w:rsidRPr="0009282C">
        <w:t xml:space="preserve"> (including loading doses) for all patients is $</w:t>
      </w:r>
      <w:r w:rsidR="002212A2" w:rsidRPr="002212A2">
        <w:rPr>
          <w:color w:val="000000"/>
          <w:w w:val="60"/>
          <w:shd w:val="solid" w:color="000000" w:fill="000000"/>
          <w:fitText w:val="470" w:id="-694423804"/>
          <w14:textFill>
            <w14:solidFill>
              <w14:srgbClr w14:val="000000">
                <w14:alpha w14:val="100000"/>
              </w14:srgbClr>
            </w14:solidFill>
          </w14:textFill>
        </w:rPr>
        <w:t>|||  ||</w:t>
      </w:r>
      <w:r w:rsidR="002212A2" w:rsidRPr="002212A2">
        <w:rPr>
          <w:color w:val="000000"/>
          <w:spacing w:val="6"/>
          <w:w w:val="60"/>
          <w:shd w:val="solid" w:color="000000" w:fill="000000"/>
          <w:fitText w:val="470" w:id="-694423804"/>
          <w14:textFill>
            <w14:solidFill>
              <w14:srgbClr w14:val="000000">
                <w14:alpha w14:val="100000"/>
              </w14:srgbClr>
            </w14:solidFill>
          </w14:textFill>
        </w:rPr>
        <w:t>|</w:t>
      </w:r>
      <w:r w:rsidRPr="0009282C">
        <w:t xml:space="preserve">. On average, the annual cost of </w:t>
      </w:r>
      <w:proofErr w:type="spellStart"/>
      <w:r w:rsidRPr="0009282C">
        <w:t>lumasiran</w:t>
      </w:r>
      <w:proofErr w:type="spellEnd"/>
      <w:r w:rsidRPr="0009282C">
        <w:t xml:space="preserve"> (maintenance doses only) for all patients is $</w:t>
      </w:r>
      <w:r w:rsidR="002212A2" w:rsidRPr="002212A2">
        <w:rPr>
          <w:color w:val="000000"/>
          <w:w w:val="60"/>
          <w:shd w:val="solid" w:color="000000" w:fill="000000"/>
          <w:fitText w:val="470" w:id="-694423803"/>
          <w14:textFill>
            <w14:solidFill>
              <w14:srgbClr w14:val="000000">
                <w14:alpha w14:val="100000"/>
              </w14:srgbClr>
            </w14:solidFill>
          </w14:textFill>
        </w:rPr>
        <w:t>|||  ||</w:t>
      </w:r>
      <w:r w:rsidR="002212A2" w:rsidRPr="002212A2">
        <w:rPr>
          <w:color w:val="000000"/>
          <w:spacing w:val="6"/>
          <w:w w:val="60"/>
          <w:shd w:val="solid" w:color="000000" w:fill="000000"/>
          <w:fitText w:val="470" w:id="-694423803"/>
          <w14:textFill>
            <w14:solidFill>
              <w14:srgbClr w14:val="000000">
                <w14:alpha w14:val="100000"/>
              </w14:srgbClr>
            </w14:solidFill>
          </w14:textFill>
        </w:rPr>
        <w:t>|</w:t>
      </w:r>
      <w:r w:rsidRPr="0009282C">
        <w:t>.</w:t>
      </w:r>
      <w:bookmarkEnd w:id="75"/>
    </w:p>
    <w:p w14:paraId="7BFC24C0" w14:textId="57D345FA" w:rsidR="00C629A2" w:rsidRPr="0009282C" w:rsidRDefault="00E32873" w:rsidP="009F1529">
      <w:pPr>
        <w:pStyle w:val="Caption"/>
      </w:pPr>
      <w:bookmarkStart w:id="76" w:name="_Ref194589387"/>
      <w:r w:rsidRPr="0009282C">
        <w:t xml:space="preserve">Table </w:t>
      </w:r>
      <w:r w:rsidR="000D4330">
        <w:fldChar w:fldCharType="begin" w:fldLock="1"/>
      </w:r>
      <w:r w:rsidR="000D4330">
        <w:instrText xml:space="preserve"> SEQ Table \* ARABIC </w:instrText>
      </w:r>
      <w:r w:rsidR="000D4330">
        <w:fldChar w:fldCharType="separate"/>
      </w:r>
      <w:r w:rsidR="00771DFF">
        <w:rPr>
          <w:noProof/>
        </w:rPr>
        <w:t>18</w:t>
      </w:r>
      <w:r w:rsidR="000D4330">
        <w:rPr>
          <w:noProof/>
        </w:rPr>
        <w:fldChar w:fldCharType="end"/>
      </w:r>
      <w:bookmarkEnd w:id="76"/>
      <w:r w:rsidRPr="0009282C">
        <w:t xml:space="preserve">: </w:t>
      </w:r>
      <w:proofErr w:type="spellStart"/>
      <w:r w:rsidR="00C629A2" w:rsidRPr="0009282C">
        <w:t>Lumasiran</w:t>
      </w:r>
      <w:proofErr w:type="spellEnd"/>
      <w:r w:rsidR="00C629A2" w:rsidRPr="0009282C">
        <w:t xml:space="preserve"> drug costs per cycle – from the economic model</w:t>
      </w:r>
    </w:p>
    <w:tbl>
      <w:tblPr>
        <w:tblStyle w:val="PlainTable21"/>
        <w:tblW w:w="5000" w:type="pct"/>
        <w:tblLook w:val="04A0" w:firstRow="1" w:lastRow="0" w:firstColumn="1" w:lastColumn="0" w:noHBand="0" w:noVBand="1"/>
      </w:tblPr>
      <w:tblGrid>
        <w:gridCol w:w="2721"/>
        <w:gridCol w:w="1719"/>
        <w:gridCol w:w="1619"/>
        <w:gridCol w:w="1102"/>
        <w:gridCol w:w="1856"/>
      </w:tblGrid>
      <w:tr w:rsidR="001573EA" w:rsidRPr="0009282C" w14:paraId="606F4374" w14:textId="77777777" w:rsidTr="00157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131AD396" w14:textId="3A3F48A2" w:rsidR="00C629A2" w:rsidRPr="0009282C" w:rsidRDefault="00C629A2" w:rsidP="009F1529">
            <w:pPr>
              <w:pStyle w:val="TableText0"/>
              <w:keepNext/>
              <w:keepLines/>
              <w:rPr>
                <w:sz w:val="20"/>
                <w:szCs w:val="20"/>
                <w:lang w:eastAsia="en-AU"/>
              </w:rPr>
            </w:pPr>
            <w:proofErr w:type="spellStart"/>
            <w:r w:rsidRPr="0009282C">
              <w:rPr>
                <w:sz w:val="20"/>
                <w:szCs w:val="20"/>
                <w:lang w:eastAsia="en-AU"/>
              </w:rPr>
              <w:t>Lumasiran</w:t>
            </w:r>
            <w:proofErr w:type="spellEnd"/>
            <w:r w:rsidRPr="0009282C">
              <w:rPr>
                <w:sz w:val="20"/>
                <w:szCs w:val="20"/>
                <w:lang w:eastAsia="en-AU"/>
              </w:rPr>
              <w:t xml:space="preserve"> cycle</w:t>
            </w:r>
          </w:p>
        </w:tc>
        <w:tc>
          <w:tcPr>
            <w:tcW w:w="953" w:type="pct"/>
            <w:tcBorders>
              <w:top w:val="single" w:sz="4" w:space="0" w:color="auto"/>
              <w:left w:val="single" w:sz="4" w:space="0" w:color="auto"/>
              <w:bottom w:val="single" w:sz="4" w:space="0" w:color="auto"/>
              <w:right w:val="single" w:sz="4" w:space="0" w:color="auto"/>
            </w:tcBorders>
            <w:hideMark/>
          </w:tcPr>
          <w:p w14:paraId="0733E275" w14:textId="77777777" w:rsidR="00C629A2" w:rsidRPr="0009282C" w:rsidRDefault="00C629A2" w:rsidP="009F1529">
            <w:pPr>
              <w:pStyle w:val="TableText0"/>
              <w:keepNext/>
              <w:keepLines/>
              <w:cnfStyle w:val="100000000000" w:firstRow="1"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Admin. per cycle, mean</w:t>
            </w:r>
          </w:p>
        </w:tc>
        <w:tc>
          <w:tcPr>
            <w:tcW w:w="898" w:type="pct"/>
            <w:tcBorders>
              <w:top w:val="single" w:sz="4" w:space="0" w:color="auto"/>
              <w:left w:val="single" w:sz="4" w:space="0" w:color="auto"/>
              <w:bottom w:val="single" w:sz="4" w:space="0" w:color="auto"/>
              <w:right w:val="single" w:sz="4" w:space="0" w:color="auto"/>
            </w:tcBorders>
            <w:hideMark/>
          </w:tcPr>
          <w:p w14:paraId="6C83687C" w14:textId="77777777" w:rsidR="00C629A2" w:rsidRPr="0009282C" w:rsidRDefault="00C629A2" w:rsidP="009F1529">
            <w:pPr>
              <w:pStyle w:val="TableText0"/>
              <w:keepNext/>
              <w:keepLines/>
              <w:cnfStyle w:val="100000000000" w:firstRow="1"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Vials per cycle, mean</w:t>
            </w:r>
          </w:p>
        </w:tc>
        <w:tc>
          <w:tcPr>
            <w:tcW w:w="611" w:type="pct"/>
            <w:tcBorders>
              <w:top w:val="single" w:sz="4" w:space="0" w:color="auto"/>
              <w:left w:val="single" w:sz="4" w:space="0" w:color="auto"/>
              <w:bottom w:val="single" w:sz="4" w:space="0" w:color="auto"/>
              <w:right w:val="single" w:sz="4" w:space="0" w:color="auto"/>
            </w:tcBorders>
            <w:hideMark/>
          </w:tcPr>
          <w:p w14:paraId="084C4FEA" w14:textId="77777777" w:rsidR="00C629A2" w:rsidRPr="0009282C" w:rsidRDefault="00C629A2" w:rsidP="009F1529">
            <w:pPr>
              <w:pStyle w:val="TableText0"/>
              <w:keepNext/>
              <w:keepLines/>
              <w:cnfStyle w:val="100000000000" w:firstRow="1"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RDI</w:t>
            </w:r>
          </w:p>
        </w:tc>
        <w:tc>
          <w:tcPr>
            <w:tcW w:w="1029" w:type="pct"/>
            <w:tcBorders>
              <w:top w:val="single" w:sz="4" w:space="0" w:color="auto"/>
              <w:left w:val="single" w:sz="4" w:space="0" w:color="auto"/>
              <w:bottom w:val="single" w:sz="4" w:space="0" w:color="auto"/>
              <w:right w:val="single" w:sz="4" w:space="0" w:color="auto"/>
            </w:tcBorders>
            <w:hideMark/>
          </w:tcPr>
          <w:p w14:paraId="72A28904" w14:textId="77777777" w:rsidR="00C629A2" w:rsidRPr="0009282C" w:rsidRDefault="00C629A2" w:rsidP="009F1529">
            <w:pPr>
              <w:pStyle w:val="TableText0"/>
              <w:keepNext/>
              <w:keepLines/>
              <w:cnfStyle w:val="100000000000" w:firstRow="1"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Drug cost per cycle ($)</w:t>
            </w:r>
          </w:p>
        </w:tc>
      </w:tr>
      <w:tr w:rsidR="00C629A2" w:rsidRPr="0009282C" w14:paraId="1A774E96" w14:textId="77777777" w:rsidTr="0022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277BB3A6"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Paediatric</w:t>
            </w:r>
          </w:p>
        </w:tc>
        <w:tc>
          <w:tcPr>
            <w:tcW w:w="953" w:type="pct"/>
            <w:tcBorders>
              <w:top w:val="single" w:sz="4" w:space="0" w:color="auto"/>
              <w:left w:val="single" w:sz="4" w:space="0" w:color="auto"/>
              <w:bottom w:val="single" w:sz="4" w:space="0" w:color="auto"/>
              <w:right w:val="single" w:sz="4" w:space="0" w:color="auto"/>
            </w:tcBorders>
          </w:tcPr>
          <w:p w14:paraId="4FA7C078"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c>
          <w:tcPr>
            <w:tcW w:w="898" w:type="pct"/>
            <w:tcBorders>
              <w:top w:val="single" w:sz="4" w:space="0" w:color="auto"/>
              <w:left w:val="single" w:sz="4" w:space="0" w:color="auto"/>
              <w:bottom w:val="single" w:sz="4" w:space="0" w:color="auto"/>
              <w:right w:val="single" w:sz="4" w:space="0" w:color="auto"/>
            </w:tcBorders>
          </w:tcPr>
          <w:p w14:paraId="718F9B46"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2D44CAE9"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c>
          <w:tcPr>
            <w:tcW w:w="1029" w:type="pct"/>
            <w:tcBorders>
              <w:top w:val="single" w:sz="4" w:space="0" w:color="auto"/>
              <w:left w:val="single" w:sz="4" w:space="0" w:color="auto"/>
              <w:bottom w:val="single" w:sz="4" w:space="0" w:color="auto"/>
              <w:right w:val="single" w:sz="4" w:space="0" w:color="auto"/>
            </w:tcBorders>
          </w:tcPr>
          <w:p w14:paraId="4329177F"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r>
      <w:tr w:rsidR="00C629A2" w:rsidRPr="0009282C" w14:paraId="04F197F7" w14:textId="77777777" w:rsidTr="002212A2">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6E0E9619"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Cycle 1</w:t>
            </w:r>
          </w:p>
        </w:tc>
        <w:tc>
          <w:tcPr>
            <w:tcW w:w="953" w:type="pct"/>
            <w:tcBorders>
              <w:top w:val="single" w:sz="4" w:space="0" w:color="auto"/>
              <w:left w:val="single" w:sz="4" w:space="0" w:color="auto"/>
              <w:bottom w:val="single" w:sz="4" w:space="0" w:color="auto"/>
              <w:right w:val="single" w:sz="4" w:space="0" w:color="auto"/>
            </w:tcBorders>
            <w:hideMark/>
          </w:tcPr>
          <w:p w14:paraId="40A13378"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4</w:t>
            </w:r>
          </w:p>
        </w:tc>
        <w:tc>
          <w:tcPr>
            <w:tcW w:w="898" w:type="pct"/>
            <w:tcBorders>
              <w:top w:val="single" w:sz="4" w:space="0" w:color="auto"/>
              <w:left w:val="single" w:sz="4" w:space="0" w:color="auto"/>
              <w:bottom w:val="single" w:sz="4" w:space="0" w:color="auto"/>
              <w:right w:val="single" w:sz="4" w:space="0" w:color="auto"/>
            </w:tcBorders>
            <w:hideMark/>
          </w:tcPr>
          <w:p w14:paraId="03405C23"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6.18</w:t>
            </w:r>
          </w:p>
        </w:tc>
        <w:tc>
          <w:tcPr>
            <w:tcW w:w="611" w:type="pct"/>
            <w:tcBorders>
              <w:top w:val="single" w:sz="4" w:space="0" w:color="auto"/>
              <w:left w:val="single" w:sz="4" w:space="0" w:color="auto"/>
              <w:bottom w:val="single" w:sz="4" w:space="0" w:color="auto"/>
              <w:right w:val="single" w:sz="4" w:space="0" w:color="auto"/>
            </w:tcBorders>
            <w:hideMark/>
          </w:tcPr>
          <w:p w14:paraId="571B6083"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0.99</w:t>
            </w: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50526B77" w14:textId="5FF43216" w:rsidR="00C629A2" w:rsidRPr="00C24F68" w:rsidRDefault="002212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highlight w:val="darkGray"/>
                <w:lang w:eastAsia="en-AU"/>
              </w:rPr>
            </w:pPr>
            <w:r w:rsidRPr="002212A2">
              <w:rPr>
                <w:iCs/>
                <w:color w:val="000000"/>
                <w:spacing w:val="53"/>
                <w:sz w:val="20"/>
                <w:fitText w:val="330" w:id="-694423802"/>
                <w:lang w:eastAsia="en-AU"/>
                <w14:textFill>
                  <w14:solidFill>
                    <w14:srgbClr w14:val="000000">
                      <w14:alpha w14:val="100000"/>
                    </w14:srgbClr>
                  </w14:solidFill>
                </w14:textFill>
              </w:rPr>
              <w:t>|||</w:t>
            </w:r>
            <w:r w:rsidRPr="002212A2">
              <w:rPr>
                <w:iCs/>
                <w:color w:val="000000"/>
                <w:spacing w:val="1"/>
                <w:sz w:val="20"/>
                <w:fitText w:val="330" w:id="-694423802"/>
                <w:lang w:eastAsia="en-AU"/>
                <w14:textFill>
                  <w14:solidFill>
                    <w14:srgbClr w14:val="000000">
                      <w14:alpha w14:val="100000"/>
                    </w14:srgbClr>
                  </w14:solidFill>
                </w14:textFill>
              </w:rPr>
              <w:t>|</w:t>
            </w:r>
          </w:p>
        </w:tc>
      </w:tr>
      <w:tr w:rsidR="00C629A2" w:rsidRPr="0009282C" w14:paraId="08E59C65" w14:textId="77777777" w:rsidTr="0022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435F8924"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Cycle 2+</w:t>
            </w:r>
          </w:p>
        </w:tc>
        <w:tc>
          <w:tcPr>
            <w:tcW w:w="953" w:type="pct"/>
            <w:tcBorders>
              <w:top w:val="single" w:sz="4" w:space="0" w:color="auto"/>
              <w:left w:val="single" w:sz="4" w:space="0" w:color="auto"/>
              <w:bottom w:val="single" w:sz="4" w:space="0" w:color="auto"/>
              <w:right w:val="single" w:sz="4" w:space="0" w:color="auto"/>
            </w:tcBorders>
            <w:hideMark/>
          </w:tcPr>
          <w:p w14:paraId="431CFC93"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2</w:t>
            </w:r>
          </w:p>
        </w:tc>
        <w:tc>
          <w:tcPr>
            <w:tcW w:w="898" w:type="pct"/>
            <w:tcBorders>
              <w:top w:val="single" w:sz="4" w:space="0" w:color="auto"/>
              <w:left w:val="single" w:sz="4" w:space="0" w:color="auto"/>
              <w:bottom w:val="single" w:sz="4" w:space="0" w:color="auto"/>
              <w:right w:val="single" w:sz="4" w:space="0" w:color="auto"/>
            </w:tcBorders>
            <w:hideMark/>
          </w:tcPr>
          <w:p w14:paraId="4A126CB7"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3.09</w:t>
            </w:r>
          </w:p>
        </w:tc>
        <w:tc>
          <w:tcPr>
            <w:tcW w:w="611" w:type="pct"/>
            <w:tcBorders>
              <w:top w:val="single" w:sz="4" w:space="0" w:color="auto"/>
              <w:left w:val="single" w:sz="4" w:space="0" w:color="auto"/>
              <w:bottom w:val="single" w:sz="4" w:space="0" w:color="auto"/>
              <w:right w:val="single" w:sz="4" w:space="0" w:color="auto"/>
            </w:tcBorders>
            <w:hideMark/>
          </w:tcPr>
          <w:p w14:paraId="3FE1961A"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0.99</w:t>
            </w: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4C483352" w14:textId="6DE70335" w:rsidR="00C629A2" w:rsidRPr="00C24F68" w:rsidRDefault="002212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highlight w:val="darkGray"/>
                <w:lang w:eastAsia="en-AU"/>
              </w:rPr>
            </w:pPr>
            <w:r w:rsidRPr="002212A2">
              <w:rPr>
                <w:iCs/>
                <w:color w:val="000000"/>
                <w:spacing w:val="53"/>
                <w:sz w:val="20"/>
                <w:fitText w:val="330" w:id="-694423801"/>
                <w:lang w:eastAsia="en-AU"/>
                <w14:textFill>
                  <w14:solidFill>
                    <w14:srgbClr w14:val="000000">
                      <w14:alpha w14:val="100000"/>
                    </w14:srgbClr>
                  </w14:solidFill>
                </w14:textFill>
              </w:rPr>
              <w:t>|||</w:t>
            </w:r>
            <w:r w:rsidRPr="002212A2">
              <w:rPr>
                <w:iCs/>
                <w:color w:val="000000"/>
                <w:spacing w:val="1"/>
                <w:sz w:val="20"/>
                <w:fitText w:val="330" w:id="-694423801"/>
                <w:lang w:eastAsia="en-AU"/>
                <w14:textFill>
                  <w14:solidFill>
                    <w14:srgbClr w14:val="000000">
                      <w14:alpha w14:val="100000"/>
                    </w14:srgbClr>
                  </w14:solidFill>
                </w14:textFill>
              </w:rPr>
              <w:t>|</w:t>
            </w:r>
          </w:p>
        </w:tc>
      </w:tr>
      <w:tr w:rsidR="00C629A2" w:rsidRPr="0009282C" w14:paraId="2EB49EB7" w14:textId="77777777" w:rsidTr="002212A2">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6BAD8CBB"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Total per year – with loading dose</w:t>
            </w:r>
          </w:p>
        </w:tc>
        <w:tc>
          <w:tcPr>
            <w:tcW w:w="953" w:type="pct"/>
            <w:tcBorders>
              <w:top w:val="single" w:sz="4" w:space="0" w:color="auto"/>
              <w:left w:val="single" w:sz="4" w:space="0" w:color="auto"/>
              <w:bottom w:val="single" w:sz="4" w:space="0" w:color="auto"/>
              <w:right w:val="single" w:sz="4" w:space="0" w:color="auto"/>
            </w:tcBorders>
            <w:hideMark/>
          </w:tcPr>
          <w:p w14:paraId="7BFCCB0E"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6</w:t>
            </w:r>
          </w:p>
        </w:tc>
        <w:tc>
          <w:tcPr>
            <w:tcW w:w="898" w:type="pct"/>
            <w:tcBorders>
              <w:top w:val="single" w:sz="4" w:space="0" w:color="auto"/>
              <w:left w:val="single" w:sz="4" w:space="0" w:color="auto"/>
              <w:bottom w:val="single" w:sz="4" w:space="0" w:color="auto"/>
              <w:right w:val="single" w:sz="4" w:space="0" w:color="auto"/>
            </w:tcBorders>
          </w:tcPr>
          <w:p w14:paraId="2C06D24C"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1CBE6AFA"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501AC998" w14:textId="09CF07D0" w:rsidR="00C629A2" w:rsidRPr="00C24F68" w:rsidRDefault="002212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highlight w:val="darkGray"/>
                <w:lang w:eastAsia="en-AU"/>
              </w:rPr>
            </w:pPr>
            <w:r w:rsidRPr="002212A2">
              <w:rPr>
                <w:iCs/>
                <w:color w:val="000000"/>
                <w:spacing w:val="53"/>
                <w:sz w:val="20"/>
                <w:fitText w:val="330" w:id="-694423800"/>
                <w:lang w:eastAsia="en-AU"/>
                <w14:textFill>
                  <w14:solidFill>
                    <w14:srgbClr w14:val="000000">
                      <w14:alpha w14:val="100000"/>
                    </w14:srgbClr>
                  </w14:solidFill>
                </w14:textFill>
              </w:rPr>
              <w:t>|||</w:t>
            </w:r>
            <w:r w:rsidRPr="002212A2">
              <w:rPr>
                <w:iCs/>
                <w:color w:val="000000"/>
                <w:spacing w:val="1"/>
                <w:sz w:val="20"/>
                <w:fitText w:val="330" w:id="-694423800"/>
                <w:lang w:eastAsia="en-AU"/>
                <w14:textFill>
                  <w14:solidFill>
                    <w14:srgbClr w14:val="000000">
                      <w14:alpha w14:val="100000"/>
                    </w14:srgbClr>
                  </w14:solidFill>
                </w14:textFill>
              </w:rPr>
              <w:t>|</w:t>
            </w:r>
          </w:p>
        </w:tc>
      </w:tr>
      <w:tr w:rsidR="00C629A2" w:rsidRPr="0009282C" w14:paraId="1E3CE093" w14:textId="77777777" w:rsidTr="0022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6239ABCB" w14:textId="77777777" w:rsidR="00C629A2" w:rsidRPr="0009282C" w:rsidRDefault="00C629A2" w:rsidP="009F1529">
            <w:pPr>
              <w:pStyle w:val="TableText0"/>
              <w:keepNext/>
              <w:keepLines/>
              <w:rPr>
                <w:iCs/>
                <w:sz w:val="20"/>
                <w:lang w:eastAsia="en-AU"/>
              </w:rPr>
            </w:pPr>
            <w:r w:rsidRPr="0009282C">
              <w:rPr>
                <w:iCs/>
                <w:sz w:val="20"/>
                <w:lang w:eastAsia="en-AU"/>
              </w:rPr>
              <w:t>Total per year – with 2 maintenance doses</w:t>
            </w:r>
          </w:p>
        </w:tc>
        <w:tc>
          <w:tcPr>
            <w:tcW w:w="953" w:type="pct"/>
            <w:tcBorders>
              <w:top w:val="single" w:sz="4" w:space="0" w:color="auto"/>
              <w:left w:val="single" w:sz="4" w:space="0" w:color="auto"/>
              <w:bottom w:val="single" w:sz="4" w:space="0" w:color="auto"/>
              <w:right w:val="single" w:sz="4" w:space="0" w:color="auto"/>
            </w:tcBorders>
            <w:hideMark/>
          </w:tcPr>
          <w:p w14:paraId="5980785D"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b/>
                <w:bCs w:val="0"/>
                <w:iCs/>
                <w:sz w:val="20"/>
                <w:lang w:eastAsia="en-AU"/>
              </w:rPr>
            </w:pPr>
            <w:r w:rsidRPr="0009282C">
              <w:rPr>
                <w:b/>
                <w:bCs w:val="0"/>
                <w:iCs/>
                <w:sz w:val="20"/>
                <w:lang w:eastAsia="en-AU"/>
              </w:rPr>
              <w:t>4</w:t>
            </w:r>
          </w:p>
        </w:tc>
        <w:tc>
          <w:tcPr>
            <w:tcW w:w="898" w:type="pct"/>
            <w:tcBorders>
              <w:top w:val="single" w:sz="4" w:space="0" w:color="auto"/>
              <w:left w:val="single" w:sz="4" w:space="0" w:color="auto"/>
              <w:bottom w:val="single" w:sz="4" w:space="0" w:color="auto"/>
              <w:right w:val="single" w:sz="4" w:space="0" w:color="auto"/>
            </w:tcBorders>
          </w:tcPr>
          <w:p w14:paraId="30967E06"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b/>
                <w:bCs w:val="0"/>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186D77C9"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b/>
                <w:bCs w:val="0"/>
                <w:iCs/>
                <w:sz w:val="20"/>
                <w:lang w:eastAsia="en-AU"/>
              </w:rPr>
            </w:pP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3A991810" w14:textId="7F5ED1F4" w:rsidR="00C629A2" w:rsidRPr="00C24F68" w:rsidRDefault="002212A2" w:rsidP="009F1529">
            <w:pPr>
              <w:pStyle w:val="TableText0"/>
              <w:keepNext/>
              <w:keepLines/>
              <w:cnfStyle w:val="000000100000" w:firstRow="0" w:lastRow="0" w:firstColumn="0" w:lastColumn="0" w:oddVBand="0" w:evenVBand="0" w:oddHBand="1" w:evenHBand="0" w:firstRowFirstColumn="0" w:firstRowLastColumn="0" w:lastRowFirstColumn="0" w:lastRowLastColumn="0"/>
              <w:rPr>
                <w:b/>
                <w:bCs w:val="0"/>
                <w:iCs/>
                <w:sz w:val="20"/>
                <w:highlight w:val="darkGray"/>
                <w:lang w:eastAsia="en-AU"/>
              </w:rPr>
            </w:pPr>
            <w:r w:rsidRPr="002212A2">
              <w:rPr>
                <w:b/>
                <w:bCs w:val="0"/>
                <w:iCs/>
                <w:color w:val="000000"/>
                <w:spacing w:val="55"/>
                <w:sz w:val="20"/>
                <w:fitText w:val="350" w:id="-694423799"/>
                <w:lang w:eastAsia="en-AU"/>
                <w14:textFill>
                  <w14:solidFill>
                    <w14:srgbClr w14:val="000000">
                      <w14:alpha w14:val="100000"/>
                    </w14:srgbClr>
                  </w14:solidFill>
                </w14:textFill>
              </w:rPr>
              <w:t>|||</w:t>
            </w:r>
            <w:r w:rsidRPr="002212A2">
              <w:rPr>
                <w:b/>
                <w:bCs w:val="0"/>
                <w:iCs/>
                <w:color w:val="000000"/>
                <w:spacing w:val="2"/>
                <w:sz w:val="20"/>
                <w:fitText w:val="350" w:id="-694423799"/>
                <w:lang w:eastAsia="en-AU"/>
                <w14:textFill>
                  <w14:solidFill>
                    <w14:srgbClr w14:val="000000">
                      <w14:alpha w14:val="100000"/>
                    </w14:srgbClr>
                  </w14:solidFill>
                </w14:textFill>
              </w:rPr>
              <w:t>|</w:t>
            </w:r>
          </w:p>
        </w:tc>
      </w:tr>
      <w:tr w:rsidR="00C629A2" w:rsidRPr="0009282C" w14:paraId="51CAB7FB" w14:textId="77777777" w:rsidTr="002212A2">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20803B2D"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Adult</w:t>
            </w:r>
          </w:p>
        </w:tc>
        <w:tc>
          <w:tcPr>
            <w:tcW w:w="953" w:type="pct"/>
            <w:tcBorders>
              <w:top w:val="single" w:sz="4" w:space="0" w:color="auto"/>
              <w:left w:val="single" w:sz="4" w:space="0" w:color="auto"/>
              <w:bottom w:val="single" w:sz="4" w:space="0" w:color="auto"/>
              <w:right w:val="single" w:sz="4" w:space="0" w:color="auto"/>
            </w:tcBorders>
          </w:tcPr>
          <w:p w14:paraId="726AE3AB"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c>
          <w:tcPr>
            <w:tcW w:w="898" w:type="pct"/>
            <w:tcBorders>
              <w:top w:val="single" w:sz="4" w:space="0" w:color="auto"/>
              <w:left w:val="single" w:sz="4" w:space="0" w:color="auto"/>
              <w:bottom w:val="single" w:sz="4" w:space="0" w:color="auto"/>
              <w:right w:val="single" w:sz="4" w:space="0" w:color="auto"/>
            </w:tcBorders>
          </w:tcPr>
          <w:p w14:paraId="09AD0B6A"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4E9B9163"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c>
          <w:tcPr>
            <w:tcW w:w="1029" w:type="pct"/>
            <w:tcBorders>
              <w:top w:val="single" w:sz="4" w:space="0" w:color="auto"/>
              <w:left w:val="single" w:sz="4" w:space="0" w:color="auto"/>
              <w:bottom w:val="single" w:sz="4" w:space="0" w:color="auto"/>
              <w:right w:val="single" w:sz="4" w:space="0" w:color="auto"/>
            </w:tcBorders>
          </w:tcPr>
          <w:p w14:paraId="41255F6D"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p>
        </w:tc>
      </w:tr>
      <w:tr w:rsidR="00C629A2" w:rsidRPr="0009282C" w14:paraId="61C9009C" w14:textId="77777777" w:rsidTr="0022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6900FAC9"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Cycle 1</w:t>
            </w:r>
          </w:p>
        </w:tc>
        <w:tc>
          <w:tcPr>
            <w:tcW w:w="953" w:type="pct"/>
            <w:tcBorders>
              <w:top w:val="single" w:sz="4" w:space="0" w:color="auto"/>
              <w:left w:val="single" w:sz="4" w:space="0" w:color="auto"/>
              <w:bottom w:val="single" w:sz="4" w:space="0" w:color="auto"/>
              <w:right w:val="single" w:sz="4" w:space="0" w:color="auto"/>
            </w:tcBorders>
            <w:hideMark/>
          </w:tcPr>
          <w:p w14:paraId="65A1F2B8"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4</w:t>
            </w:r>
          </w:p>
        </w:tc>
        <w:tc>
          <w:tcPr>
            <w:tcW w:w="898" w:type="pct"/>
            <w:tcBorders>
              <w:top w:val="single" w:sz="4" w:space="0" w:color="auto"/>
              <w:left w:val="single" w:sz="4" w:space="0" w:color="auto"/>
              <w:bottom w:val="single" w:sz="4" w:space="0" w:color="auto"/>
              <w:right w:val="single" w:sz="4" w:space="0" w:color="auto"/>
            </w:tcBorders>
            <w:hideMark/>
          </w:tcPr>
          <w:p w14:paraId="10E966CC"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12.17</w:t>
            </w:r>
          </w:p>
        </w:tc>
        <w:tc>
          <w:tcPr>
            <w:tcW w:w="611" w:type="pct"/>
            <w:tcBorders>
              <w:top w:val="single" w:sz="4" w:space="0" w:color="auto"/>
              <w:left w:val="single" w:sz="4" w:space="0" w:color="auto"/>
              <w:bottom w:val="single" w:sz="4" w:space="0" w:color="auto"/>
              <w:right w:val="single" w:sz="4" w:space="0" w:color="auto"/>
            </w:tcBorders>
            <w:hideMark/>
          </w:tcPr>
          <w:p w14:paraId="65194D70"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0.99</w:t>
            </w: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16BCBDC6" w14:textId="4228F290" w:rsidR="00C629A2" w:rsidRPr="00C24F68" w:rsidRDefault="002212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highlight w:val="darkGray"/>
                <w:lang w:eastAsia="en-AU"/>
              </w:rPr>
            </w:pPr>
            <w:r w:rsidRPr="002212A2">
              <w:rPr>
                <w:iCs/>
                <w:color w:val="000000"/>
                <w:spacing w:val="53"/>
                <w:sz w:val="20"/>
                <w:fitText w:val="330" w:id="-694423798"/>
                <w:lang w:eastAsia="en-AU"/>
                <w14:textFill>
                  <w14:solidFill>
                    <w14:srgbClr w14:val="000000">
                      <w14:alpha w14:val="100000"/>
                    </w14:srgbClr>
                  </w14:solidFill>
                </w14:textFill>
              </w:rPr>
              <w:t>|||</w:t>
            </w:r>
            <w:r w:rsidRPr="002212A2">
              <w:rPr>
                <w:iCs/>
                <w:color w:val="000000"/>
                <w:spacing w:val="1"/>
                <w:sz w:val="20"/>
                <w:fitText w:val="330" w:id="-694423798"/>
                <w:lang w:eastAsia="en-AU"/>
                <w14:textFill>
                  <w14:solidFill>
                    <w14:srgbClr w14:val="000000">
                      <w14:alpha w14:val="100000"/>
                    </w14:srgbClr>
                  </w14:solidFill>
                </w14:textFill>
              </w:rPr>
              <w:t>|</w:t>
            </w:r>
          </w:p>
        </w:tc>
      </w:tr>
      <w:tr w:rsidR="00C629A2" w:rsidRPr="0009282C" w14:paraId="502F9A8A" w14:textId="77777777" w:rsidTr="002212A2">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77295CE6"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Cycle 2+</w:t>
            </w:r>
          </w:p>
        </w:tc>
        <w:tc>
          <w:tcPr>
            <w:tcW w:w="953" w:type="pct"/>
            <w:tcBorders>
              <w:top w:val="single" w:sz="4" w:space="0" w:color="auto"/>
              <w:left w:val="single" w:sz="4" w:space="0" w:color="auto"/>
              <w:bottom w:val="single" w:sz="4" w:space="0" w:color="auto"/>
              <w:right w:val="single" w:sz="4" w:space="0" w:color="auto"/>
            </w:tcBorders>
            <w:hideMark/>
          </w:tcPr>
          <w:p w14:paraId="08DDE9E8"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2</w:t>
            </w:r>
          </w:p>
        </w:tc>
        <w:tc>
          <w:tcPr>
            <w:tcW w:w="898" w:type="pct"/>
            <w:tcBorders>
              <w:top w:val="single" w:sz="4" w:space="0" w:color="auto"/>
              <w:left w:val="single" w:sz="4" w:space="0" w:color="auto"/>
              <w:bottom w:val="single" w:sz="4" w:space="0" w:color="auto"/>
              <w:right w:val="single" w:sz="4" w:space="0" w:color="auto"/>
            </w:tcBorders>
            <w:hideMark/>
          </w:tcPr>
          <w:p w14:paraId="4463109E"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6.09</w:t>
            </w:r>
          </w:p>
        </w:tc>
        <w:tc>
          <w:tcPr>
            <w:tcW w:w="611" w:type="pct"/>
            <w:tcBorders>
              <w:top w:val="single" w:sz="4" w:space="0" w:color="auto"/>
              <w:left w:val="single" w:sz="4" w:space="0" w:color="auto"/>
              <w:bottom w:val="single" w:sz="4" w:space="0" w:color="auto"/>
              <w:right w:val="single" w:sz="4" w:space="0" w:color="auto"/>
            </w:tcBorders>
            <w:hideMark/>
          </w:tcPr>
          <w:p w14:paraId="2781651A"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lang w:eastAsia="en-AU"/>
              </w:rPr>
            </w:pPr>
            <w:r w:rsidRPr="0009282C">
              <w:rPr>
                <w:iCs/>
                <w:sz w:val="20"/>
                <w:lang w:eastAsia="en-AU"/>
              </w:rPr>
              <w:t>0.99</w:t>
            </w: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2A1058E9" w14:textId="51CECCBE" w:rsidR="00C629A2" w:rsidRPr="00C24F68" w:rsidRDefault="002212A2" w:rsidP="009F1529">
            <w:pPr>
              <w:pStyle w:val="TableText0"/>
              <w:keepNext/>
              <w:keepLines/>
              <w:cnfStyle w:val="000000000000" w:firstRow="0" w:lastRow="0" w:firstColumn="0" w:lastColumn="0" w:oddVBand="0" w:evenVBand="0" w:oddHBand="0" w:evenHBand="0" w:firstRowFirstColumn="0" w:firstRowLastColumn="0" w:lastRowFirstColumn="0" w:lastRowLastColumn="0"/>
              <w:rPr>
                <w:iCs/>
                <w:sz w:val="20"/>
                <w:highlight w:val="darkGray"/>
                <w:lang w:eastAsia="en-AU"/>
              </w:rPr>
            </w:pPr>
            <w:r w:rsidRPr="002212A2">
              <w:rPr>
                <w:iCs/>
                <w:color w:val="000000"/>
                <w:spacing w:val="53"/>
                <w:sz w:val="20"/>
                <w:fitText w:val="330" w:id="-694423797"/>
                <w:lang w:eastAsia="en-AU"/>
                <w14:textFill>
                  <w14:solidFill>
                    <w14:srgbClr w14:val="000000">
                      <w14:alpha w14:val="100000"/>
                    </w14:srgbClr>
                  </w14:solidFill>
                </w14:textFill>
              </w:rPr>
              <w:t>|||</w:t>
            </w:r>
            <w:r w:rsidRPr="002212A2">
              <w:rPr>
                <w:iCs/>
                <w:color w:val="000000"/>
                <w:spacing w:val="1"/>
                <w:sz w:val="20"/>
                <w:fitText w:val="330" w:id="-694423797"/>
                <w:lang w:eastAsia="en-AU"/>
                <w14:textFill>
                  <w14:solidFill>
                    <w14:srgbClr w14:val="000000">
                      <w14:alpha w14:val="100000"/>
                    </w14:srgbClr>
                  </w14:solidFill>
                </w14:textFill>
              </w:rPr>
              <w:t>|</w:t>
            </w:r>
          </w:p>
        </w:tc>
      </w:tr>
      <w:tr w:rsidR="00C629A2" w:rsidRPr="0009282C" w14:paraId="289B946E" w14:textId="77777777" w:rsidTr="00221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4D488D4E" w14:textId="77777777" w:rsidR="00C629A2" w:rsidRPr="0009282C" w:rsidRDefault="00C629A2" w:rsidP="009F1529">
            <w:pPr>
              <w:pStyle w:val="TableText0"/>
              <w:keepNext/>
              <w:keepLines/>
              <w:rPr>
                <w:b w:val="0"/>
                <w:bCs/>
                <w:iCs/>
                <w:sz w:val="20"/>
                <w:lang w:eastAsia="en-AU"/>
              </w:rPr>
            </w:pPr>
            <w:r w:rsidRPr="0009282C">
              <w:rPr>
                <w:b w:val="0"/>
                <w:bCs/>
                <w:iCs/>
                <w:sz w:val="20"/>
                <w:lang w:eastAsia="en-AU"/>
              </w:rPr>
              <w:t>Total per year – with loading dose</w:t>
            </w:r>
          </w:p>
        </w:tc>
        <w:tc>
          <w:tcPr>
            <w:tcW w:w="953" w:type="pct"/>
            <w:tcBorders>
              <w:top w:val="single" w:sz="4" w:space="0" w:color="auto"/>
              <w:left w:val="single" w:sz="4" w:space="0" w:color="auto"/>
              <w:bottom w:val="single" w:sz="4" w:space="0" w:color="auto"/>
              <w:right w:val="single" w:sz="4" w:space="0" w:color="auto"/>
            </w:tcBorders>
            <w:hideMark/>
          </w:tcPr>
          <w:p w14:paraId="7361B5C3"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r w:rsidRPr="0009282C">
              <w:rPr>
                <w:iCs/>
                <w:sz w:val="20"/>
                <w:lang w:eastAsia="en-AU"/>
              </w:rPr>
              <w:t>6</w:t>
            </w:r>
          </w:p>
        </w:tc>
        <w:tc>
          <w:tcPr>
            <w:tcW w:w="898" w:type="pct"/>
            <w:tcBorders>
              <w:top w:val="single" w:sz="4" w:space="0" w:color="auto"/>
              <w:left w:val="single" w:sz="4" w:space="0" w:color="auto"/>
              <w:bottom w:val="single" w:sz="4" w:space="0" w:color="auto"/>
              <w:right w:val="single" w:sz="4" w:space="0" w:color="auto"/>
            </w:tcBorders>
          </w:tcPr>
          <w:p w14:paraId="0686DE2C"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7F05F9D9" w14:textId="77777777" w:rsidR="00C629A2" w:rsidRPr="0009282C" w:rsidRDefault="00C629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lang w:eastAsia="en-AU"/>
              </w:rPr>
            </w:pP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234EFF0E" w14:textId="68AC8B97" w:rsidR="00C629A2" w:rsidRPr="00C24F68" w:rsidRDefault="002212A2" w:rsidP="009F1529">
            <w:pPr>
              <w:pStyle w:val="TableText0"/>
              <w:keepNext/>
              <w:keepLines/>
              <w:cnfStyle w:val="000000100000" w:firstRow="0" w:lastRow="0" w:firstColumn="0" w:lastColumn="0" w:oddVBand="0" w:evenVBand="0" w:oddHBand="1" w:evenHBand="0" w:firstRowFirstColumn="0" w:firstRowLastColumn="0" w:lastRowFirstColumn="0" w:lastRowLastColumn="0"/>
              <w:rPr>
                <w:iCs/>
                <w:sz w:val="20"/>
                <w:highlight w:val="darkGray"/>
                <w:lang w:eastAsia="en-AU"/>
              </w:rPr>
            </w:pPr>
            <w:r w:rsidRPr="002212A2">
              <w:rPr>
                <w:iCs/>
                <w:color w:val="000000"/>
                <w:spacing w:val="53"/>
                <w:sz w:val="20"/>
                <w:fitText w:val="330" w:id="-694423796"/>
                <w:lang w:eastAsia="en-AU"/>
                <w14:textFill>
                  <w14:solidFill>
                    <w14:srgbClr w14:val="000000">
                      <w14:alpha w14:val="100000"/>
                    </w14:srgbClr>
                  </w14:solidFill>
                </w14:textFill>
              </w:rPr>
              <w:t>|||</w:t>
            </w:r>
            <w:r w:rsidRPr="002212A2">
              <w:rPr>
                <w:iCs/>
                <w:color w:val="000000"/>
                <w:spacing w:val="1"/>
                <w:sz w:val="20"/>
                <w:fitText w:val="330" w:id="-694423796"/>
                <w:lang w:eastAsia="en-AU"/>
                <w14:textFill>
                  <w14:solidFill>
                    <w14:srgbClr w14:val="000000">
                      <w14:alpha w14:val="100000"/>
                    </w14:srgbClr>
                  </w14:solidFill>
                </w14:textFill>
              </w:rPr>
              <w:t>|</w:t>
            </w:r>
          </w:p>
        </w:tc>
      </w:tr>
      <w:tr w:rsidR="00C629A2" w:rsidRPr="0009282C" w14:paraId="20E9F366" w14:textId="77777777" w:rsidTr="002212A2">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auto"/>
              <w:left w:val="single" w:sz="4" w:space="0" w:color="auto"/>
              <w:bottom w:val="single" w:sz="4" w:space="0" w:color="auto"/>
              <w:right w:val="single" w:sz="4" w:space="0" w:color="auto"/>
            </w:tcBorders>
            <w:hideMark/>
          </w:tcPr>
          <w:p w14:paraId="7399F95A" w14:textId="77777777" w:rsidR="00C629A2" w:rsidRPr="0009282C" w:rsidRDefault="00C629A2" w:rsidP="009F1529">
            <w:pPr>
              <w:pStyle w:val="TableText0"/>
              <w:keepNext/>
              <w:keepLines/>
              <w:rPr>
                <w:iCs/>
                <w:sz w:val="20"/>
                <w:lang w:eastAsia="en-AU"/>
              </w:rPr>
            </w:pPr>
            <w:r w:rsidRPr="0009282C">
              <w:rPr>
                <w:iCs/>
                <w:sz w:val="20"/>
                <w:lang w:eastAsia="en-AU"/>
              </w:rPr>
              <w:t>Total per year – with 2 maintenance doses</w:t>
            </w:r>
          </w:p>
        </w:tc>
        <w:tc>
          <w:tcPr>
            <w:tcW w:w="953" w:type="pct"/>
            <w:tcBorders>
              <w:top w:val="single" w:sz="4" w:space="0" w:color="auto"/>
              <w:left w:val="single" w:sz="4" w:space="0" w:color="auto"/>
              <w:bottom w:val="single" w:sz="4" w:space="0" w:color="auto"/>
              <w:right w:val="single" w:sz="4" w:space="0" w:color="auto"/>
            </w:tcBorders>
            <w:hideMark/>
          </w:tcPr>
          <w:p w14:paraId="74FFF724"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b/>
                <w:bCs w:val="0"/>
                <w:iCs/>
                <w:sz w:val="20"/>
                <w:lang w:eastAsia="en-AU"/>
              </w:rPr>
            </w:pPr>
            <w:r w:rsidRPr="0009282C">
              <w:rPr>
                <w:b/>
                <w:bCs w:val="0"/>
                <w:iCs/>
                <w:sz w:val="20"/>
                <w:lang w:eastAsia="en-AU"/>
              </w:rPr>
              <w:t>4</w:t>
            </w:r>
          </w:p>
        </w:tc>
        <w:tc>
          <w:tcPr>
            <w:tcW w:w="898" w:type="pct"/>
            <w:tcBorders>
              <w:top w:val="single" w:sz="4" w:space="0" w:color="auto"/>
              <w:left w:val="single" w:sz="4" w:space="0" w:color="auto"/>
              <w:bottom w:val="single" w:sz="4" w:space="0" w:color="auto"/>
              <w:right w:val="single" w:sz="4" w:space="0" w:color="auto"/>
            </w:tcBorders>
          </w:tcPr>
          <w:p w14:paraId="1AB90D40"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b/>
                <w:bCs w:val="0"/>
                <w:iCs/>
                <w:sz w:val="20"/>
                <w:lang w:eastAsia="en-AU"/>
              </w:rPr>
            </w:pPr>
          </w:p>
        </w:tc>
        <w:tc>
          <w:tcPr>
            <w:tcW w:w="611" w:type="pct"/>
            <w:tcBorders>
              <w:top w:val="single" w:sz="4" w:space="0" w:color="auto"/>
              <w:left w:val="single" w:sz="4" w:space="0" w:color="auto"/>
              <w:bottom w:val="single" w:sz="4" w:space="0" w:color="auto"/>
              <w:right w:val="single" w:sz="4" w:space="0" w:color="auto"/>
            </w:tcBorders>
          </w:tcPr>
          <w:p w14:paraId="483E1CC0" w14:textId="77777777" w:rsidR="00C629A2" w:rsidRPr="0009282C" w:rsidRDefault="00C629A2" w:rsidP="009F1529">
            <w:pPr>
              <w:pStyle w:val="TableText0"/>
              <w:keepNext/>
              <w:keepLines/>
              <w:cnfStyle w:val="000000000000" w:firstRow="0" w:lastRow="0" w:firstColumn="0" w:lastColumn="0" w:oddVBand="0" w:evenVBand="0" w:oddHBand="0" w:evenHBand="0" w:firstRowFirstColumn="0" w:firstRowLastColumn="0" w:lastRowFirstColumn="0" w:lastRowLastColumn="0"/>
              <w:rPr>
                <w:b/>
                <w:bCs w:val="0"/>
                <w:iCs/>
                <w:sz w:val="20"/>
                <w:lang w:eastAsia="en-AU"/>
              </w:rPr>
            </w:pPr>
          </w:p>
        </w:tc>
        <w:tc>
          <w:tcPr>
            <w:tcW w:w="1029" w:type="pct"/>
            <w:tcBorders>
              <w:top w:val="single" w:sz="4" w:space="0" w:color="auto"/>
              <w:left w:val="single" w:sz="4" w:space="0" w:color="auto"/>
              <w:bottom w:val="single" w:sz="4" w:space="0" w:color="auto"/>
              <w:right w:val="single" w:sz="4" w:space="0" w:color="auto"/>
            </w:tcBorders>
            <w:shd w:val="solid" w:color="000000" w:fill="000000"/>
            <w:hideMark/>
          </w:tcPr>
          <w:p w14:paraId="11E1DD0D" w14:textId="7E123E7D" w:rsidR="00C629A2" w:rsidRPr="00C24F68" w:rsidRDefault="002212A2" w:rsidP="009F1529">
            <w:pPr>
              <w:pStyle w:val="TableText0"/>
              <w:keepNext/>
              <w:keepLines/>
              <w:cnfStyle w:val="000000000000" w:firstRow="0" w:lastRow="0" w:firstColumn="0" w:lastColumn="0" w:oddVBand="0" w:evenVBand="0" w:oddHBand="0" w:evenHBand="0" w:firstRowFirstColumn="0" w:firstRowLastColumn="0" w:lastRowFirstColumn="0" w:lastRowLastColumn="0"/>
              <w:rPr>
                <w:b/>
                <w:bCs w:val="0"/>
                <w:iCs/>
                <w:sz w:val="20"/>
                <w:highlight w:val="darkGray"/>
                <w:lang w:eastAsia="en-AU"/>
              </w:rPr>
            </w:pPr>
            <w:r w:rsidRPr="002212A2">
              <w:rPr>
                <w:b/>
                <w:bCs w:val="0"/>
                <w:iCs/>
                <w:color w:val="000000"/>
                <w:spacing w:val="55"/>
                <w:sz w:val="20"/>
                <w:fitText w:val="350" w:id="-694423795"/>
                <w:lang w:eastAsia="en-AU"/>
                <w14:textFill>
                  <w14:solidFill>
                    <w14:srgbClr w14:val="000000">
                      <w14:alpha w14:val="100000"/>
                    </w14:srgbClr>
                  </w14:solidFill>
                </w14:textFill>
              </w:rPr>
              <w:t>|||</w:t>
            </w:r>
            <w:r w:rsidRPr="002212A2">
              <w:rPr>
                <w:b/>
                <w:bCs w:val="0"/>
                <w:iCs/>
                <w:color w:val="000000"/>
                <w:spacing w:val="2"/>
                <w:sz w:val="20"/>
                <w:fitText w:val="350" w:id="-694423795"/>
                <w:lang w:eastAsia="en-AU"/>
                <w14:textFill>
                  <w14:solidFill>
                    <w14:srgbClr w14:val="000000">
                      <w14:alpha w14:val="100000"/>
                    </w14:srgbClr>
                  </w14:solidFill>
                </w14:textFill>
              </w:rPr>
              <w:t>|</w:t>
            </w:r>
          </w:p>
        </w:tc>
      </w:tr>
    </w:tbl>
    <w:p w14:paraId="4A2B41F5" w14:textId="1C876374" w:rsidR="00C629A2" w:rsidRPr="0009282C" w:rsidRDefault="00C629A2" w:rsidP="001E6A64">
      <w:pPr>
        <w:pStyle w:val="TableFigureFooter"/>
      </w:pPr>
      <w:r w:rsidRPr="0009282C">
        <w:t xml:space="preserve">Source: </w:t>
      </w:r>
      <w:bookmarkStart w:id="77" w:name="_Ref180431124"/>
      <w:r w:rsidRPr="0009282C">
        <w:t>Table 3.36</w:t>
      </w:r>
      <w:bookmarkEnd w:id="77"/>
      <w:r w:rsidRPr="0009282C">
        <w:t xml:space="preserve"> of the submission</w:t>
      </w:r>
      <w:r w:rsidR="00F456DA" w:rsidRPr="0009282C">
        <w:t>. Cycle = 6 months</w:t>
      </w:r>
    </w:p>
    <w:p w14:paraId="599D38FF" w14:textId="6D023F0F" w:rsidR="00C629A2" w:rsidRPr="0009282C" w:rsidRDefault="003114CE" w:rsidP="001E6A64">
      <w:pPr>
        <w:pStyle w:val="TableFigureFooter"/>
      </w:pPr>
      <w:r w:rsidRPr="0009282C">
        <w:t xml:space="preserve">Abbreviations: </w:t>
      </w:r>
      <w:r w:rsidR="00C629A2" w:rsidRPr="0009282C">
        <w:t>Admin, administration; RDI, relative dose intensity</w:t>
      </w:r>
      <w:r w:rsidR="00F456DA" w:rsidRPr="0009282C">
        <w:t xml:space="preserve">. </w:t>
      </w:r>
    </w:p>
    <w:p w14:paraId="2B4FF288" w14:textId="326016B3" w:rsidR="003114CE" w:rsidRPr="0009282C" w:rsidRDefault="003114CE" w:rsidP="001E6A64">
      <w:pPr>
        <w:pStyle w:val="TableFigureFooter"/>
      </w:pPr>
      <w:r w:rsidRPr="0009282C">
        <w:t>Notes: Effective DPMQ $</w:t>
      </w:r>
      <w:r w:rsidR="002212A2" w:rsidRPr="00B91BD2">
        <w:rPr>
          <w:color w:val="000000"/>
          <w:spacing w:val="213"/>
          <w:shd w:val="solid" w:color="000000" w:fill="000000"/>
          <w:fitText w:val="290" w:id="-694423794"/>
          <w14:textFill>
            <w14:solidFill>
              <w14:srgbClr w14:val="000000">
                <w14:alpha w14:val="100000"/>
              </w14:srgbClr>
            </w14:solidFill>
          </w14:textFill>
        </w:rPr>
        <w:t>|</w:t>
      </w:r>
      <w:r w:rsidR="002212A2" w:rsidRPr="00B91BD2">
        <w:rPr>
          <w:color w:val="000000"/>
          <w:spacing w:val="1"/>
          <w:shd w:val="solid" w:color="000000" w:fill="000000"/>
          <w:fitText w:val="290" w:id="-694423794"/>
          <w14:textFill>
            <w14:solidFill>
              <w14:srgbClr w14:val="000000">
                <w14:alpha w14:val="100000"/>
              </w14:srgbClr>
            </w14:solidFill>
          </w14:textFill>
        </w:rPr>
        <w:t>|</w:t>
      </w:r>
      <w:r w:rsidRPr="0009282C">
        <w:t xml:space="preserve"> applied</w:t>
      </w:r>
    </w:p>
    <w:p w14:paraId="4B0DE857" w14:textId="1AD25391" w:rsidR="00C629A2" w:rsidRPr="0009282C" w:rsidRDefault="00C629A2" w:rsidP="00EC48DC">
      <w:pPr>
        <w:pStyle w:val="3-BodyText"/>
      </w:pPr>
      <w:r w:rsidRPr="0009282C">
        <w:t>The weight distribution modelled (based on pooled data on baseline weight in the ILLUMINATE-A,-B, and -C trials) is presented below.</w:t>
      </w:r>
    </w:p>
    <w:p w14:paraId="6F9729A5" w14:textId="3B97B360" w:rsidR="00C629A2" w:rsidRPr="0009282C" w:rsidRDefault="007E4EAE" w:rsidP="006C4438">
      <w:pPr>
        <w:pStyle w:val="Caption"/>
      </w:pPr>
      <w:bookmarkStart w:id="78" w:name="_Ref193801614"/>
      <w:r w:rsidRPr="0009282C">
        <w:t xml:space="preserve">Table </w:t>
      </w:r>
      <w:r w:rsidR="000D4330">
        <w:fldChar w:fldCharType="begin" w:fldLock="1"/>
      </w:r>
      <w:r w:rsidR="000D4330">
        <w:instrText xml:space="preserve"> SEQ Table \* ARABIC </w:instrText>
      </w:r>
      <w:r w:rsidR="000D4330">
        <w:fldChar w:fldCharType="separate"/>
      </w:r>
      <w:r w:rsidR="00771DFF">
        <w:rPr>
          <w:noProof/>
        </w:rPr>
        <w:t>19</w:t>
      </w:r>
      <w:r w:rsidR="000D4330">
        <w:rPr>
          <w:noProof/>
        </w:rPr>
        <w:fldChar w:fldCharType="end"/>
      </w:r>
      <w:bookmarkEnd w:id="78"/>
      <w:r w:rsidRPr="0009282C">
        <w:t xml:space="preserve">: </w:t>
      </w:r>
      <w:r w:rsidR="00C629A2" w:rsidRPr="0009282C">
        <w:t>Distribution of adult and paediatric ILLUMINATE participants among weight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67"/>
        <w:gridCol w:w="3486"/>
        <w:gridCol w:w="2664"/>
      </w:tblGrid>
      <w:tr w:rsidR="00C629A2" w:rsidRPr="0009282C" w14:paraId="75E65FB3" w14:textId="77777777" w:rsidTr="000449AF">
        <w:trPr>
          <w:tblHeader/>
        </w:trPr>
        <w:tc>
          <w:tcPr>
            <w:tcW w:w="1590" w:type="pct"/>
            <w:shd w:val="clear" w:color="auto" w:fill="auto"/>
            <w:tcMar>
              <w:top w:w="0" w:type="dxa"/>
              <w:left w:w="108" w:type="dxa"/>
              <w:bottom w:w="0" w:type="dxa"/>
              <w:right w:w="108" w:type="dxa"/>
            </w:tcMar>
          </w:tcPr>
          <w:p w14:paraId="15258931" w14:textId="77777777" w:rsidR="00C629A2" w:rsidRPr="0009282C" w:rsidRDefault="00C629A2" w:rsidP="006C4438">
            <w:pPr>
              <w:pStyle w:val="TableText0"/>
              <w:keepNext/>
              <w:keepLines/>
              <w:rPr>
                <w:b/>
                <w:bCs w:val="0"/>
                <w:iCs/>
              </w:rPr>
            </w:pPr>
          </w:p>
        </w:tc>
        <w:tc>
          <w:tcPr>
            <w:tcW w:w="3410" w:type="pct"/>
            <w:gridSpan w:val="2"/>
            <w:shd w:val="clear" w:color="auto" w:fill="auto"/>
            <w:tcMar>
              <w:top w:w="0" w:type="dxa"/>
              <w:left w:w="108" w:type="dxa"/>
              <w:bottom w:w="0" w:type="dxa"/>
              <w:right w:w="108" w:type="dxa"/>
            </w:tcMar>
            <w:hideMark/>
          </w:tcPr>
          <w:p w14:paraId="5C0CE627" w14:textId="77777777" w:rsidR="00C629A2" w:rsidRPr="0009282C" w:rsidRDefault="00C629A2" w:rsidP="006C4438">
            <w:pPr>
              <w:pStyle w:val="TableText0"/>
              <w:keepNext/>
              <w:keepLines/>
              <w:rPr>
                <w:b/>
                <w:bCs w:val="0"/>
                <w:iCs/>
              </w:rPr>
            </w:pPr>
            <w:r w:rsidRPr="0009282C">
              <w:rPr>
                <w:b/>
                <w:bCs w:val="0"/>
                <w:iCs/>
              </w:rPr>
              <w:t>Distribution (%)</w:t>
            </w:r>
          </w:p>
        </w:tc>
      </w:tr>
      <w:tr w:rsidR="00C629A2" w:rsidRPr="0009282C" w14:paraId="1859A54F" w14:textId="77777777" w:rsidTr="000449AF">
        <w:trPr>
          <w:tblHeader/>
        </w:trPr>
        <w:tc>
          <w:tcPr>
            <w:tcW w:w="1590" w:type="pct"/>
            <w:shd w:val="clear" w:color="auto" w:fill="auto"/>
            <w:tcMar>
              <w:top w:w="0" w:type="dxa"/>
              <w:left w:w="108" w:type="dxa"/>
              <w:bottom w:w="0" w:type="dxa"/>
              <w:right w:w="108" w:type="dxa"/>
            </w:tcMar>
            <w:hideMark/>
          </w:tcPr>
          <w:p w14:paraId="21F247B2" w14:textId="77777777" w:rsidR="00C629A2" w:rsidRPr="0009282C" w:rsidRDefault="00C629A2" w:rsidP="006C4438">
            <w:pPr>
              <w:pStyle w:val="TableText0"/>
              <w:keepNext/>
              <w:keepLines/>
              <w:rPr>
                <w:b/>
                <w:bCs w:val="0"/>
                <w:iCs/>
              </w:rPr>
            </w:pPr>
            <w:r w:rsidRPr="0009282C">
              <w:rPr>
                <w:b/>
                <w:bCs w:val="0"/>
                <w:iCs/>
              </w:rPr>
              <w:t>Weight categories, kg</w:t>
            </w:r>
          </w:p>
        </w:tc>
        <w:tc>
          <w:tcPr>
            <w:tcW w:w="1933" w:type="pct"/>
            <w:shd w:val="clear" w:color="auto" w:fill="auto"/>
            <w:tcMar>
              <w:top w:w="0" w:type="dxa"/>
              <w:left w:w="108" w:type="dxa"/>
              <w:bottom w:w="0" w:type="dxa"/>
              <w:right w:w="108" w:type="dxa"/>
            </w:tcMar>
            <w:hideMark/>
          </w:tcPr>
          <w:p w14:paraId="66B54044" w14:textId="77777777" w:rsidR="00C629A2" w:rsidRPr="0009282C" w:rsidRDefault="00C629A2" w:rsidP="006C4438">
            <w:pPr>
              <w:pStyle w:val="TableText0"/>
              <w:keepNext/>
              <w:keepLines/>
              <w:rPr>
                <w:b/>
                <w:bCs w:val="0"/>
                <w:iCs/>
              </w:rPr>
            </w:pPr>
            <w:r w:rsidRPr="0009282C">
              <w:rPr>
                <w:b/>
                <w:bCs w:val="0"/>
                <w:iCs/>
              </w:rPr>
              <w:t>Adult participants (n=23)</w:t>
            </w:r>
          </w:p>
        </w:tc>
        <w:tc>
          <w:tcPr>
            <w:tcW w:w="1478" w:type="pct"/>
            <w:shd w:val="clear" w:color="auto" w:fill="auto"/>
            <w:tcMar>
              <w:top w:w="0" w:type="dxa"/>
              <w:left w:w="108" w:type="dxa"/>
              <w:bottom w:w="0" w:type="dxa"/>
              <w:right w:w="108" w:type="dxa"/>
            </w:tcMar>
            <w:hideMark/>
          </w:tcPr>
          <w:p w14:paraId="526F7147" w14:textId="77777777" w:rsidR="00C629A2" w:rsidRPr="0009282C" w:rsidRDefault="00C629A2" w:rsidP="006C4438">
            <w:pPr>
              <w:pStyle w:val="TableText0"/>
              <w:keepNext/>
              <w:keepLines/>
              <w:rPr>
                <w:b/>
                <w:bCs w:val="0"/>
                <w:iCs/>
              </w:rPr>
            </w:pPr>
            <w:r w:rsidRPr="0009282C">
              <w:rPr>
                <w:b/>
                <w:bCs w:val="0"/>
                <w:iCs/>
              </w:rPr>
              <w:t>Paediatric participants (n=55)</w:t>
            </w:r>
          </w:p>
        </w:tc>
      </w:tr>
      <w:tr w:rsidR="00C629A2" w:rsidRPr="0009282C" w14:paraId="15212A53" w14:textId="77777777" w:rsidTr="000449AF">
        <w:tc>
          <w:tcPr>
            <w:tcW w:w="1590" w:type="pct"/>
            <w:tcMar>
              <w:top w:w="0" w:type="dxa"/>
              <w:left w:w="108" w:type="dxa"/>
              <w:bottom w:w="0" w:type="dxa"/>
              <w:right w:w="108" w:type="dxa"/>
            </w:tcMar>
            <w:hideMark/>
          </w:tcPr>
          <w:p w14:paraId="42278C7C" w14:textId="77777777" w:rsidR="00C629A2" w:rsidRPr="0009282C" w:rsidRDefault="00C629A2" w:rsidP="006C4438">
            <w:pPr>
              <w:pStyle w:val="TableText0"/>
              <w:keepNext/>
              <w:keepLines/>
              <w:rPr>
                <w:iCs/>
              </w:rPr>
            </w:pPr>
            <w:r w:rsidRPr="0009282C">
              <w:rPr>
                <w:iCs/>
              </w:rPr>
              <w:t>0–10.00</w:t>
            </w:r>
          </w:p>
        </w:tc>
        <w:tc>
          <w:tcPr>
            <w:tcW w:w="1933" w:type="pct"/>
            <w:tcMar>
              <w:top w:w="0" w:type="dxa"/>
              <w:left w:w="108" w:type="dxa"/>
              <w:bottom w:w="0" w:type="dxa"/>
              <w:right w:w="108" w:type="dxa"/>
            </w:tcMar>
            <w:hideMark/>
          </w:tcPr>
          <w:p w14:paraId="02454126" w14:textId="77777777" w:rsidR="00C629A2" w:rsidRPr="0009282C" w:rsidRDefault="00C629A2" w:rsidP="006C4438">
            <w:pPr>
              <w:pStyle w:val="TableText0"/>
              <w:keepNext/>
              <w:keepLines/>
              <w:rPr>
                <w:iCs/>
              </w:rPr>
            </w:pPr>
            <w:r w:rsidRPr="0009282C">
              <w:rPr>
                <w:iCs/>
              </w:rPr>
              <w:t>0.0%</w:t>
            </w:r>
          </w:p>
        </w:tc>
        <w:tc>
          <w:tcPr>
            <w:tcW w:w="1478" w:type="pct"/>
            <w:tcMar>
              <w:top w:w="0" w:type="dxa"/>
              <w:left w:w="108" w:type="dxa"/>
              <w:bottom w:w="0" w:type="dxa"/>
              <w:right w:w="108" w:type="dxa"/>
            </w:tcMar>
            <w:hideMark/>
          </w:tcPr>
          <w:p w14:paraId="35E108F3" w14:textId="77777777" w:rsidR="00C629A2" w:rsidRPr="0009282C" w:rsidRDefault="00C629A2" w:rsidP="006C4438">
            <w:pPr>
              <w:pStyle w:val="TableText0"/>
              <w:keepNext/>
              <w:keepLines/>
              <w:rPr>
                <w:iCs/>
              </w:rPr>
            </w:pPr>
            <w:r w:rsidRPr="0009282C">
              <w:rPr>
                <w:iCs/>
              </w:rPr>
              <w:t>16.4%</w:t>
            </w:r>
          </w:p>
        </w:tc>
      </w:tr>
      <w:tr w:rsidR="00C629A2" w:rsidRPr="0009282C" w14:paraId="71596295" w14:textId="77777777" w:rsidTr="000449AF">
        <w:tc>
          <w:tcPr>
            <w:tcW w:w="1590" w:type="pct"/>
            <w:tcMar>
              <w:top w:w="0" w:type="dxa"/>
              <w:left w:w="108" w:type="dxa"/>
              <w:bottom w:w="0" w:type="dxa"/>
              <w:right w:w="108" w:type="dxa"/>
            </w:tcMar>
            <w:hideMark/>
          </w:tcPr>
          <w:p w14:paraId="346166AE" w14:textId="77777777" w:rsidR="00C629A2" w:rsidRPr="0009282C" w:rsidRDefault="00C629A2" w:rsidP="006C4438">
            <w:pPr>
              <w:pStyle w:val="TableText0"/>
              <w:keepNext/>
              <w:keepLines/>
              <w:rPr>
                <w:iCs/>
              </w:rPr>
            </w:pPr>
            <w:r w:rsidRPr="0009282C">
              <w:rPr>
                <w:iCs/>
              </w:rPr>
              <w:t>10.00–15.75</w:t>
            </w:r>
          </w:p>
        </w:tc>
        <w:tc>
          <w:tcPr>
            <w:tcW w:w="1933" w:type="pct"/>
            <w:tcMar>
              <w:top w:w="0" w:type="dxa"/>
              <w:left w:w="108" w:type="dxa"/>
              <w:bottom w:w="0" w:type="dxa"/>
              <w:right w:w="108" w:type="dxa"/>
            </w:tcMar>
            <w:hideMark/>
          </w:tcPr>
          <w:p w14:paraId="17ACE15A" w14:textId="77777777" w:rsidR="00C629A2" w:rsidRPr="0009282C" w:rsidRDefault="00C629A2" w:rsidP="006C4438">
            <w:pPr>
              <w:pStyle w:val="TableText0"/>
              <w:keepNext/>
              <w:keepLines/>
              <w:rPr>
                <w:iCs/>
              </w:rPr>
            </w:pPr>
            <w:r w:rsidRPr="0009282C">
              <w:rPr>
                <w:iCs/>
              </w:rPr>
              <w:t>0.0%</w:t>
            </w:r>
          </w:p>
        </w:tc>
        <w:tc>
          <w:tcPr>
            <w:tcW w:w="1478" w:type="pct"/>
            <w:tcMar>
              <w:top w:w="0" w:type="dxa"/>
              <w:left w:w="108" w:type="dxa"/>
              <w:bottom w:w="0" w:type="dxa"/>
              <w:right w:w="108" w:type="dxa"/>
            </w:tcMar>
            <w:hideMark/>
          </w:tcPr>
          <w:p w14:paraId="5E4DFFC0" w14:textId="77777777" w:rsidR="00C629A2" w:rsidRPr="0009282C" w:rsidRDefault="00C629A2" w:rsidP="006C4438">
            <w:pPr>
              <w:pStyle w:val="TableText0"/>
              <w:keepNext/>
              <w:keepLines/>
              <w:rPr>
                <w:iCs/>
              </w:rPr>
            </w:pPr>
            <w:r w:rsidRPr="0009282C">
              <w:rPr>
                <w:iCs/>
              </w:rPr>
              <w:t>16.4%</w:t>
            </w:r>
          </w:p>
        </w:tc>
      </w:tr>
      <w:tr w:rsidR="00C629A2" w:rsidRPr="0009282C" w14:paraId="56EC116D" w14:textId="77777777" w:rsidTr="000449AF">
        <w:tc>
          <w:tcPr>
            <w:tcW w:w="1590" w:type="pct"/>
            <w:tcMar>
              <w:top w:w="0" w:type="dxa"/>
              <w:left w:w="108" w:type="dxa"/>
              <w:bottom w:w="0" w:type="dxa"/>
              <w:right w:w="108" w:type="dxa"/>
            </w:tcMar>
            <w:hideMark/>
          </w:tcPr>
          <w:p w14:paraId="0D27D54F" w14:textId="77777777" w:rsidR="00C629A2" w:rsidRPr="0009282C" w:rsidRDefault="00C629A2" w:rsidP="006C4438">
            <w:pPr>
              <w:pStyle w:val="TableText0"/>
              <w:keepNext/>
              <w:keepLines/>
              <w:rPr>
                <w:iCs/>
              </w:rPr>
            </w:pPr>
            <w:r w:rsidRPr="0009282C">
              <w:rPr>
                <w:iCs/>
              </w:rPr>
              <w:t>15.75–20.00</w:t>
            </w:r>
          </w:p>
        </w:tc>
        <w:tc>
          <w:tcPr>
            <w:tcW w:w="1933" w:type="pct"/>
            <w:tcMar>
              <w:top w:w="0" w:type="dxa"/>
              <w:left w:w="108" w:type="dxa"/>
              <w:bottom w:w="0" w:type="dxa"/>
              <w:right w:w="108" w:type="dxa"/>
            </w:tcMar>
            <w:hideMark/>
          </w:tcPr>
          <w:p w14:paraId="4C2EEFD2" w14:textId="77777777" w:rsidR="00C629A2" w:rsidRPr="0009282C" w:rsidRDefault="00C629A2" w:rsidP="006C4438">
            <w:pPr>
              <w:pStyle w:val="TableText0"/>
              <w:keepNext/>
              <w:keepLines/>
              <w:rPr>
                <w:iCs/>
              </w:rPr>
            </w:pPr>
            <w:r w:rsidRPr="0009282C">
              <w:rPr>
                <w:iCs/>
              </w:rPr>
              <w:t>0.0%</w:t>
            </w:r>
          </w:p>
        </w:tc>
        <w:tc>
          <w:tcPr>
            <w:tcW w:w="1478" w:type="pct"/>
            <w:tcMar>
              <w:top w:w="0" w:type="dxa"/>
              <w:left w:w="108" w:type="dxa"/>
              <w:bottom w:w="0" w:type="dxa"/>
              <w:right w:w="108" w:type="dxa"/>
            </w:tcMar>
            <w:hideMark/>
          </w:tcPr>
          <w:p w14:paraId="3FB32700" w14:textId="77777777" w:rsidR="00C629A2" w:rsidRPr="0009282C" w:rsidRDefault="00C629A2" w:rsidP="006C4438">
            <w:pPr>
              <w:pStyle w:val="TableText0"/>
              <w:keepNext/>
              <w:keepLines/>
              <w:rPr>
                <w:iCs/>
              </w:rPr>
            </w:pPr>
            <w:r w:rsidRPr="0009282C">
              <w:rPr>
                <w:iCs/>
              </w:rPr>
              <w:t>16.4%</w:t>
            </w:r>
          </w:p>
        </w:tc>
      </w:tr>
      <w:tr w:rsidR="00C629A2" w:rsidRPr="0009282C" w14:paraId="14E41939" w14:textId="77777777" w:rsidTr="000449AF">
        <w:tc>
          <w:tcPr>
            <w:tcW w:w="1590" w:type="pct"/>
            <w:tcMar>
              <w:top w:w="0" w:type="dxa"/>
              <w:left w:w="108" w:type="dxa"/>
              <w:bottom w:w="0" w:type="dxa"/>
              <w:right w:w="108" w:type="dxa"/>
            </w:tcMar>
            <w:hideMark/>
          </w:tcPr>
          <w:p w14:paraId="3965680D" w14:textId="77777777" w:rsidR="00C629A2" w:rsidRPr="0009282C" w:rsidRDefault="00C629A2" w:rsidP="006C4438">
            <w:pPr>
              <w:pStyle w:val="TableText0"/>
              <w:keepNext/>
              <w:keepLines/>
              <w:rPr>
                <w:iCs/>
              </w:rPr>
            </w:pPr>
            <w:r w:rsidRPr="0009282C">
              <w:rPr>
                <w:iCs/>
              </w:rPr>
              <w:t>20.00–31.50</w:t>
            </w:r>
          </w:p>
        </w:tc>
        <w:tc>
          <w:tcPr>
            <w:tcW w:w="1933" w:type="pct"/>
            <w:tcMar>
              <w:top w:w="0" w:type="dxa"/>
              <w:left w:w="108" w:type="dxa"/>
              <w:bottom w:w="0" w:type="dxa"/>
              <w:right w:w="108" w:type="dxa"/>
            </w:tcMar>
            <w:hideMark/>
          </w:tcPr>
          <w:p w14:paraId="02559251" w14:textId="77777777" w:rsidR="00C629A2" w:rsidRPr="0009282C" w:rsidRDefault="00C629A2" w:rsidP="006C4438">
            <w:pPr>
              <w:pStyle w:val="TableText0"/>
              <w:keepNext/>
              <w:keepLines/>
              <w:rPr>
                <w:iCs/>
              </w:rPr>
            </w:pPr>
            <w:r w:rsidRPr="0009282C">
              <w:rPr>
                <w:iCs/>
              </w:rPr>
              <w:t>0.0%</w:t>
            </w:r>
          </w:p>
        </w:tc>
        <w:tc>
          <w:tcPr>
            <w:tcW w:w="1478" w:type="pct"/>
            <w:tcMar>
              <w:top w:w="0" w:type="dxa"/>
              <w:left w:w="108" w:type="dxa"/>
              <w:bottom w:w="0" w:type="dxa"/>
              <w:right w:w="108" w:type="dxa"/>
            </w:tcMar>
            <w:hideMark/>
          </w:tcPr>
          <w:p w14:paraId="27DAEDDE" w14:textId="77777777" w:rsidR="00C629A2" w:rsidRPr="0009282C" w:rsidRDefault="00C629A2" w:rsidP="006C4438">
            <w:pPr>
              <w:pStyle w:val="TableText0"/>
              <w:keepNext/>
              <w:keepLines/>
              <w:rPr>
                <w:iCs/>
              </w:rPr>
            </w:pPr>
            <w:r w:rsidRPr="0009282C">
              <w:rPr>
                <w:iCs/>
              </w:rPr>
              <w:t>23.6%</w:t>
            </w:r>
          </w:p>
        </w:tc>
      </w:tr>
      <w:tr w:rsidR="00C629A2" w:rsidRPr="0009282C" w14:paraId="65C933EC" w14:textId="77777777" w:rsidTr="000449AF">
        <w:tc>
          <w:tcPr>
            <w:tcW w:w="1590" w:type="pct"/>
            <w:tcMar>
              <w:top w:w="0" w:type="dxa"/>
              <w:left w:w="108" w:type="dxa"/>
              <w:bottom w:w="0" w:type="dxa"/>
              <w:right w:w="108" w:type="dxa"/>
            </w:tcMar>
            <w:hideMark/>
          </w:tcPr>
          <w:p w14:paraId="0DA85356" w14:textId="77777777" w:rsidR="00C629A2" w:rsidRPr="0009282C" w:rsidRDefault="00C629A2" w:rsidP="006C4438">
            <w:pPr>
              <w:pStyle w:val="TableText0"/>
              <w:keepNext/>
              <w:keepLines/>
              <w:rPr>
                <w:iCs/>
              </w:rPr>
            </w:pPr>
            <w:r w:rsidRPr="0009282C">
              <w:rPr>
                <w:iCs/>
              </w:rPr>
              <w:t>31.50–63.00</w:t>
            </w:r>
          </w:p>
        </w:tc>
        <w:tc>
          <w:tcPr>
            <w:tcW w:w="1933" w:type="pct"/>
            <w:tcMar>
              <w:top w:w="0" w:type="dxa"/>
              <w:left w:w="108" w:type="dxa"/>
              <w:bottom w:w="0" w:type="dxa"/>
              <w:right w:w="108" w:type="dxa"/>
            </w:tcMar>
            <w:hideMark/>
          </w:tcPr>
          <w:p w14:paraId="0D91C37E" w14:textId="77777777" w:rsidR="00C629A2" w:rsidRPr="0009282C" w:rsidRDefault="00C629A2" w:rsidP="006C4438">
            <w:pPr>
              <w:pStyle w:val="TableText0"/>
              <w:keepNext/>
              <w:keepLines/>
              <w:rPr>
                <w:iCs/>
              </w:rPr>
            </w:pPr>
            <w:r w:rsidRPr="0009282C">
              <w:rPr>
                <w:iCs/>
              </w:rPr>
              <w:t>13.0%</w:t>
            </w:r>
          </w:p>
        </w:tc>
        <w:tc>
          <w:tcPr>
            <w:tcW w:w="1478" w:type="pct"/>
            <w:tcMar>
              <w:top w:w="0" w:type="dxa"/>
              <w:left w:w="108" w:type="dxa"/>
              <w:bottom w:w="0" w:type="dxa"/>
              <w:right w:w="108" w:type="dxa"/>
            </w:tcMar>
            <w:hideMark/>
          </w:tcPr>
          <w:p w14:paraId="2C05638F" w14:textId="77777777" w:rsidR="00C629A2" w:rsidRPr="0009282C" w:rsidRDefault="00C629A2" w:rsidP="006C4438">
            <w:pPr>
              <w:pStyle w:val="TableText0"/>
              <w:keepNext/>
              <w:keepLines/>
              <w:rPr>
                <w:iCs/>
              </w:rPr>
            </w:pPr>
            <w:r w:rsidRPr="0009282C">
              <w:rPr>
                <w:iCs/>
              </w:rPr>
              <w:t>18.2%</w:t>
            </w:r>
          </w:p>
        </w:tc>
      </w:tr>
      <w:tr w:rsidR="00C629A2" w:rsidRPr="0009282C" w14:paraId="1F09DB1C" w14:textId="77777777" w:rsidTr="000449AF">
        <w:tc>
          <w:tcPr>
            <w:tcW w:w="1590" w:type="pct"/>
            <w:tcMar>
              <w:top w:w="0" w:type="dxa"/>
              <w:left w:w="108" w:type="dxa"/>
              <w:bottom w:w="0" w:type="dxa"/>
              <w:right w:w="108" w:type="dxa"/>
            </w:tcMar>
            <w:hideMark/>
          </w:tcPr>
          <w:p w14:paraId="72D9CFCE" w14:textId="77777777" w:rsidR="00C629A2" w:rsidRPr="0009282C" w:rsidRDefault="00C629A2" w:rsidP="006C4438">
            <w:pPr>
              <w:pStyle w:val="TableText0"/>
              <w:keepNext/>
              <w:keepLines/>
              <w:rPr>
                <w:iCs/>
              </w:rPr>
            </w:pPr>
            <w:r w:rsidRPr="0009282C">
              <w:rPr>
                <w:iCs/>
              </w:rPr>
              <w:t>63.00–94.50</w:t>
            </w:r>
          </w:p>
        </w:tc>
        <w:tc>
          <w:tcPr>
            <w:tcW w:w="1933" w:type="pct"/>
            <w:tcMar>
              <w:top w:w="0" w:type="dxa"/>
              <w:left w:w="108" w:type="dxa"/>
              <w:bottom w:w="0" w:type="dxa"/>
              <w:right w:w="108" w:type="dxa"/>
            </w:tcMar>
            <w:hideMark/>
          </w:tcPr>
          <w:p w14:paraId="29060155" w14:textId="77777777" w:rsidR="00C629A2" w:rsidRPr="0009282C" w:rsidRDefault="00C629A2" w:rsidP="006C4438">
            <w:pPr>
              <w:pStyle w:val="TableText0"/>
              <w:keepNext/>
              <w:keepLines/>
              <w:rPr>
                <w:iCs/>
              </w:rPr>
            </w:pPr>
            <w:r w:rsidRPr="0009282C">
              <w:rPr>
                <w:iCs/>
              </w:rPr>
              <w:t>69.6%</w:t>
            </w:r>
          </w:p>
        </w:tc>
        <w:tc>
          <w:tcPr>
            <w:tcW w:w="1478" w:type="pct"/>
            <w:tcMar>
              <w:top w:w="0" w:type="dxa"/>
              <w:left w:w="108" w:type="dxa"/>
              <w:bottom w:w="0" w:type="dxa"/>
              <w:right w:w="108" w:type="dxa"/>
            </w:tcMar>
            <w:hideMark/>
          </w:tcPr>
          <w:p w14:paraId="666DD824" w14:textId="77777777" w:rsidR="00C629A2" w:rsidRPr="0009282C" w:rsidRDefault="00C629A2" w:rsidP="006C4438">
            <w:pPr>
              <w:pStyle w:val="TableText0"/>
              <w:keepNext/>
              <w:keepLines/>
              <w:rPr>
                <w:iCs/>
              </w:rPr>
            </w:pPr>
            <w:r w:rsidRPr="0009282C">
              <w:rPr>
                <w:iCs/>
              </w:rPr>
              <w:t>7.3%</w:t>
            </w:r>
          </w:p>
        </w:tc>
      </w:tr>
      <w:tr w:rsidR="00C629A2" w:rsidRPr="0009282C" w14:paraId="3C3188DB" w14:textId="77777777" w:rsidTr="000449AF">
        <w:tc>
          <w:tcPr>
            <w:tcW w:w="1590" w:type="pct"/>
            <w:tcMar>
              <w:top w:w="0" w:type="dxa"/>
              <w:left w:w="108" w:type="dxa"/>
              <w:bottom w:w="0" w:type="dxa"/>
              <w:right w:w="108" w:type="dxa"/>
            </w:tcMar>
            <w:hideMark/>
          </w:tcPr>
          <w:p w14:paraId="58278894" w14:textId="77777777" w:rsidR="00C629A2" w:rsidRPr="0009282C" w:rsidRDefault="00C629A2" w:rsidP="006C4438">
            <w:pPr>
              <w:pStyle w:val="TableText0"/>
              <w:keepNext/>
              <w:keepLines/>
              <w:rPr>
                <w:iCs/>
              </w:rPr>
            </w:pPr>
            <w:r w:rsidRPr="0009282C">
              <w:rPr>
                <w:iCs/>
              </w:rPr>
              <w:t>94.50–126.00</w:t>
            </w:r>
          </w:p>
        </w:tc>
        <w:tc>
          <w:tcPr>
            <w:tcW w:w="1933" w:type="pct"/>
            <w:tcMar>
              <w:top w:w="0" w:type="dxa"/>
              <w:left w:w="108" w:type="dxa"/>
              <w:bottom w:w="0" w:type="dxa"/>
              <w:right w:w="108" w:type="dxa"/>
            </w:tcMar>
            <w:hideMark/>
          </w:tcPr>
          <w:p w14:paraId="7FAF7393" w14:textId="77777777" w:rsidR="00C629A2" w:rsidRPr="0009282C" w:rsidRDefault="00C629A2" w:rsidP="006C4438">
            <w:pPr>
              <w:pStyle w:val="TableText0"/>
              <w:keepNext/>
              <w:keepLines/>
              <w:rPr>
                <w:iCs/>
              </w:rPr>
            </w:pPr>
            <w:r w:rsidRPr="0009282C">
              <w:rPr>
                <w:iCs/>
              </w:rPr>
              <w:t>17.4%</w:t>
            </w:r>
          </w:p>
        </w:tc>
        <w:tc>
          <w:tcPr>
            <w:tcW w:w="1478" w:type="pct"/>
            <w:tcMar>
              <w:top w:w="0" w:type="dxa"/>
              <w:left w:w="108" w:type="dxa"/>
              <w:bottom w:w="0" w:type="dxa"/>
              <w:right w:w="108" w:type="dxa"/>
            </w:tcMar>
            <w:hideMark/>
          </w:tcPr>
          <w:p w14:paraId="08F1B821" w14:textId="77777777" w:rsidR="00C629A2" w:rsidRPr="0009282C" w:rsidRDefault="00C629A2" w:rsidP="006C4438">
            <w:pPr>
              <w:pStyle w:val="TableText0"/>
              <w:keepNext/>
              <w:keepLines/>
              <w:rPr>
                <w:iCs/>
              </w:rPr>
            </w:pPr>
            <w:r w:rsidRPr="0009282C">
              <w:rPr>
                <w:iCs/>
              </w:rPr>
              <w:t>1.8%</w:t>
            </w:r>
          </w:p>
        </w:tc>
      </w:tr>
    </w:tbl>
    <w:p w14:paraId="3B617980" w14:textId="45FF800E" w:rsidR="009A7D62" w:rsidRPr="0009282C" w:rsidRDefault="00C629A2" w:rsidP="001E6A64">
      <w:pPr>
        <w:pStyle w:val="TableFigureFooter"/>
      </w:pPr>
      <w:r w:rsidRPr="0009282C">
        <w:t xml:space="preserve">Source: </w:t>
      </w:r>
      <w:bookmarkStart w:id="79" w:name="_Ref180430800"/>
      <w:r w:rsidRPr="0009282C">
        <w:t>Table 3.35</w:t>
      </w:r>
      <w:bookmarkEnd w:id="79"/>
      <w:r w:rsidRPr="0009282C">
        <w:t xml:space="preserve"> of the submission</w:t>
      </w:r>
    </w:p>
    <w:p w14:paraId="0FE815D2" w14:textId="484AE5B9" w:rsidR="00A40EC4" w:rsidRPr="0009282C" w:rsidRDefault="00A40EC4" w:rsidP="00A40EC4">
      <w:pPr>
        <w:pStyle w:val="4-SubsectionHeading"/>
      </w:pPr>
      <w:bookmarkStart w:id="80" w:name="_Toc22897647"/>
      <w:bookmarkStart w:id="81" w:name="_Toc107927633"/>
      <w:bookmarkStart w:id="82" w:name="_Toc188443843"/>
      <w:bookmarkStart w:id="83" w:name="_Hlk185494350"/>
      <w:r w:rsidRPr="0009282C">
        <w:t>Estimated PBS usage &amp; financial implications</w:t>
      </w:r>
      <w:bookmarkEnd w:id="80"/>
      <w:bookmarkEnd w:id="81"/>
      <w:bookmarkEnd w:id="82"/>
    </w:p>
    <w:p w14:paraId="457FD5BB" w14:textId="46D23BF2" w:rsidR="00763B5A" w:rsidRPr="0009282C" w:rsidRDefault="00763B5A" w:rsidP="00405DAD">
      <w:pPr>
        <w:pStyle w:val="3-BodyText"/>
      </w:pPr>
      <w:bookmarkStart w:id="84" w:name="_Toc22897648"/>
      <w:bookmarkStart w:id="85" w:name="_Toc107927634"/>
      <w:bookmarkStart w:id="86" w:name="_Toc188443844"/>
      <w:bookmarkEnd w:id="83"/>
      <w:r w:rsidRPr="0009282C">
        <w:t xml:space="preserve">This submission was considered by DUSC. </w:t>
      </w:r>
    </w:p>
    <w:p w14:paraId="250BA65C" w14:textId="37B3EFFB" w:rsidR="00B27605" w:rsidRPr="0009282C" w:rsidRDefault="00763B5A" w:rsidP="00405DAD">
      <w:pPr>
        <w:pStyle w:val="3-BodyText"/>
      </w:pPr>
      <w:bookmarkStart w:id="87" w:name="_Hlk185515504"/>
      <w:bookmarkStart w:id="88" w:name="_Hlk185496272"/>
      <w:r w:rsidRPr="0009282C">
        <w:t>The submission took an epidemiological approach. The prevalence was assumed to be 2 cases per million</w:t>
      </w:r>
      <w:r w:rsidR="001F5790" w:rsidRPr="0009282C">
        <w:t xml:space="preserve">, based on Kopp and </w:t>
      </w:r>
      <w:proofErr w:type="spellStart"/>
      <w:r w:rsidR="006C4438">
        <w:t>L</w:t>
      </w:r>
      <w:r w:rsidR="006C4438" w:rsidRPr="0009282C">
        <w:t>eumann</w:t>
      </w:r>
      <w:proofErr w:type="spellEnd"/>
      <w:r w:rsidR="006C4438" w:rsidRPr="0009282C">
        <w:t xml:space="preserve"> </w:t>
      </w:r>
      <w:r w:rsidR="001F5790" w:rsidRPr="0009282C">
        <w:t>(1995</w:t>
      </w:r>
      <w:r w:rsidR="00AD698A">
        <w:t>)</w:t>
      </w:r>
      <w:r w:rsidR="004C499A" w:rsidRPr="0009282C">
        <w:rPr>
          <w:rStyle w:val="FootnoteReference"/>
        </w:rPr>
        <w:footnoteReference w:id="17"/>
      </w:r>
      <w:r w:rsidR="00122501" w:rsidRPr="0009282C">
        <w:t xml:space="preserve">. This value was the </w:t>
      </w:r>
      <w:r w:rsidR="008461EF" w:rsidRPr="0009282C">
        <w:t>intermediate figure</w:t>
      </w:r>
      <w:r w:rsidR="00961FAA" w:rsidRPr="0009282C">
        <w:t xml:space="preserve"> </w:t>
      </w:r>
      <w:r w:rsidR="00BE3939" w:rsidRPr="0009282C">
        <w:t>of</w:t>
      </w:r>
      <w:r w:rsidR="00961FAA" w:rsidRPr="0009282C">
        <w:t xml:space="preserve"> </w:t>
      </w:r>
      <w:r w:rsidRPr="0009282C">
        <w:t xml:space="preserve">three reported values (1.05, 2, 2.9 per million) from literature published between 1995 to 2003. The </w:t>
      </w:r>
      <w:r w:rsidR="004E3978" w:rsidRPr="0009282C">
        <w:t xml:space="preserve">evaluation considered that the </w:t>
      </w:r>
      <w:r w:rsidRPr="0009282C">
        <w:t xml:space="preserve">prevalence data appeared outdated. </w:t>
      </w:r>
      <w:r w:rsidR="00BA12E3" w:rsidRPr="0009282C">
        <w:t xml:space="preserve">A </w:t>
      </w:r>
      <w:r w:rsidRPr="0009282C">
        <w:t xml:space="preserve">study by </w:t>
      </w:r>
      <w:proofErr w:type="spellStart"/>
      <w:r w:rsidRPr="0009282C">
        <w:t>Mandrile</w:t>
      </w:r>
      <w:proofErr w:type="spellEnd"/>
      <w:r w:rsidRPr="0009282C">
        <w:t xml:space="preserve"> et al. (2014) reported an upward trend of diagnoses between 1990 to 2009 and considered this trend to be driven by improved </w:t>
      </w:r>
      <w:r w:rsidR="303E4E28" w:rsidRPr="0009282C">
        <w:t>diagnos</w:t>
      </w:r>
      <w:r w:rsidR="14B2EB13" w:rsidRPr="0009282C">
        <w:t>tic</w:t>
      </w:r>
      <w:r w:rsidRPr="0009282C">
        <w:t xml:space="preserve"> services and advancement of genetic testing. </w:t>
      </w:r>
      <w:r w:rsidR="002B7E4D" w:rsidRPr="0009282C">
        <w:t xml:space="preserve">The DUSC considered </w:t>
      </w:r>
      <w:r w:rsidR="00120F94" w:rsidRPr="0009282C">
        <w:t xml:space="preserve">the </w:t>
      </w:r>
      <w:r w:rsidR="004C22EC" w:rsidRPr="0009282C">
        <w:t xml:space="preserve">prevalence </w:t>
      </w:r>
      <w:r w:rsidR="00F96F36">
        <w:t xml:space="preserve">of PH1 </w:t>
      </w:r>
      <w:r w:rsidR="004C22EC" w:rsidRPr="0009282C">
        <w:t>was highly</w:t>
      </w:r>
      <w:r w:rsidR="00EA013B" w:rsidRPr="0009282C">
        <w:t xml:space="preserve"> uncertain, however</w:t>
      </w:r>
      <w:r w:rsidR="00B30BCE" w:rsidRPr="0009282C">
        <w:t xml:space="preserve"> considered that</w:t>
      </w:r>
      <w:r w:rsidR="00EA013B" w:rsidRPr="0009282C">
        <w:t xml:space="preserve"> </w:t>
      </w:r>
      <w:r w:rsidR="004C22EC" w:rsidRPr="0009282C">
        <w:t xml:space="preserve">2 cases per million was </w:t>
      </w:r>
      <w:r w:rsidR="008A0848">
        <w:t xml:space="preserve">likely a </w:t>
      </w:r>
      <w:r w:rsidR="002B7E4D" w:rsidRPr="0009282C">
        <w:t xml:space="preserve">reasonable estimate in the absence of alternative prevalence </w:t>
      </w:r>
      <w:r w:rsidR="00E27526" w:rsidRPr="0009282C">
        <w:t>data</w:t>
      </w:r>
      <w:r w:rsidR="002B7E4D" w:rsidRPr="0009282C">
        <w:t>.</w:t>
      </w:r>
    </w:p>
    <w:p w14:paraId="54374F4F" w14:textId="3E341AAD" w:rsidR="00763B5A" w:rsidRPr="0009282C" w:rsidRDefault="00763B5A" w:rsidP="00405DAD">
      <w:pPr>
        <w:pStyle w:val="3-BodyText"/>
      </w:pPr>
      <w:r w:rsidRPr="0009282C">
        <w:t>The Australian population projection data was outdated</w:t>
      </w:r>
      <w:r w:rsidR="00644F7B">
        <w:t>.</w:t>
      </w:r>
      <w:bookmarkEnd w:id="87"/>
      <w:r w:rsidR="00BE5F9D" w:rsidRPr="0009282C">
        <w:t xml:space="preserve"> </w:t>
      </w:r>
      <w:r w:rsidR="00EE449F" w:rsidRPr="0009282C">
        <w:t xml:space="preserve">The DUSC considered the </w:t>
      </w:r>
      <w:r w:rsidR="00BE5F9D" w:rsidRPr="0009282C">
        <w:t xml:space="preserve">approach </w:t>
      </w:r>
      <w:r w:rsidR="00EE449F" w:rsidRPr="0009282C">
        <w:t>reasonable but required revision as the outdated source led to a small overestimation of the eligible population.</w:t>
      </w:r>
    </w:p>
    <w:p w14:paraId="68EA6483" w14:textId="24E7847D" w:rsidR="00763B5A" w:rsidRPr="0009282C" w:rsidRDefault="00763B5A" w:rsidP="00405DAD">
      <w:pPr>
        <w:pStyle w:val="3-BodyText"/>
      </w:pPr>
      <w:r w:rsidRPr="0009282C">
        <w:t xml:space="preserve">The </w:t>
      </w:r>
      <w:proofErr w:type="spellStart"/>
      <w:r w:rsidRPr="0009282C">
        <w:t>lumasiran</w:t>
      </w:r>
      <w:proofErr w:type="spellEnd"/>
      <w:r w:rsidRPr="0009282C">
        <w:t xml:space="preserve"> uptake rates were estimated to be 60% in Year 1 and increased to 80% in Year 6. The submission argued that rapid and high uptake was likely due to </w:t>
      </w:r>
      <w:proofErr w:type="spellStart"/>
      <w:r w:rsidRPr="0009282C">
        <w:t>lumasiran</w:t>
      </w:r>
      <w:proofErr w:type="spellEnd"/>
      <w:r w:rsidRPr="0009282C">
        <w:t xml:space="preserve"> being an add-on regimen to BSC, and a high awareness in specialised settings. </w:t>
      </w:r>
      <w:r w:rsidR="00142287" w:rsidRPr="0009282C">
        <w:t xml:space="preserve">The evaluation considered that this </w:t>
      </w:r>
      <w:r w:rsidRPr="0009282C">
        <w:t>was uncertain.</w:t>
      </w:r>
      <w:r w:rsidR="00142287" w:rsidRPr="0009282C">
        <w:t xml:space="preserve"> The DUSC considered this assumption to be unreasonable and not supported by the evidence. The DUSC considered that as </w:t>
      </w:r>
      <w:proofErr w:type="spellStart"/>
      <w:r w:rsidR="00142287" w:rsidRPr="0009282C">
        <w:t>lumasiran</w:t>
      </w:r>
      <w:proofErr w:type="spellEnd"/>
      <w:r w:rsidR="00142287" w:rsidRPr="0009282C">
        <w:t xml:space="preserve"> is an add on treatment to BSC with high awareness in the specialist care setting, a higher uptake of 90</w:t>
      </w:r>
      <w:r w:rsidR="00142287" w:rsidRPr="0009282C">
        <w:rPr>
          <w:rFonts w:cstheme="minorHAnsi"/>
        </w:rPr>
        <w:t>−</w:t>
      </w:r>
      <w:r w:rsidR="00142287" w:rsidRPr="0009282C">
        <w:t>100% may be more likely.</w:t>
      </w:r>
    </w:p>
    <w:p w14:paraId="031ED521" w14:textId="7751602D" w:rsidR="00763B5A" w:rsidRPr="0009282C" w:rsidRDefault="00023318" w:rsidP="00405DAD">
      <w:pPr>
        <w:pStyle w:val="3-BodyText"/>
      </w:pPr>
      <w:r>
        <w:t>The evaluation noted that v</w:t>
      </w:r>
      <w:r w:rsidR="004D2FE6">
        <w:t>ery few patients discontinued treatment</w:t>
      </w:r>
      <w:r w:rsidR="00763B5A" w:rsidRPr="0009282C">
        <w:t xml:space="preserve"> </w:t>
      </w:r>
      <w:r w:rsidR="00FB7156">
        <w:t xml:space="preserve">with </w:t>
      </w:r>
      <w:proofErr w:type="spellStart"/>
      <w:r w:rsidR="00FB7156">
        <w:t>lumasiran</w:t>
      </w:r>
      <w:proofErr w:type="spellEnd"/>
      <w:r w:rsidR="00FB7156">
        <w:t xml:space="preserve"> </w:t>
      </w:r>
      <w:r w:rsidR="004D2FE6">
        <w:t xml:space="preserve">in </w:t>
      </w:r>
      <w:r w:rsidR="00763B5A" w:rsidRPr="0009282C">
        <w:t>the ILLUMINATE trials. Therefore, the</w:t>
      </w:r>
      <w:r w:rsidR="0053286F" w:rsidRPr="0009282C">
        <w:t xml:space="preserve"> evaluation considered that</w:t>
      </w:r>
      <w:r w:rsidR="00763B5A" w:rsidRPr="0009282C">
        <w:t xml:space="preserve"> </w:t>
      </w:r>
      <w:r w:rsidR="0008423B">
        <w:t xml:space="preserve">a discontinuation rate </w:t>
      </w:r>
      <w:r w:rsidR="00AB2594">
        <w:t>of</w:t>
      </w:r>
      <w:r>
        <w:t xml:space="preserve"> </w:t>
      </w:r>
      <w:r w:rsidR="00763B5A" w:rsidRPr="0009282C">
        <w:t xml:space="preserve">5% </w:t>
      </w:r>
      <w:r w:rsidR="00AB2594">
        <w:t xml:space="preserve">per annum may be </w:t>
      </w:r>
      <w:r>
        <w:t xml:space="preserve">an </w:t>
      </w:r>
      <w:r w:rsidR="00763B5A" w:rsidRPr="0009282C">
        <w:t xml:space="preserve">overestimate, resulting in a moderate underestimation of drug utilisation. </w:t>
      </w:r>
      <w:r w:rsidR="0053286F" w:rsidRPr="0009282C">
        <w:t xml:space="preserve">The DUSC </w:t>
      </w:r>
      <w:r w:rsidR="00F62F5B" w:rsidRPr="0009282C">
        <w:t xml:space="preserve">agreed with the evaluation and </w:t>
      </w:r>
      <w:r w:rsidR="0053286F" w:rsidRPr="0009282C">
        <w:t xml:space="preserve">noted that there </w:t>
      </w:r>
      <w:r w:rsidR="007661C9" w:rsidRPr="0009282C">
        <w:t>had been</w:t>
      </w:r>
      <w:r w:rsidR="0053286F" w:rsidRPr="0009282C">
        <w:t xml:space="preserve"> little indication that patients discontinue treatment in the clinical trials. </w:t>
      </w:r>
      <w:r w:rsidR="00F62F5B" w:rsidRPr="0009282C">
        <w:t>Given the</w:t>
      </w:r>
      <w:r w:rsidR="0053286F" w:rsidRPr="0009282C">
        <w:t xml:space="preserve"> side effect</w:t>
      </w:r>
      <w:r w:rsidR="003D23B9">
        <w:t>s</w:t>
      </w:r>
      <w:r w:rsidR="007661C9" w:rsidRPr="0009282C">
        <w:t xml:space="preserve"> </w:t>
      </w:r>
      <w:r w:rsidR="002534E9" w:rsidRPr="0009282C">
        <w:t xml:space="preserve">of </w:t>
      </w:r>
      <w:proofErr w:type="spellStart"/>
      <w:r w:rsidR="002534E9" w:rsidRPr="0009282C">
        <w:t>lumasiran</w:t>
      </w:r>
      <w:proofErr w:type="spellEnd"/>
      <w:r w:rsidR="002534E9" w:rsidRPr="0009282C">
        <w:t xml:space="preserve"> </w:t>
      </w:r>
      <w:r w:rsidR="00061DAB" w:rsidRPr="0009282C">
        <w:t>appear generally</w:t>
      </w:r>
      <w:r w:rsidR="00716267" w:rsidRPr="0009282C">
        <w:t xml:space="preserve"> minor </w:t>
      </w:r>
      <w:r w:rsidR="0053286F" w:rsidRPr="0009282C">
        <w:t>in nature,</w:t>
      </w:r>
      <w:r w:rsidR="002534E9" w:rsidRPr="0009282C">
        <w:t xml:space="preserve"> the DUSC considered that</w:t>
      </w:r>
      <w:r w:rsidR="0053286F" w:rsidRPr="0009282C">
        <w:t xml:space="preserve"> it </w:t>
      </w:r>
      <w:r w:rsidR="003D23B9">
        <w:t>wa</w:t>
      </w:r>
      <w:r w:rsidR="0053286F" w:rsidRPr="0009282C">
        <w:t>s not expected that patients would have reason to discontinue.</w:t>
      </w:r>
    </w:p>
    <w:p w14:paraId="50E2F6CE" w14:textId="7BCF1FDE" w:rsidR="00763B5A" w:rsidRPr="0009282C" w:rsidRDefault="00763B5A" w:rsidP="00405DAD">
      <w:pPr>
        <w:pStyle w:val="3-BodyText"/>
      </w:pPr>
      <w:r w:rsidRPr="0009282C">
        <w:t xml:space="preserve">As </w:t>
      </w:r>
      <w:proofErr w:type="spellStart"/>
      <w:r w:rsidRPr="0009282C">
        <w:t>lumasiran</w:t>
      </w:r>
      <w:proofErr w:type="spellEnd"/>
      <w:r w:rsidRPr="0009282C">
        <w:t xml:space="preserve"> was a weight-based regimen, patients’ weight distribution was derived based on the pooled population from the ILLUMIANTE trials. However, it was observed that the submission assumed patients’ weight to stay constant, and the calculation did not consider the growth in paediatric patients. Assuming constant weights, particularly for paediatric patients likely substantially underestimated the drug dosage and consequently the cost. </w:t>
      </w:r>
      <w:r w:rsidR="00D50134" w:rsidRPr="0009282C">
        <w:t xml:space="preserve">The DUSC advised that a sensitivity analysis </w:t>
      </w:r>
      <w:r w:rsidR="00F661B1">
        <w:t xml:space="preserve">should </w:t>
      </w:r>
      <w:r w:rsidR="00D50134" w:rsidRPr="0009282C">
        <w:t>be conducted that incorporates age-specific growth rates for each group to better account for weight progression over time.</w:t>
      </w:r>
    </w:p>
    <w:p w14:paraId="2E230FEF" w14:textId="6586B0EF" w:rsidR="00763B5A" w:rsidRPr="0009282C" w:rsidRDefault="00763B5A" w:rsidP="00405DAD">
      <w:pPr>
        <w:pStyle w:val="3-BodyText"/>
      </w:pPr>
      <w:r w:rsidRPr="0009282C">
        <w:t xml:space="preserve">The key inputs for the financial estimates were summarised in </w:t>
      </w:r>
      <w:r w:rsidRPr="0009282C">
        <w:fldChar w:fldCharType="begin" w:fldLock="1"/>
      </w:r>
      <w:r w:rsidRPr="0009282C">
        <w:instrText xml:space="preserve"> REF _Ref185797187 \h </w:instrText>
      </w:r>
      <w:r w:rsidR="00405DAD" w:rsidRPr="0009282C">
        <w:instrText xml:space="preserve"> \* MERGEFORMAT </w:instrText>
      </w:r>
      <w:r w:rsidRPr="0009282C">
        <w:fldChar w:fldCharType="separate"/>
      </w:r>
      <w:r w:rsidR="00771DFF" w:rsidRPr="0009282C">
        <w:t xml:space="preserve">Table </w:t>
      </w:r>
      <w:r w:rsidR="00771DFF">
        <w:t>20</w:t>
      </w:r>
      <w:r w:rsidRPr="0009282C">
        <w:fldChar w:fldCharType="end"/>
      </w:r>
      <w:r w:rsidRPr="0009282C">
        <w:t xml:space="preserve"> below with comments. </w:t>
      </w:r>
    </w:p>
    <w:p w14:paraId="12271F2A" w14:textId="606B11F4" w:rsidR="00763B5A" w:rsidRPr="0009282C" w:rsidRDefault="00763B5A" w:rsidP="00763B5A">
      <w:pPr>
        <w:pStyle w:val="Caption"/>
      </w:pPr>
      <w:bookmarkStart w:id="89" w:name="_Ref185797187"/>
      <w:bookmarkEnd w:id="88"/>
      <w:r w:rsidRPr="0009282C">
        <w:t xml:space="preserve">Table </w:t>
      </w:r>
      <w:r w:rsidR="000D4330">
        <w:fldChar w:fldCharType="begin" w:fldLock="1"/>
      </w:r>
      <w:r w:rsidR="000D4330">
        <w:instrText xml:space="preserve"> SEQ Table \* ARABIC </w:instrText>
      </w:r>
      <w:r w:rsidR="000D4330">
        <w:fldChar w:fldCharType="separate"/>
      </w:r>
      <w:r w:rsidR="00771DFF">
        <w:rPr>
          <w:noProof/>
        </w:rPr>
        <w:t>20</w:t>
      </w:r>
      <w:r w:rsidR="000D4330">
        <w:rPr>
          <w:noProof/>
        </w:rPr>
        <w:fldChar w:fldCharType="end"/>
      </w:r>
      <w:bookmarkEnd w:id="89"/>
      <w:r w:rsidRPr="0009282C">
        <w:rPr>
          <w:noProof/>
        </w:rPr>
        <w:t>:</w:t>
      </w:r>
      <w:r w:rsidRPr="0009282C">
        <w:tab/>
        <w:t>Key inputs for financial estimates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713"/>
        <w:gridCol w:w="4095"/>
        <w:gridCol w:w="3211"/>
      </w:tblGrid>
      <w:tr w:rsidR="00763B5A" w:rsidRPr="0009282C" w14:paraId="2E03D6DD" w14:textId="77777777" w:rsidTr="0000413B">
        <w:trPr>
          <w:cantSplit/>
          <w:tblHeader/>
        </w:trPr>
        <w:tc>
          <w:tcPr>
            <w:tcW w:w="950" w:type="pct"/>
            <w:shd w:val="clear" w:color="auto" w:fill="auto"/>
            <w:tcMar>
              <w:top w:w="0" w:type="dxa"/>
              <w:bottom w:w="0" w:type="dxa"/>
            </w:tcMar>
            <w:vAlign w:val="center"/>
          </w:tcPr>
          <w:p w14:paraId="01E351D9" w14:textId="77777777" w:rsidR="00763B5A" w:rsidRPr="0009282C" w:rsidRDefault="00763B5A" w:rsidP="0000413B">
            <w:pPr>
              <w:pStyle w:val="TableText0"/>
              <w:rPr>
                <w:b/>
                <w:bCs w:val="0"/>
              </w:rPr>
            </w:pPr>
            <w:r w:rsidRPr="0009282C">
              <w:rPr>
                <w:b/>
                <w:bCs w:val="0"/>
              </w:rPr>
              <w:t>Parameter</w:t>
            </w:r>
          </w:p>
        </w:tc>
        <w:tc>
          <w:tcPr>
            <w:tcW w:w="2270" w:type="pct"/>
            <w:shd w:val="clear" w:color="auto" w:fill="auto"/>
            <w:tcMar>
              <w:top w:w="0" w:type="dxa"/>
              <w:bottom w:w="0" w:type="dxa"/>
            </w:tcMar>
            <w:vAlign w:val="center"/>
          </w:tcPr>
          <w:p w14:paraId="08C79F2B" w14:textId="77777777" w:rsidR="00763B5A" w:rsidRPr="0009282C" w:rsidRDefault="00763B5A" w:rsidP="0000413B">
            <w:pPr>
              <w:pStyle w:val="TableText0"/>
              <w:rPr>
                <w:b/>
                <w:bCs w:val="0"/>
              </w:rPr>
            </w:pPr>
            <w:r w:rsidRPr="0009282C">
              <w:rPr>
                <w:b/>
                <w:bCs w:val="0"/>
              </w:rPr>
              <w:t>Value applied and source</w:t>
            </w:r>
          </w:p>
        </w:tc>
        <w:tc>
          <w:tcPr>
            <w:tcW w:w="1780" w:type="pct"/>
            <w:shd w:val="clear" w:color="auto" w:fill="auto"/>
            <w:tcMar>
              <w:top w:w="0" w:type="dxa"/>
              <w:bottom w:w="0" w:type="dxa"/>
            </w:tcMar>
            <w:vAlign w:val="center"/>
          </w:tcPr>
          <w:p w14:paraId="6D31E3FA" w14:textId="77777777" w:rsidR="00763B5A" w:rsidRPr="0009282C" w:rsidRDefault="00763B5A" w:rsidP="0000413B">
            <w:pPr>
              <w:pStyle w:val="TableText0"/>
              <w:rPr>
                <w:b/>
                <w:bCs w:val="0"/>
              </w:rPr>
            </w:pPr>
            <w:r w:rsidRPr="0009282C">
              <w:rPr>
                <w:b/>
                <w:bCs w:val="0"/>
              </w:rPr>
              <w:t>Comment</w:t>
            </w:r>
          </w:p>
        </w:tc>
      </w:tr>
      <w:tr w:rsidR="00763B5A" w:rsidRPr="0009282C" w14:paraId="4E71FDFC" w14:textId="77777777" w:rsidTr="0000413B">
        <w:trPr>
          <w:cantSplit/>
        </w:trPr>
        <w:tc>
          <w:tcPr>
            <w:tcW w:w="95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45699F3" w14:textId="77777777" w:rsidR="00763B5A" w:rsidRPr="0009282C" w:rsidRDefault="00763B5A" w:rsidP="0000413B">
            <w:pPr>
              <w:pStyle w:val="TableText0"/>
              <w:rPr>
                <w:b/>
              </w:rPr>
            </w:pPr>
            <w:r w:rsidRPr="0009282C">
              <w:t>Prevalence</w:t>
            </w:r>
          </w:p>
        </w:tc>
        <w:tc>
          <w:tcPr>
            <w:tcW w:w="227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CD13273" w14:textId="77777777" w:rsidR="008B1930" w:rsidRPr="0009282C" w:rsidRDefault="00763B5A" w:rsidP="0000413B">
            <w:pPr>
              <w:pStyle w:val="TableText0"/>
            </w:pPr>
            <w:r w:rsidRPr="0009282C">
              <w:t xml:space="preserve">Prevalence of 2 cases per million based on Kopp and </w:t>
            </w:r>
            <w:proofErr w:type="spellStart"/>
            <w:r w:rsidRPr="0009282C">
              <w:t>Leumann</w:t>
            </w:r>
            <w:proofErr w:type="spellEnd"/>
            <w:r w:rsidRPr="0009282C">
              <w:t>, 1995</w:t>
            </w:r>
            <w:r w:rsidR="006B7007" w:rsidRPr="0009282C">
              <w:rPr>
                <w:rStyle w:val="FootnoteReference"/>
              </w:rPr>
              <w:footnoteReference w:id="18"/>
            </w:r>
            <w:r w:rsidRPr="0009282C">
              <w:t>.</w:t>
            </w:r>
            <w:r w:rsidR="00A05A2A" w:rsidRPr="0009282C">
              <w:t xml:space="preserve"> </w:t>
            </w:r>
          </w:p>
          <w:p w14:paraId="695CEBEC" w14:textId="748E839A" w:rsidR="00763B5A" w:rsidRPr="0009282C" w:rsidRDefault="003271BE" w:rsidP="0000413B">
            <w:pPr>
              <w:pStyle w:val="TableText0"/>
              <w:rPr>
                <w:b/>
                <w:vertAlign w:val="superscript"/>
              </w:rPr>
            </w:pPr>
            <w:r w:rsidRPr="0009282C">
              <w:t>Three sources were provided, and the</w:t>
            </w:r>
            <w:r w:rsidR="00D2631D" w:rsidRPr="0009282C">
              <w:t xml:space="preserve"> </w:t>
            </w:r>
            <w:r w:rsidR="00FB172D" w:rsidRPr="0009282C">
              <w:t>prevalence</w:t>
            </w:r>
            <w:r w:rsidR="00D2631D" w:rsidRPr="0009282C">
              <w:t xml:space="preserve"> ranged between 1.05 and 2.9</w:t>
            </w:r>
            <w:r w:rsidR="00244D9E" w:rsidRPr="0009282C">
              <w:t xml:space="preserve"> cases</w:t>
            </w:r>
            <w:r w:rsidRPr="0009282C">
              <w:t xml:space="preserve"> per million</w:t>
            </w:r>
            <w:r w:rsidRPr="0009282C">
              <w:rPr>
                <w:rStyle w:val="FootnoteReference"/>
              </w:rPr>
              <w:footnoteReference w:id="19"/>
            </w:r>
            <w:r w:rsidRPr="0009282C">
              <w:rPr>
                <w:vertAlign w:val="superscript"/>
              </w:rPr>
              <w:t>,</w:t>
            </w:r>
            <w:r w:rsidRPr="0009282C">
              <w:rPr>
                <w:rStyle w:val="FootnoteReference"/>
              </w:rPr>
              <w:footnoteReference w:id="20"/>
            </w:r>
            <w:r w:rsidRPr="0009282C">
              <w:rPr>
                <w:vertAlign w:val="superscript"/>
              </w:rPr>
              <w:t>,</w:t>
            </w:r>
            <w:r w:rsidR="00A72AB5" w:rsidRPr="0009282C">
              <w:rPr>
                <w:rStyle w:val="FootnoteReference"/>
              </w:rPr>
              <w:footnoteReference w:id="21"/>
            </w:r>
          </w:p>
        </w:tc>
        <w:tc>
          <w:tcPr>
            <w:tcW w:w="178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CD3A51C" w14:textId="006171F7" w:rsidR="00763B5A" w:rsidRPr="0009282C" w:rsidRDefault="00244D9E" w:rsidP="0000413B">
            <w:pPr>
              <w:pStyle w:val="TableText0"/>
              <w:rPr>
                <w:b/>
              </w:rPr>
            </w:pPr>
            <w:r w:rsidRPr="0009282C">
              <w:t>The DUSC considered the estimated prevalence was highly uncertain, however a reasonable estimate in the absence of alternative prevalence data.</w:t>
            </w:r>
            <w:r w:rsidR="004147C5" w:rsidRPr="0009282C">
              <w:t xml:space="preserve"> </w:t>
            </w:r>
            <w:r w:rsidR="00B45C36">
              <w:t>Overall, the</w:t>
            </w:r>
            <w:r w:rsidR="004147C5" w:rsidRPr="0009282C">
              <w:t xml:space="preserve"> DUSC considered the estimate may be overestimated.</w:t>
            </w:r>
          </w:p>
        </w:tc>
      </w:tr>
      <w:tr w:rsidR="00763B5A" w:rsidRPr="0009282C" w14:paraId="483B02F2" w14:textId="77777777" w:rsidTr="0000413B">
        <w:trPr>
          <w:cantSplit/>
        </w:trPr>
        <w:tc>
          <w:tcPr>
            <w:tcW w:w="950" w:type="pct"/>
            <w:shd w:val="clear" w:color="auto" w:fill="auto"/>
            <w:tcMar>
              <w:top w:w="0" w:type="dxa"/>
              <w:bottom w:w="0" w:type="dxa"/>
            </w:tcMar>
            <w:vAlign w:val="center"/>
          </w:tcPr>
          <w:p w14:paraId="06298C16" w14:textId="77777777" w:rsidR="00763B5A" w:rsidRPr="0009282C" w:rsidRDefault="00763B5A" w:rsidP="0000413B">
            <w:pPr>
              <w:pStyle w:val="TableText0"/>
              <w:rPr>
                <w:b/>
              </w:rPr>
            </w:pPr>
            <w:r w:rsidRPr="0009282C">
              <w:t>Population</w:t>
            </w:r>
          </w:p>
        </w:tc>
        <w:tc>
          <w:tcPr>
            <w:tcW w:w="2270" w:type="pct"/>
            <w:shd w:val="clear" w:color="auto" w:fill="auto"/>
            <w:tcMar>
              <w:top w:w="0" w:type="dxa"/>
              <w:bottom w:w="0" w:type="dxa"/>
            </w:tcMar>
            <w:vAlign w:val="center"/>
          </w:tcPr>
          <w:p w14:paraId="02EFCBD0" w14:textId="52CA0559" w:rsidR="00763B5A" w:rsidRPr="0009282C" w:rsidRDefault="00763B5A" w:rsidP="0000413B">
            <w:pPr>
              <w:pStyle w:val="TableText0"/>
              <w:rPr>
                <w:b/>
              </w:rPr>
            </w:pPr>
            <w:r w:rsidRPr="0009282C">
              <w:t xml:space="preserve">ABS population projection </w:t>
            </w:r>
            <w:r w:rsidR="009E7B66" w:rsidRPr="0009282C">
              <w:t>(</w:t>
            </w:r>
            <w:r w:rsidRPr="0009282C">
              <w:t>2013</w:t>
            </w:r>
            <w:r w:rsidR="009E7B66" w:rsidRPr="0009282C">
              <w:t>)</w:t>
            </w:r>
          </w:p>
        </w:tc>
        <w:tc>
          <w:tcPr>
            <w:tcW w:w="1780" w:type="pct"/>
            <w:shd w:val="clear" w:color="auto" w:fill="auto"/>
            <w:tcMar>
              <w:top w:w="0" w:type="dxa"/>
              <w:bottom w:w="0" w:type="dxa"/>
            </w:tcMar>
            <w:vAlign w:val="center"/>
          </w:tcPr>
          <w:p w14:paraId="446A974B" w14:textId="2E3D3EF6" w:rsidR="00763B5A" w:rsidRPr="0009282C" w:rsidRDefault="00763B5A" w:rsidP="0000413B">
            <w:pPr>
              <w:pStyle w:val="TableText0"/>
              <w:rPr>
                <w:b/>
              </w:rPr>
            </w:pPr>
            <w:r w:rsidRPr="0009282C">
              <w:t xml:space="preserve">Outdated data source. </w:t>
            </w:r>
            <w:r w:rsidR="00091A7A" w:rsidRPr="0009282C">
              <w:t xml:space="preserve">The </w:t>
            </w:r>
            <w:r w:rsidR="00D2606E" w:rsidRPr="0009282C">
              <w:t>DUSC considered the approach reasonable but require</w:t>
            </w:r>
            <w:r w:rsidR="00091A7A" w:rsidRPr="0009282C">
              <w:t>d</w:t>
            </w:r>
            <w:r w:rsidR="00D2606E" w:rsidRPr="0009282C">
              <w:t xml:space="preserve"> revision as the outdated source led to a small overestimation of the eligible population.</w:t>
            </w:r>
          </w:p>
        </w:tc>
      </w:tr>
      <w:tr w:rsidR="00763B5A" w:rsidRPr="0009282C" w14:paraId="3B6D4F9B" w14:textId="77777777" w:rsidTr="0000413B">
        <w:trPr>
          <w:cantSplit/>
        </w:trPr>
        <w:tc>
          <w:tcPr>
            <w:tcW w:w="95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AECE192" w14:textId="77777777" w:rsidR="00763B5A" w:rsidRPr="0009282C" w:rsidRDefault="00763B5A" w:rsidP="0000413B">
            <w:pPr>
              <w:pStyle w:val="TableText0"/>
            </w:pPr>
            <w:r w:rsidRPr="0009282C">
              <w:t>Uptake rate</w:t>
            </w:r>
          </w:p>
        </w:tc>
        <w:tc>
          <w:tcPr>
            <w:tcW w:w="227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C9667D9" w14:textId="77777777" w:rsidR="00763B5A" w:rsidRPr="0009282C" w:rsidRDefault="00763B5A" w:rsidP="0000413B">
            <w:pPr>
              <w:pStyle w:val="TableText0"/>
            </w:pPr>
            <w:r w:rsidRPr="0009282C">
              <w:t>60% in Year 1 increased to 80% by Year 6.</w:t>
            </w:r>
          </w:p>
          <w:p w14:paraId="011AA017" w14:textId="77777777" w:rsidR="00763B5A" w:rsidRPr="0009282C" w:rsidRDefault="00763B5A" w:rsidP="0000413B">
            <w:pPr>
              <w:pStyle w:val="TableText0"/>
            </w:pPr>
            <w:r w:rsidRPr="0009282C">
              <w:t>Uptake was assumed to be rapid and high due to lack of alternative treatment options and high awareness in specialist care setting.</w:t>
            </w:r>
          </w:p>
        </w:tc>
        <w:tc>
          <w:tcPr>
            <w:tcW w:w="178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57C44EE" w14:textId="089A3E0A" w:rsidR="00763B5A" w:rsidRPr="0009282C" w:rsidRDefault="00D670C2" w:rsidP="00D670C2">
            <w:pPr>
              <w:pStyle w:val="TableText0"/>
            </w:pPr>
            <w:r w:rsidRPr="0009282C">
              <w:t xml:space="preserve">The DUSC considered </w:t>
            </w:r>
            <w:r w:rsidR="00142287" w:rsidRPr="0009282C">
              <w:t>that</w:t>
            </w:r>
            <w:r w:rsidRPr="0009282C">
              <w:t xml:space="preserve"> a higher uptake of 90-100% may be more likely.</w:t>
            </w:r>
          </w:p>
        </w:tc>
      </w:tr>
      <w:tr w:rsidR="00763B5A" w:rsidRPr="0009282C" w14:paraId="0799E34A" w14:textId="77777777" w:rsidTr="0000413B">
        <w:trPr>
          <w:cantSplit/>
        </w:trPr>
        <w:tc>
          <w:tcPr>
            <w:tcW w:w="95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B93B6F6" w14:textId="77777777" w:rsidR="00763B5A" w:rsidRPr="0009282C" w:rsidRDefault="00763B5A" w:rsidP="0000413B">
            <w:pPr>
              <w:pStyle w:val="TableText0"/>
            </w:pPr>
            <w:r w:rsidRPr="0009282C">
              <w:t>Number of newly initiated patients</w:t>
            </w:r>
          </w:p>
        </w:tc>
        <w:tc>
          <w:tcPr>
            <w:tcW w:w="227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CDEEA6A" w14:textId="77777777" w:rsidR="00763B5A" w:rsidRPr="0009282C" w:rsidRDefault="00763B5A" w:rsidP="0000413B">
            <w:pPr>
              <w:pStyle w:val="TableText0"/>
            </w:pPr>
            <w:r w:rsidRPr="0009282C">
              <w:t>Eligible patients minus continued patients from last year</w:t>
            </w:r>
          </w:p>
        </w:tc>
        <w:tc>
          <w:tcPr>
            <w:tcW w:w="178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ED39F7A" w14:textId="5DDB5021" w:rsidR="00763B5A" w:rsidRPr="0009282C" w:rsidRDefault="00577ED9" w:rsidP="0000413B">
            <w:pPr>
              <w:pStyle w:val="TableText0"/>
            </w:pPr>
            <w:r w:rsidRPr="0009282C">
              <w:t>The DUSC considered that this approach may be reasonable because in the case of rare diseases, incidence remains relatively stable, keeping prevalence low.</w:t>
            </w:r>
          </w:p>
        </w:tc>
      </w:tr>
      <w:tr w:rsidR="00763B5A" w:rsidRPr="0009282C" w14:paraId="2C16DC06" w14:textId="77777777" w:rsidTr="0000413B">
        <w:trPr>
          <w:cantSplit/>
        </w:trPr>
        <w:tc>
          <w:tcPr>
            <w:tcW w:w="95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5B14ACD" w14:textId="77777777" w:rsidR="00763B5A" w:rsidRPr="0009282C" w:rsidRDefault="00763B5A" w:rsidP="0000413B">
            <w:pPr>
              <w:pStyle w:val="TableText0"/>
            </w:pPr>
            <w:r w:rsidRPr="0009282C">
              <w:t>Discontinuation per annum</w:t>
            </w:r>
          </w:p>
        </w:tc>
        <w:tc>
          <w:tcPr>
            <w:tcW w:w="227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D8F67CC" w14:textId="226E5E18" w:rsidR="00763B5A" w:rsidRPr="0009282C" w:rsidRDefault="00763B5A" w:rsidP="0000413B">
            <w:pPr>
              <w:pStyle w:val="TableText0"/>
            </w:pPr>
            <w:r w:rsidRPr="0009282C">
              <w:t xml:space="preserve">5% patients discontinued </w:t>
            </w:r>
            <w:r w:rsidR="00816972" w:rsidRPr="0009282C">
              <w:t xml:space="preserve">stated to be </w:t>
            </w:r>
            <w:r w:rsidRPr="0009282C">
              <w:t>based clinical trial data.</w:t>
            </w:r>
          </w:p>
        </w:tc>
        <w:tc>
          <w:tcPr>
            <w:tcW w:w="1780"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18DE855" w14:textId="326C425D" w:rsidR="00763B5A" w:rsidRPr="0009282C" w:rsidRDefault="00763B5A" w:rsidP="0000413B">
            <w:pPr>
              <w:pStyle w:val="TableText0"/>
            </w:pPr>
            <w:r w:rsidRPr="0009282C">
              <w:t>Not supported by clinical data, likely overestimated</w:t>
            </w:r>
            <w:r w:rsidR="00816972" w:rsidRPr="0009282C">
              <w:t>.</w:t>
            </w:r>
            <w:r w:rsidR="009B41ED" w:rsidRPr="0009282C">
              <w:t xml:space="preserve"> The </w:t>
            </w:r>
            <w:r w:rsidR="009B41ED" w:rsidRPr="0009282C">
              <w:rPr>
                <w:iCs/>
              </w:rPr>
              <w:t>DUSC agreed with the evaluation and considered this assumption to be potentially unreasonable.</w:t>
            </w:r>
          </w:p>
        </w:tc>
      </w:tr>
      <w:tr w:rsidR="00763B5A" w:rsidRPr="0009282C" w14:paraId="56FDE1A2" w14:textId="77777777" w:rsidTr="0000413B">
        <w:trPr>
          <w:cantSplit/>
        </w:trPr>
        <w:tc>
          <w:tcPr>
            <w:tcW w:w="950" w:type="pct"/>
            <w:shd w:val="clear" w:color="auto" w:fill="auto"/>
            <w:tcMar>
              <w:top w:w="0" w:type="dxa"/>
              <w:bottom w:w="0" w:type="dxa"/>
            </w:tcMar>
            <w:vAlign w:val="center"/>
          </w:tcPr>
          <w:p w14:paraId="04038F2D" w14:textId="77777777" w:rsidR="00763B5A" w:rsidRPr="0009282C" w:rsidRDefault="00763B5A" w:rsidP="0000413B">
            <w:pPr>
              <w:pStyle w:val="TableText0"/>
            </w:pPr>
            <w:r w:rsidRPr="0009282C">
              <w:t>Dose/duration</w:t>
            </w:r>
          </w:p>
        </w:tc>
        <w:tc>
          <w:tcPr>
            <w:tcW w:w="2270" w:type="pct"/>
            <w:shd w:val="clear" w:color="auto" w:fill="auto"/>
            <w:tcMar>
              <w:top w:w="0" w:type="dxa"/>
              <w:bottom w:w="0" w:type="dxa"/>
            </w:tcMar>
            <w:vAlign w:val="center"/>
          </w:tcPr>
          <w:p w14:paraId="17985F48" w14:textId="3A2EBAF1" w:rsidR="00763B5A" w:rsidRPr="0009282C" w:rsidRDefault="00763B5A" w:rsidP="0000413B">
            <w:pPr>
              <w:pStyle w:val="TableText0"/>
            </w:pPr>
            <w:r w:rsidRPr="0009282C">
              <w:t xml:space="preserve">Weight based dosages continue for </w:t>
            </w:r>
            <w:r w:rsidR="008832A0" w:rsidRPr="0009282C">
              <w:t xml:space="preserve">a </w:t>
            </w:r>
            <w:r w:rsidRPr="0009282C">
              <w:t>lifetime (all 6 years)</w:t>
            </w:r>
            <w:r w:rsidR="002E01F0" w:rsidRPr="0009282C">
              <w:t>.</w:t>
            </w:r>
          </w:p>
        </w:tc>
        <w:tc>
          <w:tcPr>
            <w:tcW w:w="1780" w:type="pct"/>
            <w:shd w:val="clear" w:color="auto" w:fill="auto"/>
            <w:tcMar>
              <w:top w:w="0" w:type="dxa"/>
              <w:bottom w:w="0" w:type="dxa"/>
            </w:tcMar>
            <w:vAlign w:val="center"/>
          </w:tcPr>
          <w:p w14:paraId="4B8C0DE5" w14:textId="03499524" w:rsidR="00763B5A" w:rsidRPr="0009282C" w:rsidRDefault="00763B5A" w:rsidP="0000413B">
            <w:pPr>
              <w:pStyle w:val="TableText0"/>
            </w:pPr>
            <w:r w:rsidRPr="0009282C">
              <w:t>Consistent with the TGA approved drug regimen, and consistent with the economic section.</w:t>
            </w:r>
          </w:p>
        </w:tc>
      </w:tr>
      <w:tr w:rsidR="00763B5A" w:rsidRPr="0009282C" w:rsidDel="008F43F2" w14:paraId="3D3FC56C" w14:textId="77777777" w:rsidTr="0000413B">
        <w:trPr>
          <w:cantSplit/>
        </w:trPr>
        <w:tc>
          <w:tcPr>
            <w:tcW w:w="950" w:type="pct"/>
            <w:shd w:val="clear" w:color="auto" w:fill="auto"/>
            <w:tcMar>
              <w:top w:w="0" w:type="dxa"/>
              <w:bottom w:w="0" w:type="dxa"/>
            </w:tcMar>
            <w:vAlign w:val="center"/>
          </w:tcPr>
          <w:p w14:paraId="64C5DCB7" w14:textId="77777777" w:rsidR="00763B5A" w:rsidRPr="0009282C" w:rsidDel="008F43F2" w:rsidRDefault="00763B5A" w:rsidP="0000413B">
            <w:pPr>
              <w:pStyle w:val="TableText0"/>
            </w:pPr>
            <w:r w:rsidRPr="0009282C">
              <w:t>Weight distribution</w:t>
            </w:r>
          </w:p>
        </w:tc>
        <w:tc>
          <w:tcPr>
            <w:tcW w:w="2270" w:type="pct"/>
            <w:shd w:val="clear" w:color="auto" w:fill="auto"/>
            <w:tcMar>
              <w:top w:w="0" w:type="dxa"/>
              <w:bottom w:w="0" w:type="dxa"/>
            </w:tcMar>
            <w:vAlign w:val="center"/>
          </w:tcPr>
          <w:p w14:paraId="15B142A8" w14:textId="6D3F61A5" w:rsidR="00763B5A" w:rsidRPr="0009282C" w:rsidDel="008F43F2" w:rsidRDefault="00763B5A" w:rsidP="0000413B">
            <w:pPr>
              <w:pStyle w:val="TableText0"/>
            </w:pPr>
            <w:r w:rsidRPr="0009282C">
              <w:t>Pooled ILLUMINATE trials baseline</w:t>
            </w:r>
            <w:r w:rsidR="002E01F0" w:rsidRPr="0009282C">
              <w:t>.</w:t>
            </w:r>
          </w:p>
        </w:tc>
        <w:tc>
          <w:tcPr>
            <w:tcW w:w="1780" w:type="pct"/>
            <w:shd w:val="clear" w:color="auto" w:fill="auto"/>
            <w:tcMar>
              <w:top w:w="0" w:type="dxa"/>
              <w:bottom w:w="0" w:type="dxa"/>
            </w:tcMar>
            <w:vAlign w:val="center"/>
          </w:tcPr>
          <w:p w14:paraId="4C56E944" w14:textId="40C40E0E" w:rsidR="00763B5A" w:rsidRPr="0009282C" w:rsidDel="008F43F2" w:rsidRDefault="00C24DD8" w:rsidP="0000413B">
            <w:pPr>
              <w:pStyle w:val="TableText0"/>
            </w:pPr>
            <w:r w:rsidRPr="0009282C">
              <w:t xml:space="preserve">The evaluation considered that this </w:t>
            </w:r>
            <w:r w:rsidR="001974FF" w:rsidRPr="0009282C">
              <w:t>approach l</w:t>
            </w:r>
            <w:r w:rsidR="00763B5A" w:rsidRPr="0009282C">
              <w:t xml:space="preserve">ikely </w:t>
            </w:r>
            <w:r w:rsidR="001974FF" w:rsidRPr="0009282C">
              <w:t xml:space="preserve">led </w:t>
            </w:r>
            <w:r w:rsidR="00763B5A" w:rsidRPr="0009282C">
              <w:t>to</w:t>
            </w:r>
            <w:r w:rsidR="001974FF" w:rsidRPr="0009282C">
              <w:t xml:space="preserve"> an</w:t>
            </w:r>
            <w:r w:rsidR="00763B5A" w:rsidRPr="0009282C">
              <w:t xml:space="preserve"> underestimate</w:t>
            </w:r>
            <w:r w:rsidR="001D2874" w:rsidRPr="0009282C">
              <w:t xml:space="preserve"> of </w:t>
            </w:r>
            <w:r w:rsidR="00763B5A" w:rsidRPr="0009282C">
              <w:t xml:space="preserve">drug costs due to the lack of consideration in weight growth, particularly in paediatric patients. </w:t>
            </w:r>
            <w:r w:rsidR="001974FF" w:rsidRPr="0009282C">
              <w:t xml:space="preserve">The </w:t>
            </w:r>
            <w:r w:rsidRPr="0009282C">
              <w:t xml:space="preserve">DUSC </w:t>
            </w:r>
            <w:r w:rsidR="000B0D6D" w:rsidRPr="0009282C">
              <w:t xml:space="preserve">agreed with the evaluation and </w:t>
            </w:r>
            <w:r w:rsidR="001974FF" w:rsidRPr="0009282C">
              <w:t>advised</w:t>
            </w:r>
            <w:r w:rsidRPr="0009282C">
              <w:t xml:space="preserve"> that it </w:t>
            </w:r>
            <w:r w:rsidR="000B0D6D" w:rsidRPr="0009282C">
              <w:t>was</w:t>
            </w:r>
            <w:r w:rsidRPr="0009282C">
              <w:t xml:space="preserve"> inappropriate to apply the baseline average pooled estimate as children gain weight over time and as a result higher doses are required.</w:t>
            </w:r>
          </w:p>
        </w:tc>
      </w:tr>
      <w:tr w:rsidR="00763B5A" w:rsidRPr="0009282C" w:rsidDel="008F43F2" w14:paraId="0659DD5F" w14:textId="77777777" w:rsidTr="0000413B">
        <w:trPr>
          <w:cantSplit/>
        </w:trPr>
        <w:tc>
          <w:tcPr>
            <w:tcW w:w="950" w:type="pct"/>
            <w:shd w:val="clear" w:color="auto" w:fill="auto"/>
            <w:tcMar>
              <w:top w:w="0" w:type="dxa"/>
              <w:bottom w:w="0" w:type="dxa"/>
            </w:tcMar>
            <w:vAlign w:val="center"/>
          </w:tcPr>
          <w:p w14:paraId="52859367" w14:textId="77777777" w:rsidR="00763B5A" w:rsidRPr="0009282C" w:rsidRDefault="00763B5A" w:rsidP="0000413B">
            <w:pPr>
              <w:pStyle w:val="TableText0"/>
            </w:pPr>
            <w:r w:rsidRPr="0009282C">
              <w:t>Proposed medicine effective DPMQ, per vial</w:t>
            </w:r>
          </w:p>
        </w:tc>
        <w:tc>
          <w:tcPr>
            <w:tcW w:w="2270" w:type="pct"/>
            <w:shd w:val="clear" w:color="auto" w:fill="auto"/>
            <w:tcMar>
              <w:top w:w="0" w:type="dxa"/>
              <w:bottom w:w="0" w:type="dxa"/>
            </w:tcMar>
            <w:vAlign w:val="center"/>
          </w:tcPr>
          <w:p w14:paraId="6974C815" w14:textId="0F99B935" w:rsidR="00763B5A" w:rsidRPr="0009282C" w:rsidRDefault="00763B5A" w:rsidP="0000413B">
            <w:pPr>
              <w:pStyle w:val="TableText0"/>
            </w:pPr>
            <w:r w:rsidRPr="0009282C">
              <w:t>$</w:t>
            </w:r>
            <w:r w:rsidR="002212A2" w:rsidRPr="002212A2">
              <w:rPr>
                <w:color w:val="000000"/>
                <w:spacing w:val="53"/>
                <w:shd w:val="solid" w:color="000000" w:fill="000000"/>
                <w:fitText w:val="330" w:id="-694423793"/>
                <w14:textFill>
                  <w14:solidFill>
                    <w14:srgbClr w14:val="000000">
                      <w14:alpha w14:val="100000"/>
                    </w14:srgbClr>
                  </w14:solidFill>
                </w14:textFill>
              </w:rPr>
              <w:t>|||</w:t>
            </w:r>
            <w:r w:rsidR="002212A2" w:rsidRPr="002212A2">
              <w:rPr>
                <w:color w:val="000000"/>
                <w:spacing w:val="1"/>
                <w:shd w:val="solid" w:color="000000" w:fill="000000"/>
                <w:fitText w:val="330" w:id="-694423793"/>
                <w14:textFill>
                  <w14:solidFill>
                    <w14:srgbClr w14:val="000000">
                      <w14:alpha w14:val="100000"/>
                    </w14:srgbClr>
                  </w14:solidFill>
                </w14:textFill>
              </w:rPr>
              <w:t>|</w:t>
            </w:r>
            <w:r w:rsidRPr="0009282C">
              <w:t xml:space="preserve"> (Paediatric)</w:t>
            </w:r>
          </w:p>
          <w:p w14:paraId="402CBC86" w14:textId="4CA89B11" w:rsidR="00763B5A" w:rsidRPr="0009282C" w:rsidRDefault="00763B5A" w:rsidP="0000413B">
            <w:pPr>
              <w:pStyle w:val="TableText0"/>
            </w:pPr>
            <w:r w:rsidRPr="0009282C">
              <w:t>$</w:t>
            </w:r>
            <w:r w:rsidR="002212A2" w:rsidRPr="002212A2">
              <w:rPr>
                <w:color w:val="000000"/>
                <w:spacing w:val="53"/>
                <w:shd w:val="solid" w:color="000000" w:fill="000000"/>
                <w:fitText w:val="330" w:id="-694423792"/>
                <w14:textFill>
                  <w14:solidFill>
                    <w14:srgbClr w14:val="000000">
                      <w14:alpha w14:val="100000"/>
                    </w14:srgbClr>
                  </w14:solidFill>
                </w14:textFill>
              </w:rPr>
              <w:t>|||</w:t>
            </w:r>
            <w:r w:rsidR="002212A2" w:rsidRPr="002212A2">
              <w:rPr>
                <w:color w:val="000000"/>
                <w:spacing w:val="1"/>
                <w:shd w:val="solid" w:color="000000" w:fill="000000"/>
                <w:fitText w:val="330" w:id="-694423792"/>
                <w14:textFill>
                  <w14:solidFill>
                    <w14:srgbClr w14:val="000000">
                      <w14:alpha w14:val="100000"/>
                    </w14:srgbClr>
                  </w14:solidFill>
                </w14:textFill>
              </w:rPr>
              <w:t>|</w:t>
            </w:r>
            <w:r w:rsidRPr="0009282C">
              <w:t xml:space="preserve"> (Adult)</w:t>
            </w:r>
          </w:p>
        </w:tc>
        <w:tc>
          <w:tcPr>
            <w:tcW w:w="1780" w:type="pct"/>
            <w:shd w:val="clear" w:color="auto" w:fill="auto"/>
            <w:tcMar>
              <w:top w:w="0" w:type="dxa"/>
              <w:bottom w:w="0" w:type="dxa"/>
            </w:tcMar>
            <w:vAlign w:val="center"/>
          </w:tcPr>
          <w:p w14:paraId="0F4933EE" w14:textId="286D6369" w:rsidR="00763B5A" w:rsidRPr="0009282C" w:rsidRDefault="00763B5A" w:rsidP="0000413B">
            <w:pPr>
              <w:pStyle w:val="TableText0"/>
            </w:pPr>
            <w:r w:rsidRPr="0009282C">
              <w:t xml:space="preserve">It is incorrect to use average number of vials for a DPMQ calculation. Pricing calculations </w:t>
            </w:r>
            <w:r w:rsidR="00E51B06">
              <w:t>should</w:t>
            </w:r>
            <w:r w:rsidR="00E51B06" w:rsidRPr="0009282C">
              <w:t xml:space="preserve"> </w:t>
            </w:r>
            <w:r w:rsidRPr="0009282C">
              <w:t>be performed using an integer number of vials. Consequently, the population should be split based on the integer number of vials required in each age group.</w:t>
            </w:r>
            <w:r w:rsidR="004A39AA" w:rsidRPr="0009282C">
              <w:t xml:space="preserve"> The DUSC agreed with the evaluation. </w:t>
            </w:r>
            <w:r w:rsidR="006E7CAD" w:rsidRPr="0009282C">
              <w:t xml:space="preserve">Revised calculations were provided by the </w:t>
            </w:r>
            <w:r w:rsidR="006E7CAD" w:rsidRPr="00435D7F">
              <w:t>Secretariat</w:t>
            </w:r>
            <w:r w:rsidR="00795FE7" w:rsidRPr="0009282C">
              <w:t xml:space="preserve"> (see</w:t>
            </w:r>
            <w:r w:rsidR="005426A5" w:rsidRPr="0009282C">
              <w:t xml:space="preserve"> paragraph </w:t>
            </w:r>
            <w:r w:rsidR="005426A5" w:rsidRPr="0009282C">
              <w:fldChar w:fldCharType="begin" w:fldLock="1"/>
            </w:r>
            <w:r w:rsidR="005426A5" w:rsidRPr="0009282C">
              <w:instrText xml:space="preserve"> REF _Ref193801635 \r \h </w:instrText>
            </w:r>
            <w:r w:rsidR="005426A5" w:rsidRPr="0009282C">
              <w:fldChar w:fldCharType="separate"/>
            </w:r>
            <w:r w:rsidR="00771DFF">
              <w:t>6.104</w:t>
            </w:r>
            <w:r w:rsidR="005426A5" w:rsidRPr="0009282C">
              <w:fldChar w:fldCharType="end"/>
            </w:r>
            <w:r w:rsidR="005426A5" w:rsidRPr="0009282C">
              <w:t xml:space="preserve"> and</w:t>
            </w:r>
            <w:r w:rsidR="00795FE7" w:rsidRPr="0009282C">
              <w:t xml:space="preserve"> </w:t>
            </w:r>
            <w:r w:rsidR="005426A5" w:rsidRPr="0009282C">
              <w:fldChar w:fldCharType="begin" w:fldLock="1"/>
            </w:r>
            <w:r w:rsidR="005426A5" w:rsidRPr="0009282C">
              <w:instrText xml:space="preserve"> REF _Ref193801614 \h </w:instrText>
            </w:r>
            <w:r w:rsidR="005426A5" w:rsidRPr="0009282C">
              <w:fldChar w:fldCharType="separate"/>
            </w:r>
            <w:r w:rsidR="00771DFF" w:rsidRPr="0009282C">
              <w:t xml:space="preserve">Table </w:t>
            </w:r>
            <w:r w:rsidR="00771DFF">
              <w:rPr>
                <w:noProof/>
              </w:rPr>
              <w:t>19</w:t>
            </w:r>
            <w:r w:rsidR="005426A5" w:rsidRPr="0009282C">
              <w:fldChar w:fldCharType="end"/>
            </w:r>
            <w:r w:rsidR="00A01EBF">
              <w:t>)</w:t>
            </w:r>
            <w:r w:rsidR="006E7CAD" w:rsidRPr="0009282C">
              <w:t>.</w:t>
            </w:r>
          </w:p>
        </w:tc>
      </w:tr>
      <w:tr w:rsidR="00763B5A" w:rsidRPr="0009282C" w14:paraId="735FCE5D" w14:textId="77777777" w:rsidTr="0000413B">
        <w:trPr>
          <w:cantSplit/>
        </w:trPr>
        <w:tc>
          <w:tcPr>
            <w:tcW w:w="950" w:type="pct"/>
            <w:shd w:val="clear" w:color="auto" w:fill="auto"/>
            <w:tcMar>
              <w:top w:w="0" w:type="dxa"/>
              <w:bottom w:w="0" w:type="dxa"/>
            </w:tcMar>
            <w:vAlign w:val="center"/>
          </w:tcPr>
          <w:p w14:paraId="408E49EC" w14:textId="77777777" w:rsidR="00763B5A" w:rsidRPr="0009282C" w:rsidRDefault="00763B5A" w:rsidP="0000413B">
            <w:pPr>
              <w:pStyle w:val="TableText0"/>
            </w:pPr>
            <w:r w:rsidRPr="0009282C">
              <w:t xml:space="preserve">MBS Item </w:t>
            </w:r>
          </w:p>
        </w:tc>
        <w:tc>
          <w:tcPr>
            <w:tcW w:w="2270" w:type="pct"/>
            <w:shd w:val="clear" w:color="auto" w:fill="auto"/>
            <w:tcMar>
              <w:top w:w="0" w:type="dxa"/>
              <w:bottom w:w="0" w:type="dxa"/>
            </w:tcMar>
            <w:vAlign w:val="center"/>
          </w:tcPr>
          <w:p w14:paraId="2DB6B65B" w14:textId="77777777" w:rsidR="00763B5A" w:rsidRPr="0009282C" w:rsidRDefault="00763B5A" w:rsidP="0000413B">
            <w:pPr>
              <w:pStyle w:val="TableText0"/>
            </w:pPr>
            <w:r w:rsidRPr="0009282C">
              <w:t>MBS Item 13950 (Parenteral administration of one or more antineoplastic agents, $123.05).</w:t>
            </w:r>
          </w:p>
        </w:tc>
        <w:tc>
          <w:tcPr>
            <w:tcW w:w="1780" w:type="pct"/>
            <w:shd w:val="clear" w:color="auto" w:fill="auto"/>
            <w:tcMar>
              <w:top w:w="0" w:type="dxa"/>
              <w:bottom w:w="0" w:type="dxa"/>
            </w:tcMar>
            <w:vAlign w:val="center"/>
          </w:tcPr>
          <w:p w14:paraId="557E8FCF" w14:textId="77777777" w:rsidR="00763B5A" w:rsidRPr="0009282C" w:rsidRDefault="00763B5A" w:rsidP="0000413B">
            <w:pPr>
              <w:pStyle w:val="TableText0"/>
            </w:pPr>
            <w:r w:rsidRPr="0009282C">
              <w:t>Appropriate</w:t>
            </w:r>
          </w:p>
        </w:tc>
      </w:tr>
    </w:tbl>
    <w:p w14:paraId="3D7CC1A4" w14:textId="77777777" w:rsidR="00763B5A" w:rsidRPr="0009282C" w:rsidRDefault="00763B5A" w:rsidP="001E6A64">
      <w:pPr>
        <w:pStyle w:val="TableFigureFooter"/>
      </w:pPr>
      <w:r w:rsidRPr="0009282C">
        <w:t>Abbreviations: ABS, Australian bureau of statistics; MBS, medicine benefits schedule; TGA, therapeutic goods administration.</w:t>
      </w:r>
    </w:p>
    <w:p w14:paraId="761D9428" w14:textId="7E3D3DA0" w:rsidR="00763B5A" w:rsidRPr="0009282C" w:rsidRDefault="00763B5A" w:rsidP="001E6A64">
      <w:pPr>
        <w:pStyle w:val="TableFigureFooter"/>
      </w:pPr>
      <w:r w:rsidRPr="0009282C">
        <w:t>Source: Table 3</w:t>
      </w:r>
      <w:r w:rsidR="000D4330">
        <w:fldChar w:fldCharType="begin" w:fldLock="1"/>
      </w:r>
      <w:r w:rsidR="000D4330">
        <w:instrText xml:space="preserve"> SEQ Table_3. \* ARABIC </w:instrText>
      </w:r>
      <w:r w:rsidR="000D4330">
        <w:fldChar w:fldCharType="separate"/>
      </w:r>
      <w:r w:rsidR="00771DFF">
        <w:rPr>
          <w:noProof/>
        </w:rPr>
        <w:t>1</w:t>
      </w:r>
      <w:r w:rsidR="000D4330">
        <w:rPr>
          <w:noProof/>
        </w:rPr>
        <w:fldChar w:fldCharType="end"/>
      </w:r>
      <w:r w:rsidRPr="0009282C">
        <w:t xml:space="preserve">, 4.1-4.6, text in Section 4.1 (p159-p165), and </w:t>
      </w:r>
      <w:r w:rsidRPr="0009282C" w:rsidDel="00704A30">
        <w:t>E</w:t>
      </w:r>
      <w:r w:rsidRPr="0009282C">
        <w:t>xcel workbook of the submission.</w:t>
      </w:r>
    </w:p>
    <w:p w14:paraId="67C9ABBA" w14:textId="109A089D" w:rsidR="00763B5A" w:rsidRPr="0009282C" w:rsidRDefault="00B077F8" w:rsidP="00405DAD">
      <w:pPr>
        <w:pStyle w:val="3-BodyText"/>
      </w:pPr>
      <w:r w:rsidRPr="0009282C">
        <w:t>The</w:t>
      </w:r>
      <w:r w:rsidR="001F3008" w:rsidRPr="0009282C">
        <w:t xml:space="preserve"> projected</w:t>
      </w:r>
      <w:r w:rsidRPr="0009282C">
        <w:t xml:space="preserve"> patient numbers and vial</w:t>
      </w:r>
      <w:r w:rsidR="001F3008" w:rsidRPr="0009282C">
        <w:t xml:space="preserve"> usage</w:t>
      </w:r>
      <w:r w:rsidR="00B42C1F" w:rsidRPr="0009282C">
        <w:t xml:space="preserve"> </w:t>
      </w:r>
      <w:r w:rsidR="0029582F" w:rsidRPr="0009282C">
        <w:t xml:space="preserve">estimated </w:t>
      </w:r>
      <w:r w:rsidR="00B42C1F" w:rsidRPr="0009282C">
        <w:t>by the submission</w:t>
      </w:r>
      <w:r w:rsidRPr="0009282C">
        <w:t xml:space="preserve"> are presented in in </w:t>
      </w:r>
      <w:r w:rsidRPr="0009282C">
        <w:fldChar w:fldCharType="begin" w:fldLock="1"/>
      </w:r>
      <w:r w:rsidRPr="0009282C">
        <w:instrText xml:space="preserve"> REF _Ref185799894 \h  \* MERGEFORMAT </w:instrText>
      </w:r>
      <w:r w:rsidRPr="0009282C">
        <w:fldChar w:fldCharType="separate"/>
      </w:r>
      <w:r w:rsidR="00771DFF" w:rsidRPr="0009282C">
        <w:t xml:space="preserve">Table </w:t>
      </w:r>
      <w:r w:rsidR="00771DFF">
        <w:t>21</w:t>
      </w:r>
      <w:r w:rsidRPr="0009282C">
        <w:fldChar w:fldCharType="end"/>
      </w:r>
      <w:r w:rsidRPr="0009282C">
        <w:t xml:space="preserve">. </w:t>
      </w:r>
      <w:r w:rsidR="00763B5A" w:rsidRPr="0009282C">
        <w:t xml:space="preserve">The estimated number of patients </w:t>
      </w:r>
      <w:r w:rsidR="00BC4416" w:rsidRPr="0009282C">
        <w:t xml:space="preserve">was </w:t>
      </w:r>
      <w:r w:rsidR="00692FDC">
        <w:t>&lt; 500</w:t>
      </w:r>
      <w:r w:rsidR="00692FDC" w:rsidRPr="0009282C">
        <w:t xml:space="preserve"> </w:t>
      </w:r>
      <w:r w:rsidR="00763B5A" w:rsidRPr="0009282C">
        <w:t xml:space="preserve">in Year 1, increasing to </w:t>
      </w:r>
      <w:r w:rsidR="00692FDC">
        <w:t>&lt; 500</w:t>
      </w:r>
      <w:r w:rsidR="00692FDC" w:rsidRPr="0009282C">
        <w:t xml:space="preserve"> </w:t>
      </w:r>
      <w:r w:rsidR="00763B5A" w:rsidRPr="0009282C">
        <w:t xml:space="preserve"> in Year 6. In the first year</w:t>
      </w:r>
      <w:r w:rsidR="00C95F3F" w:rsidRPr="0009282C">
        <w:t xml:space="preserve"> of listing</w:t>
      </w:r>
      <w:r w:rsidR="00763B5A" w:rsidRPr="0009282C">
        <w:t xml:space="preserve">, a </w:t>
      </w:r>
      <w:r w:rsidR="00B53139" w:rsidRPr="0009282C">
        <w:t xml:space="preserve">vial usage </w:t>
      </w:r>
      <w:r w:rsidR="00763B5A" w:rsidRPr="0009282C">
        <w:t xml:space="preserve">of </w:t>
      </w:r>
      <w:r w:rsidR="00692FDC">
        <w:t>&lt; 500</w:t>
      </w:r>
      <w:r w:rsidR="00665052">
        <w:t xml:space="preserve"> </w:t>
      </w:r>
      <w:r w:rsidR="00B53139" w:rsidRPr="0009282C">
        <w:t xml:space="preserve">was </w:t>
      </w:r>
      <w:r w:rsidR="00763B5A" w:rsidRPr="0009282C">
        <w:t xml:space="preserve">estimated and this number increased to </w:t>
      </w:r>
      <w:r w:rsidR="00692FDC">
        <w:t>&lt; 500</w:t>
      </w:r>
      <w:r w:rsidR="00692FDC" w:rsidRPr="0009282C">
        <w:t xml:space="preserve"> </w:t>
      </w:r>
      <w:r w:rsidR="00763B5A" w:rsidRPr="0009282C">
        <w:t xml:space="preserve">in Year 6. </w:t>
      </w:r>
    </w:p>
    <w:p w14:paraId="768564BA" w14:textId="696B8B56" w:rsidR="00715BBA" w:rsidRPr="0009282C" w:rsidRDefault="001867DA" w:rsidP="00405DAD">
      <w:pPr>
        <w:pStyle w:val="3-BodyText"/>
      </w:pPr>
      <w:r w:rsidRPr="0009282C">
        <w:t>T</w:t>
      </w:r>
      <w:r w:rsidR="00763B5A" w:rsidRPr="0009282C">
        <w:t xml:space="preserve">he net cost to the PBS was </w:t>
      </w:r>
      <w:r w:rsidRPr="0009282C">
        <w:t xml:space="preserve">estimated by the submission </w:t>
      </w:r>
      <w:r w:rsidR="00763B5A" w:rsidRPr="0009282C">
        <w:t xml:space="preserve">to </w:t>
      </w:r>
      <w:r w:rsidRPr="0009282C">
        <w:t xml:space="preserve">be </w:t>
      </w:r>
      <w:r w:rsidR="00552385" w:rsidRPr="00552385">
        <w:t>$10 million to &lt; $20 million</w:t>
      </w:r>
      <w:r w:rsidR="00552385" w:rsidRPr="00552385" w:rsidDel="00552385">
        <w:t xml:space="preserve"> </w:t>
      </w:r>
      <w:r w:rsidR="00763B5A" w:rsidRPr="0009282C">
        <w:t xml:space="preserve">in the first year </w:t>
      </w:r>
      <w:r w:rsidRPr="0009282C">
        <w:t xml:space="preserve">of listing </w:t>
      </w:r>
      <w:r w:rsidR="00763B5A" w:rsidRPr="0009282C">
        <w:t xml:space="preserve">and increased to over </w:t>
      </w:r>
      <w:r w:rsidR="00552385" w:rsidRPr="00552385">
        <w:t>$10 million to &lt; $20 million</w:t>
      </w:r>
      <w:r w:rsidR="00552385" w:rsidRPr="00552385" w:rsidDel="00552385">
        <w:t xml:space="preserve"> </w:t>
      </w:r>
      <w:r w:rsidR="00763B5A" w:rsidRPr="0009282C">
        <w:t xml:space="preserve">in Year 6. </w:t>
      </w:r>
    </w:p>
    <w:p w14:paraId="3ECDFFAC" w14:textId="749C1AA8" w:rsidR="00763B5A" w:rsidRPr="0009282C" w:rsidRDefault="00D6342C" w:rsidP="00B45042">
      <w:pPr>
        <w:pStyle w:val="3-BodyText"/>
      </w:pPr>
      <w:bookmarkStart w:id="90" w:name="_Ref193801635"/>
      <w:r w:rsidRPr="0009282C">
        <w:t xml:space="preserve">Revised </w:t>
      </w:r>
      <w:r w:rsidR="00715BBA" w:rsidRPr="0009282C">
        <w:t xml:space="preserve">utilisation and financial estimates for </w:t>
      </w:r>
      <w:proofErr w:type="spellStart"/>
      <w:r w:rsidR="00715BBA" w:rsidRPr="0009282C">
        <w:t>lumasiran</w:t>
      </w:r>
      <w:proofErr w:type="spellEnd"/>
      <w:r w:rsidR="00715BBA" w:rsidRPr="0009282C">
        <w:t xml:space="preserve"> </w:t>
      </w:r>
      <w:r w:rsidR="00A254E9" w:rsidRPr="0009282C">
        <w:t xml:space="preserve">were provided by the </w:t>
      </w:r>
      <w:r w:rsidR="009724F7">
        <w:t xml:space="preserve">DUSC </w:t>
      </w:r>
      <w:r w:rsidR="00A254E9" w:rsidRPr="00B45042">
        <w:t>Secretariat</w:t>
      </w:r>
      <w:r w:rsidR="00715BBA" w:rsidRPr="0009282C">
        <w:t>.</w:t>
      </w:r>
      <w:r w:rsidR="00A254E9" w:rsidRPr="0009282C">
        <w:t xml:space="preserve"> </w:t>
      </w:r>
      <w:r w:rsidR="00715BBA" w:rsidRPr="0009282C">
        <w:t xml:space="preserve">The </w:t>
      </w:r>
      <w:r w:rsidR="001C23D4" w:rsidRPr="0009282C">
        <w:t xml:space="preserve">revised analysis included </w:t>
      </w:r>
      <w:r w:rsidR="00715BBA" w:rsidRPr="0009282C">
        <w:t>dosing assumptions for the paediatric and adult populations</w:t>
      </w:r>
      <w:r w:rsidR="004710E8" w:rsidRPr="0009282C">
        <w:t xml:space="preserve"> that were</w:t>
      </w:r>
      <w:r w:rsidR="00715BBA" w:rsidRPr="0009282C">
        <w:t xml:space="preserve"> based on the treatment phase, dosing frequency and the number of vials for each administration (</w:t>
      </w:r>
      <w:r w:rsidR="00BE332E" w:rsidRPr="0009282C">
        <w:t>adults: 2 vials: 13.04%, 3 vials: 69.57</w:t>
      </w:r>
      <w:r w:rsidR="00123D10" w:rsidRPr="0009282C">
        <w:t>%</w:t>
      </w:r>
      <w:r w:rsidR="00CE4E30" w:rsidRPr="0009282C">
        <w:t>, 4 vials: 17.39%; paediatric: 1 vial: 56.36%; 2</w:t>
      </w:r>
      <w:r w:rsidR="00123D10" w:rsidRPr="0009282C">
        <w:t xml:space="preserve"> vials</w:t>
      </w:r>
      <w:r w:rsidR="00CE4E30" w:rsidRPr="0009282C">
        <w:t xml:space="preserve">: 34.55%, </w:t>
      </w:r>
      <w:r w:rsidR="00123D10" w:rsidRPr="0009282C">
        <w:t>3 vials: 7.27%, 4 vials: 1.82%</w:t>
      </w:r>
      <w:r w:rsidR="00715BBA" w:rsidRPr="0009282C">
        <w:t>).</w:t>
      </w:r>
      <w:bookmarkEnd w:id="90"/>
      <w:r w:rsidR="00715BBA" w:rsidRPr="0009282C">
        <w:t xml:space="preserve"> </w:t>
      </w:r>
      <w:r w:rsidR="001A7DF7" w:rsidRPr="0009282C">
        <w:t>Additional</w:t>
      </w:r>
      <w:r w:rsidR="00FD4B19" w:rsidRPr="0009282C">
        <w:t xml:space="preserve"> corrections to the revised estimates were provided in the Pre-PBAC Response</w:t>
      </w:r>
      <w:r w:rsidR="001A7DF7" w:rsidRPr="0009282C">
        <w:t xml:space="preserve"> and are shown in</w:t>
      </w:r>
      <w:r w:rsidR="00D859BC">
        <w:t xml:space="preserve"> </w:t>
      </w:r>
      <w:r w:rsidR="00D859BC">
        <w:fldChar w:fldCharType="begin" w:fldLock="1"/>
      </w:r>
      <w:r w:rsidR="00D859BC">
        <w:instrText xml:space="preserve"> REF _Ref185799894 \h </w:instrText>
      </w:r>
      <w:r w:rsidR="00D859BC">
        <w:fldChar w:fldCharType="separate"/>
      </w:r>
      <w:r w:rsidR="00771DFF" w:rsidRPr="0009282C">
        <w:t xml:space="preserve">Table </w:t>
      </w:r>
      <w:r w:rsidR="00771DFF">
        <w:rPr>
          <w:noProof/>
        </w:rPr>
        <w:t>21</w:t>
      </w:r>
      <w:r w:rsidR="00D859BC">
        <w:fldChar w:fldCharType="end"/>
      </w:r>
      <w:r w:rsidR="001A7DF7" w:rsidRPr="0009282C">
        <w:t>.</w:t>
      </w:r>
    </w:p>
    <w:p w14:paraId="7FD6420C" w14:textId="1882CBF5" w:rsidR="00763B5A" w:rsidRPr="0009282C" w:rsidRDefault="00763B5A" w:rsidP="00552385">
      <w:pPr>
        <w:pStyle w:val="Caption"/>
      </w:pPr>
      <w:bookmarkStart w:id="91" w:name="_Ref185799894"/>
      <w:r w:rsidRPr="0009282C">
        <w:t xml:space="preserve">Table </w:t>
      </w:r>
      <w:r w:rsidR="000D4330">
        <w:fldChar w:fldCharType="begin" w:fldLock="1"/>
      </w:r>
      <w:r w:rsidR="000D4330">
        <w:instrText xml:space="preserve"> SEQ Table \* ARABIC </w:instrText>
      </w:r>
      <w:r w:rsidR="000D4330">
        <w:fldChar w:fldCharType="separate"/>
      </w:r>
      <w:r w:rsidR="00771DFF">
        <w:rPr>
          <w:noProof/>
        </w:rPr>
        <w:t>21</w:t>
      </w:r>
      <w:r w:rsidR="000D4330">
        <w:rPr>
          <w:noProof/>
        </w:rPr>
        <w:fldChar w:fldCharType="end"/>
      </w:r>
      <w:bookmarkEnd w:id="91"/>
      <w:r w:rsidRPr="0009282C">
        <w:rPr>
          <w:noProof/>
        </w:rPr>
        <w:t>:</w:t>
      </w:r>
      <w:r w:rsidRPr="0009282C">
        <w:tab/>
        <w:t xml:space="preserve">Estimated </w:t>
      </w:r>
      <w:proofErr w:type="spellStart"/>
      <w:r w:rsidRPr="0009282C">
        <w:t>lumasiran</w:t>
      </w:r>
      <w:proofErr w:type="spellEnd"/>
      <w:r w:rsidRPr="0009282C">
        <w:t xml:space="preserve"> use and its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405"/>
        <w:gridCol w:w="1102"/>
        <w:gridCol w:w="1102"/>
        <w:gridCol w:w="1102"/>
        <w:gridCol w:w="1102"/>
        <w:gridCol w:w="1102"/>
        <w:gridCol w:w="1102"/>
      </w:tblGrid>
      <w:tr w:rsidR="00763B5A" w:rsidRPr="0009282C" w14:paraId="6E5DA136" w14:textId="77777777" w:rsidTr="0000413B">
        <w:trPr>
          <w:tblHeader/>
        </w:trPr>
        <w:tc>
          <w:tcPr>
            <w:tcW w:w="1334" w:type="pct"/>
            <w:shd w:val="clear" w:color="auto" w:fill="auto"/>
            <w:tcMar>
              <w:top w:w="0" w:type="dxa"/>
              <w:bottom w:w="0" w:type="dxa"/>
            </w:tcMar>
            <w:vAlign w:val="center"/>
          </w:tcPr>
          <w:p w14:paraId="59B0BB06" w14:textId="77777777" w:rsidR="00763B5A" w:rsidRPr="0009282C" w:rsidRDefault="00763B5A" w:rsidP="00552385">
            <w:pPr>
              <w:pStyle w:val="TableText0"/>
              <w:keepNext/>
              <w:keepLines/>
              <w:rPr>
                <w:b/>
                <w:bCs w:val="0"/>
              </w:rPr>
            </w:pPr>
          </w:p>
        </w:tc>
        <w:tc>
          <w:tcPr>
            <w:tcW w:w="611" w:type="pct"/>
            <w:shd w:val="clear" w:color="auto" w:fill="auto"/>
            <w:tcMar>
              <w:top w:w="0" w:type="dxa"/>
              <w:bottom w:w="0" w:type="dxa"/>
            </w:tcMar>
            <w:vAlign w:val="center"/>
          </w:tcPr>
          <w:p w14:paraId="6C03A7F9" w14:textId="77777777" w:rsidR="00763B5A" w:rsidRPr="0009282C" w:rsidRDefault="00763B5A" w:rsidP="00552385">
            <w:pPr>
              <w:pStyle w:val="TableText0"/>
              <w:keepNext/>
              <w:keepLines/>
              <w:jc w:val="center"/>
              <w:rPr>
                <w:b/>
                <w:bCs w:val="0"/>
              </w:rPr>
            </w:pPr>
            <w:r w:rsidRPr="0009282C">
              <w:rPr>
                <w:b/>
                <w:bCs w:val="0"/>
              </w:rPr>
              <w:t>Year 1</w:t>
            </w:r>
          </w:p>
        </w:tc>
        <w:tc>
          <w:tcPr>
            <w:tcW w:w="611" w:type="pct"/>
            <w:shd w:val="clear" w:color="auto" w:fill="auto"/>
            <w:tcMar>
              <w:top w:w="0" w:type="dxa"/>
              <w:bottom w:w="0" w:type="dxa"/>
            </w:tcMar>
            <w:vAlign w:val="center"/>
          </w:tcPr>
          <w:p w14:paraId="634FF0A5" w14:textId="77777777" w:rsidR="00763B5A" w:rsidRPr="0009282C" w:rsidRDefault="00763B5A" w:rsidP="00552385">
            <w:pPr>
              <w:pStyle w:val="TableText0"/>
              <w:keepNext/>
              <w:keepLines/>
              <w:jc w:val="center"/>
              <w:rPr>
                <w:b/>
                <w:bCs w:val="0"/>
              </w:rPr>
            </w:pPr>
            <w:r w:rsidRPr="0009282C">
              <w:rPr>
                <w:b/>
                <w:bCs w:val="0"/>
              </w:rPr>
              <w:t>Year 2</w:t>
            </w:r>
          </w:p>
        </w:tc>
        <w:tc>
          <w:tcPr>
            <w:tcW w:w="611" w:type="pct"/>
            <w:shd w:val="clear" w:color="auto" w:fill="auto"/>
            <w:tcMar>
              <w:top w:w="0" w:type="dxa"/>
              <w:bottom w:w="0" w:type="dxa"/>
            </w:tcMar>
            <w:vAlign w:val="center"/>
          </w:tcPr>
          <w:p w14:paraId="0CCFC715" w14:textId="77777777" w:rsidR="00763B5A" w:rsidRPr="0009282C" w:rsidRDefault="00763B5A" w:rsidP="00552385">
            <w:pPr>
              <w:pStyle w:val="TableText0"/>
              <w:keepNext/>
              <w:keepLines/>
              <w:jc w:val="center"/>
              <w:rPr>
                <w:b/>
                <w:bCs w:val="0"/>
              </w:rPr>
            </w:pPr>
            <w:r w:rsidRPr="0009282C">
              <w:rPr>
                <w:b/>
                <w:bCs w:val="0"/>
              </w:rPr>
              <w:t>Year 3</w:t>
            </w:r>
          </w:p>
        </w:tc>
        <w:tc>
          <w:tcPr>
            <w:tcW w:w="611" w:type="pct"/>
            <w:shd w:val="clear" w:color="auto" w:fill="auto"/>
            <w:tcMar>
              <w:top w:w="0" w:type="dxa"/>
              <w:bottom w:w="0" w:type="dxa"/>
            </w:tcMar>
            <w:vAlign w:val="center"/>
          </w:tcPr>
          <w:p w14:paraId="1A151BA4" w14:textId="77777777" w:rsidR="00763B5A" w:rsidRPr="0009282C" w:rsidRDefault="00763B5A" w:rsidP="00552385">
            <w:pPr>
              <w:pStyle w:val="TableText0"/>
              <w:keepNext/>
              <w:keepLines/>
              <w:jc w:val="center"/>
              <w:rPr>
                <w:b/>
                <w:bCs w:val="0"/>
              </w:rPr>
            </w:pPr>
            <w:r w:rsidRPr="0009282C">
              <w:rPr>
                <w:b/>
                <w:bCs w:val="0"/>
              </w:rPr>
              <w:t>Year 4</w:t>
            </w:r>
          </w:p>
        </w:tc>
        <w:tc>
          <w:tcPr>
            <w:tcW w:w="611" w:type="pct"/>
            <w:shd w:val="clear" w:color="auto" w:fill="auto"/>
            <w:tcMar>
              <w:top w:w="0" w:type="dxa"/>
              <w:bottom w:w="0" w:type="dxa"/>
            </w:tcMar>
            <w:vAlign w:val="center"/>
          </w:tcPr>
          <w:p w14:paraId="36D22018" w14:textId="77777777" w:rsidR="00763B5A" w:rsidRPr="0009282C" w:rsidRDefault="00763B5A" w:rsidP="00552385">
            <w:pPr>
              <w:pStyle w:val="TableText0"/>
              <w:keepNext/>
              <w:keepLines/>
              <w:jc w:val="center"/>
              <w:rPr>
                <w:b/>
                <w:bCs w:val="0"/>
              </w:rPr>
            </w:pPr>
            <w:r w:rsidRPr="0009282C">
              <w:rPr>
                <w:b/>
                <w:bCs w:val="0"/>
              </w:rPr>
              <w:t>Year 5</w:t>
            </w:r>
          </w:p>
        </w:tc>
        <w:tc>
          <w:tcPr>
            <w:tcW w:w="611" w:type="pct"/>
            <w:shd w:val="clear" w:color="auto" w:fill="auto"/>
            <w:tcMar>
              <w:top w:w="0" w:type="dxa"/>
              <w:bottom w:w="0" w:type="dxa"/>
            </w:tcMar>
            <w:vAlign w:val="center"/>
          </w:tcPr>
          <w:p w14:paraId="3626176E" w14:textId="77777777" w:rsidR="00763B5A" w:rsidRPr="0009282C" w:rsidRDefault="00763B5A" w:rsidP="00552385">
            <w:pPr>
              <w:pStyle w:val="TableText0"/>
              <w:keepNext/>
              <w:keepLines/>
              <w:jc w:val="center"/>
              <w:rPr>
                <w:b/>
                <w:bCs w:val="0"/>
              </w:rPr>
            </w:pPr>
            <w:r w:rsidRPr="0009282C">
              <w:rPr>
                <w:b/>
                <w:bCs w:val="0"/>
              </w:rPr>
              <w:t>Year 6</w:t>
            </w:r>
          </w:p>
        </w:tc>
      </w:tr>
      <w:tr w:rsidR="00763B5A" w:rsidRPr="0009282C" w14:paraId="79A8ADB8" w14:textId="77777777" w:rsidTr="0000413B">
        <w:tc>
          <w:tcPr>
            <w:tcW w:w="5000" w:type="pct"/>
            <w:gridSpan w:val="7"/>
            <w:shd w:val="clear" w:color="auto" w:fill="auto"/>
            <w:tcMar>
              <w:top w:w="0" w:type="dxa"/>
              <w:bottom w:w="0" w:type="dxa"/>
            </w:tcMar>
            <w:vAlign w:val="center"/>
          </w:tcPr>
          <w:p w14:paraId="18FE950C" w14:textId="77777777" w:rsidR="00763B5A" w:rsidRPr="0009282C" w:rsidRDefault="00763B5A" w:rsidP="00552385">
            <w:pPr>
              <w:pStyle w:val="TableText0"/>
              <w:keepNext/>
              <w:keepLines/>
              <w:rPr>
                <w:color w:val="000000"/>
              </w:rPr>
            </w:pPr>
            <w:r w:rsidRPr="0009282C">
              <w:rPr>
                <w:color w:val="000000"/>
              </w:rPr>
              <w:t>Estimated extent of use</w:t>
            </w:r>
          </w:p>
        </w:tc>
      </w:tr>
      <w:tr w:rsidR="00763B5A" w:rsidRPr="0009282C" w14:paraId="61C6608B" w14:textId="77777777" w:rsidTr="00552385">
        <w:tc>
          <w:tcPr>
            <w:tcW w:w="1334" w:type="pct"/>
            <w:shd w:val="clear" w:color="auto" w:fill="auto"/>
            <w:tcMar>
              <w:top w:w="0" w:type="dxa"/>
              <w:bottom w:w="0" w:type="dxa"/>
            </w:tcMar>
            <w:vAlign w:val="center"/>
          </w:tcPr>
          <w:p w14:paraId="571D6D2B" w14:textId="77777777" w:rsidR="00763B5A" w:rsidRPr="0009282C" w:rsidRDefault="00763B5A" w:rsidP="00552385">
            <w:pPr>
              <w:pStyle w:val="TableText0"/>
              <w:keepNext/>
              <w:keepLines/>
            </w:pPr>
            <w:r w:rsidRPr="0009282C">
              <w:t>Number of patients estimated</w:t>
            </w:r>
          </w:p>
        </w:tc>
        <w:tc>
          <w:tcPr>
            <w:tcW w:w="611" w:type="pct"/>
            <w:shd w:val="clear" w:color="auto" w:fill="auto"/>
            <w:tcMar>
              <w:top w:w="0" w:type="dxa"/>
              <w:bottom w:w="0" w:type="dxa"/>
            </w:tcMar>
            <w:vAlign w:val="center"/>
          </w:tcPr>
          <w:p w14:paraId="1EF1F83E" w14:textId="71005981" w:rsidR="00763B5A" w:rsidRPr="00552385" w:rsidRDefault="002212A2" w:rsidP="00552385">
            <w:pPr>
              <w:pStyle w:val="TableText0"/>
              <w:keepNext/>
              <w:keepLines/>
              <w:jc w:val="center"/>
              <w:rPr>
                <w:vertAlign w:val="superscript"/>
              </w:rPr>
            </w:pPr>
            <w:r w:rsidRPr="002212A2">
              <w:rPr>
                <w:color w:val="000000"/>
                <w:spacing w:val="53"/>
                <w:shd w:val="solid" w:color="000000" w:fill="000000"/>
                <w:fitText w:val="330" w:id="-694423808"/>
                <w14:textFill>
                  <w14:solidFill>
                    <w14:srgbClr w14:val="000000">
                      <w14:alpha w14:val="100000"/>
                    </w14:srgbClr>
                  </w14:solidFill>
                </w14:textFill>
              </w:rPr>
              <w:t>|||</w:t>
            </w:r>
            <w:r w:rsidRPr="002212A2">
              <w:rPr>
                <w:color w:val="000000"/>
                <w:spacing w:val="1"/>
                <w:shd w:val="solid" w:color="000000" w:fill="000000"/>
                <w:fitText w:val="330" w:id="-694423808"/>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43CD3266" w14:textId="13B446CA" w:rsidR="00763B5A" w:rsidRPr="0009282C" w:rsidRDefault="002212A2" w:rsidP="00552385">
            <w:pPr>
              <w:pStyle w:val="TableText0"/>
              <w:keepNext/>
              <w:keepLines/>
              <w:jc w:val="center"/>
            </w:pPr>
            <w:r w:rsidRPr="002212A2">
              <w:rPr>
                <w:color w:val="000000"/>
                <w:spacing w:val="53"/>
                <w:shd w:val="solid" w:color="000000" w:fill="000000"/>
                <w:fitText w:val="330" w:id="-694423807"/>
                <w14:textFill>
                  <w14:solidFill>
                    <w14:srgbClr w14:val="000000">
                      <w14:alpha w14:val="100000"/>
                    </w14:srgbClr>
                  </w14:solidFill>
                </w14:textFill>
              </w:rPr>
              <w:t>|||</w:t>
            </w:r>
            <w:r w:rsidRPr="002212A2">
              <w:rPr>
                <w:color w:val="000000"/>
                <w:spacing w:val="1"/>
                <w:shd w:val="solid" w:color="000000" w:fill="000000"/>
                <w:fitText w:val="330" w:id="-694423807"/>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32133EA9" w14:textId="175E6F73" w:rsidR="00763B5A" w:rsidRPr="0009282C" w:rsidRDefault="002212A2" w:rsidP="00552385">
            <w:pPr>
              <w:pStyle w:val="TableText0"/>
              <w:keepNext/>
              <w:keepLines/>
              <w:jc w:val="center"/>
            </w:pPr>
            <w:r w:rsidRPr="002212A2">
              <w:rPr>
                <w:color w:val="000000"/>
                <w:spacing w:val="53"/>
                <w:shd w:val="solid" w:color="000000" w:fill="000000"/>
                <w:fitText w:val="330" w:id="-694423806"/>
                <w14:textFill>
                  <w14:solidFill>
                    <w14:srgbClr w14:val="000000">
                      <w14:alpha w14:val="100000"/>
                    </w14:srgbClr>
                  </w14:solidFill>
                </w14:textFill>
              </w:rPr>
              <w:t>|||</w:t>
            </w:r>
            <w:r w:rsidRPr="002212A2">
              <w:rPr>
                <w:color w:val="000000"/>
                <w:spacing w:val="1"/>
                <w:shd w:val="solid" w:color="000000" w:fill="000000"/>
                <w:fitText w:val="330" w:id="-694423806"/>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27579770" w14:textId="259C4A52" w:rsidR="00763B5A" w:rsidRPr="0009282C" w:rsidRDefault="002212A2" w:rsidP="00552385">
            <w:pPr>
              <w:pStyle w:val="TableText0"/>
              <w:keepNext/>
              <w:keepLines/>
              <w:jc w:val="center"/>
            </w:pPr>
            <w:r w:rsidRPr="002212A2">
              <w:rPr>
                <w:color w:val="000000"/>
                <w:spacing w:val="53"/>
                <w:shd w:val="solid" w:color="000000" w:fill="000000"/>
                <w:fitText w:val="330" w:id="-694423552"/>
                <w14:textFill>
                  <w14:solidFill>
                    <w14:srgbClr w14:val="000000">
                      <w14:alpha w14:val="100000"/>
                    </w14:srgbClr>
                  </w14:solidFill>
                </w14:textFill>
              </w:rPr>
              <w:t>|||</w:t>
            </w:r>
            <w:r w:rsidRPr="002212A2">
              <w:rPr>
                <w:color w:val="000000"/>
                <w:spacing w:val="1"/>
                <w:shd w:val="solid" w:color="000000" w:fill="000000"/>
                <w:fitText w:val="330" w:id="-694423552"/>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66596672" w14:textId="4ABB2E59" w:rsidR="00763B5A" w:rsidRPr="0009282C" w:rsidRDefault="002212A2" w:rsidP="00552385">
            <w:pPr>
              <w:pStyle w:val="TableText0"/>
              <w:keepNext/>
              <w:keepLines/>
              <w:jc w:val="center"/>
            </w:pPr>
            <w:r w:rsidRPr="002212A2">
              <w:rPr>
                <w:color w:val="000000"/>
                <w:spacing w:val="53"/>
                <w:shd w:val="solid" w:color="000000" w:fill="000000"/>
                <w:fitText w:val="330" w:id="-694423551"/>
                <w14:textFill>
                  <w14:solidFill>
                    <w14:srgbClr w14:val="000000">
                      <w14:alpha w14:val="100000"/>
                    </w14:srgbClr>
                  </w14:solidFill>
                </w14:textFill>
              </w:rPr>
              <w:t>|||</w:t>
            </w:r>
            <w:r w:rsidRPr="002212A2">
              <w:rPr>
                <w:color w:val="000000"/>
                <w:spacing w:val="1"/>
                <w:shd w:val="solid" w:color="000000" w:fill="000000"/>
                <w:fitText w:val="330" w:id="-694423551"/>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0EBC1D8D" w14:textId="3B79070B" w:rsidR="00763B5A" w:rsidRPr="0009282C" w:rsidRDefault="002212A2" w:rsidP="00552385">
            <w:pPr>
              <w:pStyle w:val="TableText0"/>
              <w:keepNext/>
              <w:keepLines/>
              <w:jc w:val="center"/>
            </w:pPr>
            <w:r w:rsidRPr="002212A2">
              <w:rPr>
                <w:color w:val="000000"/>
                <w:spacing w:val="53"/>
                <w:shd w:val="solid" w:color="000000" w:fill="000000"/>
                <w:fitText w:val="330" w:id="-694423550"/>
                <w14:textFill>
                  <w14:solidFill>
                    <w14:srgbClr w14:val="000000">
                      <w14:alpha w14:val="100000"/>
                    </w14:srgbClr>
                  </w14:solidFill>
                </w14:textFill>
              </w:rPr>
              <w:t>|||</w:t>
            </w:r>
            <w:r w:rsidRPr="002212A2">
              <w:rPr>
                <w:color w:val="000000"/>
                <w:spacing w:val="1"/>
                <w:shd w:val="solid" w:color="000000" w:fill="000000"/>
                <w:fitText w:val="330" w:id="-694423550"/>
                <w14:textFill>
                  <w14:solidFill>
                    <w14:srgbClr w14:val="000000">
                      <w14:alpha w14:val="100000"/>
                    </w14:srgbClr>
                  </w14:solidFill>
                </w14:textFill>
              </w:rPr>
              <w:t>|</w:t>
            </w:r>
            <w:r w:rsidR="00552385">
              <w:t xml:space="preserve"> </w:t>
            </w:r>
            <w:r w:rsidR="00552385">
              <w:rPr>
                <w:vertAlign w:val="superscript"/>
              </w:rPr>
              <w:t>1</w:t>
            </w:r>
          </w:p>
        </w:tc>
      </w:tr>
      <w:tr w:rsidR="00763B5A" w:rsidRPr="0009282C" w14:paraId="28E2B643" w14:textId="77777777" w:rsidTr="00552385">
        <w:tc>
          <w:tcPr>
            <w:tcW w:w="1334" w:type="pct"/>
            <w:shd w:val="clear" w:color="auto" w:fill="auto"/>
            <w:tcMar>
              <w:top w:w="0" w:type="dxa"/>
              <w:bottom w:w="0" w:type="dxa"/>
            </w:tcMar>
            <w:vAlign w:val="center"/>
          </w:tcPr>
          <w:p w14:paraId="1272A8CA" w14:textId="77777777" w:rsidR="00763B5A" w:rsidRPr="0009282C" w:rsidRDefault="00763B5A" w:rsidP="00552385">
            <w:pPr>
              <w:pStyle w:val="TableText0"/>
              <w:keepNext/>
              <w:keepLines/>
              <w:rPr>
                <w:rFonts w:ascii="Times" w:hAnsi="Times"/>
              </w:rPr>
            </w:pPr>
            <w:r w:rsidRPr="0009282C">
              <w:t>Number of patients treated</w:t>
            </w:r>
          </w:p>
        </w:tc>
        <w:tc>
          <w:tcPr>
            <w:tcW w:w="611" w:type="pct"/>
            <w:shd w:val="clear" w:color="auto" w:fill="auto"/>
            <w:tcMar>
              <w:top w:w="0" w:type="dxa"/>
              <w:bottom w:w="0" w:type="dxa"/>
            </w:tcMar>
            <w:vAlign w:val="center"/>
          </w:tcPr>
          <w:p w14:paraId="53C1FD43" w14:textId="2357905F"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9"/>
                <w14:textFill>
                  <w14:solidFill>
                    <w14:srgbClr w14:val="000000">
                      <w14:alpha w14:val="100000"/>
                    </w14:srgbClr>
                  </w14:solidFill>
                </w14:textFill>
              </w:rPr>
              <w:t>|||</w:t>
            </w:r>
            <w:r w:rsidRPr="002212A2">
              <w:rPr>
                <w:color w:val="000000"/>
                <w:spacing w:val="1"/>
                <w:shd w:val="solid" w:color="000000" w:fill="000000"/>
                <w:fitText w:val="330" w:id="-694423549"/>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541DCFCD" w14:textId="4C73FE59"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8"/>
                <w14:textFill>
                  <w14:solidFill>
                    <w14:srgbClr w14:val="000000">
                      <w14:alpha w14:val="100000"/>
                    </w14:srgbClr>
                  </w14:solidFill>
                </w14:textFill>
              </w:rPr>
              <w:t>|||</w:t>
            </w:r>
            <w:r w:rsidRPr="002212A2">
              <w:rPr>
                <w:color w:val="000000"/>
                <w:spacing w:val="1"/>
                <w:shd w:val="solid" w:color="000000" w:fill="000000"/>
                <w:fitText w:val="330" w:id="-694423548"/>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16B9CADC" w14:textId="09DB3598"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7"/>
                <w14:textFill>
                  <w14:solidFill>
                    <w14:srgbClr w14:val="000000">
                      <w14:alpha w14:val="100000"/>
                    </w14:srgbClr>
                  </w14:solidFill>
                </w14:textFill>
              </w:rPr>
              <w:t>|||</w:t>
            </w:r>
            <w:r w:rsidRPr="002212A2">
              <w:rPr>
                <w:color w:val="000000"/>
                <w:spacing w:val="1"/>
                <w:shd w:val="solid" w:color="000000" w:fill="000000"/>
                <w:fitText w:val="330" w:id="-694423547"/>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70A81629" w14:textId="5C44390C"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6"/>
                <w14:textFill>
                  <w14:solidFill>
                    <w14:srgbClr w14:val="000000">
                      <w14:alpha w14:val="100000"/>
                    </w14:srgbClr>
                  </w14:solidFill>
                </w14:textFill>
              </w:rPr>
              <w:t>|||</w:t>
            </w:r>
            <w:r w:rsidRPr="002212A2">
              <w:rPr>
                <w:color w:val="000000"/>
                <w:spacing w:val="1"/>
                <w:shd w:val="solid" w:color="000000" w:fill="000000"/>
                <w:fitText w:val="330" w:id="-694423546"/>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7B672498" w14:textId="789579A6"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5"/>
                <w14:textFill>
                  <w14:solidFill>
                    <w14:srgbClr w14:val="000000">
                      <w14:alpha w14:val="100000"/>
                    </w14:srgbClr>
                  </w14:solidFill>
                </w14:textFill>
              </w:rPr>
              <w:t>|||</w:t>
            </w:r>
            <w:r w:rsidRPr="002212A2">
              <w:rPr>
                <w:color w:val="000000"/>
                <w:spacing w:val="1"/>
                <w:shd w:val="solid" w:color="000000" w:fill="000000"/>
                <w:fitText w:val="330" w:id="-694423545"/>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3EF3C53E" w14:textId="792942F1"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4"/>
                <w14:textFill>
                  <w14:solidFill>
                    <w14:srgbClr w14:val="000000">
                      <w14:alpha w14:val="100000"/>
                    </w14:srgbClr>
                  </w14:solidFill>
                </w14:textFill>
              </w:rPr>
              <w:t>|||</w:t>
            </w:r>
            <w:r w:rsidRPr="002212A2">
              <w:rPr>
                <w:color w:val="000000"/>
                <w:spacing w:val="1"/>
                <w:shd w:val="solid" w:color="000000" w:fill="000000"/>
                <w:fitText w:val="330" w:id="-694423544"/>
                <w14:textFill>
                  <w14:solidFill>
                    <w14:srgbClr w14:val="000000">
                      <w14:alpha w14:val="100000"/>
                    </w14:srgbClr>
                  </w14:solidFill>
                </w14:textFill>
              </w:rPr>
              <w:t>|</w:t>
            </w:r>
            <w:r w:rsidR="00552385">
              <w:t xml:space="preserve"> </w:t>
            </w:r>
            <w:r w:rsidR="00552385">
              <w:rPr>
                <w:vertAlign w:val="superscript"/>
              </w:rPr>
              <w:t>1</w:t>
            </w:r>
          </w:p>
        </w:tc>
      </w:tr>
      <w:tr w:rsidR="00763B5A" w:rsidRPr="0009282C" w14:paraId="6257F16E" w14:textId="77777777" w:rsidTr="00552385">
        <w:tc>
          <w:tcPr>
            <w:tcW w:w="1334" w:type="pct"/>
            <w:shd w:val="clear" w:color="auto" w:fill="auto"/>
            <w:tcMar>
              <w:top w:w="0" w:type="dxa"/>
              <w:bottom w:w="0" w:type="dxa"/>
            </w:tcMar>
          </w:tcPr>
          <w:p w14:paraId="1C7700E8" w14:textId="77777777" w:rsidR="00763B5A" w:rsidRPr="0009282C" w:rsidRDefault="00763B5A" w:rsidP="00552385">
            <w:pPr>
              <w:pStyle w:val="TableText0"/>
              <w:keepNext/>
              <w:keepLines/>
              <w:rPr>
                <w:rFonts w:ascii="Times" w:hAnsi="Times"/>
              </w:rPr>
            </w:pPr>
            <w:r w:rsidRPr="0009282C">
              <w:t>Vial usage</w:t>
            </w:r>
          </w:p>
        </w:tc>
        <w:tc>
          <w:tcPr>
            <w:tcW w:w="611" w:type="pct"/>
            <w:shd w:val="clear" w:color="auto" w:fill="auto"/>
            <w:tcMar>
              <w:top w:w="0" w:type="dxa"/>
              <w:bottom w:w="0" w:type="dxa"/>
            </w:tcMar>
            <w:vAlign w:val="center"/>
          </w:tcPr>
          <w:p w14:paraId="1C6A9295" w14:textId="79111AFA"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3"/>
                <w14:textFill>
                  <w14:solidFill>
                    <w14:srgbClr w14:val="000000">
                      <w14:alpha w14:val="100000"/>
                    </w14:srgbClr>
                  </w14:solidFill>
                </w14:textFill>
              </w:rPr>
              <w:t>|||</w:t>
            </w:r>
            <w:r w:rsidRPr="002212A2">
              <w:rPr>
                <w:color w:val="000000"/>
                <w:spacing w:val="1"/>
                <w:shd w:val="solid" w:color="000000" w:fill="000000"/>
                <w:fitText w:val="330" w:id="-694423543"/>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3F8630DA" w14:textId="18934CCA"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2"/>
                <w14:textFill>
                  <w14:solidFill>
                    <w14:srgbClr w14:val="000000">
                      <w14:alpha w14:val="100000"/>
                    </w14:srgbClr>
                  </w14:solidFill>
                </w14:textFill>
              </w:rPr>
              <w:t>|||</w:t>
            </w:r>
            <w:r w:rsidRPr="002212A2">
              <w:rPr>
                <w:color w:val="000000"/>
                <w:spacing w:val="1"/>
                <w:shd w:val="solid" w:color="000000" w:fill="000000"/>
                <w:fitText w:val="330" w:id="-694423542"/>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1A0CE30E" w14:textId="6E9ABAB1"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1"/>
                <w14:textFill>
                  <w14:solidFill>
                    <w14:srgbClr w14:val="000000">
                      <w14:alpha w14:val="100000"/>
                    </w14:srgbClr>
                  </w14:solidFill>
                </w14:textFill>
              </w:rPr>
              <w:t>|||</w:t>
            </w:r>
            <w:r w:rsidRPr="002212A2">
              <w:rPr>
                <w:color w:val="000000"/>
                <w:spacing w:val="1"/>
                <w:shd w:val="solid" w:color="000000" w:fill="000000"/>
                <w:fitText w:val="330" w:id="-694423541"/>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7B6F4AFA" w14:textId="1E080718"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40"/>
                <w14:textFill>
                  <w14:solidFill>
                    <w14:srgbClr w14:val="000000">
                      <w14:alpha w14:val="100000"/>
                    </w14:srgbClr>
                  </w14:solidFill>
                </w14:textFill>
              </w:rPr>
              <w:t>|||</w:t>
            </w:r>
            <w:r w:rsidRPr="002212A2">
              <w:rPr>
                <w:color w:val="000000"/>
                <w:spacing w:val="1"/>
                <w:shd w:val="solid" w:color="000000" w:fill="000000"/>
                <w:fitText w:val="330" w:id="-694423540"/>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779C502E" w14:textId="7537C32E"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39"/>
                <w14:textFill>
                  <w14:solidFill>
                    <w14:srgbClr w14:val="000000">
                      <w14:alpha w14:val="100000"/>
                    </w14:srgbClr>
                  </w14:solidFill>
                </w14:textFill>
              </w:rPr>
              <w:t>|||</w:t>
            </w:r>
            <w:r w:rsidRPr="002212A2">
              <w:rPr>
                <w:color w:val="000000"/>
                <w:spacing w:val="1"/>
                <w:shd w:val="solid" w:color="000000" w:fill="000000"/>
                <w:fitText w:val="330" w:id="-694423539"/>
                <w14:textFill>
                  <w14:solidFill>
                    <w14:srgbClr w14:val="000000">
                      <w14:alpha w14:val="100000"/>
                    </w14:srgbClr>
                  </w14:solidFill>
                </w14:textFill>
              </w:rPr>
              <w:t>|</w:t>
            </w:r>
            <w:r w:rsidR="00552385">
              <w:t xml:space="preserve"> </w:t>
            </w:r>
            <w:r w:rsidR="00552385">
              <w:rPr>
                <w:vertAlign w:val="superscript"/>
              </w:rPr>
              <w:t>1</w:t>
            </w:r>
          </w:p>
        </w:tc>
        <w:tc>
          <w:tcPr>
            <w:tcW w:w="611" w:type="pct"/>
            <w:shd w:val="clear" w:color="auto" w:fill="auto"/>
            <w:tcMar>
              <w:top w:w="0" w:type="dxa"/>
              <w:bottom w:w="0" w:type="dxa"/>
            </w:tcMar>
            <w:vAlign w:val="center"/>
          </w:tcPr>
          <w:p w14:paraId="42BCDC30" w14:textId="4C72FDEA" w:rsidR="00763B5A" w:rsidRPr="0009282C" w:rsidRDefault="002212A2" w:rsidP="00552385">
            <w:pPr>
              <w:pStyle w:val="TableText0"/>
              <w:keepNext/>
              <w:keepLines/>
              <w:jc w:val="center"/>
              <w:rPr>
                <w:color w:val="000000"/>
              </w:rPr>
            </w:pPr>
            <w:r w:rsidRPr="002212A2">
              <w:rPr>
                <w:color w:val="000000"/>
                <w:spacing w:val="53"/>
                <w:shd w:val="solid" w:color="000000" w:fill="000000"/>
                <w:fitText w:val="330" w:id="-694423538"/>
                <w14:textFill>
                  <w14:solidFill>
                    <w14:srgbClr w14:val="000000">
                      <w14:alpha w14:val="100000"/>
                    </w14:srgbClr>
                  </w14:solidFill>
                </w14:textFill>
              </w:rPr>
              <w:t>|||</w:t>
            </w:r>
            <w:r w:rsidRPr="002212A2">
              <w:rPr>
                <w:color w:val="000000"/>
                <w:spacing w:val="1"/>
                <w:shd w:val="solid" w:color="000000" w:fill="000000"/>
                <w:fitText w:val="330" w:id="-694423538"/>
                <w14:textFill>
                  <w14:solidFill>
                    <w14:srgbClr w14:val="000000">
                      <w14:alpha w14:val="100000"/>
                    </w14:srgbClr>
                  </w14:solidFill>
                </w14:textFill>
              </w:rPr>
              <w:t>|</w:t>
            </w:r>
            <w:r w:rsidR="00552385">
              <w:t xml:space="preserve"> </w:t>
            </w:r>
            <w:r w:rsidR="00552385">
              <w:rPr>
                <w:vertAlign w:val="superscript"/>
              </w:rPr>
              <w:t>1</w:t>
            </w:r>
          </w:p>
        </w:tc>
      </w:tr>
      <w:tr w:rsidR="00763B5A" w:rsidRPr="0009282C" w14:paraId="45F9DB26" w14:textId="77777777" w:rsidTr="0000413B">
        <w:tc>
          <w:tcPr>
            <w:tcW w:w="5000" w:type="pct"/>
            <w:gridSpan w:val="7"/>
            <w:shd w:val="clear" w:color="auto" w:fill="auto"/>
            <w:tcMar>
              <w:top w:w="0" w:type="dxa"/>
              <w:bottom w:w="0" w:type="dxa"/>
            </w:tcMar>
            <w:vAlign w:val="center"/>
          </w:tcPr>
          <w:p w14:paraId="62D5FA8D" w14:textId="77777777" w:rsidR="00763B5A" w:rsidRPr="0009282C" w:rsidRDefault="00763B5A" w:rsidP="00552385">
            <w:pPr>
              <w:pStyle w:val="TableText0"/>
              <w:keepNext/>
              <w:keepLines/>
              <w:rPr>
                <w:b/>
                <w:bCs w:val="0"/>
              </w:rPr>
            </w:pPr>
            <w:r w:rsidRPr="0009282C">
              <w:rPr>
                <w:b/>
                <w:bCs w:val="0"/>
              </w:rPr>
              <w:t xml:space="preserve">Estimated financial implications of </w:t>
            </w:r>
            <w:proofErr w:type="spellStart"/>
            <w:r w:rsidRPr="0009282C">
              <w:rPr>
                <w:b/>
                <w:bCs w:val="0"/>
              </w:rPr>
              <w:t>lumasiran</w:t>
            </w:r>
            <w:proofErr w:type="spellEnd"/>
            <w:r w:rsidRPr="0009282C">
              <w:rPr>
                <w:b/>
                <w:bCs w:val="0"/>
              </w:rPr>
              <w:t xml:space="preserve"> (effective price)</w:t>
            </w:r>
          </w:p>
        </w:tc>
      </w:tr>
      <w:tr w:rsidR="00763B5A" w:rsidRPr="0009282C" w14:paraId="53F2FD7A" w14:textId="77777777" w:rsidTr="00552385">
        <w:tc>
          <w:tcPr>
            <w:tcW w:w="1334"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1D59182C" w14:textId="68EC246F" w:rsidR="00763B5A" w:rsidRPr="0009282C" w:rsidRDefault="004226FF" w:rsidP="00552385">
            <w:pPr>
              <w:pStyle w:val="TableText0"/>
              <w:keepNext/>
              <w:keepLines/>
              <w:rPr>
                <w:sz w:val="19"/>
                <w:szCs w:val="19"/>
              </w:rPr>
            </w:pPr>
            <w:r>
              <w:t xml:space="preserve">  </w:t>
            </w:r>
            <w:r w:rsidR="00763B5A" w:rsidRPr="0009282C">
              <w:t>Cost to PBS</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E0121E1" w14:textId="1E92F63F"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7"/>
                <w14:textFill>
                  <w14:solidFill>
                    <w14:srgbClr w14:val="000000">
                      <w14:alpha w14:val="100000"/>
                    </w14:srgbClr>
                  </w14:solidFill>
                </w14:textFill>
              </w:rPr>
              <w:t>|||</w:t>
            </w:r>
            <w:r w:rsidR="002212A2" w:rsidRPr="002212A2">
              <w:rPr>
                <w:color w:val="000000"/>
                <w:spacing w:val="3"/>
                <w:shd w:val="solid" w:color="000000" w:fill="000000"/>
                <w:fitText w:val="320" w:id="-694423537"/>
                <w14:textFill>
                  <w14:solidFill>
                    <w14:srgbClr w14:val="000000">
                      <w14:alpha w14:val="100000"/>
                    </w14:srgbClr>
                  </w14:solidFill>
                </w14:textFill>
              </w:rPr>
              <w:t>|</w:t>
            </w:r>
            <w:r w:rsidR="00552385">
              <w:t xml:space="preserve"> </w:t>
            </w:r>
            <w:r w:rsidR="00552385">
              <w:rPr>
                <w:vertAlign w:val="superscript"/>
              </w:rPr>
              <w:t>2</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C7DA309" w14:textId="6CF5072F"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6"/>
                <w14:textFill>
                  <w14:solidFill>
                    <w14:srgbClr w14:val="000000">
                      <w14:alpha w14:val="100000"/>
                    </w14:srgbClr>
                  </w14:solidFill>
                </w14:textFill>
              </w:rPr>
              <w:t>|||</w:t>
            </w:r>
            <w:r w:rsidR="002212A2" w:rsidRPr="002212A2">
              <w:rPr>
                <w:color w:val="000000"/>
                <w:spacing w:val="3"/>
                <w:shd w:val="solid" w:color="000000" w:fill="000000"/>
                <w:fitText w:val="320" w:id="-694423536"/>
                <w14:textFill>
                  <w14:solidFill>
                    <w14:srgbClr w14:val="000000">
                      <w14:alpha w14:val="100000"/>
                    </w14:srgbClr>
                  </w14:solidFill>
                </w14:textFill>
              </w:rPr>
              <w:t>|</w:t>
            </w:r>
            <w:r w:rsidR="00552385">
              <w:t xml:space="preserve"> </w:t>
            </w:r>
            <w:r w:rsidR="00552385">
              <w:rPr>
                <w:vertAlign w:val="superscript"/>
              </w:rPr>
              <w:t>2</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AE45222" w14:textId="37B1C72B"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2"/>
                <w14:textFill>
                  <w14:solidFill>
                    <w14:srgbClr w14:val="000000">
                      <w14:alpha w14:val="100000"/>
                    </w14:srgbClr>
                  </w14:solidFill>
                </w14:textFill>
              </w:rPr>
              <w:t>|||</w:t>
            </w:r>
            <w:r w:rsidR="002212A2" w:rsidRPr="002212A2">
              <w:rPr>
                <w:color w:val="000000"/>
                <w:spacing w:val="3"/>
                <w:shd w:val="solid" w:color="000000" w:fill="000000"/>
                <w:fitText w:val="320" w:id="-694423552"/>
                <w14:textFill>
                  <w14:solidFill>
                    <w14:srgbClr w14:val="000000">
                      <w14:alpha w14:val="100000"/>
                    </w14:srgbClr>
                  </w14:solidFill>
                </w14:textFill>
              </w:rPr>
              <w:t>|</w:t>
            </w:r>
            <w:r w:rsidR="00552385">
              <w:t xml:space="preserve"> </w:t>
            </w:r>
            <w:r w:rsidR="00552385">
              <w:rPr>
                <w:vertAlign w:val="superscript"/>
              </w:rPr>
              <w:t>2</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42FAF3B" w14:textId="2FB06E10"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1"/>
                <w14:textFill>
                  <w14:solidFill>
                    <w14:srgbClr w14:val="000000">
                      <w14:alpha w14:val="100000"/>
                    </w14:srgbClr>
                  </w14:solidFill>
                </w14:textFill>
              </w:rPr>
              <w:t>|||</w:t>
            </w:r>
            <w:r w:rsidR="002212A2" w:rsidRPr="002212A2">
              <w:rPr>
                <w:color w:val="000000"/>
                <w:spacing w:val="3"/>
                <w:shd w:val="solid" w:color="000000" w:fill="000000"/>
                <w:fitText w:val="320" w:id="-694423551"/>
                <w14:textFill>
                  <w14:solidFill>
                    <w14:srgbClr w14:val="000000">
                      <w14:alpha w14:val="100000"/>
                    </w14:srgbClr>
                  </w14:solidFill>
                </w14:textFill>
              </w:rPr>
              <w:t>|</w:t>
            </w:r>
            <w:r w:rsidR="00552385">
              <w:t xml:space="preserve"> </w:t>
            </w:r>
            <w:r w:rsidR="00552385">
              <w:rPr>
                <w:vertAlign w:val="superscript"/>
              </w:rPr>
              <w:t>2</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4622BD9" w14:textId="4A9B8C78"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0"/>
                <w14:textFill>
                  <w14:solidFill>
                    <w14:srgbClr w14:val="000000">
                      <w14:alpha w14:val="100000"/>
                    </w14:srgbClr>
                  </w14:solidFill>
                </w14:textFill>
              </w:rPr>
              <w:t>|||</w:t>
            </w:r>
            <w:r w:rsidR="002212A2" w:rsidRPr="002212A2">
              <w:rPr>
                <w:color w:val="000000"/>
                <w:spacing w:val="3"/>
                <w:shd w:val="solid" w:color="000000" w:fill="000000"/>
                <w:fitText w:val="320" w:id="-694423550"/>
                <w14:textFill>
                  <w14:solidFill>
                    <w14:srgbClr w14:val="000000">
                      <w14:alpha w14:val="100000"/>
                    </w14:srgbClr>
                  </w14:solidFill>
                </w14:textFill>
              </w:rPr>
              <w:t>|</w:t>
            </w:r>
            <w:r w:rsidR="00552385">
              <w:t xml:space="preserve"> </w:t>
            </w:r>
            <w:r w:rsidR="00552385">
              <w:rPr>
                <w:vertAlign w:val="superscript"/>
              </w:rPr>
              <w:t>2</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538ED43" w14:textId="55602251"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9"/>
                <w14:textFill>
                  <w14:solidFill>
                    <w14:srgbClr w14:val="000000">
                      <w14:alpha w14:val="100000"/>
                    </w14:srgbClr>
                  </w14:solidFill>
                </w14:textFill>
              </w:rPr>
              <w:t>|||</w:t>
            </w:r>
            <w:r w:rsidR="002212A2" w:rsidRPr="002212A2">
              <w:rPr>
                <w:color w:val="000000"/>
                <w:spacing w:val="3"/>
                <w:shd w:val="solid" w:color="000000" w:fill="000000"/>
                <w:fitText w:val="320" w:id="-694423549"/>
                <w14:textFill>
                  <w14:solidFill>
                    <w14:srgbClr w14:val="000000">
                      <w14:alpha w14:val="100000"/>
                    </w14:srgbClr>
                  </w14:solidFill>
                </w14:textFill>
              </w:rPr>
              <w:t>|</w:t>
            </w:r>
            <w:r w:rsidR="00552385">
              <w:t xml:space="preserve"> </w:t>
            </w:r>
            <w:r w:rsidR="00552385">
              <w:rPr>
                <w:vertAlign w:val="superscript"/>
              </w:rPr>
              <w:t>2</w:t>
            </w:r>
          </w:p>
        </w:tc>
      </w:tr>
      <w:tr w:rsidR="00763B5A" w:rsidRPr="0009282C" w14:paraId="37EF456B" w14:textId="77777777" w:rsidTr="00552385">
        <w:tc>
          <w:tcPr>
            <w:tcW w:w="1334"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2BF31EDE" w14:textId="6EC50387" w:rsidR="00763B5A" w:rsidRPr="0009282C" w:rsidRDefault="004226FF" w:rsidP="00552385">
            <w:pPr>
              <w:pStyle w:val="TableText0"/>
              <w:keepNext/>
              <w:keepLines/>
              <w:rPr>
                <w:sz w:val="19"/>
                <w:szCs w:val="19"/>
              </w:rPr>
            </w:pPr>
            <w:r>
              <w:t xml:space="preserve">  </w:t>
            </w:r>
            <w:r w:rsidR="00763B5A" w:rsidRPr="0009282C">
              <w:t>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8F3F38E" w14:textId="01491A71"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8"/>
                <w14:textFill>
                  <w14:solidFill>
                    <w14:srgbClr w14:val="000000">
                      <w14:alpha w14:val="100000"/>
                    </w14:srgbClr>
                  </w14:solidFill>
                </w14:textFill>
              </w:rPr>
              <w:t>|||</w:t>
            </w:r>
            <w:r w:rsidR="002212A2" w:rsidRPr="002212A2">
              <w:rPr>
                <w:color w:val="000000"/>
                <w:spacing w:val="1"/>
                <w:shd w:val="solid" w:color="000000" w:fill="000000"/>
                <w:fitText w:val="330" w:id="-694423548"/>
                <w14:textFill>
                  <w14:solidFill>
                    <w14:srgbClr w14:val="000000">
                      <w14:alpha w14:val="100000"/>
                    </w14:srgbClr>
                  </w14:solidFill>
                </w14:textFill>
              </w:rPr>
              <w:t>|</w:t>
            </w:r>
            <w:r w:rsidR="00C1212E">
              <w:t xml:space="preserve"> </w:t>
            </w:r>
            <w:r w:rsidR="00C1212E">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1D35E50" w14:textId="558F4966"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7"/>
                <w14:textFill>
                  <w14:solidFill>
                    <w14:srgbClr w14:val="000000">
                      <w14:alpha w14:val="100000"/>
                    </w14:srgbClr>
                  </w14:solidFill>
                </w14:textFill>
              </w:rPr>
              <w:t>|||</w:t>
            </w:r>
            <w:r w:rsidR="002212A2" w:rsidRPr="002212A2">
              <w:rPr>
                <w:color w:val="000000"/>
                <w:spacing w:val="1"/>
                <w:shd w:val="solid" w:color="000000" w:fill="000000"/>
                <w:fitText w:val="330" w:id="-694423547"/>
                <w14:textFill>
                  <w14:solidFill>
                    <w14:srgbClr w14:val="000000">
                      <w14:alpha w14:val="100000"/>
                    </w14:srgbClr>
                  </w14:solidFill>
                </w14:textFill>
              </w:rPr>
              <w:t>|</w:t>
            </w:r>
            <w:r w:rsidR="00C1212E">
              <w:t xml:space="preserve"> </w:t>
            </w:r>
            <w:r w:rsidR="00C1212E">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4D5E0BB" w14:textId="0446F962"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6"/>
                <w14:textFill>
                  <w14:solidFill>
                    <w14:srgbClr w14:val="000000">
                      <w14:alpha w14:val="100000"/>
                    </w14:srgbClr>
                  </w14:solidFill>
                </w14:textFill>
              </w:rPr>
              <w:t>|||</w:t>
            </w:r>
            <w:r w:rsidR="002212A2" w:rsidRPr="002212A2">
              <w:rPr>
                <w:color w:val="000000"/>
                <w:spacing w:val="1"/>
                <w:shd w:val="solid" w:color="000000" w:fill="000000"/>
                <w:fitText w:val="330" w:id="-694423546"/>
                <w14:textFill>
                  <w14:solidFill>
                    <w14:srgbClr w14:val="000000">
                      <w14:alpha w14:val="100000"/>
                    </w14:srgbClr>
                  </w14:solidFill>
                </w14:textFill>
              </w:rPr>
              <w:t>|</w:t>
            </w:r>
            <w:r w:rsidR="00C1212E">
              <w:t xml:space="preserve"> </w:t>
            </w:r>
            <w:r w:rsidR="00C1212E">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C1B2C37" w14:textId="75F7FB6F"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5"/>
                <w14:textFill>
                  <w14:solidFill>
                    <w14:srgbClr w14:val="000000">
                      <w14:alpha w14:val="100000"/>
                    </w14:srgbClr>
                  </w14:solidFill>
                </w14:textFill>
              </w:rPr>
              <w:t>|||</w:t>
            </w:r>
            <w:r w:rsidR="002212A2" w:rsidRPr="002212A2">
              <w:rPr>
                <w:color w:val="000000"/>
                <w:spacing w:val="1"/>
                <w:shd w:val="solid" w:color="000000" w:fill="000000"/>
                <w:fitText w:val="330" w:id="-694423545"/>
                <w14:textFill>
                  <w14:solidFill>
                    <w14:srgbClr w14:val="000000">
                      <w14:alpha w14:val="100000"/>
                    </w14:srgbClr>
                  </w14:solidFill>
                </w14:textFill>
              </w:rPr>
              <w:t>|</w:t>
            </w:r>
            <w:r w:rsidR="00C1212E">
              <w:t xml:space="preserve"> </w:t>
            </w:r>
            <w:r w:rsidR="00C1212E">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97C225A" w14:textId="0A49F5FC"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4"/>
                <w14:textFill>
                  <w14:solidFill>
                    <w14:srgbClr w14:val="000000">
                      <w14:alpha w14:val="100000"/>
                    </w14:srgbClr>
                  </w14:solidFill>
                </w14:textFill>
              </w:rPr>
              <w:t>|||</w:t>
            </w:r>
            <w:r w:rsidR="002212A2" w:rsidRPr="002212A2">
              <w:rPr>
                <w:color w:val="000000"/>
                <w:spacing w:val="1"/>
                <w:shd w:val="solid" w:color="000000" w:fill="000000"/>
                <w:fitText w:val="330" w:id="-694423544"/>
                <w14:textFill>
                  <w14:solidFill>
                    <w14:srgbClr w14:val="000000">
                      <w14:alpha w14:val="100000"/>
                    </w14:srgbClr>
                  </w14:solidFill>
                </w14:textFill>
              </w:rPr>
              <w:t>|</w:t>
            </w:r>
            <w:r w:rsidR="00C1212E">
              <w:t xml:space="preserve"> </w:t>
            </w:r>
            <w:r w:rsidR="00C1212E">
              <w:rPr>
                <w:vertAlign w:val="superscript"/>
              </w:rPr>
              <w:t>3</w:t>
            </w:r>
          </w:p>
        </w:tc>
        <w:tc>
          <w:tcPr>
            <w:tcW w:w="611" w:type="pc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5A3ED7F2" w14:textId="362AFBF0" w:rsidR="00763B5A" w:rsidRPr="0009282C" w:rsidRDefault="00763B5A" w:rsidP="00552385">
            <w:pPr>
              <w:pStyle w:val="TableText0"/>
              <w:keepNext/>
              <w:keepLines/>
              <w:jc w:val="center"/>
            </w:pPr>
            <w:r w:rsidRPr="0009282C">
              <w:t>-$</w:t>
            </w:r>
            <w:r w:rsidR="002212A2" w:rsidRPr="002212A2">
              <w:rPr>
                <w:color w:val="000000"/>
                <w:spacing w:val="53"/>
                <w:shd w:val="solid" w:color="000000" w:fill="000000"/>
                <w:fitText w:val="330" w:id="-694423543"/>
                <w14:textFill>
                  <w14:solidFill>
                    <w14:srgbClr w14:val="000000">
                      <w14:alpha w14:val="100000"/>
                    </w14:srgbClr>
                  </w14:solidFill>
                </w14:textFill>
              </w:rPr>
              <w:t>|||</w:t>
            </w:r>
            <w:r w:rsidR="002212A2" w:rsidRPr="002212A2">
              <w:rPr>
                <w:color w:val="000000"/>
                <w:spacing w:val="1"/>
                <w:shd w:val="solid" w:color="000000" w:fill="000000"/>
                <w:fitText w:val="330" w:id="-694423543"/>
                <w14:textFill>
                  <w14:solidFill>
                    <w14:srgbClr w14:val="000000">
                      <w14:alpha w14:val="100000"/>
                    </w14:srgbClr>
                  </w14:solidFill>
                </w14:textFill>
              </w:rPr>
              <w:t>|</w:t>
            </w:r>
            <w:r w:rsidR="00C1212E">
              <w:t xml:space="preserve"> </w:t>
            </w:r>
            <w:r w:rsidR="00C1212E">
              <w:rPr>
                <w:vertAlign w:val="superscript"/>
              </w:rPr>
              <w:t>3</w:t>
            </w:r>
          </w:p>
        </w:tc>
      </w:tr>
      <w:tr w:rsidR="00763B5A" w:rsidRPr="0009282C" w14:paraId="21DFF158" w14:textId="77777777" w:rsidTr="00552385">
        <w:tc>
          <w:tcPr>
            <w:tcW w:w="1334" w:type="pct"/>
            <w:shd w:val="clear" w:color="auto" w:fill="auto"/>
            <w:tcMar>
              <w:top w:w="0" w:type="dxa"/>
              <w:bottom w:w="0" w:type="dxa"/>
            </w:tcMar>
            <w:vAlign w:val="center"/>
          </w:tcPr>
          <w:p w14:paraId="7146DFED" w14:textId="372934C3" w:rsidR="00763B5A" w:rsidRPr="0009282C" w:rsidRDefault="00763B5A" w:rsidP="00552385">
            <w:pPr>
              <w:pStyle w:val="TableText0"/>
              <w:keepNext/>
              <w:keepLines/>
              <w:rPr>
                <w:sz w:val="19"/>
                <w:szCs w:val="19"/>
              </w:rPr>
            </w:pPr>
            <w:r w:rsidRPr="0009282C">
              <w:rPr>
                <w:sz w:val="19"/>
                <w:szCs w:val="19"/>
              </w:rPr>
              <w:t>Net cost to PBS</w:t>
            </w:r>
            <w:r w:rsidR="004511B8" w:rsidRPr="0009282C">
              <w:rPr>
                <w:sz w:val="19"/>
                <w:szCs w:val="19"/>
              </w:rPr>
              <w:t xml:space="preserve"> (submission)</w:t>
            </w:r>
          </w:p>
        </w:tc>
        <w:tc>
          <w:tcPr>
            <w:tcW w:w="611" w:type="pct"/>
            <w:shd w:val="clear" w:color="auto" w:fill="auto"/>
            <w:tcMar>
              <w:top w:w="0" w:type="dxa"/>
              <w:bottom w:w="0" w:type="dxa"/>
            </w:tcMar>
            <w:vAlign w:val="center"/>
          </w:tcPr>
          <w:p w14:paraId="470980EE" w14:textId="2025BAA3"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2"/>
                <w14:textFill>
                  <w14:solidFill>
                    <w14:srgbClr w14:val="000000">
                      <w14:alpha w14:val="100000"/>
                    </w14:srgbClr>
                  </w14:solidFill>
                </w14:textFill>
              </w:rPr>
              <w:t>|||</w:t>
            </w:r>
            <w:r w:rsidR="002212A2" w:rsidRPr="002212A2">
              <w:rPr>
                <w:color w:val="000000"/>
                <w:spacing w:val="3"/>
                <w:shd w:val="solid" w:color="000000" w:fill="000000"/>
                <w:fitText w:val="320" w:id="-694423542"/>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52A411C9" w14:textId="2AC0C410"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1"/>
                <w14:textFill>
                  <w14:solidFill>
                    <w14:srgbClr w14:val="000000">
                      <w14:alpha w14:val="100000"/>
                    </w14:srgbClr>
                  </w14:solidFill>
                </w14:textFill>
              </w:rPr>
              <w:t>|||</w:t>
            </w:r>
            <w:r w:rsidR="002212A2" w:rsidRPr="002212A2">
              <w:rPr>
                <w:color w:val="000000"/>
                <w:spacing w:val="3"/>
                <w:shd w:val="solid" w:color="000000" w:fill="000000"/>
                <w:fitText w:val="320" w:id="-694423541"/>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7B4B385D" w14:textId="365059B2"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0"/>
                <w14:textFill>
                  <w14:solidFill>
                    <w14:srgbClr w14:val="000000">
                      <w14:alpha w14:val="100000"/>
                    </w14:srgbClr>
                  </w14:solidFill>
                </w14:textFill>
              </w:rPr>
              <w:t>|||</w:t>
            </w:r>
            <w:r w:rsidR="002212A2" w:rsidRPr="002212A2">
              <w:rPr>
                <w:color w:val="000000"/>
                <w:spacing w:val="3"/>
                <w:shd w:val="solid" w:color="000000" w:fill="000000"/>
                <w:fitText w:val="320" w:id="-694423540"/>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0FBE3AA7" w14:textId="451ABE3B"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9"/>
                <w14:textFill>
                  <w14:solidFill>
                    <w14:srgbClr w14:val="000000">
                      <w14:alpha w14:val="100000"/>
                    </w14:srgbClr>
                  </w14:solidFill>
                </w14:textFill>
              </w:rPr>
              <w:t>|||</w:t>
            </w:r>
            <w:r w:rsidR="002212A2" w:rsidRPr="002212A2">
              <w:rPr>
                <w:color w:val="000000"/>
                <w:spacing w:val="3"/>
                <w:shd w:val="solid" w:color="000000" w:fill="000000"/>
                <w:fitText w:val="320" w:id="-694423539"/>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0FDCDDAE" w14:textId="5C519DCB"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8"/>
                <w14:textFill>
                  <w14:solidFill>
                    <w14:srgbClr w14:val="000000">
                      <w14:alpha w14:val="100000"/>
                    </w14:srgbClr>
                  </w14:solidFill>
                </w14:textFill>
              </w:rPr>
              <w:t>|||</w:t>
            </w:r>
            <w:r w:rsidR="002212A2" w:rsidRPr="002212A2">
              <w:rPr>
                <w:color w:val="000000"/>
                <w:spacing w:val="3"/>
                <w:shd w:val="solid" w:color="000000" w:fill="000000"/>
                <w:fitText w:val="320" w:id="-694423538"/>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27311ADA" w14:textId="0368FFD2"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7"/>
                <w14:textFill>
                  <w14:solidFill>
                    <w14:srgbClr w14:val="000000">
                      <w14:alpha w14:val="100000"/>
                    </w14:srgbClr>
                  </w14:solidFill>
                </w14:textFill>
              </w:rPr>
              <w:t>|||</w:t>
            </w:r>
            <w:r w:rsidR="002212A2" w:rsidRPr="002212A2">
              <w:rPr>
                <w:color w:val="000000"/>
                <w:spacing w:val="3"/>
                <w:shd w:val="solid" w:color="000000" w:fill="000000"/>
                <w:fitText w:val="320" w:id="-694423537"/>
                <w14:textFill>
                  <w14:solidFill>
                    <w14:srgbClr w14:val="000000">
                      <w14:alpha w14:val="100000"/>
                    </w14:srgbClr>
                  </w14:solidFill>
                </w14:textFill>
              </w:rPr>
              <w:t>|</w:t>
            </w:r>
            <w:r w:rsidR="00552385">
              <w:t xml:space="preserve"> </w:t>
            </w:r>
            <w:r w:rsidR="00552385">
              <w:rPr>
                <w:vertAlign w:val="superscript"/>
              </w:rPr>
              <w:t>2</w:t>
            </w:r>
          </w:p>
        </w:tc>
      </w:tr>
      <w:tr w:rsidR="00D67C71" w:rsidRPr="0009282C" w14:paraId="3B60C1F5" w14:textId="77777777" w:rsidTr="00552385">
        <w:tc>
          <w:tcPr>
            <w:tcW w:w="1334" w:type="pct"/>
            <w:shd w:val="clear" w:color="auto" w:fill="auto"/>
            <w:tcMar>
              <w:top w:w="0" w:type="dxa"/>
              <w:bottom w:w="0" w:type="dxa"/>
            </w:tcMar>
            <w:vAlign w:val="center"/>
          </w:tcPr>
          <w:p w14:paraId="69389A84" w14:textId="7762EAEB" w:rsidR="00D67C71" w:rsidRPr="0009282C" w:rsidRDefault="00D67C71" w:rsidP="00552385">
            <w:pPr>
              <w:pStyle w:val="TableText0"/>
              <w:keepNext/>
              <w:keepLines/>
              <w:rPr>
                <w:sz w:val="19"/>
                <w:szCs w:val="19"/>
              </w:rPr>
            </w:pPr>
            <w:r w:rsidRPr="0009282C">
              <w:rPr>
                <w:sz w:val="19"/>
                <w:szCs w:val="19"/>
              </w:rPr>
              <w:t>Net cost to PBS (DUSC advice)</w:t>
            </w:r>
          </w:p>
        </w:tc>
        <w:tc>
          <w:tcPr>
            <w:tcW w:w="611" w:type="pct"/>
            <w:shd w:val="clear" w:color="auto" w:fill="auto"/>
            <w:tcMar>
              <w:top w:w="0" w:type="dxa"/>
              <w:bottom w:w="0" w:type="dxa"/>
            </w:tcMar>
            <w:vAlign w:val="center"/>
          </w:tcPr>
          <w:p w14:paraId="3B8C973D" w14:textId="4D89FA68"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36"/>
                <w14:textFill>
                  <w14:solidFill>
                    <w14:srgbClr w14:val="000000">
                      <w14:alpha w14:val="100000"/>
                    </w14:srgbClr>
                  </w14:solidFill>
                </w14:textFill>
              </w:rPr>
              <w:t>|||</w:t>
            </w:r>
            <w:r w:rsidR="002212A2" w:rsidRPr="002212A2">
              <w:rPr>
                <w:color w:val="000000"/>
                <w:spacing w:val="3"/>
                <w:shd w:val="solid" w:color="000000" w:fill="000000"/>
                <w:fitText w:val="320" w:id="-694423536"/>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1B92DE79" w14:textId="423E3E47"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52"/>
                <w14:textFill>
                  <w14:solidFill>
                    <w14:srgbClr w14:val="000000">
                      <w14:alpha w14:val="100000"/>
                    </w14:srgbClr>
                  </w14:solidFill>
                </w14:textFill>
              </w:rPr>
              <w:t>|||</w:t>
            </w:r>
            <w:r w:rsidR="002212A2" w:rsidRPr="002212A2">
              <w:rPr>
                <w:color w:val="000000"/>
                <w:spacing w:val="3"/>
                <w:shd w:val="solid" w:color="000000" w:fill="000000"/>
                <w:fitText w:val="320" w:id="-694423552"/>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6C6D7D3B" w14:textId="0E7ADB44"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51"/>
                <w14:textFill>
                  <w14:solidFill>
                    <w14:srgbClr w14:val="000000">
                      <w14:alpha w14:val="100000"/>
                    </w14:srgbClr>
                  </w14:solidFill>
                </w14:textFill>
              </w:rPr>
              <w:t>|||</w:t>
            </w:r>
            <w:r w:rsidR="002212A2" w:rsidRPr="002212A2">
              <w:rPr>
                <w:color w:val="000000"/>
                <w:spacing w:val="3"/>
                <w:shd w:val="solid" w:color="000000" w:fill="000000"/>
                <w:fitText w:val="320" w:id="-694423551"/>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3F6A1FE5" w14:textId="082272C0"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50"/>
                <w14:textFill>
                  <w14:solidFill>
                    <w14:srgbClr w14:val="000000">
                      <w14:alpha w14:val="100000"/>
                    </w14:srgbClr>
                  </w14:solidFill>
                </w14:textFill>
              </w:rPr>
              <w:t>|||</w:t>
            </w:r>
            <w:r w:rsidR="002212A2" w:rsidRPr="002212A2">
              <w:rPr>
                <w:color w:val="000000"/>
                <w:spacing w:val="3"/>
                <w:shd w:val="solid" w:color="000000" w:fill="000000"/>
                <w:fitText w:val="320" w:id="-694423550"/>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6556578D" w14:textId="1383CE2A"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49"/>
                <w14:textFill>
                  <w14:solidFill>
                    <w14:srgbClr w14:val="000000">
                      <w14:alpha w14:val="100000"/>
                    </w14:srgbClr>
                  </w14:solidFill>
                </w14:textFill>
              </w:rPr>
              <w:t>|||</w:t>
            </w:r>
            <w:r w:rsidR="002212A2" w:rsidRPr="002212A2">
              <w:rPr>
                <w:color w:val="000000"/>
                <w:spacing w:val="3"/>
                <w:shd w:val="solid" w:color="000000" w:fill="000000"/>
                <w:fitText w:val="320" w:id="-694423549"/>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3C69A160" w14:textId="3F32A849" w:rsidR="00D67C71" w:rsidRPr="0009282C" w:rsidRDefault="00D67C71" w:rsidP="00552385">
            <w:pPr>
              <w:pStyle w:val="TableText0"/>
              <w:keepNext/>
              <w:keepLines/>
              <w:jc w:val="center"/>
            </w:pPr>
            <w:r w:rsidRPr="0009282C">
              <w:t>$</w:t>
            </w:r>
            <w:r w:rsidR="002212A2" w:rsidRPr="002212A2">
              <w:rPr>
                <w:color w:val="000000"/>
                <w:spacing w:val="49"/>
                <w:shd w:val="solid" w:color="000000" w:fill="000000"/>
                <w:fitText w:val="320" w:id="-694423548"/>
                <w14:textFill>
                  <w14:solidFill>
                    <w14:srgbClr w14:val="000000">
                      <w14:alpha w14:val="100000"/>
                    </w14:srgbClr>
                  </w14:solidFill>
                </w14:textFill>
              </w:rPr>
              <w:t>|||</w:t>
            </w:r>
            <w:r w:rsidR="002212A2" w:rsidRPr="002212A2">
              <w:rPr>
                <w:color w:val="000000"/>
                <w:spacing w:val="3"/>
                <w:shd w:val="solid" w:color="000000" w:fill="000000"/>
                <w:fitText w:val="320" w:id="-694423548"/>
                <w14:textFill>
                  <w14:solidFill>
                    <w14:srgbClr w14:val="000000">
                      <w14:alpha w14:val="100000"/>
                    </w14:srgbClr>
                  </w14:solidFill>
                </w14:textFill>
              </w:rPr>
              <w:t>|</w:t>
            </w:r>
            <w:r w:rsidR="00552385">
              <w:t xml:space="preserve"> </w:t>
            </w:r>
            <w:r w:rsidR="00552385">
              <w:rPr>
                <w:vertAlign w:val="superscript"/>
              </w:rPr>
              <w:t>2</w:t>
            </w:r>
          </w:p>
        </w:tc>
      </w:tr>
      <w:tr w:rsidR="00D605F8" w:rsidRPr="0009282C" w14:paraId="28E31D7B" w14:textId="77777777" w:rsidTr="00552385">
        <w:tc>
          <w:tcPr>
            <w:tcW w:w="1334" w:type="pct"/>
            <w:shd w:val="clear" w:color="auto" w:fill="auto"/>
            <w:tcMar>
              <w:top w:w="0" w:type="dxa"/>
              <w:bottom w:w="0" w:type="dxa"/>
            </w:tcMar>
            <w:vAlign w:val="center"/>
          </w:tcPr>
          <w:p w14:paraId="757E7E8B" w14:textId="77777777" w:rsidR="0075243C" w:rsidRPr="0009282C" w:rsidRDefault="00D605F8" w:rsidP="00552385">
            <w:pPr>
              <w:pStyle w:val="TableText0"/>
              <w:keepNext/>
              <w:keepLines/>
              <w:rPr>
                <w:sz w:val="19"/>
                <w:szCs w:val="19"/>
              </w:rPr>
            </w:pPr>
            <w:r w:rsidRPr="0009282C">
              <w:rPr>
                <w:sz w:val="19"/>
                <w:szCs w:val="19"/>
              </w:rPr>
              <w:t xml:space="preserve">Net cost to PBS </w:t>
            </w:r>
          </w:p>
          <w:p w14:paraId="3BB30A47" w14:textId="5E622050" w:rsidR="00D605F8" w:rsidRPr="0009282C" w:rsidRDefault="00D605F8" w:rsidP="00552385">
            <w:pPr>
              <w:pStyle w:val="TableText0"/>
              <w:keepNext/>
              <w:keepLines/>
              <w:rPr>
                <w:sz w:val="19"/>
                <w:szCs w:val="19"/>
              </w:rPr>
            </w:pPr>
            <w:r w:rsidRPr="0009282C">
              <w:rPr>
                <w:sz w:val="19"/>
                <w:szCs w:val="19"/>
              </w:rPr>
              <w:t>(pre-PBAC Response)</w:t>
            </w:r>
          </w:p>
        </w:tc>
        <w:tc>
          <w:tcPr>
            <w:tcW w:w="611" w:type="pct"/>
            <w:shd w:val="clear" w:color="auto" w:fill="auto"/>
            <w:tcMar>
              <w:top w:w="0" w:type="dxa"/>
              <w:bottom w:w="0" w:type="dxa"/>
            </w:tcMar>
            <w:vAlign w:val="center"/>
          </w:tcPr>
          <w:p w14:paraId="5E9E2686" w14:textId="264DE3DC"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7"/>
                <w14:textFill>
                  <w14:solidFill>
                    <w14:srgbClr w14:val="000000">
                      <w14:alpha w14:val="100000"/>
                    </w14:srgbClr>
                  </w14:solidFill>
                </w14:textFill>
              </w:rPr>
              <w:t>|||</w:t>
            </w:r>
            <w:r w:rsidR="002212A2" w:rsidRPr="002212A2">
              <w:rPr>
                <w:color w:val="000000"/>
                <w:spacing w:val="3"/>
                <w:shd w:val="solid" w:color="000000" w:fill="000000"/>
                <w:fitText w:val="320" w:id="-694423547"/>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7438CF9F" w14:textId="7E0E40F1"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6"/>
                <w14:textFill>
                  <w14:solidFill>
                    <w14:srgbClr w14:val="000000">
                      <w14:alpha w14:val="100000"/>
                    </w14:srgbClr>
                  </w14:solidFill>
                </w14:textFill>
              </w:rPr>
              <w:t>|||</w:t>
            </w:r>
            <w:r w:rsidR="002212A2" w:rsidRPr="002212A2">
              <w:rPr>
                <w:color w:val="000000"/>
                <w:spacing w:val="3"/>
                <w:shd w:val="solid" w:color="000000" w:fill="000000"/>
                <w:fitText w:val="320" w:id="-694423546"/>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42820B03" w14:textId="12A830FB"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5"/>
                <w14:textFill>
                  <w14:solidFill>
                    <w14:srgbClr w14:val="000000">
                      <w14:alpha w14:val="100000"/>
                    </w14:srgbClr>
                  </w14:solidFill>
                </w14:textFill>
              </w:rPr>
              <w:t>|||</w:t>
            </w:r>
            <w:r w:rsidR="002212A2" w:rsidRPr="002212A2">
              <w:rPr>
                <w:color w:val="000000"/>
                <w:spacing w:val="3"/>
                <w:shd w:val="solid" w:color="000000" w:fill="000000"/>
                <w:fitText w:val="320" w:id="-694423545"/>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11ED3C7F" w14:textId="39EC3F31"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4"/>
                <w14:textFill>
                  <w14:solidFill>
                    <w14:srgbClr w14:val="000000">
                      <w14:alpha w14:val="100000"/>
                    </w14:srgbClr>
                  </w14:solidFill>
                </w14:textFill>
              </w:rPr>
              <w:t>|||</w:t>
            </w:r>
            <w:r w:rsidR="002212A2" w:rsidRPr="002212A2">
              <w:rPr>
                <w:color w:val="000000"/>
                <w:spacing w:val="3"/>
                <w:shd w:val="solid" w:color="000000" w:fill="000000"/>
                <w:fitText w:val="320" w:id="-694423544"/>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553695C6" w14:textId="40CE9DC8"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3"/>
                <w14:textFill>
                  <w14:solidFill>
                    <w14:srgbClr w14:val="000000">
                      <w14:alpha w14:val="100000"/>
                    </w14:srgbClr>
                  </w14:solidFill>
                </w14:textFill>
              </w:rPr>
              <w:t>|||</w:t>
            </w:r>
            <w:r w:rsidR="002212A2" w:rsidRPr="002212A2">
              <w:rPr>
                <w:color w:val="000000"/>
                <w:spacing w:val="3"/>
                <w:shd w:val="solid" w:color="000000" w:fill="000000"/>
                <w:fitText w:val="320" w:id="-694423543"/>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2A1CAB44" w14:textId="07E56231" w:rsidR="00D605F8" w:rsidRPr="0009282C" w:rsidRDefault="00D605F8" w:rsidP="00552385">
            <w:pPr>
              <w:pStyle w:val="TableText0"/>
              <w:keepNext/>
              <w:keepLines/>
              <w:jc w:val="center"/>
            </w:pPr>
            <w:r w:rsidRPr="0009282C">
              <w:t>$</w:t>
            </w:r>
            <w:r w:rsidR="002212A2" w:rsidRPr="002212A2">
              <w:rPr>
                <w:color w:val="000000"/>
                <w:spacing w:val="49"/>
                <w:shd w:val="solid" w:color="000000" w:fill="000000"/>
                <w:fitText w:val="320" w:id="-694423542"/>
                <w14:textFill>
                  <w14:solidFill>
                    <w14:srgbClr w14:val="000000">
                      <w14:alpha w14:val="100000"/>
                    </w14:srgbClr>
                  </w14:solidFill>
                </w14:textFill>
              </w:rPr>
              <w:t>|||</w:t>
            </w:r>
            <w:r w:rsidR="002212A2" w:rsidRPr="002212A2">
              <w:rPr>
                <w:color w:val="000000"/>
                <w:spacing w:val="3"/>
                <w:shd w:val="solid" w:color="000000" w:fill="000000"/>
                <w:fitText w:val="320" w:id="-694423542"/>
                <w14:textFill>
                  <w14:solidFill>
                    <w14:srgbClr w14:val="000000">
                      <w14:alpha w14:val="100000"/>
                    </w14:srgbClr>
                  </w14:solidFill>
                </w14:textFill>
              </w:rPr>
              <w:t>|</w:t>
            </w:r>
            <w:r w:rsidR="00552385">
              <w:t xml:space="preserve"> </w:t>
            </w:r>
            <w:r w:rsidR="00552385">
              <w:rPr>
                <w:vertAlign w:val="superscript"/>
              </w:rPr>
              <w:t>2</w:t>
            </w:r>
          </w:p>
        </w:tc>
      </w:tr>
      <w:tr w:rsidR="00763B5A" w:rsidRPr="0009282C" w14:paraId="07DEB841" w14:textId="77777777" w:rsidTr="0000413B">
        <w:tc>
          <w:tcPr>
            <w:tcW w:w="5000" w:type="pct"/>
            <w:gridSpan w:val="7"/>
            <w:shd w:val="clear" w:color="auto" w:fill="auto"/>
            <w:tcMar>
              <w:top w:w="0" w:type="dxa"/>
              <w:bottom w:w="0" w:type="dxa"/>
            </w:tcMar>
            <w:vAlign w:val="center"/>
          </w:tcPr>
          <w:p w14:paraId="273A6FC6" w14:textId="77777777" w:rsidR="00763B5A" w:rsidRPr="0009282C" w:rsidRDefault="00763B5A" w:rsidP="00552385">
            <w:pPr>
              <w:pStyle w:val="TableText0"/>
              <w:keepNext/>
              <w:keepLines/>
              <w:rPr>
                <w:b/>
                <w:bCs w:val="0"/>
              </w:rPr>
            </w:pPr>
            <w:r w:rsidRPr="0009282C">
              <w:rPr>
                <w:b/>
                <w:bCs w:val="0"/>
              </w:rPr>
              <w:t>Estimated financial implications for other medicines: None</w:t>
            </w:r>
          </w:p>
        </w:tc>
      </w:tr>
      <w:tr w:rsidR="00763B5A" w:rsidRPr="0009282C" w14:paraId="2A71AC01" w14:textId="77777777" w:rsidTr="0000413B">
        <w:tc>
          <w:tcPr>
            <w:tcW w:w="5000" w:type="pct"/>
            <w:gridSpan w:val="7"/>
            <w:shd w:val="clear" w:color="auto" w:fill="auto"/>
            <w:tcMar>
              <w:top w:w="0" w:type="dxa"/>
              <w:bottom w:w="0" w:type="dxa"/>
            </w:tcMar>
            <w:vAlign w:val="center"/>
          </w:tcPr>
          <w:p w14:paraId="064F475F" w14:textId="77777777" w:rsidR="00763B5A" w:rsidRPr="0009282C" w:rsidRDefault="00763B5A" w:rsidP="00552385">
            <w:pPr>
              <w:pStyle w:val="TableText0"/>
              <w:keepNext/>
              <w:keepLines/>
              <w:rPr>
                <w:b/>
                <w:bCs w:val="0"/>
              </w:rPr>
            </w:pPr>
            <w:r w:rsidRPr="0009282C">
              <w:rPr>
                <w:b/>
                <w:bCs w:val="0"/>
              </w:rPr>
              <w:t>Net financial implications</w:t>
            </w:r>
          </w:p>
        </w:tc>
      </w:tr>
      <w:tr w:rsidR="00763B5A" w:rsidRPr="0009282C" w14:paraId="234DE7F0" w14:textId="77777777" w:rsidTr="00552385">
        <w:tc>
          <w:tcPr>
            <w:tcW w:w="1334" w:type="pct"/>
            <w:shd w:val="clear" w:color="auto" w:fill="auto"/>
            <w:tcMar>
              <w:top w:w="0" w:type="dxa"/>
              <w:bottom w:w="0" w:type="dxa"/>
            </w:tcMar>
            <w:vAlign w:val="center"/>
          </w:tcPr>
          <w:p w14:paraId="65E06772" w14:textId="77777777" w:rsidR="00763B5A" w:rsidRPr="0009282C" w:rsidRDefault="00763B5A" w:rsidP="00552385">
            <w:pPr>
              <w:pStyle w:val="TableText0"/>
              <w:keepNext/>
              <w:keepLines/>
              <w:rPr>
                <w:sz w:val="19"/>
                <w:szCs w:val="19"/>
              </w:rPr>
            </w:pPr>
            <w:r w:rsidRPr="0009282C">
              <w:rPr>
                <w:sz w:val="19"/>
                <w:szCs w:val="19"/>
              </w:rPr>
              <w:t>Net cost to PBS</w:t>
            </w:r>
          </w:p>
        </w:tc>
        <w:tc>
          <w:tcPr>
            <w:tcW w:w="611" w:type="pct"/>
            <w:shd w:val="clear" w:color="auto" w:fill="auto"/>
            <w:tcMar>
              <w:top w:w="0" w:type="dxa"/>
              <w:bottom w:w="0" w:type="dxa"/>
            </w:tcMar>
            <w:vAlign w:val="center"/>
          </w:tcPr>
          <w:p w14:paraId="6CED6C62" w14:textId="385DD085"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1"/>
                <w14:textFill>
                  <w14:solidFill>
                    <w14:srgbClr w14:val="000000">
                      <w14:alpha w14:val="100000"/>
                    </w14:srgbClr>
                  </w14:solidFill>
                </w14:textFill>
              </w:rPr>
              <w:t>|||</w:t>
            </w:r>
            <w:r w:rsidR="002212A2" w:rsidRPr="002212A2">
              <w:rPr>
                <w:color w:val="000000"/>
                <w:spacing w:val="3"/>
                <w:shd w:val="solid" w:color="000000" w:fill="000000"/>
                <w:fitText w:val="320" w:id="-694423541"/>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6B63E1FC" w14:textId="4F0D66AA"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0"/>
                <w14:textFill>
                  <w14:solidFill>
                    <w14:srgbClr w14:val="000000">
                      <w14:alpha w14:val="100000"/>
                    </w14:srgbClr>
                  </w14:solidFill>
                </w14:textFill>
              </w:rPr>
              <w:t>|||</w:t>
            </w:r>
            <w:r w:rsidR="002212A2" w:rsidRPr="002212A2">
              <w:rPr>
                <w:color w:val="000000"/>
                <w:spacing w:val="3"/>
                <w:shd w:val="solid" w:color="000000" w:fill="000000"/>
                <w:fitText w:val="320" w:id="-694423540"/>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71E18072" w14:textId="06896E36"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9"/>
                <w14:textFill>
                  <w14:solidFill>
                    <w14:srgbClr w14:val="000000">
                      <w14:alpha w14:val="100000"/>
                    </w14:srgbClr>
                  </w14:solidFill>
                </w14:textFill>
              </w:rPr>
              <w:t>|||</w:t>
            </w:r>
            <w:r w:rsidR="002212A2" w:rsidRPr="002212A2">
              <w:rPr>
                <w:color w:val="000000"/>
                <w:spacing w:val="3"/>
                <w:shd w:val="solid" w:color="000000" w:fill="000000"/>
                <w:fitText w:val="320" w:id="-694423539"/>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73099803" w14:textId="1FF438AA"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8"/>
                <w14:textFill>
                  <w14:solidFill>
                    <w14:srgbClr w14:val="000000">
                      <w14:alpha w14:val="100000"/>
                    </w14:srgbClr>
                  </w14:solidFill>
                </w14:textFill>
              </w:rPr>
              <w:t>|||</w:t>
            </w:r>
            <w:r w:rsidR="002212A2" w:rsidRPr="002212A2">
              <w:rPr>
                <w:color w:val="000000"/>
                <w:spacing w:val="3"/>
                <w:shd w:val="solid" w:color="000000" w:fill="000000"/>
                <w:fitText w:val="320" w:id="-694423538"/>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52199C02" w14:textId="0D50AAC0"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7"/>
                <w14:textFill>
                  <w14:solidFill>
                    <w14:srgbClr w14:val="000000">
                      <w14:alpha w14:val="100000"/>
                    </w14:srgbClr>
                  </w14:solidFill>
                </w14:textFill>
              </w:rPr>
              <w:t>|||</w:t>
            </w:r>
            <w:r w:rsidR="002212A2" w:rsidRPr="002212A2">
              <w:rPr>
                <w:color w:val="000000"/>
                <w:spacing w:val="3"/>
                <w:shd w:val="solid" w:color="000000" w:fill="000000"/>
                <w:fitText w:val="320" w:id="-694423537"/>
                <w14:textFill>
                  <w14:solidFill>
                    <w14:srgbClr w14:val="000000">
                      <w14:alpha w14:val="100000"/>
                    </w14:srgbClr>
                  </w14:solidFill>
                </w14:textFill>
              </w:rPr>
              <w:t>|</w:t>
            </w:r>
            <w:r w:rsidR="00552385">
              <w:t xml:space="preserve"> </w:t>
            </w:r>
            <w:r w:rsidR="00552385">
              <w:rPr>
                <w:vertAlign w:val="superscript"/>
              </w:rPr>
              <w:t>2</w:t>
            </w:r>
          </w:p>
        </w:tc>
        <w:tc>
          <w:tcPr>
            <w:tcW w:w="611" w:type="pct"/>
            <w:shd w:val="clear" w:color="auto" w:fill="auto"/>
            <w:tcMar>
              <w:top w:w="0" w:type="dxa"/>
              <w:bottom w:w="0" w:type="dxa"/>
            </w:tcMar>
            <w:vAlign w:val="center"/>
          </w:tcPr>
          <w:p w14:paraId="3B82C860" w14:textId="603B0F34"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36"/>
                <w14:textFill>
                  <w14:solidFill>
                    <w14:srgbClr w14:val="000000">
                      <w14:alpha w14:val="100000"/>
                    </w14:srgbClr>
                  </w14:solidFill>
                </w14:textFill>
              </w:rPr>
              <w:t>|||</w:t>
            </w:r>
            <w:r w:rsidR="002212A2" w:rsidRPr="002212A2">
              <w:rPr>
                <w:color w:val="000000"/>
                <w:spacing w:val="3"/>
                <w:shd w:val="solid" w:color="000000" w:fill="000000"/>
                <w:fitText w:val="320" w:id="-694423536"/>
                <w14:textFill>
                  <w14:solidFill>
                    <w14:srgbClr w14:val="000000">
                      <w14:alpha w14:val="100000"/>
                    </w14:srgbClr>
                  </w14:solidFill>
                </w14:textFill>
              </w:rPr>
              <w:t>|</w:t>
            </w:r>
            <w:r w:rsidR="00C1212E">
              <w:t xml:space="preserve"> </w:t>
            </w:r>
            <w:r w:rsidR="00C1212E">
              <w:rPr>
                <w:vertAlign w:val="superscript"/>
              </w:rPr>
              <w:t>2</w:t>
            </w:r>
          </w:p>
        </w:tc>
      </w:tr>
      <w:tr w:rsidR="00763B5A" w:rsidRPr="0009282C" w14:paraId="20F36909" w14:textId="77777777" w:rsidTr="00552385">
        <w:tc>
          <w:tcPr>
            <w:tcW w:w="1334" w:type="pct"/>
            <w:shd w:val="clear" w:color="auto" w:fill="auto"/>
            <w:tcMar>
              <w:top w:w="0" w:type="dxa"/>
              <w:bottom w:w="0" w:type="dxa"/>
            </w:tcMar>
            <w:vAlign w:val="center"/>
          </w:tcPr>
          <w:p w14:paraId="7EC7AC96" w14:textId="77777777" w:rsidR="00763B5A" w:rsidRPr="0009282C" w:rsidRDefault="00763B5A" w:rsidP="00552385">
            <w:pPr>
              <w:pStyle w:val="TableText0"/>
              <w:keepNext/>
              <w:keepLines/>
              <w:rPr>
                <w:rFonts w:ascii="Times" w:hAnsi="Times"/>
              </w:rPr>
            </w:pPr>
            <w:r w:rsidRPr="0009282C">
              <w:rPr>
                <w:sz w:val="19"/>
                <w:szCs w:val="19"/>
              </w:rPr>
              <w:t>Net cost to MBS</w:t>
            </w:r>
          </w:p>
        </w:tc>
        <w:tc>
          <w:tcPr>
            <w:tcW w:w="611" w:type="pct"/>
            <w:shd w:val="clear" w:color="auto" w:fill="auto"/>
            <w:tcMar>
              <w:top w:w="0" w:type="dxa"/>
              <w:bottom w:w="0" w:type="dxa"/>
            </w:tcMar>
            <w:vAlign w:val="center"/>
          </w:tcPr>
          <w:p w14:paraId="4D3504DB" w14:textId="087E5A4C"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2"/>
                <w14:textFill>
                  <w14:solidFill>
                    <w14:srgbClr w14:val="000000">
                      <w14:alpha w14:val="100000"/>
                    </w14:srgbClr>
                  </w14:solidFill>
                </w14:textFill>
              </w:rPr>
              <w:t>|||</w:t>
            </w:r>
            <w:r w:rsidR="002212A2" w:rsidRPr="002212A2">
              <w:rPr>
                <w:color w:val="000000"/>
                <w:spacing w:val="3"/>
                <w:shd w:val="solid" w:color="000000" w:fill="000000"/>
                <w:fitText w:val="320" w:id="-694423552"/>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060823E6" w14:textId="7DC32B18"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1"/>
                <w14:textFill>
                  <w14:solidFill>
                    <w14:srgbClr w14:val="000000">
                      <w14:alpha w14:val="100000"/>
                    </w14:srgbClr>
                  </w14:solidFill>
                </w14:textFill>
              </w:rPr>
              <w:t>|||</w:t>
            </w:r>
            <w:r w:rsidR="002212A2" w:rsidRPr="002212A2">
              <w:rPr>
                <w:color w:val="000000"/>
                <w:spacing w:val="3"/>
                <w:shd w:val="solid" w:color="000000" w:fill="000000"/>
                <w:fitText w:val="320" w:id="-694423551"/>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0155D5F9" w14:textId="5C4EEC7B"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50"/>
                <w14:textFill>
                  <w14:solidFill>
                    <w14:srgbClr w14:val="000000">
                      <w14:alpha w14:val="100000"/>
                    </w14:srgbClr>
                  </w14:solidFill>
                </w14:textFill>
              </w:rPr>
              <w:t>|||</w:t>
            </w:r>
            <w:r w:rsidR="002212A2" w:rsidRPr="002212A2">
              <w:rPr>
                <w:color w:val="000000"/>
                <w:spacing w:val="3"/>
                <w:shd w:val="solid" w:color="000000" w:fill="000000"/>
                <w:fitText w:val="320" w:id="-694423550"/>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54FE5366" w14:textId="5546D94D"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9"/>
                <w14:textFill>
                  <w14:solidFill>
                    <w14:srgbClr w14:val="000000">
                      <w14:alpha w14:val="100000"/>
                    </w14:srgbClr>
                  </w14:solidFill>
                </w14:textFill>
              </w:rPr>
              <w:t>|||</w:t>
            </w:r>
            <w:r w:rsidR="002212A2" w:rsidRPr="002212A2">
              <w:rPr>
                <w:color w:val="000000"/>
                <w:spacing w:val="3"/>
                <w:shd w:val="solid" w:color="000000" w:fill="000000"/>
                <w:fitText w:val="320" w:id="-694423549"/>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3BD254C3" w14:textId="5E72DE99"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8"/>
                <w14:textFill>
                  <w14:solidFill>
                    <w14:srgbClr w14:val="000000">
                      <w14:alpha w14:val="100000"/>
                    </w14:srgbClr>
                  </w14:solidFill>
                </w14:textFill>
              </w:rPr>
              <w:t>|||</w:t>
            </w:r>
            <w:r w:rsidR="002212A2" w:rsidRPr="002212A2">
              <w:rPr>
                <w:color w:val="000000"/>
                <w:spacing w:val="3"/>
                <w:shd w:val="solid" w:color="000000" w:fill="000000"/>
                <w:fitText w:val="320" w:id="-694423548"/>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0F0A8094" w14:textId="4BE0496A"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7"/>
                <w14:textFill>
                  <w14:solidFill>
                    <w14:srgbClr w14:val="000000">
                      <w14:alpha w14:val="100000"/>
                    </w14:srgbClr>
                  </w14:solidFill>
                </w14:textFill>
              </w:rPr>
              <w:t>|||</w:t>
            </w:r>
            <w:r w:rsidR="002212A2" w:rsidRPr="002212A2">
              <w:rPr>
                <w:color w:val="000000"/>
                <w:spacing w:val="3"/>
                <w:shd w:val="solid" w:color="000000" w:fill="000000"/>
                <w:fitText w:val="320" w:id="-694423547"/>
                <w14:textFill>
                  <w14:solidFill>
                    <w14:srgbClr w14:val="000000">
                      <w14:alpha w14:val="100000"/>
                    </w14:srgbClr>
                  </w14:solidFill>
                </w14:textFill>
              </w:rPr>
              <w:t>|</w:t>
            </w:r>
            <w:r w:rsidR="00C1212E">
              <w:t xml:space="preserve"> </w:t>
            </w:r>
            <w:r w:rsidR="00C1212E">
              <w:rPr>
                <w:vertAlign w:val="superscript"/>
              </w:rPr>
              <w:t>4</w:t>
            </w:r>
          </w:p>
        </w:tc>
      </w:tr>
      <w:tr w:rsidR="00763B5A" w:rsidRPr="0009282C" w14:paraId="37729764" w14:textId="77777777" w:rsidTr="00552385">
        <w:tc>
          <w:tcPr>
            <w:tcW w:w="1334" w:type="pct"/>
            <w:shd w:val="clear" w:color="auto" w:fill="auto"/>
            <w:tcMar>
              <w:top w:w="0" w:type="dxa"/>
              <w:bottom w:w="0" w:type="dxa"/>
            </w:tcMar>
            <w:vAlign w:val="center"/>
          </w:tcPr>
          <w:p w14:paraId="35114BBF" w14:textId="77777777" w:rsidR="00763B5A" w:rsidRPr="0009282C" w:rsidRDefault="00763B5A" w:rsidP="00552385">
            <w:pPr>
              <w:pStyle w:val="TableText0"/>
              <w:keepNext/>
              <w:keepLines/>
              <w:rPr>
                <w:sz w:val="19"/>
                <w:szCs w:val="19"/>
              </w:rPr>
            </w:pPr>
            <w:r w:rsidRPr="0009282C">
              <w:rPr>
                <w:sz w:val="19"/>
                <w:szCs w:val="19"/>
              </w:rPr>
              <w:t>Net cost to Services Australia</w:t>
            </w:r>
          </w:p>
        </w:tc>
        <w:tc>
          <w:tcPr>
            <w:tcW w:w="611" w:type="pct"/>
            <w:shd w:val="clear" w:color="auto" w:fill="auto"/>
            <w:tcMar>
              <w:top w:w="0" w:type="dxa"/>
              <w:bottom w:w="0" w:type="dxa"/>
            </w:tcMar>
            <w:vAlign w:val="center"/>
          </w:tcPr>
          <w:p w14:paraId="7393B12E" w14:textId="06AB9FDA"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6"/>
                <w14:textFill>
                  <w14:solidFill>
                    <w14:srgbClr w14:val="000000">
                      <w14:alpha w14:val="100000"/>
                    </w14:srgbClr>
                  </w14:solidFill>
                </w14:textFill>
              </w:rPr>
              <w:t>|||</w:t>
            </w:r>
            <w:r w:rsidR="002212A2" w:rsidRPr="002212A2">
              <w:rPr>
                <w:color w:val="000000"/>
                <w:spacing w:val="3"/>
                <w:shd w:val="solid" w:color="000000" w:fill="000000"/>
                <w:fitText w:val="320" w:id="-694423546"/>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040126E7" w14:textId="6B521FD3"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5"/>
                <w14:textFill>
                  <w14:solidFill>
                    <w14:srgbClr w14:val="000000">
                      <w14:alpha w14:val="100000"/>
                    </w14:srgbClr>
                  </w14:solidFill>
                </w14:textFill>
              </w:rPr>
              <w:t>|||</w:t>
            </w:r>
            <w:r w:rsidR="002212A2" w:rsidRPr="002212A2">
              <w:rPr>
                <w:color w:val="000000"/>
                <w:spacing w:val="3"/>
                <w:shd w:val="solid" w:color="000000" w:fill="000000"/>
                <w:fitText w:val="320" w:id="-694423545"/>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3B3E22B1" w14:textId="20D72C9D"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4"/>
                <w14:textFill>
                  <w14:solidFill>
                    <w14:srgbClr w14:val="000000">
                      <w14:alpha w14:val="100000"/>
                    </w14:srgbClr>
                  </w14:solidFill>
                </w14:textFill>
              </w:rPr>
              <w:t>|||</w:t>
            </w:r>
            <w:r w:rsidR="002212A2" w:rsidRPr="002212A2">
              <w:rPr>
                <w:color w:val="000000"/>
                <w:spacing w:val="3"/>
                <w:shd w:val="solid" w:color="000000" w:fill="000000"/>
                <w:fitText w:val="320" w:id="-694423544"/>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59C5B1AC" w14:textId="5EE2730E"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3"/>
                <w14:textFill>
                  <w14:solidFill>
                    <w14:srgbClr w14:val="000000">
                      <w14:alpha w14:val="100000"/>
                    </w14:srgbClr>
                  </w14:solidFill>
                </w14:textFill>
              </w:rPr>
              <w:t>|||</w:t>
            </w:r>
            <w:r w:rsidR="002212A2" w:rsidRPr="002212A2">
              <w:rPr>
                <w:color w:val="000000"/>
                <w:spacing w:val="3"/>
                <w:shd w:val="solid" w:color="000000" w:fill="000000"/>
                <w:fitText w:val="320" w:id="-694423543"/>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103DF75E" w14:textId="5BCD08FF" w:rsidR="00763B5A" w:rsidRPr="0009282C" w:rsidRDefault="00763B5A" w:rsidP="00552385">
            <w:pPr>
              <w:pStyle w:val="TableText0"/>
              <w:keepNext/>
              <w:keepLines/>
              <w:jc w:val="center"/>
            </w:pPr>
            <w:r w:rsidRPr="0009282C">
              <w:t>$</w:t>
            </w:r>
            <w:r w:rsidR="002212A2" w:rsidRPr="002212A2">
              <w:rPr>
                <w:color w:val="000000"/>
                <w:spacing w:val="49"/>
                <w:shd w:val="solid" w:color="000000" w:fill="000000"/>
                <w:fitText w:val="320" w:id="-694423542"/>
                <w14:textFill>
                  <w14:solidFill>
                    <w14:srgbClr w14:val="000000">
                      <w14:alpha w14:val="100000"/>
                    </w14:srgbClr>
                  </w14:solidFill>
                </w14:textFill>
              </w:rPr>
              <w:t>|||</w:t>
            </w:r>
            <w:r w:rsidR="002212A2" w:rsidRPr="002212A2">
              <w:rPr>
                <w:color w:val="000000"/>
                <w:spacing w:val="3"/>
                <w:shd w:val="solid" w:color="000000" w:fill="000000"/>
                <w:fitText w:val="320" w:id="-694423542"/>
                <w14:textFill>
                  <w14:solidFill>
                    <w14:srgbClr w14:val="000000">
                      <w14:alpha w14:val="100000"/>
                    </w14:srgbClr>
                  </w14:solidFill>
                </w14:textFill>
              </w:rPr>
              <w:t>|</w:t>
            </w:r>
            <w:r w:rsidR="00C1212E">
              <w:t xml:space="preserve"> </w:t>
            </w:r>
            <w:r w:rsidR="00C1212E">
              <w:rPr>
                <w:vertAlign w:val="superscript"/>
              </w:rPr>
              <w:t>4</w:t>
            </w:r>
          </w:p>
        </w:tc>
        <w:tc>
          <w:tcPr>
            <w:tcW w:w="611" w:type="pct"/>
            <w:shd w:val="clear" w:color="auto" w:fill="auto"/>
            <w:tcMar>
              <w:top w:w="0" w:type="dxa"/>
              <w:bottom w:w="0" w:type="dxa"/>
            </w:tcMar>
            <w:vAlign w:val="center"/>
          </w:tcPr>
          <w:p w14:paraId="3447897F" w14:textId="052D1C8F" w:rsidR="00763B5A" w:rsidRPr="0009282C" w:rsidRDefault="00763B5A" w:rsidP="00552385">
            <w:pPr>
              <w:pStyle w:val="TableText0"/>
              <w:keepNext/>
              <w:keepLines/>
              <w:jc w:val="center"/>
            </w:pPr>
            <w:r w:rsidRPr="0009282C">
              <w:t>$</w:t>
            </w:r>
            <w:r w:rsidR="002212A2">
              <w:rPr>
                <w:color w:val="000000"/>
                <w:spacing w:val="49"/>
                <w:shd w:val="solid" w:color="000000" w:fill="000000"/>
                <w:fitText w:val="320" w:id="-694423541"/>
                <w14:textFill>
                  <w14:solidFill>
                    <w14:srgbClr w14:val="000000">
                      <w14:alpha w14:val="100000"/>
                    </w14:srgbClr>
                  </w14:solidFill>
                </w14:textFill>
              </w:rPr>
              <w:t>|||</w:t>
            </w:r>
            <w:r w:rsidR="002212A2">
              <w:rPr>
                <w:color w:val="000000"/>
                <w:spacing w:val="1"/>
                <w:shd w:val="solid" w:color="000000" w:fill="000000"/>
                <w:fitText w:val="320" w:id="-694423541"/>
                <w14:textFill>
                  <w14:solidFill>
                    <w14:srgbClr w14:val="000000">
                      <w14:alpha w14:val="100000"/>
                    </w14:srgbClr>
                  </w14:solidFill>
                </w14:textFill>
              </w:rPr>
              <w:t>|</w:t>
            </w:r>
            <w:r w:rsidR="00C1212E">
              <w:t xml:space="preserve"> </w:t>
            </w:r>
            <w:r w:rsidR="00C1212E">
              <w:rPr>
                <w:vertAlign w:val="superscript"/>
              </w:rPr>
              <w:t>4</w:t>
            </w:r>
          </w:p>
        </w:tc>
      </w:tr>
    </w:tbl>
    <w:p w14:paraId="4226B164" w14:textId="4F4A7334" w:rsidR="00763B5A" w:rsidRPr="0009282C" w:rsidRDefault="00763B5A" w:rsidP="00552385">
      <w:pPr>
        <w:keepNext/>
        <w:keepLines/>
        <w:spacing w:after="120"/>
        <w:contextualSpacing/>
        <w:rPr>
          <w:rFonts w:ascii="Arial Narrow" w:hAnsi="Arial Narrow"/>
          <w:bCs/>
          <w:snapToGrid w:val="0"/>
          <w:sz w:val="18"/>
          <w:szCs w:val="22"/>
        </w:rPr>
      </w:pPr>
      <w:r w:rsidRPr="0009282C">
        <w:rPr>
          <w:rFonts w:ascii="Arial Narrow" w:hAnsi="Arial Narrow"/>
          <w:snapToGrid w:val="0"/>
          <w:sz w:val="18"/>
          <w:szCs w:val="22"/>
        </w:rPr>
        <w:t>Abbreviations: MBS, medicine benefits schedule; PBS, pharmaceutical benefits scheme</w:t>
      </w:r>
    </w:p>
    <w:p w14:paraId="27EAA44F" w14:textId="763275EB" w:rsidR="00763B5A" w:rsidRDefault="00763B5A" w:rsidP="00552385">
      <w:pPr>
        <w:keepNext/>
        <w:keepLines/>
        <w:spacing w:after="120"/>
        <w:contextualSpacing/>
        <w:rPr>
          <w:rFonts w:ascii="Arial Narrow" w:hAnsi="Arial Narrow"/>
          <w:snapToGrid w:val="0"/>
          <w:sz w:val="18"/>
          <w:szCs w:val="22"/>
        </w:rPr>
      </w:pPr>
      <w:r w:rsidRPr="0009282C">
        <w:rPr>
          <w:rFonts w:ascii="Arial Narrow" w:hAnsi="Arial Narrow"/>
          <w:snapToGrid w:val="0"/>
          <w:sz w:val="18"/>
          <w:szCs w:val="22"/>
        </w:rPr>
        <w:t>Source: Table 4.4, 4.7, 4.8, 4.10, 4.11 p163-166 of the submission</w:t>
      </w:r>
      <w:r w:rsidR="008A0223" w:rsidRPr="0009282C">
        <w:rPr>
          <w:rFonts w:ascii="Arial Narrow" w:hAnsi="Arial Narrow"/>
          <w:snapToGrid w:val="0"/>
          <w:sz w:val="18"/>
          <w:szCs w:val="22"/>
        </w:rPr>
        <w:t>; pre-PBAC response</w:t>
      </w:r>
    </w:p>
    <w:p w14:paraId="623141E9" w14:textId="77777777" w:rsidR="00C21D40" w:rsidRPr="002D4A81" w:rsidRDefault="00C21D40" w:rsidP="00C21D40">
      <w:pPr>
        <w:rPr>
          <w:rFonts w:ascii="Arial Narrow" w:eastAsia="Times New Roman" w:hAnsi="Arial Narrow"/>
          <w:iCs/>
          <w:sz w:val="18"/>
          <w:szCs w:val="18"/>
        </w:rPr>
      </w:pPr>
      <w:r w:rsidRPr="002D4A81">
        <w:rPr>
          <w:rFonts w:ascii="Arial Narrow" w:eastAsia="Times New Roman" w:hAnsi="Arial Narrow"/>
          <w:iCs/>
          <w:sz w:val="18"/>
          <w:szCs w:val="18"/>
        </w:rPr>
        <w:t xml:space="preserve">The redacted values correspond to the following ranges: </w:t>
      </w:r>
    </w:p>
    <w:p w14:paraId="16BA6169" w14:textId="0C7CE9A5" w:rsidR="00C21D40" w:rsidRPr="002D4A81" w:rsidRDefault="00C21D40" w:rsidP="00C21D40">
      <w:pPr>
        <w:rPr>
          <w:rFonts w:ascii="Arial Narrow" w:eastAsia="Times New Roman" w:hAnsi="Arial Narrow"/>
          <w:iCs/>
          <w:sz w:val="18"/>
          <w:szCs w:val="18"/>
        </w:rPr>
      </w:pPr>
      <w:r w:rsidRPr="002D4A81">
        <w:rPr>
          <w:rFonts w:ascii="Arial Narrow" w:eastAsia="Times New Roman" w:hAnsi="Arial Narrow"/>
          <w:iCs/>
          <w:sz w:val="18"/>
          <w:szCs w:val="18"/>
          <w:vertAlign w:val="superscript"/>
        </w:rPr>
        <w:t>1</w:t>
      </w:r>
      <w:r w:rsidRPr="002D4A81">
        <w:rPr>
          <w:rFonts w:ascii="Arial Narrow" w:eastAsia="Times New Roman" w:hAnsi="Arial Narrow"/>
          <w:iCs/>
          <w:sz w:val="18"/>
          <w:szCs w:val="18"/>
        </w:rPr>
        <w:t xml:space="preserve"> &lt; 500</w:t>
      </w:r>
    </w:p>
    <w:p w14:paraId="0737C3DA" w14:textId="77064A89" w:rsidR="00C21D40" w:rsidRPr="002D4A81" w:rsidRDefault="00C21D40" w:rsidP="00C21D40">
      <w:pPr>
        <w:rPr>
          <w:rFonts w:ascii="Arial Narrow" w:eastAsia="Times New Roman" w:hAnsi="Arial Narrow"/>
          <w:iCs/>
          <w:sz w:val="18"/>
          <w:szCs w:val="18"/>
        </w:rPr>
      </w:pPr>
      <w:r w:rsidRPr="002D4A81">
        <w:rPr>
          <w:rFonts w:ascii="Arial Narrow" w:eastAsia="Times New Roman" w:hAnsi="Arial Narrow"/>
          <w:iCs/>
          <w:sz w:val="18"/>
          <w:szCs w:val="18"/>
          <w:vertAlign w:val="superscript"/>
        </w:rPr>
        <w:t>2</w:t>
      </w:r>
      <w:r w:rsidRPr="002D4A81">
        <w:rPr>
          <w:rFonts w:ascii="Arial Narrow" w:eastAsia="Times New Roman" w:hAnsi="Arial Narrow"/>
          <w:iCs/>
          <w:sz w:val="18"/>
          <w:szCs w:val="18"/>
        </w:rPr>
        <w:t xml:space="preserve"> </w:t>
      </w:r>
      <w:r w:rsidR="0058132C" w:rsidRPr="002D4A81">
        <w:rPr>
          <w:rFonts w:ascii="Arial Narrow" w:eastAsia="Times New Roman" w:hAnsi="Arial Narrow"/>
          <w:iCs/>
          <w:sz w:val="18"/>
          <w:szCs w:val="18"/>
        </w:rPr>
        <w:t>$10 million to &lt; $20 million</w:t>
      </w:r>
    </w:p>
    <w:p w14:paraId="01613959" w14:textId="3860875A" w:rsidR="00C21D40" w:rsidRPr="002D4A81" w:rsidRDefault="00C21D40" w:rsidP="00C21D40">
      <w:pPr>
        <w:rPr>
          <w:rFonts w:ascii="Arial Narrow" w:eastAsia="Times New Roman" w:hAnsi="Arial Narrow"/>
          <w:iCs/>
          <w:sz w:val="18"/>
          <w:szCs w:val="18"/>
        </w:rPr>
      </w:pPr>
      <w:r w:rsidRPr="002D4A81">
        <w:rPr>
          <w:rFonts w:ascii="Arial Narrow" w:eastAsia="Times New Roman" w:hAnsi="Arial Narrow"/>
          <w:iCs/>
          <w:sz w:val="18"/>
          <w:szCs w:val="18"/>
          <w:vertAlign w:val="superscript"/>
        </w:rPr>
        <w:t>3</w:t>
      </w:r>
      <w:r w:rsidRPr="002D4A81">
        <w:rPr>
          <w:rFonts w:ascii="Arial Narrow" w:eastAsia="Times New Roman" w:hAnsi="Arial Narrow"/>
          <w:iCs/>
          <w:sz w:val="18"/>
          <w:szCs w:val="18"/>
        </w:rPr>
        <w:t xml:space="preserve"> net cost saving</w:t>
      </w:r>
    </w:p>
    <w:p w14:paraId="233DF057" w14:textId="4B85E75E" w:rsidR="00C21D40" w:rsidRPr="002D4A81" w:rsidRDefault="00C21D40" w:rsidP="00C21D40">
      <w:pPr>
        <w:spacing w:after="120"/>
        <w:rPr>
          <w:rFonts w:ascii="Arial Narrow" w:eastAsia="Times New Roman" w:hAnsi="Arial Narrow"/>
          <w:iCs/>
          <w:sz w:val="18"/>
          <w:szCs w:val="18"/>
        </w:rPr>
      </w:pPr>
      <w:r w:rsidRPr="002D4A81">
        <w:rPr>
          <w:rFonts w:ascii="Arial Narrow" w:eastAsia="Times New Roman" w:hAnsi="Arial Narrow"/>
          <w:iCs/>
          <w:sz w:val="18"/>
          <w:szCs w:val="18"/>
          <w:vertAlign w:val="superscript"/>
        </w:rPr>
        <w:t>4</w:t>
      </w:r>
      <w:r w:rsidRPr="002D4A81">
        <w:rPr>
          <w:rFonts w:ascii="Arial Narrow" w:eastAsia="Times New Roman" w:hAnsi="Arial Narrow"/>
          <w:iCs/>
          <w:sz w:val="18"/>
          <w:szCs w:val="18"/>
        </w:rPr>
        <w:t xml:space="preserve"> </w:t>
      </w:r>
      <w:r w:rsidR="00CA7FD6" w:rsidRPr="002D4A81">
        <w:rPr>
          <w:rFonts w:ascii="Arial Narrow" w:eastAsia="Times New Roman" w:hAnsi="Arial Narrow"/>
          <w:iCs/>
          <w:sz w:val="18"/>
          <w:szCs w:val="18"/>
        </w:rPr>
        <w:t>$0 to &lt; $10 million</w:t>
      </w:r>
    </w:p>
    <w:p w14:paraId="6DD6BEED" w14:textId="581CA233" w:rsidR="00C364E8" w:rsidRPr="00C364E8" w:rsidRDefault="00EA0D71">
      <w:pPr>
        <w:pStyle w:val="3-BodyText"/>
      </w:pPr>
      <w:r w:rsidRPr="00C364E8">
        <w:rPr>
          <w:bCs/>
        </w:rPr>
        <w:t>T</w:t>
      </w:r>
      <w:r w:rsidR="00F70DE2" w:rsidRPr="00C364E8">
        <w:rPr>
          <w:bCs/>
        </w:rPr>
        <w:t xml:space="preserve">he </w:t>
      </w:r>
      <w:r w:rsidR="0052049D" w:rsidRPr="00C364E8">
        <w:rPr>
          <w:bCs/>
        </w:rPr>
        <w:t>DUSC consider</w:t>
      </w:r>
      <w:r w:rsidR="006B2351" w:rsidRPr="00C364E8">
        <w:rPr>
          <w:bCs/>
        </w:rPr>
        <w:t>ed that</w:t>
      </w:r>
      <w:r w:rsidR="0052049D" w:rsidRPr="00C364E8">
        <w:rPr>
          <w:bCs/>
        </w:rPr>
        <w:t xml:space="preserve"> the estimates presented in the submission to be overestimated. </w:t>
      </w:r>
      <w:r w:rsidR="00340B30" w:rsidRPr="00C364E8">
        <w:rPr>
          <w:bCs/>
        </w:rPr>
        <w:t xml:space="preserve">This was primarily due </w:t>
      </w:r>
      <w:r w:rsidR="00D97167" w:rsidRPr="00C364E8">
        <w:rPr>
          <w:bCs/>
        </w:rPr>
        <w:t xml:space="preserve">to </w:t>
      </w:r>
      <w:r w:rsidR="009F3C1A" w:rsidRPr="00C364E8">
        <w:rPr>
          <w:bCs/>
        </w:rPr>
        <w:t>the</w:t>
      </w:r>
      <w:r w:rsidR="00040BCE" w:rsidRPr="00C364E8">
        <w:rPr>
          <w:bCs/>
        </w:rPr>
        <w:t xml:space="preserve"> data sources </w:t>
      </w:r>
      <w:r w:rsidR="00C364E8">
        <w:rPr>
          <w:bCs/>
        </w:rPr>
        <w:t>used to estimate the projected population and the prevalence of PH1</w:t>
      </w:r>
      <w:r w:rsidR="00435AEF">
        <w:rPr>
          <w:bCs/>
        </w:rPr>
        <w:t>.</w:t>
      </w:r>
      <w:r w:rsidR="00C364E8">
        <w:rPr>
          <w:bCs/>
        </w:rPr>
        <w:t xml:space="preserve"> </w:t>
      </w:r>
    </w:p>
    <w:p w14:paraId="37435E18" w14:textId="3DC947DD" w:rsidR="0052049D" w:rsidRPr="0009282C" w:rsidRDefault="000C718E" w:rsidP="0058132C">
      <w:pPr>
        <w:pStyle w:val="3-BodyText"/>
      </w:pPr>
      <w:r w:rsidRPr="00C364E8">
        <w:rPr>
          <w:bCs/>
        </w:rPr>
        <w:t>The</w:t>
      </w:r>
      <w:r w:rsidRPr="00C364E8">
        <w:rPr>
          <w:b/>
        </w:rPr>
        <w:t xml:space="preserve"> </w:t>
      </w:r>
      <w:r w:rsidR="0052049D" w:rsidRPr="0009282C">
        <w:t>DUSC advised that minor changes to the methods used to derive the utilisation and financial estimates and structure of the estimates model should be considered as follows:</w:t>
      </w:r>
    </w:p>
    <w:p w14:paraId="2E7D890D" w14:textId="2EFD600D" w:rsidR="0052049D" w:rsidRPr="0009282C" w:rsidRDefault="0052049D" w:rsidP="0058132C">
      <w:pPr>
        <w:pStyle w:val="ListParagraph"/>
        <w:numPr>
          <w:ilvl w:val="0"/>
          <w:numId w:val="18"/>
        </w:numPr>
        <w:spacing w:before="120"/>
        <w:ind w:left="1134" w:hanging="357"/>
        <w:jc w:val="both"/>
      </w:pPr>
      <w:r w:rsidRPr="0009282C">
        <w:t>A higher uptake rate of 90</w:t>
      </w:r>
      <w:r w:rsidR="00A354DE" w:rsidRPr="0009282C">
        <w:rPr>
          <w:rFonts w:cstheme="minorHAnsi"/>
        </w:rPr>
        <w:t>−</w:t>
      </w:r>
      <w:r w:rsidRPr="0009282C">
        <w:t>100% may be more likely and should be tested in a sensitivity analysis.</w:t>
      </w:r>
    </w:p>
    <w:p w14:paraId="0F133138" w14:textId="77777777" w:rsidR="00C7762A" w:rsidRPr="0009282C" w:rsidRDefault="0052049D" w:rsidP="0058132C">
      <w:pPr>
        <w:pStyle w:val="ListParagraph"/>
        <w:numPr>
          <w:ilvl w:val="0"/>
          <w:numId w:val="18"/>
        </w:numPr>
        <w:spacing w:before="120"/>
        <w:ind w:left="1134" w:hanging="357"/>
        <w:jc w:val="both"/>
      </w:pPr>
      <w:r w:rsidRPr="0009282C">
        <w:t>A discontinuation rate per annum of 0% and 1% should be tested in a sensitivity analysis.</w:t>
      </w:r>
    </w:p>
    <w:p w14:paraId="77E845EA" w14:textId="53EEE6A5" w:rsidR="0052049D" w:rsidRPr="0009282C" w:rsidRDefault="0052049D" w:rsidP="0058132C">
      <w:pPr>
        <w:pStyle w:val="ListParagraph"/>
        <w:numPr>
          <w:ilvl w:val="0"/>
          <w:numId w:val="18"/>
        </w:numPr>
        <w:spacing w:before="120"/>
        <w:ind w:left="1134" w:hanging="357"/>
        <w:jc w:val="both"/>
      </w:pPr>
      <w:r w:rsidRPr="0009282C">
        <w:t>A sensitivity analysis be conducted that incorporates age-specific growth rates for each patient group to better account for weight progression and vial usage over time.</w:t>
      </w:r>
    </w:p>
    <w:p w14:paraId="24ABF062" w14:textId="7A7190DC" w:rsidR="00C7762A" w:rsidRPr="0009282C" w:rsidRDefault="00300ED6" w:rsidP="0058132C">
      <w:pPr>
        <w:spacing w:before="120" w:after="120"/>
        <w:ind w:left="774"/>
        <w:contextualSpacing/>
        <w:rPr>
          <w:snapToGrid w:val="0"/>
        </w:rPr>
      </w:pPr>
      <w:r w:rsidRPr="0009282C">
        <w:rPr>
          <w:snapToGrid w:val="0"/>
        </w:rPr>
        <w:t xml:space="preserve">The pre-PBAC Response provided </w:t>
      </w:r>
      <w:r w:rsidR="0077592F" w:rsidRPr="0009282C">
        <w:rPr>
          <w:snapToGrid w:val="0"/>
        </w:rPr>
        <w:t xml:space="preserve">sensitivity analyses as per </w:t>
      </w:r>
      <w:r w:rsidR="00917F86" w:rsidRPr="0009282C">
        <w:rPr>
          <w:snapToGrid w:val="0"/>
        </w:rPr>
        <w:t xml:space="preserve">the </w:t>
      </w:r>
      <w:r w:rsidR="0077592F" w:rsidRPr="0009282C">
        <w:rPr>
          <w:snapToGrid w:val="0"/>
        </w:rPr>
        <w:t>DUSC advice</w:t>
      </w:r>
      <w:r w:rsidR="00A2779C" w:rsidRPr="0009282C">
        <w:rPr>
          <w:snapToGrid w:val="0"/>
        </w:rPr>
        <w:t>.</w:t>
      </w:r>
      <w:r w:rsidR="00F61653">
        <w:rPr>
          <w:snapToGrid w:val="0"/>
        </w:rPr>
        <w:t xml:space="preserve"> </w:t>
      </w:r>
      <w:r w:rsidR="000D5D68">
        <w:rPr>
          <w:snapToGrid w:val="0"/>
        </w:rPr>
        <w:t>However, t</w:t>
      </w:r>
      <w:r w:rsidR="00F61653">
        <w:rPr>
          <w:snapToGrid w:val="0"/>
        </w:rPr>
        <w:t xml:space="preserve">he analyses provided could not be </w:t>
      </w:r>
      <w:r w:rsidR="009E2C86">
        <w:rPr>
          <w:snapToGrid w:val="0"/>
        </w:rPr>
        <w:t>verified prior to PBAC consideration.</w:t>
      </w:r>
      <w:r w:rsidR="00A2779C" w:rsidRPr="0009282C">
        <w:rPr>
          <w:snapToGrid w:val="0"/>
        </w:rPr>
        <w:t xml:space="preserve"> </w:t>
      </w:r>
    </w:p>
    <w:p w14:paraId="012753CE" w14:textId="5BE9689E" w:rsidR="00576972" w:rsidRPr="0009282C" w:rsidRDefault="00576972" w:rsidP="00606FBA">
      <w:pPr>
        <w:pStyle w:val="4-SubsectionHeading"/>
        <w:rPr>
          <w:i w:val="0"/>
        </w:rPr>
      </w:pPr>
      <w:r w:rsidRPr="0009282C">
        <w:rPr>
          <w:i w:val="0"/>
        </w:rPr>
        <w:t>Quality Use of Medicines</w:t>
      </w:r>
      <w:bookmarkEnd w:id="84"/>
      <w:bookmarkEnd w:id="85"/>
      <w:bookmarkEnd w:id="86"/>
    </w:p>
    <w:p w14:paraId="5CC6B989" w14:textId="78BC50F1" w:rsidR="00A40EC4" w:rsidRPr="0009282C" w:rsidRDefault="00A40EC4" w:rsidP="00EC48DC">
      <w:pPr>
        <w:pStyle w:val="3-BodyText"/>
      </w:pPr>
      <w:r w:rsidRPr="0009282C">
        <w:t>Quality use of medicine was not discussed in th</w:t>
      </w:r>
      <w:r w:rsidR="004859A6">
        <w:t>e</w:t>
      </w:r>
      <w:r w:rsidRPr="0009282C">
        <w:t xml:space="preserve"> submission. </w:t>
      </w:r>
      <w:r w:rsidR="00421AC3" w:rsidRPr="0009282C">
        <w:t xml:space="preserve">The DUSC considered that injection-site reactions </w:t>
      </w:r>
      <w:r w:rsidR="00C8621D" w:rsidRPr="0009282C">
        <w:t>could</w:t>
      </w:r>
      <w:r w:rsidR="00421AC3" w:rsidRPr="0009282C">
        <w:t xml:space="preserve"> be minimised through proper injection technique, site rotation, and patient education. Post-injection care, such as cold compress application and avoiding site manipulation, helps reduce discomfort. Patients should be monitored for severe reactions, with documentation and timely consultation recommended. These strategies support the safe and effective use of </w:t>
      </w:r>
      <w:proofErr w:type="spellStart"/>
      <w:r w:rsidR="00421AC3" w:rsidRPr="0009282C">
        <w:t>lumasiran</w:t>
      </w:r>
      <w:proofErr w:type="spellEnd"/>
      <w:r w:rsidR="00421AC3" w:rsidRPr="0009282C">
        <w:t xml:space="preserve"> in clinical practice and should be considered.</w:t>
      </w:r>
    </w:p>
    <w:p w14:paraId="4EC8A359" w14:textId="77777777" w:rsidR="00576972" w:rsidRPr="0009282C" w:rsidRDefault="00576972" w:rsidP="00606FBA">
      <w:pPr>
        <w:pStyle w:val="4-SubsectionHeading"/>
      </w:pPr>
      <w:bookmarkStart w:id="92" w:name="_Toc22897649"/>
      <w:bookmarkStart w:id="93" w:name="_Toc107927635"/>
      <w:bookmarkStart w:id="94" w:name="_Toc188443845"/>
      <w:r w:rsidRPr="0009282C">
        <w:t>Financial Management – Risk Sharing Arrangements</w:t>
      </w:r>
      <w:bookmarkEnd w:id="92"/>
      <w:bookmarkEnd w:id="93"/>
      <w:bookmarkEnd w:id="94"/>
    </w:p>
    <w:p w14:paraId="022F65D4" w14:textId="0D5B0723" w:rsidR="00A40EC4" w:rsidRPr="0009282C" w:rsidRDefault="00A40EC4" w:rsidP="00EC48DC">
      <w:pPr>
        <w:pStyle w:val="3-BodyText"/>
      </w:pPr>
      <w:r w:rsidRPr="0009282C">
        <w:t>Ris</w:t>
      </w:r>
      <w:r w:rsidR="00EA4E1C" w:rsidRPr="0009282C">
        <w:t>k</w:t>
      </w:r>
      <w:r w:rsidRPr="0009282C">
        <w:t xml:space="preserve"> sharing arrangement was </w:t>
      </w:r>
      <w:r w:rsidR="007E4E49" w:rsidRPr="0009282C">
        <w:t xml:space="preserve">not </w:t>
      </w:r>
      <w:r w:rsidRPr="0009282C">
        <w:t xml:space="preserve">discussed in the submission. </w:t>
      </w:r>
    </w:p>
    <w:p w14:paraId="35964ED6" w14:textId="756BC77E" w:rsidR="00F55753" w:rsidRPr="0009282C" w:rsidRDefault="00B622E7" w:rsidP="00753CB5">
      <w:pPr>
        <w:pStyle w:val="3-BodyText"/>
        <w:numPr>
          <w:ilvl w:val="0"/>
          <w:numId w:val="0"/>
        </w:numPr>
        <w:ind w:firstLine="709"/>
        <w:rPr>
          <w:i/>
          <w:iCs/>
        </w:rPr>
      </w:pPr>
      <w:r w:rsidRPr="0009282C">
        <w:rPr>
          <w:i/>
          <w:iCs/>
        </w:rPr>
        <w:t>For more detail on PBAC’s view, see section 7 PBAC outcome.</w:t>
      </w:r>
    </w:p>
    <w:p w14:paraId="205E3CA2" w14:textId="77777777" w:rsidR="001E34A2" w:rsidRPr="0009282C" w:rsidRDefault="00AF3B6E" w:rsidP="000222C0">
      <w:pPr>
        <w:pStyle w:val="2-SectionHeading"/>
        <w:ind w:left="709" w:hanging="709"/>
      </w:pPr>
      <w:bookmarkStart w:id="95" w:name="_Hlk76381249"/>
      <w:bookmarkStart w:id="96" w:name="_Hlk76377955"/>
      <w:r w:rsidRPr="0009282C">
        <w:t>PBAC Outcome</w:t>
      </w:r>
    </w:p>
    <w:p w14:paraId="2E089AE7" w14:textId="5BD9204B" w:rsidR="001E34A2" w:rsidRDefault="00D558A5" w:rsidP="00EB4864">
      <w:pPr>
        <w:pStyle w:val="3-BodyText"/>
        <w:numPr>
          <w:ilvl w:val="1"/>
          <w:numId w:val="34"/>
        </w:numPr>
      </w:pPr>
      <w:r w:rsidRPr="0009282C">
        <w:t xml:space="preserve">The PBAC recommended the listing of </w:t>
      </w:r>
      <w:proofErr w:type="spellStart"/>
      <w:r w:rsidR="00B2464B" w:rsidRPr="0009282C">
        <w:t>lumasiran</w:t>
      </w:r>
      <w:proofErr w:type="spellEnd"/>
      <w:r w:rsidR="00B2464B" w:rsidRPr="0009282C">
        <w:t xml:space="preserve"> for the treatment of primary hyperoxaluria type 1 (PH1).</w:t>
      </w:r>
      <w:r w:rsidR="00D9473A" w:rsidRPr="0009282C">
        <w:t xml:space="preserve"> In making this recommendation, the PBAC accepted there is a high unmet clinical need for treatment options for patients with </w:t>
      </w:r>
      <w:r w:rsidR="00972AE2" w:rsidRPr="0009282C">
        <w:t>PH1</w:t>
      </w:r>
      <w:r w:rsidR="00D9473A" w:rsidRPr="0009282C">
        <w:t xml:space="preserve">, and that </w:t>
      </w:r>
      <w:proofErr w:type="spellStart"/>
      <w:r w:rsidR="00972AE2" w:rsidRPr="0009282C">
        <w:t>lumasiran</w:t>
      </w:r>
      <w:proofErr w:type="spellEnd"/>
      <w:r w:rsidR="00D9473A" w:rsidRPr="0009282C">
        <w:t xml:space="preserve"> is effective in reducing </w:t>
      </w:r>
      <w:r w:rsidR="0013214C" w:rsidRPr="0009282C">
        <w:t xml:space="preserve">urinary </w:t>
      </w:r>
      <w:r w:rsidR="00D915F8" w:rsidRPr="0009282C">
        <w:t xml:space="preserve">oxalate </w:t>
      </w:r>
      <w:r w:rsidR="0013214C" w:rsidRPr="0009282C">
        <w:t>and plasma oxalate</w:t>
      </w:r>
      <w:r w:rsidR="00D9473A" w:rsidRPr="0009282C">
        <w:t xml:space="preserve"> and </w:t>
      </w:r>
      <w:r w:rsidR="00F5640F" w:rsidRPr="0009282C">
        <w:t>may</w:t>
      </w:r>
      <w:r w:rsidR="0013214C" w:rsidRPr="0009282C">
        <w:t xml:space="preserve"> </w:t>
      </w:r>
      <w:r w:rsidR="002F78D5" w:rsidRPr="0009282C">
        <w:t xml:space="preserve">also </w:t>
      </w:r>
      <w:r w:rsidR="0013214C" w:rsidRPr="0009282C">
        <w:t>lead to a</w:t>
      </w:r>
      <w:r w:rsidR="00F5640F" w:rsidRPr="0009282C">
        <w:t xml:space="preserve"> reduc</w:t>
      </w:r>
      <w:r w:rsidR="00E731DF" w:rsidRPr="0009282C">
        <w:t>tion in</w:t>
      </w:r>
      <w:r w:rsidR="00A81597" w:rsidRPr="0009282C">
        <w:t xml:space="preserve"> the</w:t>
      </w:r>
      <w:r w:rsidR="00F5640F" w:rsidRPr="0009282C">
        <w:t xml:space="preserve"> utilisation</w:t>
      </w:r>
      <w:r w:rsidR="0013214C" w:rsidRPr="0009282C">
        <w:t xml:space="preserve"> of</w:t>
      </w:r>
      <w:r w:rsidR="00F5640F" w:rsidRPr="0009282C">
        <w:t xml:space="preserve"> dialysis and </w:t>
      </w:r>
      <w:r w:rsidR="00A81597" w:rsidRPr="0009282C">
        <w:t xml:space="preserve">liver-kidney </w:t>
      </w:r>
      <w:r w:rsidR="00F5640F" w:rsidRPr="0009282C">
        <w:t>transplantation.</w:t>
      </w:r>
      <w:r w:rsidR="00DA17CE" w:rsidRPr="0009282C">
        <w:t xml:space="preserve"> The PBAC considered that the incremental cost-effectiveness </w:t>
      </w:r>
      <w:r w:rsidR="00D915F8" w:rsidRPr="0009282C">
        <w:t xml:space="preserve">ratio (ICER) </w:t>
      </w:r>
      <w:r w:rsidR="00DA17CE" w:rsidRPr="0009282C">
        <w:t xml:space="preserve">was </w:t>
      </w:r>
      <w:r w:rsidR="00B644D8" w:rsidRPr="0009282C">
        <w:t>high</w:t>
      </w:r>
      <w:r w:rsidR="00284799" w:rsidRPr="0009282C">
        <w:t xml:space="preserve"> and</w:t>
      </w:r>
      <w:r w:rsidR="00B644D8" w:rsidRPr="0009282C">
        <w:t xml:space="preserve"> that</w:t>
      </w:r>
      <w:r w:rsidR="00284799" w:rsidRPr="0009282C">
        <w:t xml:space="preserve"> </w:t>
      </w:r>
      <w:r w:rsidR="009033A6" w:rsidRPr="0009282C">
        <w:t xml:space="preserve">the economic model </w:t>
      </w:r>
      <w:r w:rsidR="009033A6" w:rsidRPr="00320E2A">
        <w:t xml:space="preserve">was not </w:t>
      </w:r>
      <w:r w:rsidR="00320E2A" w:rsidRPr="00320E2A">
        <w:t xml:space="preserve">sufficiently </w:t>
      </w:r>
      <w:r w:rsidR="009033A6" w:rsidRPr="00320E2A">
        <w:t>reliable for decision making</w:t>
      </w:r>
      <w:r w:rsidR="00DA17CE" w:rsidRPr="00320E2A">
        <w:t xml:space="preserve"> d</w:t>
      </w:r>
      <w:r w:rsidR="00DA17CE" w:rsidRPr="0009282C">
        <w:t xml:space="preserve">ue to </w:t>
      </w:r>
      <w:r w:rsidR="00744A32" w:rsidRPr="0009282C">
        <w:t xml:space="preserve">uncertainty </w:t>
      </w:r>
      <w:r w:rsidR="00180B00" w:rsidRPr="0009282C">
        <w:t>related to</w:t>
      </w:r>
      <w:r w:rsidR="00744A32" w:rsidRPr="0009282C">
        <w:t xml:space="preserve"> the translation of trial evidence to final health outcomes</w:t>
      </w:r>
      <w:r w:rsidR="00180B00" w:rsidRPr="0009282C">
        <w:t xml:space="preserve"> and the use of </w:t>
      </w:r>
      <w:r w:rsidR="001A4DD0" w:rsidRPr="0009282C">
        <w:t>optimistic assumptions, utilities</w:t>
      </w:r>
      <w:r w:rsidR="00345BDE" w:rsidRPr="0009282C">
        <w:t>,</w:t>
      </w:r>
      <w:r w:rsidR="001A4DD0" w:rsidRPr="0009282C">
        <w:t xml:space="preserve"> and structural relationships. The PBAC considered </w:t>
      </w:r>
      <w:r w:rsidR="00DA17CE" w:rsidRPr="0009282C">
        <w:t xml:space="preserve">that in the context of this rare and life-limiting disease, </w:t>
      </w:r>
      <w:proofErr w:type="spellStart"/>
      <w:r w:rsidR="00284799" w:rsidRPr="0009282C">
        <w:t>lumasiran</w:t>
      </w:r>
      <w:proofErr w:type="spellEnd"/>
      <w:r w:rsidR="00284799" w:rsidRPr="0009282C">
        <w:t xml:space="preserve"> </w:t>
      </w:r>
      <w:r w:rsidR="00DA17CE" w:rsidRPr="0009282C">
        <w:t>would be considered acceptably cost-effective with a price reduction that resulted in an acceptable cost per patient per year.</w:t>
      </w:r>
      <w:r w:rsidR="00AB467C" w:rsidRPr="0009282C">
        <w:t xml:space="preserve"> </w:t>
      </w:r>
      <w:r w:rsidR="00FD07D6" w:rsidRPr="0009282C">
        <w:t xml:space="preserve">The PBAC noted that the estimated utilisation of </w:t>
      </w:r>
      <w:proofErr w:type="spellStart"/>
      <w:r w:rsidR="00354EED" w:rsidRPr="0009282C">
        <w:t>lumasiran</w:t>
      </w:r>
      <w:proofErr w:type="spellEnd"/>
      <w:r w:rsidR="00FD07D6" w:rsidRPr="0009282C">
        <w:t xml:space="preserve"> </w:t>
      </w:r>
      <w:r w:rsidR="00AB467C" w:rsidRPr="0009282C">
        <w:t xml:space="preserve">had been corrected for errors </w:t>
      </w:r>
      <w:r w:rsidR="004D01E3" w:rsidRPr="0009282C">
        <w:t xml:space="preserve">in the </w:t>
      </w:r>
      <w:r w:rsidR="00D662D8">
        <w:t>pr</w:t>
      </w:r>
      <w:r w:rsidR="004D01E3" w:rsidRPr="0009282C">
        <w:t>e-PBAC Response</w:t>
      </w:r>
      <w:r w:rsidR="00FD07D6" w:rsidRPr="0009282C">
        <w:t xml:space="preserve">. The PBAC considered that </w:t>
      </w:r>
      <w:r w:rsidR="007F633E" w:rsidRPr="0009282C">
        <w:t xml:space="preserve">the </w:t>
      </w:r>
      <w:r w:rsidR="00FD07D6" w:rsidRPr="0009282C">
        <w:t>remaining uncertainties</w:t>
      </w:r>
      <w:r w:rsidR="00CA763E">
        <w:t xml:space="preserve"> </w:t>
      </w:r>
      <w:r w:rsidR="00534BAF">
        <w:t>regarding</w:t>
      </w:r>
      <w:r w:rsidR="00BD4DE6">
        <w:t xml:space="preserve"> the cost-effectiveness</w:t>
      </w:r>
      <w:r w:rsidR="0054480D">
        <w:t>,</w:t>
      </w:r>
      <w:r w:rsidR="00BD4DE6">
        <w:t xml:space="preserve"> cost per patient per year</w:t>
      </w:r>
      <w:r w:rsidR="00007D2E">
        <w:t xml:space="preserve"> and utilisation</w:t>
      </w:r>
      <w:r w:rsidR="00FD07D6" w:rsidRPr="0009282C">
        <w:t xml:space="preserve"> </w:t>
      </w:r>
      <w:r w:rsidR="00C7606F" w:rsidRPr="0009282C">
        <w:t>could</w:t>
      </w:r>
      <w:r w:rsidR="00FD07D6" w:rsidRPr="0009282C">
        <w:t xml:space="preserve"> be managed by a risk sharing arrangement</w:t>
      </w:r>
      <w:r w:rsidR="00D662D8">
        <w:t xml:space="preserve"> (RSA)</w:t>
      </w:r>
      <w:r w:rsidR="00FD07D6" w:rsidRPr="0009282C">
        <w:t>.</w:t>
      </w:r>
    </w:p>
    <w:p w14:paraId="4FDAF758" w14:textId="0D56B706" w:rsidR="00FD5D6B" w:rsidRPr="00FD43EC" w:rsidRDefault="00B325AF" w:rsidP="00FD43EC">
      <w:pPr>
        <w:pStyle w:val="3-BodyText"/>
      </w:pPr>
      <w:r>
        <w:t xml:space="preserve">The PBAC recognised </w:t>
      </w:r>
      <w:r w:rsidR="00593F33">
        <w:t>the</w:t>
      </w:r>
      <w:r w:rsidR="006A54E3">
        <w:t xml:space="preserve"> </w:t>
      </w:r>
      <w:r>
        <w:t>high</w:t>
      </w:r>
      <w:r w:rsidR="004303CD">
        <w:t xml:space="preserve"> </w:t>
      </w:r>
      <w:r w:rsidR="00B30D0F">
        <w:t xml:space="preserve">unmet </w:t>
      </w:r>
      <w:r w:rsidR="004303CD">
        <w:t>clinical need for</w:t>
      </w:r>
      <w:r w:rsidR="00593F33">
        <w:t xml:space="preserve"> </w:t>
      </w:r>
      <w:r w:rsidR="005905AD">
        <w:t>treatment for</w:t>
      </w:r>
      <w:r w:rsidR="00593F33">
        <w:t xml:space="preserve"> </w:t>
      </w:r>
      <w:r w:rsidR="004303CD">
        <w:t>PH1</w:t>
      </w:r>
      <w:r w:rsidR="00593F33">
        <w:t xml:space="preserve">. </w:t>
      </w:r>
      <w:r w:rsidR="0016588E">
        <w:t>The PBAC noted that PH1 is a</w:t>
      </w:r>
      <w:r w:rsidR="00CA3E5C">
        <w:t>n ultra</w:t>
      </w:r>
      <w:r w:rsidR="00CB36A2">
        <w:t>-</w:t>
      </w:r>
      <w:r w:rsidR="0016588E">
        <w:t>rare disease with substantial impacts on the quality of life of patients and their families and caregivers.</w:t>
      </w:r>
      <w:r w:rsidR="005E2078">
        <w:t xml:space="preserve"> The PBAC noted the sponsor hearing</w:t>
      </w:r>
      <w:r w:rsidR="00D714C9">
        <w:t xml:space="preserve"> and the consumer input descriptions of </w:t>
      </w:r>
      <w:r w:rsidR="000F67EC">
        <w:t xml:space="preserve">disease progression, </w:t>
      </w:r>
      <w:r w:rsidR="005C6232">
        <w:t>which include</w:t>
      </w:r>
      <w:r w:rsidR="008A4BE1">
        <w:t>d</w:t>
      </w:r>
      <w:r w:rsidR="005C6232">
        <w:t xml:space="preserve"> </w:t>
      </w:r>
      <w:r w:rsidR="00A8532B">
        <w:t xml:space="preserve">painful and </w:t>
      </w:r>
      <w:r w:rsidR="005C6232">
        <w:t>re</w:t>
      </w:r>
      <w:r w:rsidR="0066161C" w:rsidRPr="0066161C">
        <w:t xml:space="preserve">current kidney stones, </w:t>
      </w:r>
      <w:r w:rsidR="00EB3895">
        <w:t xml:space="preserve">chronic </w:t>
      </w:r>
      <w:r w:rsidR="0066161C" w:rsidRPr="0066161C">
        <w:t xml:space="preserve">kidney </w:t>
      </w:r>
      <w:r w:rsidR="008A6108">
        <w:t>disease</w:t>
      </w:r>
      <w:r w:rsidR="0066161C" w:rsidRPr="0066161C">
        <w:t xml:space="preserve">, and </w:t>
      </w:r>
      <w:r w:rsidR="00EB3895">
        <w:t xml:space="preserve">a range of </w:t>
      </w:r>
      <w:r w:rsidR="00F4165A">
        <w:t xml:space="preserve">severe and </w:t>
      </w:r>
      <w:r w:rsidR="0066161C" w:rsidRPr="0066161C">
        <w:t>systemic complications of oxalate deposition in</w:t>
      </w:r>
      <w:r w:rsidR="00E445E6">
        <w:t xml:space="preserve"> the</w:t>
      </w:r>
      <w:r w:rsidR="0066161C" w:rsidRPr="0066161C">
        <w:t xml:space="preserve"> bone, retina, heart</w:t>
      </w:r>
      <w:r w:rsidR="00B9733A">
        <w:t>,</w:t>
      </w:r>
      <w:r w:rsidR="0066161C" w:rsidRPr="0066161C">
        <w:t xml:space="preserve"> and skin</w:t>
      </w:r>
      <w:r w:rsidR="008A6108">
        <w:t>.</w:t>
      </w:r>
      <w:r w:rsidR="00167714">
        <w:t xml:space="preserve"> As such, lowering oxalate levels</w:t>
      </w:r>
      <w:r w:rsidR="0063142F">
        <w:t xml:space="preserve"> </w:t>
      </w:r>
      <w:r w:rsidR="00062F84">
        <w:t xml:space="preserve">in patients </w:t>
      </w:r>
      <w:r w:rsidR="0063142F">
        <w:t xml:space="preserve">and </w:t>
      </w:r>
      <w:r w:rsidR="00834D28">
        <w:t>the potential to</w:t>
      </w:r>
      <w:r w:rsidR="0063142F">
        <w:t xml:space="preserve"> reduce the </w:t>
      </w:r>
      <w:r w:rsidR="00834D28">
        <w:t>utilisation</w:t>
      </w:r>
      <w:r w:rsidR="0063142F">
        <w:t xml:space="preserve"> </w:t>
      </w:r>
      <w:r w:rsidR="00F4084B">
        <w:t>of</w:t>
      </w:r>
      <w:r w:rsidR="0063142F">
        <w:t xml:space="preserve"> dialysis and transplant</w:t>
      </w:r>
      <w:r w:rsidR="00062F84">
        <w:t>ation</w:t>
      </w:r>
      <w:r w:rsidR="00693A4F">
        <w:t xml:space="preserve"> is highly valued by patients with PH1 and their caregivers. The PBAC </w:t>
      </w:r>
      <w:r w:rsidR="00B745DA">
        <w:t xml:space="preserve">noted </w:t>
      </w:r>
      <w:r w:rsidR="0062227C">
        <w:t>comments stating that the</w:t>
      </w:r>
      <w:r w:rsidR="00B745DA">
        <w:t xml:space="preserve"> </w:t>
      </w:r>
      <w:r w:rsidR="003B198E">
        <w:t xml:space="preserve">current </w:t>
      </w:r>
      <w:r w:rsidR="000161C4">
        <w:t>supportive treatments</w:t>
      </w:r>
      <w:r w:rsidR="003B198E">
        <w:t xml:space="preserve"> for PH1</w:t>
      </w:r>
      <w:r w:rsidR="000161C4">
        <w:t xml:space="preserve">, </w:t>
      </w:r>
      <w:r w:rsidR="001B7024">
        <w:t>which include</w:t>
      </w:r>
      <w:r w:rsidR="000161C4">
        <w:t xml:space="preserve"> intensive dialysis, regular medications, and strict fluid intake and diet modifications,</w:t>
      </w:r>
      <w:r w:rsidR="003B198E">
        <w:t xml:space="preserve"> impose a significant burden on patients</w:t>
      </w:r>
      <w:r w:rsidR="004E1B76">
        <w:t xml:space="preserve">, </w:t>
      </w:r>
      <w:r w:rsidR="00527C4A">
        <w:t>particularly for young children</w:t>
      </w:r>
      <w:r w:rsidR="0033723D">
        <w:t xml:space="preserve"> with PH1</w:t>
      </w:r>
      <w:r w:rsidR="004E1B76">
        <w:t>, and their caregivers</w:t>
      </w:r>
      <w:r w:rsidR="000161C4">
        <w:t>.</w:t>
      </w:r>
      <w:r w:rsidR="004E1B76">
        <w:t xml:space="preserve"> The PBAC </w:t>
      </w:r>
      <w:r w:rsidR="0012055A">
        <w:t xml:space="preserve">also </w:t>
      </w:r>
      <w:r w:rsidR="00BB4724" w:rsidRPr="00FD43EC">
        <w:t xml:space="preserve">acknowledged that </w:t>
      </w:r>
      <w:r w:rsidR="00D06EAA" w:rsidRPr="00FD43EC">
        <w:t xml:space="preserve">the effective management </w:t>
      </w:r>
      <w:r w:rsidR="008B0DF0" w:rsidRPr="00FD43EC">
        <w:t xml:space="preserve">of PH1 often requires access to </w:t>
      </w:r>
      <w:r w:rsidR="00F4084B" w:rsidRPr="00FD43EC">
        <w:t xml:space="preserve">frequent and </w:t>
      </w:r>
      <w:r w:rsidR="00DE4E78" w:rsidRPr="00FD43EC">
        <w:t xml:space="preserve">specialised </w:t>
      </w:r>
      <w:r w:rsidR="00E67DB8" w:rsidRPr="00FD43EC">
        <w:t>multidisciplinary</w:t>
      </w:r>
      <w:r w:rsidR="008B0DF0" w:rsidRPr="00FD43EC">
        <w:t xml:space="preserve"> care</w:t>
      </w:r>
      <w:r w:rsidR="009B08C6" w:rsidRPr="00FD43EC">
        <w:t xml:space="preserve"> which </w:t>
      </w:r>
      <w:r w:rsidR="0090768C" w:rsidRPr="00FD43EC">
        <w:t>often require</w:t>
      </w:r>
      <w:r w:rsidR="0087169C" w:rsidRPr="00FD43EC">
        <w:t>s</w:t>
      </w:r>
      <w:r w:rsidR="0090768C" w:rsidRPr="00FD43EC">
        <w:t xml:space="preserve"> significant travel and time, addin</w:t>
      </w:r>
      <w:r w:rsidR="0012055A" w:rsidRPr="00FD43EC">
        <w:t>g</w:t>
      </w:r>
      <w:r w:rsidR="0090768C" w:rsidRPr="00FD43EC">
        <w:t xml:space="preserve"> to the </w:t>
      </w:r>
      <w:r w:rsidR="0012055A" w:rsidRPr="00FD43EC">
        <w:t>overall burden on patients and carers.</w:t>
      </w:r>
    </w:p>
    <w:p w14:paraId="571D6B0C" w14:textId="041F2779" w:rsidR="00976CE2" w:rsidRDefault="000A2D25" w:rsidP="00D9518B">
      <w:pPr>
        <w:pStyle w:val="3-BodyText"/>
      </w:pPr>
      <w:r w:rsidRPr="00FD43EC">
        <w:t xml:space="preserve">The PBAC </w:t>
      </w:r>
      <w:r w:rsidR="009F1F5E">
        <w:t>considered that</w:t>
      </w:r>
      <w:r w:rsidR="0029252E">
        <w:t xml:space="preserve"> the submission’s proposed </w:t>
      </w:r>
      <w:r w:rsidR="000153DD">
        <w:t>clinical</w:t>
      </w:r>
      <w:r w:rsidR="009F1F5E">
        <w:t xml:space="preserve"> criteria</w:t>
      </w:r>
      <w:r w:rsidR="00A1279B" w:rsidRPr="00FD43EC">
        <w:t xml:space="preserve"> </w:t>
      </w:r>
      <w:r w:rsidR="00C3550C">
        <w:t>for</w:t>
      </w:r>
      <w:r w:rsidR="000153DD">
        <w:t xml:space="preserve"> the initial treatment of</w:t>
      </w:r>
      <w:r w:rsidR="00C3550C">
        <w:t xml:space="preserve"> </w:t>
      </w:r>
      <w:proofErr w:type="spellStart"/>
      <w:r w:rsidR="00C3550C">
        <w:t>lumasiran</w:t>
      </w:r>
      <w:proofErr w:type="spellEnd"/>
      <w:r w:rsidR="00C3550C">
        <w:t xml:space="preserve"> were</w:t>
      </w:r>
      <w:r w:rsidR="0050737F">
        <w:t xml:space="preserve"> appropriate</w:t>
      </w:r>
      <w:r w:rsidR="00A312E5">
        <w:t xml:space="preserve">, and </w:t>
      </w:r>
      <w:r w:rsidR="00A312E5" w:rsidRPr="00A312E5">
        <w:t xml:space="preserve">reference </w:t>
      </w:r>
      <w:r w:rsidR="00A312E5">
        <w:t>to a</w:t>
      </w:r>
      <w:r w:rsidR="00A312E5" w:rsidRPr="00A312E5">
        <w:t xml:space="preserve"> specific</w:t>
      </w:r>
      <w:r w:rsidR="00D9518B">
        <w:t xml:space="preserve"> level of</w:t>
      </w:r>
      <w:r w:rsidR="00A312E5" w:rsidRPr="00A312E5">
        <w:t xml:space="preserve"> eGFR </w:t>
      </w:r>
      <w:r w:rsidR="00D9518B">
        <w:t>to define renal impairment was not required.</w:t>
      </w:r>
      <w:r w:rsidR="0050737F">
        <w:t xml:space="preserve"> </w:t>
      </w:r>
      <w:r w:rsidR="00C87266">
        <w:t xml:space="preserve">The PBAC considered that given the very high cost of treatment, it was important that discontinuation from treatment be considered where patients are no longer receiving clinical benefit. However, </w:t>
      </w:r>
      <w:r w:rsidR="003046FB">
        <w:t>t</w:t>
      </w:r>
      <w:r w:rsidR="00B36379">
        <w:t xml:space="preserve">he PBAC </w:t>
      </w:r>
      <w:r w:rsidR="00D9518B">
        <w:t xml:space="preserve">also </w:t>
      </w:r>
      <w:r w:rsidR="00B36379">
        <w:t>considered that</w:t>
      </w:r>
      <w:r w:rsidR="00670EA5">
        <w:t xml:space="preserve"> </w:t>
      </w:r>
      <w:r w:rsidR="00213BBE">
        <w:t xml:space="preserve">it was </w:t>
      </w:r>
      <w:r w:rsidR="00670EA5">
        <w:t xml:space="preserve">appropriate for the assessment of ‘clinical benefit’ from treatment with </w:t>
      </w:r>
      <w:proofErr w:type="spellStart"/>
      <w:r w:rsidR="00670EA5">
        <w:t>lumasiran</w:t>
      </w:r>
      <w:proofErr w:type="spellEnd"/>
      <w:r w:rsidR="00670EA5">
        <w:t xml:space="preserve"> to be at the </w:t>
      </w:r>
      <w:r w:rsidR="000573D9">
        <w:t>discretion</w:t>
      </w:r>
      <w:r w:rsidR="00670EA5">
        <w:t xml:space="preserve"> of the treating physician, and </w:t>
      </w:r>
      <w:r w:rsidR="00670EA5" w:rsidRPr="0009282C">
        <w:t>that a quantifiable measure to describe ‘clinical benefit’</w:t>
      </w:r>
      <w:r w:rsidR="00670EA5">
        <w:t xml:space="preserve"> was not required. </w:t>
      </w:r>
      <w:r w:rsidR="00976CE2">
        <w:t xml:space="preserve">The PBAC </w:t>
      </w:r>
      <w:r w:rsidR="004F7E5C">
        <w:t xml:space="preserve">considered </w:t>
      </w:r>
      <w:r w:rsidR="001D7E7B">
        <w:t>that i</w:t>
      </w:r>
      <w:r w:rsidR="00F721EC">
        <w:t>t</w:t>
      </w:r>
      <w:r w:rsidR="001D7E7B">
        <w:t xml:space="preserve"> was appropriate for the treatment criterion stating that </w:t>
      </w:r>
      <w:r w:rsidR="0082361F" w:rsidRPr="0009282C">
        <w:t xml:space="preserve">patients must be treated </w:t>
      </w:r>
      <w:r w:rsidR="0082361F">
        <w:t>by</w:t>
      </w:r>
      <w:r w:rsidR="0082361F" w:rsidRPr="0009282C">
        <w:t xml:space="preserve"> a nephrologist with experience in the management of hyperoxaluria or in consultation with a nephrologist with experience in the management of hyperoxaluria</w:t>
      </w:r>
      <w:r w:rsidR="0082361F">
        <w:t xml:space="preserve">, </w:t>
      </w:r>
      <w:r w:rsidR="00981C9E">
        <w:t>to</w:t>
      </w:r>
      <w:r w:rsidR="00B550C4">
        <w:t xml:space="preserve"> be expanded to include paediatricians.</w:t>
      </w:r>
      <w:r w:rsidR="00097326">
        <w:t xml:space="preserve"> The PBAC also noted that </w:t>
      </w:r>
      <w:r w:rsidR="00032A6F">
        <w:t>different genotypes of PH1 respond differently to</w:t>
      </w:r>
      <w:r w:rsidR="00547699">
        <w:t xml:space="preserve"> </w:t>
      </w:r>
      <w:r w:rsidR="00763CB3">
        <w:t xml:space="preserve">pyridoxine </w:t>
      </w:r>
      <w:r w:rsidR="0007617F">
        <w:t>therapy</w:t>
      </w:r>
      <w:r w:rsidR="00A24C31">
        <w:t xml:space="preserve"> (B6)</w:t>
      </w:r>
      <w:r w:rsidR="0007617F">
        <w:t xml:space="preserve"> and considered that patients carrying</w:t>
      </w:r>
      <w:r w:rsidR="004B2436">
        <w:t xml:space="preserve"> a pyr</w:t>
      </w:r>
      <w:r w:rsidR="00811563">
        <w:t>i</w:t>
      </w:r>
      <w:r w:rsidR="00763CB3">
        <w:t xml:space="preserve">doxine responsive allele </w:t>
      </w:r>
      <w:r w:rsidR="00763CB3" w:rsidRPr="0009282C">
        <w:t xml:space="preserve">should trial pyridoxine therapy prior to treatment with </w:t>
      </w:r>
      <w:proofErr w:type="spellStart"/>
      <w:r w:rsidR="00763CB3" w:rsidRPr="0009282C">
        <w:t>lumasiran</w:t>
      </w:r>
      <w:proofErr w:type="spellEnd"/>
      <w:r w:rsidR="00763CB3">
        <w:t xml:space="preserve">. </w:t>
      </w:r>
    </w:p>
    <w:p w14:paraId="20AF98DD" w14:textId="3364EA41" w:rsidR="00213BBE" w:rsidRDefault="0086598F" w:rsidP="00D9518B">
      <w:pPr>
        <w:pStyle w:val="3-BodyText"/>
      </w:pPr>
      <w:r>
        <w:t>The PBAC</w:t>
      </w:r>
      <w:r w:rsidR="006F0A89">
        <w:t xml:space="preserve"> </w:t>
      </w:r>
      <w:r w:rsidR="0057402E">
        <w:t>noted that a</w:t>
      </w:r>
      <w:r w:rsidR="00F223F7">
        <w:t>n</w:t>
      </w:r>
      <w:r w:rsidR="0057402E">
        <w:t xml:space="preserve"> </w:t>
      </w:r>
      <w:r w:rsidR="00F223F7">
        <w:t>Authority</w:t>
      </w:r>
      <w:r w:rsidR="0057402E">
        <w:t xml:space="preserve"> Required (Streamline</w:t>
      </w:r>
      <w:r w:rsidR="00F223F7">
        <w:t>d</w:t>
      </w:r>
      <w:r w:rsidR="0057402E">
        <w:t xml:space="preserve">) listing </w:t>
      </w:r>
      <w:r w:rsidR="00F223F7">
        <w:t>had been</w:t>
      </w:r>
      <w:r w:rsidR="0057402E">
        <w:t xml:space="preserve"> proposed by the submission</w:t>
      </w:r>
      <w:r w:rsidR="00F223F7">
        <w:t>. G</w:t>
      </w:r>
      <w:r w:rsidR="0057402E">
        <w:t xml:space="preserve">iven that </w:t>
      </w:r>
      <w:proofErr w:type="spellStart"/>
      <w:r w:rsidR="00635F68" w:rsidRPr="00635F68">
        <w:t>lumasiran</w:t>
      </w:r>
      <w:proofErr w:type="spellEnd"/>
      <w:r w:rsidR="00635F68" w:rsidRPr="00635F68">
        <w:t xml:space="preserve"> is a new chemical entity</w:t>
      </w:r>
      <w:r w:rsidR="00273128" w:rsidRPr="00273128">
        <w:t xml:space="preserve"> </w:t>
      </w:r>
      <w:r w:rsidR="00273128">
        <w:t xml:space="preserve">and </w:t>
      </w:r>
      <w:r w:rsidR="007E4E43">
        <w:t xml:space="preserve">a </w:t>
      </w:r>
      <w:r w:rsidR="00002341">
        <w:t>high-cost</w:t>
      </w:r>
      <w:r w:rsidR="00273128">
        <w:t xml:space="preserve"> </w:t>
      </w:r>
      <w:r w:rsidR="00273128" w:rsidRPr="002D4911">
        <w:t>medicine</w:t>
      </w:r>
      <w:r w:rsidR="00273128">
        <w:t xml:space="preserve">, the PBAC advised </w:t>
      </w:r>
      <w:r w:rsidR="00635F68" w:rsidRPr="00635F68">
        <w:t>that an Authority Required (Written</w:t>
      </w:r>
      <w:r w:rsidR="00273128">
        <w:t>/</w:t>
      </w:r>
      <w:r w:rsidR="00EF47C8">
        <w:t>HPOS upload</w:t>
      </w:r>
      <w:r w:rsidR="00635F68" w:rsidRPr="00635F68">
        <w:t>)</w:t>
      </w:r>
      <w:r w:rsidR="008132A3">
        <w:t xml:space="preserve"> listing</w:t>
      </w:r>
      <w:r w:rsidR="00635F68" w:rsidRPr="00635F68">
        <w:t xml:space="preserve"> </w:t>
      </w:r>
      <w:r w:rsidR="00EF47C8">
        <w:t xml:space="preserve">for initial </w:t>
      </w:r>
      <w:r w:rsidR="00546BB7">
        <w:t xml:space="preserve">treatment and </w:t>
      </w:r>
      <w:r w:rsidR="008132A3">
        <w:t xml:space="preserve">an </w:t>
      </w:r>
      <w:r w:rsidR="00546BB7">
        <w:t>Authority Required (Written/online PBS Authorities)</w:t>
      </w:r>
      <w:r w:rsidR="008132A3">
        <w:t xml:space="preserve"> listing</w:t>
      </w:r>
      <w:r w:rsidR="00546BB7">
        <w:t xml:space="preserve"> </w:t>
      </w:r>
      <w:r w:rsidR="000B0FEC">
        <w:t xml:space="preserve">for continuing treatment </w:t>
      </w:r>
      <w:r w:rsidR="008132A3">
        <w:t>would be</w:t>
      </w:r>
      <w:r w:rsidR="00635F68" w:rsidRPr="00635F68">
        <w:t xml:space="preserve"> more appropriate</w:t>
      </w:r>
      <w:r w:rsidR="00273128">
        <w:t>.</w:t>
      </w:r>
      <w:r w:rsidR="008B748E">
        <w:t xml:space="preserve"> The PBAC </w:t>
      </w:r>
      <w:r w:rsidR="00E352A8">
        <w:t xml:space="preserve">also </w:t>
      </w:r>
      <w:r w:rsidR="008B748E">
        <w:t xml:space="preserve">noted that </w:t>
      </w:r>
      <w:r w:rsidR="00F0190A">
        <w:t>the submission stated that the</w:t>
      </w:r>
      <w:r w:rsidR="00F0190A" w:rsidRPr="000427CE">
        <w:t xml:space="preserve"> </w:t>
      </w:r>
      <w:r w:rsidR="00F0190A">
        <w:t xml:space="preserve">likely </w:t>
      </w:r>
      <w:r w:rsidR="00F0190A" w:rsidRPr="000427CE">
        <w:t xml:space="preserve">heaviest patient will require five vials per treatment </w:t>
      </w:r>
      <w:r w:rsidR="004C56A9">
        <w:t xml:space="preserve">(5 </w:t>
      </w:r>
      <w:r w:rsidR="00965C0C">
        <w:t xml:space="preserve">vials </w:t>
      </w:r>
      <w:r w:rsidR="004C56A9">
        <w:t xml:space="preserve">x 94.5mg = </w:t>
      </w:r>
      <w:r w:rsidR="00965C0C" w:rsidRPr="00965C0C">
        <w:t>283.5</w:t>
      </w:r>
      <w:r w:rsidR="00965C0C">
        <w:t>mg, at</w:t>
      </w:r>
      <w:r w:rsidR="004C56A9">
        <w:t xml:space="preserve"> 3 mg/kg </w:t>
      </w:r>
      <w:r w:rsidR="00965C0C">
        <w:t xml:space="preserve">= up to </w:t>
      </w:r>
      <w:r w:rsidR="00AC5A15">
        <w:t>15</w:t>
      </w:r>
      <w:r w:rsidR="004364E4">
        <w:t>7.5 kg person).</w:t>
      </w:r>
      <w:r w:rsidR="00934821">
        <w:t xml:space="preserve"> </w:t>
      </w:r>
      <w:r w:rsidR="00934821" w:rsidRPr="00934821">
        <w:t xml:space="preserve">The </w:t>
      </w:r>
      <w:r w:rsidR="00934821">
        <w:t>PBAC</w:t>
      </w:r>
      <w:r w:rsidR="00934821" w:rsidRPr="00934821">
        <w:t xml:space="preserve"> therefore </w:t>
      </w:r>
      <w:r w:rsidR="00934821">
        <w:t>advised that</w:t>
      </w:r>
      <w:r w:rsidR="00934821" w:rsidRPr="00934821">
        <w:t xml:space="preserve"> the </w:t>
      </w:r>
      <w:r w:rsidR="00934821">
        <w:t xml:space="preserve">maximum </w:t>
      </w:r>
      <w:r w:rsidR="00934821" w:rsidRPr="00934821">
        <w:t>number of vials</w:t>
      </w:r>
      <w:r w:rsidR="00F3300C">
        <w:t xml:space="preserve"> per script should be</w:t>
      </w:r>
      <w:r w:rsidR="00934821" w:rsidRPr="00934821">
        <w:t xml:space="preserve"> 5 </w:t>
      </w:r>
      <w:r w:rsidR="00934821">
        <w:t>vials.</w:t>
      </w:r>
      <w:r w:rsidR="001F26D3">
        <w:t xml:space="preserve"> </w:t>
      </w:r>
      <w:r w:rsidR="001F26D3" w:rsidRPr="001F26D3">
        <w:t xml:space="preserve">The </w:t>
      </w:r>
      <w:r w:rsidR="001F26D3">
        <w:t>PBAC also noted that the proposed</w:t>
      </w:r>
      <w:r w:rsidR="001F26D3" w:rsidRPr="001F26D3">
        <w:t xml:space="preserve"> grandfather restriction did not include the same qualifying criteria proposed in the initial restriction</w:t>
      </w:r>
      <w:r w:rsidR="0087489E">
        <w:t>. The PBAC considered the inclusion of the grandfather restriction, as suggest</w:t>
      </w:r>
      <w:r w:rsidR="00B76BAE">
        <w:t>ed</w:t>
      </w:r>
      <w:r w:rsidR="0087489E">
        <w:t xml:space="preserve"> by the Secretariat, </w:t>
      </w:r>
      <w:r w:rsidR="002D3069">
        <w:t>wa</w:t>
      </w:r>
      <w:r w:rsidR="004E0F72">
        <w:t>s appropriate.</w:t>
      </w:r>
    </w:p>
    <w:p w14:paraId="10EB4861" w14:textId="6618BCD7" w:rsidR="000A2D25" w:rsidRDefault="002C2322" w:rsidP="00FD43EC">
      <w:pPr>
        <w:pStyle w:val="3-BodyText"/>
        <w:rPr>
          <w:iCs/>
        </w:rPr>
      </w:pPr>
      <w:r>
        <w:t xml:space="preserve">The submission nominated best supportive care (BSC) as the main comparator. </w:t>
      </w:r>
      <w:r w:rsidR="002C043E" w:rsidRPr="002C043E">
        <w:t>The submission stated that BSC may include dietary management, hyper-hydration, citrate and pyridoxine (vitamin B6) administration, urological management of kidney stones, dialysis and combined liver-kidney transplantation (LKT).</w:t>
      </w:r>
      <w:r w:rsidR="002C043E">
        <w:t xml:space="preserve"> </w:t>
      </w:r>
      <w:r w:rsidR="002C043E" w:rsidRPr="0009282C">
        <w:rPr>
          <w:iCs/>
        </w:rPr>
        <w:t xml:space="preserve">The </w:t>
      </w:r>
      <w:r w:rsidR="002C043E">
        <w:rPr>
          <w:iCs/>
        </w:rPr>
        <w:t>PBAC</w:t>
      </w:r>
      <w:r w:rsidR="002C043E" w:rsidRPr="0009282C">
        <w:rPr>
          <w:iCs/>
        </w:rPr>
        <w:t xml:space="preserve"> considered </w:t>
      </w:r>
      <w:r w:rsidR="00E97B70">
        <w:rPr>
          <w:iCs/>
        </w:rPr>
        <w:t xml:space="preserve">that </w:t>
      </w:r>
      <w:r w:rsidR="009D5BA8">
        <w:rPr>
          <w:iCs/>
        </w:rPr>
        <w:t>the nominated comparator was appropriate.</w:t>
      </w:r>
    </w:p>
    <w:p w14:paraId="5BE86A89" w14:textId="01E9FE26" w:rsidR="000776B1" w:rsidRPr="000776B1" w:rsidRDefault="00F35434" w:rsidP="00C70506">
      <w:pPr>
        <w:pStyle w:val="3-BodyText"/>
      </w:pPr>
      <w:r>
        <w:t xml:space="preserve">The PBAC noted the submission </w:t>
      </w:r>
      <w:r w:rsidR="008431EF">
        <w:t>included</w:t>
      </w:r>
      <w:r w:rsidR="00D235D5" w:rsidRPr="00D235D5">
        <w:t xml:space="preserve"> one head-to-head randomised control trial (RCT) comparing </w:t>
      </w:r>
      <w:proofErr w:type="spellStart"/>
      <w:r w:rsidR="00D235D5" w:rsidRPr="00D235D5">
        <w:t>lumasiran</w:t>
      </w:r>
      <w:proofErr w:type="spellEnd"/>
      <w:r w:rsidR="00D235D5" w:rsidRPr="00D235D5">
        <w:t xml:space="preserve"> plus BSC to placebo plus BSC (ILLUMINATE-A</w:t>
      </w:r>
      <w:r w:rsidR="00465D95">
        <w:t xml:space="preserve"> [N=</w:t>
      </w:r>
      <w:r w:rsidR="00543EA0">
        <w:t>39]</w:t>
      </w:r>
      <w:r w:rsidR="00D235D5" w:rsidRPr="00D235D5">
        <w:t xml:space="preserve">) and </w:t>
      </w:r>
      <w:r w:rsidR="00D235D5">
        <w:t>2</w:t>
      </w:r>
      <w:r w:rsidR="00D235D5" w:rsidRPr="00D235D5">
        <w:t xml:space="preserve"> single-arm </w:t>
      </w:r>
      <w:r w:rsidR="00D235D5">
        <w:t>studies</w:t>
      </w:r>
      <w:r w:rsidR="00D235D5" w:rsidRPr="00D235D5">
        <w:t xml:space="preserve"> of </w:t>
      </w:r>
      <w:proofErr w:type="spellStart"/>
      <w:r w:rsidR="00D235D5" w:rsidRPr="00D235D5">
        <w:t>lumasiran</w:t>
      </w:r>
      <w:proofErr w:type="spellEnd"/>
      <w:r w:rsidR="00D235D5" w:rsidRPr="00D235D5">
        <w:t xml:space="preserve"> (ILLUMINATE-B</w:t>
      </w:r>
      <w:r w:rsidR="00543EA0">
        <w:t xml:space="preserve"> [N=18]</w:t>
      </w:r>
      <w:r w:rsidR="00D235D5" w:rsidRPr="00D235D5">
        <w:t>, ILLUMINATE-C</w:t>
      </w:r>
      <w:r w:rsidR="00543EA0">
        <w:t xml:space="preserve"> [N=21]</w:t>
      </w:r>
      <w:r w:rsidR="00D235D5" w:rsidRPr="00D235D5">
        <w:t xml:space="preserve">). </w:t>
      </w:r>
      <w:r w:rsidR="004262A3">
        <w:t>The</w:t>
      </w:r>
      <w:r w:rsidR="00465D95">
        <w:t xml:space="preserve"> </w:t>
      </w:r>
      <w:r w:rsidR="00376E97">
        <w:t xml:space="preserve">PBAC </w:t>
      </w:r>
      <w:r w:rsidR="00257EFB">
        <w:t xml:space="preserve">noted that the small </w:t>
      </w:r>
      <w:r w:rsidR="008F5B5E">
        <w:t>sample size</w:t>
      </w:r>
      <w:r w:rsidR="00C27E18">
        <w:t>s</w:t>
      </w:r>
      <w:r w:rsidR="008F5B5E">
        <w:t xml:space="preserve"> of the trials</w:t>
      </w:r>
      <w:r w:rsidR="000052C5">
        <w:t>,</w:t>
      </w:r>
      <w:r w:rsidR="008F5B5E">
        <w:t xml:space="preserve"> </w:t>
      </w:r>
      <w:r w:rsidR="000052C5">
        <w:t xml:space="preserve">while </w:t>
      </w:r>
      <w:r w:rsidR="008F5B5E" w:rsidRPr="0009282C">
        <w:rPr>
          <w:iCs/>
        </w:rPr>
        <w:t>increas</w:t>
      </w:r>
      <w:r w:rsidR="002672DE">
        <w:rPr>
          <w:iCs/>
        </w:rPr>
        <w:t>ing</w:t>
      </w:r>
      <w:r w:rsidR="008F5B5E" w:rsidRPr="0009282C">
        <w:rPr>
          <w:iCs/>
        </w:rPr>
        <w:t xml:space="preserve"> the </w:t>
      </w:r>
      <w:r w:rsidR="004C04BB">
        <w:rPr>
          <w:iCs/>
        </w:rPr>
        <w:t>uncertainty</w:t>
      </w:r>
      <w:r w:rsidR="008F5B5E" w:rsidRPr="0009282C">
        <w:rPr>
          <w:iCs/>
        </w:rPr>
        <w:t xml:space="preserve"> in the results</w:t>
      </w:r>
      <w:r w:rsidR="008F5B5E">
        <w:rPr>
          <w:iCs/>
        </w:rPr>
        <w:t xml:space="preserve">, </w:t>
      </w:r>
      <w:r w:rsidR="009E7E6E">
        <w:t>reflect</w:t>
      </w:r>
      <w:r w:rsidR="000052C5">
        <w:t>ed</w:t>
      </w:r>
      <w:r w:rsidR="00C27E18">
        <w:t xml:space="preserve"> </w:t>
      </w:r>
      <w:r w:rsidR="00122B1A">
        <w:t xml:space="preserve">the rarity of </w:t>
      </w:r>
      <w:r w:rsidR="0083287B">
        <w:t>PH1</w:t>
      </w:r>
      <w:r w:rsidR="00C27E18">
        <w:t>.</w:t>
      </w:r>
      <w:r w:rsidR="00815D22">
        <w:t xml:space="preserve"> The PBAC noted that based on the</w:t>
      </w:r>
      <w:r w:rsidR="000C793D">
        <w:t xml:space="preserve"> ILLUMINATE-A</w:t>
      </w:r>
      <w:r w:rsidR="00DB020C">
        <w:t xml:space="preserve"> trial</w:t>
      </w:r>
      <w:r w:rsidR="00A80766">
        <w:t xml:space="preserve">, </w:t>
      </w:r>
      <w:r w:rsidR="00780A42">
        <w:t xml:space="preserve">for </w:t>
      </w:r>
      <w:r w:rsidR="00F86685">
        <w:t>p</w:t>
      </w:r>
      <w:r w:rsidR="00F86685" w:rsidRPr="00F86685">
        <w:rPr>
          <w:rFonts w:hint="eastAsia"/>
        </w:rPr>
        <w:t>atients aged &gt;6 years of age</w:t>
      </w:r>
      <w:r w:rsidR="00780A42">
        <w:t xml:space="preserve"> </w:t>
      </w:r>
      <w:r w:rsidR="006C4939">
        <w:t>(</w:t>
      </w:r>
      <w:r w:rsidR="00780A42">
        <w:t>with an</w:t>
      </w:r>
      <w:r w:rsidR="00F86685" w:rsidRPr="00F86685">
        <w:rPr>
          <w:rFonts w:hint="eastAsia"/>
        </w:rPr>
        <w:t xml:space="preserve"> eGFR </w:t>
      </w:r>
      <w:r w:rsidR="009B303C">
        <w:rPr>
          <w:rFonts w:cstheme="minorHAnsi"/>
        </w:rPr>
        <w:t>≥</w:t>
      </w:r>
      <w:r w:rsidR="00F86685" w:rsidRPr="00F86685">
        <w:rPr>
          <w:rFonts w:hint="eastAsia"/>
        </w:rPr>
        <w:t>30</w:t>
      </w:r>
      <w:r w:rsidR="00850850">
        <w:t> </w:t>
      </w:r>
      <w:r w:rsidR="00F86685" w:rsidRPr="00F86685">
        <w:rPr>
          <w:rFonts w:hint="eastAsia"/>
        </w:rPr>
        <w:t>mL/min/1.73</w:t>
      </w:r>
      <w:r w:rsidR="00850850">
        <w:t> </w:t>
      </w:r>
      <w:r w:rsidR="00F86685" w:rsidRPr="00F86685">
        <w:rPr>
          <w:rFonts w:hint="eastAsia"/>
        </w:rPr>
        <w:t>m</w:t>
      </w:r>
      <w:r w:rsidR="00F86685" w:rsidRPr="0072595D">
        <w:rPr>
          <w:rFonts w:hint="eastAsia"/>
          <w:vertAlign w:val="superscript"/>
        </w:rPr>
        <w:t>2</w:t>
      </w:r>
      <w:r w:rsidR="00F86685" w:rsidRPr="00F86685">
        <w:rPr>
          <w:rFonts w:hint="eastAsia"/>
        </w:rPr>
        <w:t xml:space="preserve"> and a mean 24-hour urinary oxalate excretion </w:t>
      </w:r>
      <w:r w:rsidR="009B303C">
        <w:rPr>
          <w:rFonts w:cstheme="minorHAnsi"/>
        </w:rPr>
        <w:t>≥</w:t>
      </w:r>
      <w:r w:rsidR="00F86685" w:rsidRPr="00F86685">
        <w:rPr>
          <w:rFonts w:hint="eastAsia"/>
        </w:rPr>
        <w:t>0.70</w:t>
      </w:r>
      <w:r w:rsidR="00850850">
        <w:t> </w:t>
      </w:r>
      <w:r w:rsidR="00F86685" w:rsidRPr="00F86685">
        <w:rPr>
          <w:rFonts w:hint="eastAsia"/>
        </w:rPr>
        <w:t>mmol/24</w:t>
      </w:r>
      <w:r w:rsidR="00850850">
        <w:t> </w:t>
      </w:r>
      <w:r w:rsidR="00F86685" w:rsidRPr="00F86685">
        <w:rPr>
          <w:rFonts w:hint="eastAsia"/>
        </w:rPr>
        <w:t>h/1.73 m</w:t>
      </w:r>
      <w:r w:rsidR="00F86685" w:rsidRPr="0072595D">
        <w:rPr>
          <w:rFonts w:hint="eastAsia"/>
          <w:vertAlign w:val="superscript"/>
        </w:rPr>
        <w:t>2</w:t>
      </w:r>
      <w:r w:rsidR="006C4939">
        <w:t>)</w:t>
      </w:r>
      <w:r w:rsidR="00780A42">
        <w:t>,</w:t>
      </w:r>
      <w:r w:rsidR="00F86685" w:rsidRPr="00F86685">
        <w:rPr>
          <w:rFonts w:hint="eastAsia"/>
        </w:rPr>
        <w:t xml:space="preserve"> </w:t>
      </w:r>
      <w:r w:rsidR="00A80766">
        <w:t xml:space="preserve">treatment with </w:t>
      </w:r>
      <w:proofErr w:type="spellStart"/>
      <w:r w:rsidR="00A80766">
        <w:t>l</w:t>
      </w:r>
      <w:r w:rsidR="00B905E8">
        <w:t>umasiran</w:t>
      </w:r>
      <w:proofErr w:type="spellEnd"/>
      <w:r w:rsidR="00B905E8">
        <w:t xml:space="preserve"> led to a significant</w:t>
      </w:r>
      <w:r w:rsidR="00EA1377">
        <w:t>ly</w:t>
      </w:r>
      <w:r w:rsidR="006B244C">
        <w:t xml:space="preserve"> greater reduction in </w:t>
      </w:r>
      <w:r w:rsidR="008934C2">
        <w:t xml:space="preserve">24-h </w:t>
      </w:r>
      <w:r w:rsidR="006B244C">
        <w:t xml:space="preserve">urinary oxalate excretion </w:t>
      </w:r>
      <w:r w:rsidR="008867BC">
        <w:t>compared to</w:t>
      </w:r>
      <w:r w:rsidR="006B244C">
        <w:t xml:space="preserve"> placebo (effect size -53.</w:t>
      </w:r>
      <w:r w:rsidR="00734293">
        <w:t>6</w:t>
      </w:r>
      <w:r w:rsidR="006B244C">
        <w:t>%, 95% confidence interval</w:t>
      </w:r>
      <w:r w:rsidR="008867BC">
        <w:t xml:space="preserve"> [CI]</w:t>
      </w:r>
      <w:r w:rsidR="006B244C">
        <w:t xml:space="preserve"> -62.3%</w:t>
      </w:r>
      <w:r w:rsidR="008867BC">
        <w:t>,</w:t>
      </w:r>
      <w:r w:rsidR="006B244C">
        <w:t xml:space="preserve"> -44.8%</w:t>
      </w:r>
      <w:r w:rsidR="00F71D03">
        <w:t xml:space="preserve">; </w:t>
      </w:r>
      <w:r w:rsidR="00F71D03" w:rsidRPr="0009282C">
        <w:t>p&lt;0.001</w:t>
      </w:r>
      <w:r w:rsidR="006B244C">
        <w:t xml:space="preserve">). The </w:t>
      </w:r>
      <w:r w:rsidR="00B72BEF">
        <w:t xml:space="preserve">PBAC noted that the </w:t>
      </w:r>
      <w:r w:rsidR="006B244C">
        <w:t>absolute change in 24-hour urinary oxalate</w:t>
      </w:r>
      <w:r w:rsidR="00B72BEF">
        <w:t xml:space="preserve"> </w:t>
      </w:r>
      <w:r w:rsidR="00DA6D44" w:rsidRPr="00DA6D44">
        <w:rPr>
          <w:szCs w:val="20"/>
        </w:rPr>
        <w:t>and percent and absolute change in plasma oxalate</w:t>
      </w:r>
      <w:r w:rsidR="00DA6D44">
        <w:t xml:space="preserve"> </w:t>
      </w:r>
      <w:r w:rsidR="006B244C">
        <w:t xml:space="preserve">were </w:t>
      </w:r>
      <w:r w:rsidR="00453ACE">
        <w:t xml:space="preserve">also </w:t>
      </w:r>
      <w:r w:rsidR="00E74193">
        <w:t>significantly</w:t>
      </w:r>
      <w:r w:rsidR="006B244C">
        <w:t xml:space="preserve"> reduced </w:t>
      </w:r>
      <w:r w:rsidR="00E74193">
        <w:t>for</w:t>
      </w:r>
      <w:r w:rsidR="006B244C">
        <w:t xml:space="preserve"> </w:t>
      </w:r>
      <w:r w:rsidR="001C41F5">
        <w:t>individuals</w:t>
      </w:r>
      <w:r w:rsidR="006B244C">
        <w:t xml:space="preserve"> in the </w:t>
      </w:r>
      <w:proofErr w:type="spellStart"/>
      <w:r w:rsidR="006B244C">
        <w:t>lumasiran</w:t>
      </w:r>
      <w:proofErr w:type="spellEnd"/>
      <w:r w:rsidR="006B244C">
        <w:t xml:space="preserve"> arm compared with the placebo arm.</w:t>
      </w:r>
      <w:r w:rsidR="00062268">
        <w:t xml:space="preserve"> </w:t>
      </w:r>
      <w:r w:rsidR="00BA711B">
        <w:t>Furthermore, a</w:t>
      </w:r>
      <w:r w:rsidR="00BA711B" w:rsidRPr="0009282C">
        <w:t xml:space="preserve"> </w:t>
      </w:r>
      <w:r w:rsidR="00BA711B">
        <w:t xml:space="preserve">significantly </w:t>
      </w:r>
      <w:r w:rsidR="00BA711B" w:rsidRPr="0009282C">
        <w:t xml:space="preserve">higher proportion of patients in the </w:t>
      </w:r>
      <w:proofErr w:type="spellStart"/>
      <w:r w:rsidR="00BA711B" w:rsidRPr="0009282C">
        <w:t>lumasiran</w:t>
      </w:r>
      <w:proofErr w:type="spellEnd"/>
      <w:r w:rsidR="00BA711B" w:rsidRPr="0009282C">
        <w:t xml:space="preserve"> group achieved oxalate level normalisation (≤</w:t>
      </w:r>
      <w:r w:rsidR="00DA0B1E">
        <w:t xml:space="preserve"> upper limit of normal [</w:t>
      </w:r>
      <w:r w:rsidR="00BA711B" w:rsidRPr="0009282C">
        <w:t>ULN</w:t>
      </w:r>
      <w:r w:rsidR="00DA0B1E">
        <w:t>]</w:t>
      </w:r>
      <w:r w:rsidR="00407E36">
        <w:t xml:space="preserve">; </w:t>
      </w:r>
      <w:r w:rsidR="006732B3">
        <w:t>effect</w:t>
      </w:r>
      <w:r w:rsidR="005606D8">
        <w:t xml:space="preserve"> size</w:t>
      </w:r>
      <w:r w:rsidR="00C60A46">
        <w:t xml:space="preserve"> </w:t>
      </w:r>
      <w:r w:rsidR="009262CD">
        <w:t>0.52</w:t>
      </w:r>
      <w:r w:rsidR="008D4119">
        <w:t xml:space="preserve">, </w:t>
      </w:r>
      <w:r w:rsidR="00636ED6">
        <w:t xml:space="preserve">95% CI </w:t>
      </w:r>
      <w:r w:rsidR="007B0F33">
        <w:t>0.23, 0.70</w:t>
      </w:r>
      <w:r w:rsidR="00A064A7">
        <w:t>; p = 0.001</w:t>
      </w:r>
      <w:r w:rsidR="00BA711B" w:rsidRPr="0009282C">
        <w:t>) or near-normalisation (≤1.5xULN</w:t>
      </w:r>
      <w:r w:rsidR="00F26714">
        <w:t xml:space="preserve">; effect size </w:t>
      </w:r>
      <w:r w:rsidR="001B4FCA">
        <w:t>0.84</w:t>
      </w:r>
      <w:r w:rsidR="0004704F">
        <w:t xml:space="preserve">, 95% CI </w:t>
      </w:r>
      <w:r w:rsidR="00290E94">
        <w:t>0.55, 0.94</w:t>
      </w:r>
      <w:r w:rsidR="00760283">
        <w:t>; p &lt; 0.001</w:t>
      </w:r>
      <w:r w:rsidR="00BA711B" w:rsidRPr="0009282C">
        <w:t>) from baseline to 6</w:t>
      </w:r>
      <w:r w:rsidR="008103DE">
        <w:t> </w:t>
      </w:r>
      <w:r w:rsidR="00BA711B" w:rsidRPr="0009282C">
        <w:t>months,</w:t>
      </w:r>
      <w:r w:rsidR="00407E36" w:rsidRPr="00407E36">
        <w:t xml:space="preserve"> </w:t>
      </w:r>
      <w:r w:rsidR="00407E36" w:rsidRPr="0009282C">
        <w:t>with no patients in the placebo group achieving either.</w:t>
      </w:r>
      <w:r w:rsidR="00C70506">
        <w:t xml:space="preserve"> </w:t>
      </w:r>
      <w:r w:rsidR="00062268">
        <w:t xml:space="preserve">The PBAC noted that reductions in urinary and plasma oxalate levels were maintained in the </w:t>
      </w:r>
      <w:r w:rsidR="00C1575A">
        <w:t xml:space="preserve">open-label </w:t>
      </w:r>
      <w:r w:rsidR="00062268">
        <w:t>extension period, through to 60 months.</w:t>
      </w:r>
      <w:r w:rsidR="001C41F5">
        <w:t xml:space="preserve"> </w:t>
      </w:r>
    </w:p>
    <w:p w14:paraId="43067C53" w14:textId="6D3B5EAA" w:rsidR="00631713" w:rsidRDefault="00705B8C" w:rsidP="009E359B">
      <w:pPr>
        <w:pStyle w:val="3-BodyText"/>
        <w:rPr>
          <w:snapToGrid w:val="0"/>
        </w:rPr>
      </w:pPr>
      <w:r w:rsidRPr="0009282C">
        <w:t>The</w:t>
      </w:r>
      <w:r>
        <w:t xml:space="preserve"> PBAC noted that the</w:t>
      </w:r>
      <w:r w:rsidRPr="0009282C">
        <w:t xml:space="preserve"> ILLUMINATE-B trial </w:t>
      </w:r>
      <w:r w:rsidR="0044009D">
        <w:t>included</w:t>
      </w:r>
      <w:r w:rsidRPr="0009282C">
        <w:t xml:space="preserve"> paediatric patients </w:t>
      </w:r>
      <w:r>
        <w:t>(</w:t>
      </w:r>
      <w:r w:rsidR="00C90072" w:rsidRPr="00705B8C">
        <w:t>37</w:t>
      </w:r>
      <w:r w:rsidR="00C90072">
        <w:t> </w:t>
      </w:r>
      <w:r w:rsidRPr="00705B8C">
        <w:t xml:space="preserve">weeks estimated gestational age </w:t>
      </w:r>
      <w:r w:rsidR="00833C5E">
        <w:t>to</w:t>
      </w:r>
      <w:r w:rsidRPr="00705B8C">
        <w:t xml:space="preserve"> &lt;6 years</w:t>
      </w:r>
      <w:r w:rsidR="00833C5E">
        <w:t>)</w:t>
      </w:r>
      <w:r w:rsidRPr="00705B8C">
        <w:t xml:space="preserve"> </w:t>
      </w:r>
      <w:r w:rsidRPr="0009282C">
        <w:t xml:space="preserve">with relatively preserved kidney function </w:t>
      </w:r>
      <w:r w:rsidR="000D251D">
        <w:t>(</w:t>
      </w:r>
      <w:r w:rsidR="000D251D" w:rsidRPr="0009282C">
        <w:t xml:space="preserve">eGFR </w:t>
      </w:r>
      <w:r w:rsidR="007B4E4D">
        <w:rPr>
          <w:rFonts w:ascii="Calibri" w:hAnsi="Calibri" w:cs="Calibri"/>
        </w:rPr>
        <w:t>≥</w:t>
      </w:r>
      <w:r w:rsidR="000D251D" w:rsidRPr="0009282C">
        <w:t>45</w:t>
      </w:r>
      <w:r w:rsidR="00DE7279">
        <w:t> </w:t>
      </w:r>
      <w:r w:rsidR="000D251D" w:rsidRPr="0009282C">
        <w:t>mL/min/1.73</w:t>
      </w:r>
      <w:r w:rsidR="00DE7279">
        <w:t> </w:t>
      </w:r>
      <w:r w:rsidR="000D251D" w:rsidRPr="0009282C">
        <w:t>m</w:t>
      </w:r>
      <w:r w:rsidR="000D251D" w:rsidRPr="0009282C">
        <w:rPr>
          <w:vertAlign w:val="superscript"/>
        </w:rPr>
        <w:t>2</w:t>
      </w:r>
      <w:r w:rsidR="000D251D" w:rsidRPr="0009282C">
        <w:t xml:space="preserve"> if aged ≥1 year or normal serum creatinine if aged &lt;1 year, and </w:t>
      </w:r>
      <w:r w:rsidR="000D251D" w:rsidRPr="0009282C">
        <w:rPr>
          <w:rFonts w:eastAsiaTheme="minorEastAsia"/>
        </w:rPr>
        <w:t xml:space="preserve">urinary </w:t>
      </w:r>
      <w:proofErr w:type="spellStart"/>
      <w:r w:rsidR="000D251D" w:rsidRPr="0009282C">
        <w:rPr>
          <w:rFonts w:eastAsiaTheme="minorEastAsia"/>
        </w:rPr>
        <w:t>oxalate:creatinine</w:t>
      </w:r>
      <w:proofErr w:type="spellEnd"/>
      <w:r w:rsidR="000D251D" w:rsidRPr="0009282C">
        <w:rPr>
          <w:rFonts w:eastAsiaTheme="minorEastAsia"/>
        </w:rPr>
        <w:t xml:space="preserve"> ratio &gt;</w:t>
      </w:r>
      <w:r w:rsidR="005B3865">
        <w:rPr>
          <w:rFonts w:eastAsiaTheme="minorEastAsia"/>
        </w:rPr>
        <w:t xml:space="preserve"> </w:t>
      </w:r>
      <w:r w:rsidR="00B6609D">
        <w:rPr>
          <w:rFonts w:eastAsiaTheme="minorEastAsia"/>
        </w:rPr>
        <w:t>ULN</w:t>
      </w:r>
      <w:r w:rsidR="000D251D" w:rsidRPr="0009282C">
        <w:rPr>
          <w:rFonts w:eastAsiaTheme="minorEastAsia"/>
        </w:rPr>
        <w:t xml:space="preserve"> </w:t>
      </w:r>
      <w:r w:rsidR="00B6609D">
        <w:rPr>
          <w:rFonts w:eastAsiaTheme="minorEastAsia"/>
        </w:rPr>
        <w:t>(</w:t>
      </w:r>
      <w:r w:rsidR="000D251D" w:rsidRPr="0009282C">
        <w:rPr>
          <w:rFonts w:eastAsiaTheme="minorEastAsia"/>
        </w:rPr>
        <w:t>0.514 mmol/24hr/1.73 m</w:t>
      </w:r>
      <w:r w:rsidR="000D251D" w:rsidRPr="0009282C">
        <w:rPr>
          <w:vertAlign w:val="superscript"/>
        </w:rPr>
        <w:t>2</w:t>
      </w:r>
      <w:r w:rsidR="000D251D">
        <w:rPr>
          <w:rFonts w:eastAsiaTheme="minorEastAsia"/>
        </w:rPr>
        <w:t>)</w:t>
      </w:r>
      <w:r w:rsidR="000D251D" w:rsidRPr="0009282C">
        <w:rPr>
          <w:rFonts w:eastAsiaTheme="minorEastAsia"/>
        </w:rPr>
        <w:t>.</w:t>
      </w:r>
      <w:r w:rsidR="00E144EA">
        <w:rPr>
          <w:rFonts w:eastAsiaTheme="minorEastAsia"/>
        </w:rPr>
        <w:t xml:space="preserve"> The PBAC noted that for </w:t>
      </w:r>
      <w:r w:rsidR="009B303C">
        <w:rPr>
          <w:rFonts w:eastAsiaTheme="minorEastAsia"/>
        </w:rPr>
        <w:t>individuals in the ILLUMINATE-B trial</w:t>
      </w:r>
      <w:r w:rsidR="00194FAF">
        <w:rPr>
          <w:rFonts w:eastAsiaTheme="minorEastAsia"/>
        </w:rPr>
        <w:t xml:space="preserve">, treatment with </w:t>
      </w:r>
      <w:proofErr w:type="spellStart"/>
      <w:r w:rsidR="00194FAF">
        <w:rPr>
          <w:rFonts w:eastAsiaTheme="minorEastAsia"/>
        </w:rPr>
        <w:t>lumasiran</w:t>
      </w:r>
      <w:proofErr w:type="spellEnd"/>
      <w:r w:rsidR="009B303C">
        <w:rPr>
          <w:rFonts w:eastAsiaTheme="minorEastAsia"/>
        </w:rPr>
        <w:t xml:space="preserve"> </w:t>
      </w:r>
      <w:r w:rsidR="00194FAF" w:rsidRPr="0009282C">
        <w:t>resulted in a statistically significant reduction in spot urinary O:C ratio from baseline to 6</w:t>
      </w:r>
      <w:r w:rsidR="008E0312">
        <w:t> </w:t>
      </w:r>
      <w:r w:rsidR="00194FAF" w:rsidRPr="0009282C">
        <w:t>months (LSM percent change: -72.0%; 95% CI: -77.5, -66.4; p&lt;0.001)</w:t>
      </w:r>
      <w:r w:rsidR="00F523CB">
        <w:t xml:space="preserve"> and p</w:t>
      </w:r>
      <w:r w:rsidR="00F523CB" w:rsidRPr="0009282C">
        <w:t xml:space="preserve">atients continued to demonstrate a sustained reduction in urinary O:C ratio </w:t>
      </w:r>
      <w:r w:rsidR="00F62B08">
        <w:t>during</w:t>
      </w:r>
      <w:r w:rsidR="00F523CB" w:rsidRPr="0009282C">
        <w:t xml:space="preserve"> </w:t>
      </w:r>
      <w:r w:rsidR="00B75986">
        <w:t>the extension period (</w:t>
      </w:r>
      <w:r w:rsidR="00F523CB" w:rsidRPr="0009282C">
        <w:t>30 months</w:t>
      </w:r>
      <w:r w:rsidR="00B75986">
        <w:t>)</w:t>
      </w:r>
      <w:r w:rsidR="00F523CB" w:rsidRPr="0009282C">
        <w:t>.</w:t>
      </w:r>
      <w:r w:rsidR="00170585">
        <w:t xml:space="preserve"> The PBAC noted that the </w:t>
      </w:r>
      <w:r w:rsidR="0044009D" w:rsidRPr="0009282C">
        <w:t>ILLUMINATE-C trial included patients ≥</w:t>
      </w:r>
      <w:r w:rsidR="008E0312" w:rsidRPr="0009282C">
        <w:t>37</w:t>
      </w:r>
      <w:r w:rsidR="008E0312">
        <w:t> </w:t>
      </w:r>
      <w:r w:rsidR="0044009D" w:rsidRPr="0009282C">
        <w:t xml:space="preserve">weeks gestational age with more advanced </w:t>
      </w:r>
      <w:r w:rsidR="0029181C">
        <w:t>chronic kidney disease (</w:t>
      </w:r>
      <w:r w:rsidR="0044009D" w:rsidRPr="0009282C">
        <w:t>CKD</w:t>
      </w:r>
      <w:r w:rsidR="0029181C">
        <w:t>)</w:t>
      </w:r>
      <w:r w:rsidR="002D3ECF">
        <w:t xml:space="preserve"> (</w:t>
      </w:r>
      <w:r w:rsidR="002D3ECF" w:rsidRPr="0009282C">
        <w:t xml:space="preserve">eGFR </w:t>
      </w:r>
      <w:r w:rsidR="002D3ECF" w:rsidRPr="0009282C">
        <w:rPr>
          <w:rFonts w:ascii="Calibri" w:hAnsi="Calibri" w:cs="Calibri"/>
        </w:rPr>
        <w:t>≤</w:t>
      </w:r>
      <w:r w:rsidR="002D3ECF" w:rsidRPr="0009282C">
        <w:t>45</w:t>
      </w:r>
      <w:r w:rsidR="008E0312">
        <w:t> </w:t>
      </w:r>
      <w:r w:rsidR="002D3ECF" w:rsidRPr="0009282C">
        <w:t>mL/min/1.73 m</w:t>
      </w:r>
      <w:r w:rsidR="002D3ECF" w:rsidRPr="0009282C">
        <w:rPr>
          <w:vertAlign w:val="superscript"/>
        </w:rPr>
        <w:t>2</w:t>
      </w:r>
      <w:r w:rsidR="002D3ECF" w:rsidRPr="0009282C">
        <w:t xml:space="preserve">, </w:t>
      </w:r>
      <w:r w:rsidR="002D3ECF" w:rsidRPr="0009282C">
        <w:rPr>
          <w:rFonts w:eastAsiaTheme="minorEastAsia"/>
        </w:rPr>
        <w:t>mean plasma oxalate level ≥20</w:t>
      </w:r>
      <w:r w:rsidR="00020595">
        <w:rPr>
          <w:rFonts w:eastAsiaTheme="minorEastAsia"/>
        </w:rPr>
        <w:t> </w:t>
      </w:r>
      <w:proofErr w:type="spellStart"/>
      <w:r w:rsidR="002D3ECF" w:rsidRPr="0009282C">
        <w:rPr>
          <w:rFonts w:eastAsiaTheme="minorEastAsia"/>
        </w:rPr>
        <w:t>μmol</w:t>
      </w:r>
      <w:proofErr w:type="spellEnd"/>
      <w:r w:rsidR="002D3ECF" w:rsidRPr="0009282C">
        <w:rPr>
          <w:rFonts w:eastAsiaTheme="minorEastAsia"/>
        </w:rPr>
        <w:t>/L</w:t>
      </w:r>
      <w:r w:rsidR="002D3ECF">
        <w:rPr>
          <w:rFonts w:eastAsiaTheme="minorEastAsia"/>
        </w:rPr>
        <w:t>)</w:t>
      </w:r>
      <w:r w:rsidR="00192833">
        <w:rPr>
          <w:rFonts w:eastAsiaTheme="minorEastAsia"/>
        </w:rPr>
        <w:t xml:space="preserve"> and included </w:t>
      </w:r>
      <w:r w:rsidR="00540A17">
        <w:rPr>
          <w:rFonts w:eastAsiaTheme="minorEastAsia"/>
        </w:rPr>
        <w:t>both</w:t>
      </w:r>
      <w:r w:rsidR="00192833">
        <w:rPr>
          <w:rFonts w:eastAsiaTheme="minorEastAsia"/>
        </w:rPr>
        <w:t xml:space="preserve"> </w:t>
      </w:r>
      <w:r w:rsidR="00540A17">
        <w:rPr>
          <w:rFonts w:eastAsiaTheme="minorEastAsia"/>
        </w:rPr>
        <w:t>patients not on dialysis (Cohort A) and on dialysis (Cohort B)</w:t>
      </w:r>
      <w:r w:rsidR="00FF7E07">
        <w:t xml:space="preserve">. The PBAC noted that </w:t>
      </w:r>
      <w:r w:rsidR="00983EA8">
        <w:t>patients in Cohort B</w:t>
      </w:r>
      <w:r w:rsidR="00FF7E07">
        <w:t xml:space="preserve"> of the ILLUMINATE-C trial</w:t>
      </w:r>
      <w:r w:rsidR="00983EA8">
        <w:t xml:space="preserve"> were </w:t>
      </w:r>
      <w:r w:rsidR="003F30AA">
        <w:t xml:space="preserve">receiving </w:t>
      </w:r>
      <w:r w:rsidR="00983EA8">
        <w:t xml:space="preserve">an average of 6 </w:t>
      </w:r>
      <w:r w:rsidR="00FF7E07">
        <w:t>dialysis sessions per week</w:t>
      </w:r>
      <w:r w:rsidR="00A27440">
        <w:t xml:space="preserve"> at baseline</w:t>
      </w:r>
      <w:r w:rsidR="0029181C">
        <w:t>.</w:t>
      </w:r>
      <w:r w:rsidR="00874EC4">
        <w:t xml:space="preserve"> </w:t>
      </w:r>
      <w:r w:rsidR="00695041">
        <w:t xml:space="preserve">The PBAC noted that for individuals in the </w:t>
      </w:r>
      <w:r w:rsidR="00E614CC">
        <w:t xml:space="preserve">ILLUMINATE-C trial, treatment with </w:t>
      </w:r>
      <w:proofErr w:type="spellStart"/>
      <w:r w:rsidR="00E614CC">
        <w:t>lumasiran</w:t>
      </w:r>
      <w:proofErr w:type="spellEnd"/>
      <w:r w:rsidR="00E614CC">
        <w:t xml:space="preserve"> resulted in </w:t>
      </w:r>
      <w:r w:rsidR="00E95345" w:rsidRPr="0009282C">
        <w:t>a reduction in</w:t>
      </w:r>
      <w:r w:rsidR="003B3BE7">
        <w:t xml:space="preserve"> percent and absolute</w:t>
      </w:r>
      <w:r w:rsidR="00E95345" w:rsidRPr="0009282C">
        <w:t xml:space="preserve"> plasma oxalate </w:t>
      </w:r>
      <w:r w:rsidR="00F451E4">
        <w:t xml:space="preserve">from </w:t>
      </w:r>
      <w:r w:rsidR="00E95345" w:rsidRPr="0009282C">
        <w:t>baseline to 6 months.</w:t>
      </w:r>
      <w:r w:rsidR="00C9030A">
        <w:t xml:space="preserve"> The PBAC noted that reductions i</w:t>
      </w:r>
      <w:r w:rsidR="00723313">
        <w:t>n</w:t>
      </w:r>
      <w:r w:rsidR="00C9030A">
        <w:t xml:space="preserve"> plasma </w:t>
      </w:r>
      <w:r w:rsidR="00603109">
        <w:t xml:space="preserve">oxalate levels were maintained during the extension period (up to 24 months). </w:t>
      </w:r>
      <w:r w:rsidR="0034379E" w:rsidRPr="00383951">
        <w:rPr>
          <w:snapToGrid w:val="0"/>
          <w:lang w:val="en-GB"/>
        </w:rPr>
        <w:t xml:space="preserve">Overall, the </w:t>
      </w:r>
      <w:r w:rsidR="0034379E" w:rsidRPr="00383951">
        <w:rPr>
          <w:snapToGrid w:val="0"/>
        </w:rPr>
        <w:t xml:space="preserve">PBAC considered that the claim of superior comparative effectiveness was reasonable based on </w:t>
      </w:r>
      <w:r w:rsidR="00B057EF">
        <w:rPr>
          <w:snapToGrid w:val="0"/>
        </w:rPr>
        <w:t xml:space="preserve">the observed </w:t>
      </w:r>
      <w:r w:rsidR="0034379E" w:rsidRPr="00383951">
        <w:rPr>
          <w:snapToGrid w:val="0"/>
        </w:rPr>
        <w:t xml:space="preserve">reduction </w:t>
      </w:r>
      <w:r w:rsidR="00B057EF">
        <w:rPr>
          <w:snapToGrid w:val="0"/>
        </w:rPr>
        <w:t xml:space="preserve">in </w:t>
      </w:r>
      <w:r w:rsidR="0034379E">
        <w:rPr>
          <w:snapToGrid w:val="0"/>
        </w:rPr>
        <w:t xml:space="preserve">plasma and </w:t>
      </w:r>
      <w:r w:rsidR="007C139F">
        <w:rPr>
          <w:snapToGrid w:val="0"/>
        </w:rPr>
        <w:t>urinary oxalate</w:t>
      </w:r>
      <w:r w:rsidR="00723313">
        <w:rPr>
          <w:snapToGrid w:val="0"/>
        </w:rPr>
        <w:t xml:space="preserve"> across the three ILLUMINATE trials</w:t>
      </w:r>
      <w:r w:rsidR="0034379E" w:rsidRPr="00383951">
        <w:rPr>
          <w:snapToGrid w:val="0"/>
        </w:rPr>
        <w:t>,</w:t>
      </w:r>
      <w:r w:rsidR="009E359B">
        <w:rPr>
          <w:snapToGrid w:val="0"/>
        </w:rPr>
        <w:t xml:space="preserve"> </w:t>
      </w:r>
      <w:r w:rsidR="00B057EF">
        <w:rPr>
          <w:snapToGrid w:val="0"/>
        </w:rPr>
        <w:t>however</w:t>
      </w:r>
      <w:r w:rsidR="009E359B">
        <w:rPr>
          <w:snapToGrid w:val="0"/>
        </w:rPr>
        <w:t xml:space="preserve"> considered that</w:t>
      </w:r>
      <w:r w:rsidR="0034379E" w:rsidRPr="00383951">
        <w:rPr>
          <w:snapToGrid w:val="0"/>
        </w:rPr>
        <w:t xml:space="preserve"> the magnitude of benefit </w:t>
      </w:r>
      <w:r w:rsidR="0074082D">
        <w:rPr>
          <w:snapToGrid w:val="0"/>
        </w:rPr>
        <w:t>remained</w:t>
      </w:r>
      <w:r w:rsidR="009E359B">
        <w:rPr>
          <w:snapToGrid w:val="0"/>
        </w:rPr>
        <w:t xml:space="preserve"> </w:t>
      </w:r>
      <w:r w:rsidR="0034379E" w:rsidRPr="00383951">
        <w:rPr>
          <w:snapToGrid w:val="0"/>
        </w:rPr>
        <w:t xml:space="preserve">uncertain due to limitations </w:t>
      </w:r>
      <w:r w:rsidR="00B057EF">
        <w:rPr>
          <w:snapToGrid w:val="0"/>
        </w:rPr>
        <w:t xml:space="preserve">related to </w:t>
      </w:r>
      <w:r w:rsidR="005D3AA9">
        <w:rPr>
          <w:snapToGrid w:val="0"/>
        </w:rPr>
        <w:t xml:space="preserve">the </w:t>
      </w:r>
      <w:r w:rsidR="00B057EF">
        <w:rPr>
          <w:snapToGrid w:val="0"/>
        </w:rPr>
        <w:t>small sample sizes</w:t>
      </w:r>
      <w:r w:rsidR="005D3AA9">
        <w:rPr>
          <w:snapToGrid w:val="0"/>
        </w:rPr>
        <w:t xml:space="preserve"> of the trials</w:t>
      </w:r>
      <w:r w:rsidR="0034379E" w:rsidRPr="00383951">
        <w:rPr>
          <w:snapToGrid w:val="0"/>
        </w:rPr>
        <w:t>.</w:t>
      </w:r>
    </w:p>
    <w:p w14:paraId="66392433" w14:textId="5341882F" w:rsidR="009C2415" w:rsidRDefault="00BD0C89" w:rsidP="00EB4864">
      <w:pPr>
        <w:pStyle w:val="3-BodyText"/>
      </w:pPr>
      <w:r>
        <w:t>The PBAC</w:t>
      </w:r>
      <w:r w:rsidR="00C201A7">
        <w:t xml:space="preserve"> considered that </w:t>
      </w:r>
      <w:proofErr w:type="spellStart"/>
      <w:r w:rsidR="00C201A7">
        <w:t>lumasiran</w:t>
      </w:r>
      <w:proofErr w:type="spellEnd"/>
      <w:r w:rsidR="00C201A7">
        <w:t xml:space="preserve"> </w:t>
      </w:r>
      <w:r w:rsidR="00B90699">
        <w:t xml:space="preserve">appeared to be generally </w:t>
      </w:r>
      <w:r w:rsidR="00C201A7">
        <w:t xml:space="preserve">well tolerated (see </w:t>
      </w:r>
      <w:r w:rsidR="00AC6030">
        <w:fldChar w:fldCharType="begin" w:fldLock="1"/>
      </w:r>
      <w:r w:rsidR="00AC6030">
        <w:instrText xml:space="preserve"> REF _Ref185869102 \h </w:instrText>
      </w:r>
      <w:r w:rsidR="00AC6030">
        <w:fldChar w:fldCharType="separate"/>
      </w:r>
      <w:r w:rsidR="00771DFF" w:rsidRPr="0009282C">
        <w:t xml:space="preserve">Table </w:t>
      </w:r>
      <w:r w:rsidR="00771DFF">
        <w:rPr>
          <w:noProof/>
        </w:rPr>
        <w:t>8</w:t>
      </w:r>
      <w:r w:rsidR="00AC6030">
        <w:fldChar w:fldCharType="end"/>
      </w:r>
      <w:r w:rsidR="00AC6030">
        <w:t>)</w:t>
      </w:r>
      <w:r w:rsidR="00A9162F">
        <w:t xml:space="preserve">. The PBAC noted that there </w:t>
      </w:r>
      <w:r w:rsidR="00355E55">
        <w:t>were few</w:t>
      </w:r>
      <w:r w:rsidR="00A9162F">
        <w:t xml:space="preserve"> discontinuations due to adverse events from treatment</w:t>
      </w:r>
      <w:r w:rsidR="00A9162F" w:rsidRPr="006D0D5C">
        <w:t xml:space="preserve"> </w:t>
      </w:r>
      <w:r w:rsidR="00A9162F">
        <w:t>across the three ILLUMINATE trials,</w:t>
      </w:r>
      <w:r w:rsidR="00B90699">
        <w:t xml:space="preserve"> however noted that </w:t>
      </w:r>
      <w:r w:rsidR="002B163D" w:rsidRPr="0009282C">
        <w:t>injection-site reactions</w:t>
      </w:r>
      <w:r w:rsidR="00474E92">
        <w:t xml:space="preserve"> were common for </w:t>
      </w:r>
      <w:proofErr w:type="spellStart"/>
      <w:r w:rsidR="00474E92">
        <w:t>lumasiran</w:t>
      </w:r>
      <w:proofErr w:type="spellEnd"/>
      <w:r w:rsidR="00474E92">
        <w:t xml:space="preserve">-treatment patients. For this reason, the PBAC considered that </w:t>
      </w:r>
      <w:proofErr w:type="spellStart"/>
      <w:r w:rsidR="00474E92">
        <w:t>lumasiran</w:t>
      </w:r>
      <w:proofErr w:type="spellEnd"/>
      <w:r w:rsidR="00474E92">
        <w:t xml:space="preserve"> had inferior safety to BSC.</w:t>
      </w:r>
    </w:p>
    <w:p w14:paraId="7022089D" w14:textId="359B6D30" w:rsidR="00C90BFF" w:rsidRPr="00C90BFF" w:rsidRDefault="00787880" w:rsidP="00C35865">
      <w:pPr>
        <w:pStyle w:val="3-BodyText"/>
        <w:rPr>
          <w:iCs/>
        </w:rPr>
      </w:pPr>
      <w:r>
        <w:t xml:space="preserve">The submission presented a cost-utility analysis for the economic evaluation, based on the results </w:t>
      </w:r>
      <w:r w:rsidR="001B666F">
        <w:t>from</w:t>
      </w:r>
      <w:r>
        <w:t xml:space="preserve"> the three ILLUMINATE trials and additional literature data. The </w:t>
      </w:r>
      <w:r w:rsidR="006B6FB6">
        <w:t xml:space="preserve">PBAC noted that </w:t>
      </w:r>
      <w:r w:rsidR="00C655AA">
        <w:t xml:space="preserve">the </w:t>
      </w:r>
      <w:r w:rsidR="006B6FB6">
        <w:t>base case ICER for the economic model was high</w:t>
      </w:r>
      <w:r w:rsidR="000848DC">
        <w:t xml:space="preserve"> </w:t>
      </w:r>
      <w:r w:rsidR="00C655AA">
        <w:t xml:space="preserve">and </w:t>
      </w:r>
      <w:r w:rsidR="00582933">
        <w:t xml:space="preserve">associated with </w:t>
      </w:r>
      <w:r w:rsidR="00C363E3">
        <w:t xml:space="preserve">a </w:t>
      </w:r>
      <w:r w:rsidR="00582933">
        <w:t>high level of uncertainty</w:t>
      </w:r>
      <w:r w:rsidR="00C655AA">
        <w:t xml:space="preserve"> </w:t>
      </w:r>
      <w:r w:rsidR="006B6FB6">
        <w:t>(</w:t>
      </w:r>
      <w:r w:rsidR="002279BB" w:rsidRPr="002279BB">
        <w:t>$455,000 to &lt; $555,000</w:t>
      </w:r>
      <w:r w:rsidR="006B6FB6">
        <w:t xml:space="preserve">/QALY gained, excluding caregiver utilities; </w:t>
      </w:r>
      <w:r w:rsidR="002279BB" w:rsidRPr="002279BB">
        <w:t>$455,000 to &lt; $555,000</w:t>
      </w:r>
      <w:r w:rsidR="006B6FB6">
        <w:t xml:space="preserve">/QALY gained, including caregiver utilities). </w:t>
      </w:r>
      <w:r w:rsidR="00754FFE">
        <w:t xml:space="preserve">The PBAC noted that </w:t>
      </w:r>
      <w:r w:rsidR="00C12B42">
        <w:t xml:space="preserve">the </w:t>
      </w:r>
      <w:r w:rsidR="00754FFE">
        <w:t xml:space="preserve">economic model relied on complex </w:t>
      </w:r>
      <w:r w:rsidR="008E6667">
        <w:t>conversion assumptions translati</w:t>
      </w:r>
      <w:r w:rsidR="00A25B02">
        <w:t>ng</w:t>
      </w:r>
      <w:r w:rsidR="008E6667">
        <w:t xml:space="preserve"> </w:t>
      </w:r>
      <w:r w:rsidR="002610EA">
        <w:t xml:space="preserve">surrogate outcomes </w:t>
      </w:r>
      <w:r w:rsidR="00EE7C63">
        <w:t xml:space="preserve">(plasma oxalate) </w:t>
      </w:r>
      <w:r w:rsidR="00CD1DC6">
        <w:t xml:space="preserve">to </w:t>
      </w:r>
      <w:r w:rsidR="00DD04D0">
        <w:t>change in eGFR</w:t>
      </w:r>
      <w:r w:rsidR="003062DC">
        <w:t xml:space="preserve">, </w:t>
      </w:r>
      <w:r w:rsidR="005805A6">
        <w:t xml:space="preserve">chronic kidney disease and other health outcomes associated with systemic oxalosis and mortality over a </w:t>
      </w:r>
      <w:r w:rsidR="00EB4864">
        <w:t>lifetime</w:t>
      </w:r>
      <w:r w:rsidR="00E51BC1">
        <w:t xml:space="preserve"> time horizon</w:t>
      </w:r>
      <w:r w:rsidR="005805A6">
        <w:t>.</w:t>
      </w:r>
      <w:r w:rsidR="00086A43">
        <w:t xml:space="preserve"> </w:t>
      </w:r>
    </w:p>
    <w:p w14:paraId="5C849317" w14:textId="368784A1" w:rsidR="00601432" w:rsidRPr="00C90BFF" w:rsidRDefault="00086A43" w:rsidP="00C90BFF">
      <w:pPr>
        <w:pStyle w:val="3-BodyText"/>
        <w:rPr>
          <w:iCs/>
        </w:rPr>
      </w:pPr>
      <w:r>
        <w:t xml:space="preserve">The PBAC noted that the </w:t>
      </w:r>
      <w:r w:rsidR="004742D0">
        <w:t xml:space="preserve">economic </w:t>
      </w:r>
      <w:r>
        <w:t xml:space="preserve">model </w:t>
      </w:r>
      <w:r w:rsidR="009853E0">
        <w:t>included</w:t>
      </w:r>
      <w:r>
        <w:t xml:space="preserve"> </w:t>
      </w:r>
      <w:r w:rsidR="00B92BFF">
        <w:t>several</w:t>
      </w:r>
      <w:r>
        <w:t xml:space="preserve"> </w:t>
      </w:r>
      <w:r w:rsidR="00C35865">
        <w:t>optimistic</w:t>
      </w:r>
      <w:r w:rsidR="003E50E8">
        <w:t xml:space="preserve"> parametric and structural assumptions, which </w:t>
      </w:r>
      <w:r w:rsidR="00C35865">
        <w:t xml:space="preserve">favoured </w:t>
      </w:r>
      <w:proofErr w:type="spellStart"/>
      <w:r w:rsidR="00C35865">
        <w:t>lumasiran</w:t>
      </w:r>
      <w:proofErr w:type="spellEnd"/>
      <w:r w:rsidR="00C35865">
        <w:t>.</w:t>
      </w:r>
      <w:r w:rsidR="00E6652B">
        <w:t xml:space="preserve"> </w:t>
      </w:r>
      <w:r w:rsidR="00946A5D">
        <w:t xml:space="preserve">In particular, </w:t>
      </w:r>
      <w:r w:rsidR="00310AD0">
        <w:t>t</w:t>
      </w:r>
      <w:r w:rsidR="00EB4864">
        <w:t xml:space="preserve">he PBAC </w:t>
      </w:r>
      <w:r w:rsidR="00503DAF">
        <w:t>considered the</w:t>
      </w:r>
      <w:r w:rsidR="003343BC">
        <w:t xml:space="preserve"> assumption</w:t>
      </w:r>
      <w:r w:rsidR="00FC4680">
        <w:t xml:space="preserve"> th</w:t>
      </w:r>
      <w:r w:rsidR="001143AE">
        <w:t xml:space="preserve">at </w:t>
      </w:r>
      <w:proofErr w:type="spellStart"/>
      <w:r w:rsidR="001143AE">
        <w:t>lumasiran</w:t>
      </w:r>
      <w:proofErr w:type="spellEnd"/>
      <w:r w:rsidR="001143AE">
        <w:t xml:space="preserve"> would be 100% effective</w:t>
      </w:r>
      <w:r w:rsidR="00B8179B">
        <w:t xml:space="preserve"> </w:t>
      </w:r>
      <w:r w:rsidR="00905798">
        <w:t>at stopping disease progression</w:t>
      </w:r>
      <w:r w:rsidR="0028489B">
        <w:t xml:space="preserve"> related to PH1</w:t>
      </w:r>
      <w:r w:rsidR="00672F89" w:rsidRPr="00C35865">
        <w:rPr>
          <w:iCs/>
        </w:rPr>
        <w:t xml:space="preserve"> </w:t>
      </w:r>
      <w:r w:rsidR="00286EB8" w:rsidRPr="00C35865">
        <w:rPr>
          <w:iCs/>
        </w:rPr>
        <w:t>over a lifetime time horizon was</w:t>
      </w:r>
      <w:r w:rsidR="0028489B" w:rsidRPr="00C35865">
        <w:rPr>
          <w:iCs/>
        </w:rPr>
        <w:t xml:space="preserve"> </w:t>
      </w:r>
      <w:r w:rsidR="00291BD4">
        <w:rPr>
          <w:iCs/>
        </w:rPr>
        <w:t>optimistic</w:t>
      </w:r>
      <w:r w:rsidR="00711419" w:rsidRPr="00711419">
        <w:t xml:space="preserve"> </w:t>
      </w:r>
      <w:r w:rsidR="00711419">
        <w:t>given the limited and relatively short clinical trial data</w:t>
      </w:r>
      <w:r w:rsidR="00313A80" w:rsidRPr="00C35865">
        <w:rPr>
          <w:iCs/>
        </w:rPr>
        <w:t xml:space="preserve">. </w:t>
      </w:r>
      <w:r w:rsidR="005127D9" w:rsidRPr="00C35865">
        <w:rPr>
          <w:iCs/>
        </w:rPr>
        <w:t xml:space="preserve">The PBAC also considered that </w:t>
      </w:r>
      <w:r w:rsidR="002B7B1D" w:rsidRPr="00C35865">
        <w:rPr>
          <w:iCs/>
        </w:rPr>
        <w:t xml:space="preserve">the assumption that patients </w:t>
      </w:r>
      <w:r w:rsidR="00C41AA1" w:rsidRPr="00C35865">
        <w:rPr>
          <w:iCs/>
        </w:rPr>
        <w:t xml:space="preserve">with </w:t>
      </w:r>
      <w:r w:rsidR="00DE0F57" w:rsidRPr="00C35865">
        <w:rPr>
          <w:iCs/>
        </w:rPr>
        <w:t xml:space="preserve">CKD4 and </w:t>
      </w:r>
      <w:r w:rsidR="00C41AA1" w:rsidRPr="00C35865">
        <w:rPr>
          <w:iCs/>
        </w:rPr>
        <w:t xml:space="preserve">CKD5 </w:t>
      </w:r>
      <w:r w:rsidR="002B7B1D" w:rsidRPr="00C35865">
        <w:rPr>
          <w:iCs/>
        </w:rPr>
        <w:t xml:space="preserve">in the BSC arm </w:t>
      </w:r>
      <w:r w:rsidR="00BF3455" w:rsidRPr="00C35865">
        <w:rPr>
          <w:iCs/>
        </w:rPr>
        <w:t xml:space="preserve">would </w:t>
      </w:r>
      <w:r w:rsidR="00E5350E" w:rsidRPr="00C35865">
        <w:rPr>
          <w:iCs/>
        </w:rPr>
        <w:t xml:space="preserve">only </w:t>
      </w:r>
      <w:r w:rsidR="00BF3455" w:rsidRPr="00C35865">
        <w:rPr>
          <w:iCs/>
        </w:rPr>
        <w:t xml:space="preserve">have a small probability </w:t>
      </w:r>
      <w:r w:rsidR="00DE0F57" w:rsidRPr="00C35865">
        <w:rPr>
          <w:iCs/>
        </w:rPr>
        <w:t xml:space="preserve">of transplant </w:t>
      </w:r>
      <w:r w:rsidR="00BF3455" w:rsidRPr="00C35865">
        <w:rPr>
          <w:iCs/>
        </w:rPr>
        <w:t xml:space="preserve">(0.8% per annum) </w:t>
      </w:r>
      <w:r w:rsidR="00DE0F57" w:rsidRPr="00C35865">
        <w:rPr>
          <w:iCs/>
        </w:rPr>
        <w:t xml:space="preserve">and </w:t>
      </w:r>
      <w:r w:rsidR="0095032D">
        <w:rPr>
          <w:iCs/>
        </w:rPr>
        <w:t>may</w:t>
      </w:r>
      <w:r w:rsidR="00DE0F57" w:rsidRPr="00C35865">
        <w:rPr>
          <w:iCs/>
        </w:rPr>
        <w:t xml:space="preserve"> remain on intensive dialysis for </w:t>
      </w:r>
      <w:r w:rsidR="008144C6" w:rsidRPr="00C35865">
        <w:rPr>
          <w:iCs/>
        </w:rPr>
        <w:t>the majority of their</w:t>
      </w:r>
      <w:r w:rsidR="00E5350E" w:rsidRPr="00C35865">
        <w:rPr>
          <w:iCs/>
        </w:rPr>
        <w:t xml:space="preserve"> lifetime was not well justified. </w:t>
      </w:r>
      <w:r w:rsidR="00601432">
        <w:t xml:space="preserve">The PBAC </w:t>
      </w:r>
      <w:r w:rsidR="00CD7FD3">
        <w:t xml:space="preserve">noted that a variety of sources had been </w:t>
      </w:r>
      <w:r w:rsidR="00DE6BCC">
        <w:t>used</w:t>
      </w:r>
      <w:r w:rsidR="00CD7FD3">
        <w:t xml:space="preserve"> to inform health state utility</w:t>
      </w:r>
      <w:r w:rsidR="00110D2E">
        <w:t xml:space="preserve"> values</w:t>
      </w:r>
      <w:r w:rsidR="00B47585">
        <w:t xml:space="preserve">, which led to </w:t>
      </w:r>
      <w:r w:rsidR="002926EA">
        <w:t>inconsistencies</w:t>
      </w:r>
      <w:r w:rsidR="005E7AAB">
        <w:t xml:space="preserve"> in how quality of life was </w:t>
      </w:r>
      <w:r w:rsidR="002926EA">
        <w:t>quantified across model states</w:t>
      </w:r>
      <w:r w:rsidR="00CD7FD3">
        <w:t xml:space="preserve">. </w:t>
      </w:r>
      <w:r w:rsidR="00A317D7">
        <w:t xml:space="preserve">The PBAC </w:t>
      </w:r>
      <w:r w:rsidR="00601432">
        <w:t xml:space="preserve">noted that </w:t>
      </w:r>
      <w:r w:rsidR="00601432" w:rsidRPr="00B034B9">
        <w:t xml:space="preserve">the reduction in utilities assumed for more severe disease health states compared to early stages of disease was </w:t>
      </w:r>
      <w:r w:rsidR="00A317D7">
        <w:t xml:space="preserve">likely </w:t>
      </w:r>
      <w:r w:rsidR="00601432" w:rsidRPr="00B034B9">
        <w:t xml:space="preserve">over-estimated and </w:t>
      </w:r>
      <w:r w:rsidR="00330F8E" w:rsidRPr="007B1E05">
        <w:t xml:space="preserve">that a range of disutility values had been applied on top of the health state utilities, </w:t>
      </w:r>
      <w:r w:rsidR="00A317D7">
        <w:t xml:space="preserve">which </w:t>
      </w:r>
      <w:r w:rsidR="007B1E05" w:rsidRPr="007B1E05">
        <w:t xml:space="preserve">led to </w:t>
      </w:r>
      <w:r w:rsidR="005F3DC4">
        <w:t xml:space="preserve">further uncertainty and </w:t>
      </w:r>
      <w:r w:rsidR="007B1E05" w:rsidRPr="007B1E05">
        <w:t xml:space="preserve">high </w:t>
      </w:r>
      <w:r w:rsidR="00330F8E" w:rsidRPr="007B1E05">
        <w:t>likelihood of double counting</w:t>
      </w:r>
      <w:r w:rsidR="007B1E05" w:rsidRPr="007B1E05">
        <w:t>.</w:t>
      </w:r>
      <w:r w:rsidR="009D0490">
        <w:t xml:space="preserve"> </w:t>
      </w:r>
    </w:p>
    <w:p w14:paraId="01CB0C4F" w14:textId="1E7B30BB" w:rsidR="00643FA1" w:rsidRDefault="00752EA8" w:rsidP="00167DA1">
      <w:pPr>
        <w:pStyle w:val="3-BodyText"/>
      </w:pPr>
      <w:r>
        <w:t>Overall, the</w:t>
      </w:r>
      <w:r w:rsidR="007C2437">
        <w:t xml:space="preserve"> PBAC agreed with the ESC that </w:t>
      </w:r>
      <w:r w:rsidR="007C2437" w:rsidRPr="00D744B6">
        <w:t xml:space="preserve">the substantial life-long benefits modelled for </w:t>
      </w:r>
      <w:proofErr w:type="spellStart"/>
      <w:r w:rsidR="007C2437" w:rsidRPr="00D744B6">
        <w:t>lumasiran</w:t>
      </w:r>
      <w:proofErr w:type="spellEnd"/>
      <w:r w:rsidR="007C2437" w:rsidRPr="00D744B6">
        <w:t xml:space="preserve"> over BSC, based on relatively</w:t>
      </w:r>
      <w:r w:rsidR="00167DA1">
        <w:t xml:space="preserve"> limited and</w:t>
      </w:r>
      <w:r w:rsidR="007C2437" w:rsidRPr="00D744B6">
        <w:t xml:space="preserve"> short</w:t>
      </w:r>
      <w:r w:rsidR="002C667A">
        <w:t xml:space="preserve"> duration</w:t>
      </w:r>
      <w:r w:rsidR="007C2437" w:rsidRPr="00D744B6">
        <w:t xml:space="preserve"> clinical trial evidence, were highly uncertain</w:t>
      </w:r>
      <w:r>
        <w:t>.</w:t>
      </w:r>
      <w:r w:rsidRPr="00752EA8">
        <w:t xml:space="preserve"> </w:t>
      </w:r>
      <w:r w:rsidRPr="00AC30E3">
        <w:t>The PBAC noted the advice from</w:t>
      </w:r>
      <w:r>
        <w:t xml:space="preserve"> the</w:t>
      </w:r>
      <w:r w:rsidRPr="00AC30E3">
        <w:t xml:space="preserve"> ESC</w:t>
      </w:r>
      <w:r>
        <w:t xml:space="preserve"> that </w:t>
      </w:r>
      <w:r w:rsidRPr="00AC30E3">
        <w:t>it was not immediately clear how the clinical parameters could be made more certain within the context of limited clinical data for a rare disease</w:t>
      </w:r>
      <w:r w:rsidR="007124F9">
        <w:t xml:space="preserve"> and</w:t>
      </w:r>
      <w:r w:rsidR="00167DA1" w:rsidRPr="00167DA1">
        <w:t xml:space="preserve"> considered alternative analyses may be informative</w:t>
      </w:r>
      <w:r w:rsidR="00167DA1">
        <w:t xml:space="preserve"> in this context</w:t>
      </w:r>
      <w:r w:rsidR="00167DA1" w:rsidRPr="00167DA1">
        <w:t>.</w:t>
      </w:r>
      <w:r w:rsidR="00167DA1">
        <w:rPr>
          <w:i/>
          <w:iCs/>
        </w:rPr>
        <w:t xml:space="preserve"> </w:t>
      </w:r>
      <w:r w:rsidR="00A24058">
        <w:t xml:space="preserve">Overall, the PBAC considered that, given </w:t>
      </w:r>
      <w:r w:rsidR="007124F9">
        <w:t>PH1</w:t>
      </w:r>
      <w:r w:rsidR="00A24058">
        <w:t xml:space="preserve"> is a rare disease and the data to inform an economic model are limited, the uncertainty in the ICER </w:t>
      </w:r>
      <w:r w:rsidR="00167DA1">
        <w:t>was</w:t>
      </w:r>
      <w:r w:rsidR="00A24058">
        <w:t xml:space="preserve"> unlikely to be adequately resolved with further revision to the</w:t>
      </w:r>
      <w:r w:rsidR="007124F9">
        <w:t xml:space="preserve"> economic model</w:t>
      </w:r>
      <w:r w:rsidR="00A24058">
        <w:t>.</w:t>
      </w:r>
      <w:r w:rsidR="00324192">
        <w:t xml:space="preserve"> The PBAC acknowledged the high unmet clinical need, </w:t>
      </w:r>
      <w:r w:rsidR="00FF2006">
        <w:t xml:space="preserve">the </w:t>
      </w:r>
      <w:r w:rsidR="008812B3">
        <w:t xml:space="preserve">clinically </w:t>
      </w:r>
      <w:r w:rsidR="00324192">
        <w:t xml:space="preserve">meaningful benefit </w:t>
      </w:r>
      <w:r w:rsidR="008812B3">
        <w:t>of reduced oxalate levels</w:t>
      </w:r>
      <w:r w:rsidR="007332B3">
        <w:t>, and</w:t>
      </w:r>
      <w:r w:rsidR="007332B3" w:rsidRPr="0072025E">
        <w:t xml:space="preserve"> </w:t>
      </w:r>
      <w:r w:rsidR="007332B3">
        <w:t>the potential</w:t>
      </w:r>
      <w:r w:rsidR="00B0415B">
        <w:t xml:space="preserve"> re</w:t>
      </w:r>
      <w:r w:rsidR="00A67785">
        <w:t>duction in</w:t>
      </w:r>
      <w:r w:rsidR="00B0415B">
        <w:t xml:space="preserve"> the utilisation of dialysis and transplantation</w:t>
      </w:r>
      <w:r w:rsidR="00A67785">
        <w:t>, and overall</w:t>
      </w:r>
      <w:r w:rsidR="007332B3">
        <w:t xml:space="preserve"> improvement in the quality of life for individuals with PH1 and </w:t>
      </w:r>
      <w:r w:rsidR="00583249">
        <w:t xml:space="preserve">their </w:t>
      </w:r>
      <w:proofErr w:type="spellStart"/>
      <w:r w:rsidR="007332B3">
        <w:t>carers</w:t>
      </w:r>
      <w:proofErr w:type="spellEnd"/>
      <w:r w:rsidR="007332B3">
        <w:t>.</w:t>
      </w:r>
      <w:r w:rsidR="00CF25B0">
        <w:t xml:space="preserve"> </w:t>
      </w:r>
      <w:r w:rsidR="00CF25B0" w:rsidRPr="00CF25B0">
        <w:t>The PBAC considered</w:t>
      </w:r>
      <w:r w:rsidR="00AC72E1">
        <w:t xml:space="preserve"> that</w:t>
      </w:r>
      <w:r w:rsidR="00CF25B0" w:rsidRPr="00CF25B0">
        <w:t xml:space="preserve"> in order to accept the value proposition, in the context of a high degree of uncertainty in the economic model and ICER, and the potential lifetime use of </w:t>
      </w:r>
      <w:proofErr w:type="spellStart"/>
      <w:r w:rsidR="00B575A2">
        <w:t>lumasiran</w:t>
      </w:r>
      <w:proofErr w:type="spellEnd"/>
      <w:r w:rsidR="00CF25B0" w:rsidRPr="00CF25B0">
        <w:t xml:space="preserve"> with limited long-term experience with the drug, a price reduction would be required to achieve a</w:t>
      </w:r>
      <w:r w:rsidR="00B575A2">
        <w:t>n average</w:t>
      </w:r>
      <w:r w:rsidR="00CF25B0" w:rsidRPr="00CF25B0">
        <w:t xml:space="preserve"> cost/patient/year of </w:t>
      </w:r>
      <w:r w:rsidR="00CF2E9C">
        <w:t xml:space="preserve">approximately </w:t>
      </w:r>
      <w:r w:rsidR="00CF25B0" w:rsidRPr="00CF25B0">
        <w:t>$</w:t>
      </w:r>
      <w:r w:rsidR="002212A2" w:rsidRPr="002212A2">
        <w:rPr>
          <w:color w:val="000000"/>
          <w:w w:val="60"/>
          <w:shd w:val="solid" w:color="000000" w:fill="000000"/>
          <w:fitText w:val="470" w:id="-694423540"/>
          <w14:textFill>
            <w14:solidFill>
              <w14:srgbClr w14:val="000000">
                <w14:alpha w14:val="100000"/>
              </w14:srgbClr>
            </w14:solidFill>
          </w14:textFill>
        </w:rPr>
        <w:t>|||  ||</w:t>
      </w:r>
      <w:r w:rsidR="002212A2" w:rsidRPr="002212A2">
        <w:rPr>
          <w:color w:val="000000"/>
          <w:spacing w:val="6"/>
          <w:w w:val="60"/>
          <w:shd w:val="solid" w:color="000000" w:fill="000000"/>
          <w:fitText w:val="470" w:id="-694423540"/>
          <w14:textFill>
            <w14:solidFill>
              <w14:srgbClr w14:val="000000">
                <w14:alpha w14:val="100000"/>
              </w14:srgbClr>
            </w14:solidFill>
          </w14:textFill>
        </w:rPr>
        <w:t>|</w:t>
      </w:r>
      <w:r w:rsidR="00CE568C">
        <w:rPr>
          <w:rFonts w:cstheme="minorHAnsi"/>
        </w:rPr>
        <w:t xml:space="preserve"> (currently </w:t>
      </w:r>
      <w:r w:rsidR="00CF2E9C">
        <w:rPr>
          <w:rFonts w:cstheme="minorHAnsi"/>
        </w:rPr>
        <w:t>$</w:t>
      </w:r>
      <w:r w:rsidR="002212A2" w:rsidRPr="00B91BD2">
        <w:rPr>
          <w:rFonts w:cstheme="minorHAnsi"/>
          <w:color w:val="000000"/>
          <w:w w:val="60"/>
          <w:shd w:val="solid" w:color="000000" w:fill="000000"/>
          <w:fitText w:val="470" w:id="-694423539"/>
          <w14:textFill>
            <w14:solidFill>
              <w14:srgbClr w14:val="000000">
                <w14:alpha w14:val="100000"/>
              </w14:srgbClr>
            </w14:solidFill>
          </w14:textFill>
        </w:rPr>
        <w:t>|||  ||</w:t>
      </w:r>
      <w:r w:rsidR="002212A2" w:rsidRPr="00B91BD2">
        <w:rPr>
          <w:rFonts w:cstheme="minorHAnsi"/>
          <w:color w:val="000000"/>
          <w:spacing w:val="6"/>
          <w:w w:val="60"/>
          <w:shd w:val="solid" w:color="000000" w:fill="000000"/>
          <w:fitText w:val="470" w:id="-694423539"/>
          <w14:textFill>
            <w14:solidFill>
              <w14:srgbClr w14:val="000000">
                <w14:alpha w14:val="100000"/>
              </w14:srgbClr>
            </w14:solidFill>
          </w14:textFill>
        </w:rPr>
        <w:t>|</w:t>
      </w:r>
      <w:r w:rsidR="00CF2E9C">
        <w:rPr>
          <w:rFonts w:cstheme="minorHAnsi"/>
        </w:rPr>
        <w:t xml:space="preserve">, see paragraph </w:t>
      </w:r>
      <w:r w:rsidR="00CF2E9C">
        <w:rPr>
          <w:rFonts w:cstheme="minorHAnsi"/>
        </w:rPr>
        <w:fldChar w:fldCharType="begin" w:fldLock="1"/>
      </w:r>
      <w:r w:rsidR="00CF2E9C">
        <w:rPr>
          <w:rFonts w:cstheme="minorHAnsi"/>
        </w:rPr>
        <w:instrText xml:space="preserve"> REF _Ref194589362 \r \h </w:instrText>
      </w:r>
      <w:r w:rsidR="00CF2E9C">
        <w:rPr>
          <w:rFonts w:cstheme="minorHAnsi"/>
        </w:rPr>
      </w:r>
      <w:r w:rsidR="00CF2E9C">
        <w:rPr>
          <w:rFonts w:cstheme="minorHAnsi"/>
        </w:rPr>
        <w:fldChar w:fldCharType="separate"/>
      </w:r>
      <w:r w:rsidR="00771DFF">
        <w:rPr>
          <w:rFonts w:cstheme="minorHAnsi"/>
        </w:rPr>
        <w:t>6.93</w:t>
      </w:r>
      <w:r w:rsidR="00CF2E9C">
        <w:rPr>
          <w:rFonts w:cstheme="minorHAnsi"/>
        </w:rPr>
        <w:fldChar w:fldCharType="end"/>
      </w:r>
      <w:r w:rsidR="00CF2E9C">
        <w:rPr>
          <w:rFonts w:cstheme="minorHAnsi"/>
        </w:rPr>
        <w:t xml:space="preserve"> and </w:t>
      </w:r>
      <w:r w:rsidR="00CF2E9C">
        <w:rPr>
          <w:rFonts w:cstheme="minorHAnsi"/>
        </w:rPr>
        <w:fldChar w:fldCharType="begin" w:fldLock="1"/>
      </w:r>
      <w:r w:rsidR="00CF2E9C">
        <w:rPr>
          <w:rFonts w:cstheme="minorHAnsi"/>
        </w:rPr>
        <w:instrText xml:space="preserve"> REF _Ref194589387 \h </w:instrText>
      </w:r>
      <w:r w:rsidR="00CF2E9C">
        <w:rPr>
          <w:rFonts w:cstheme="minorHAnsi"/>
        </w:rPr>
      </w:r>
      <w:r w:rsidR="00CF2E9C">
        <w:rPr>
          <w:rFonts w:cstheme="minorHAnsi"/>
        </w:rPr>
        <w:fldChar w:fldCharType="separate"/>
      </w:r>
      <w:r w:rsidR="00771DFF" w:rsidRPr="0009282C">
        <w:t xml:space="preserve">Table </w:t>
      </w:r>
      <w:r w:rsidR="00771DFF">
        <w:rPr>
          <w:noProof/>
        </w:rPr>
        <w:t>18</w:t>
      </w:r>
      <w:r w:rsidR="00CF2E9C">
        <w:rPr>
          <w:rFonts w:cstheme="minorHAnsi"/>
        </w:rPr>
        <w:fldChar w:fldCharType="end"/>
      </w:r>
      <w:r w:rsidR="00CF2E9C">
        <w:rPr>
          <w:rFonts w:cstheme="minorHAnsi"/>
        </w:rPr>
        <w:t>)</w:t>
      </w:r>
      <w:r w:rsidR="00CF25B0" w:rsidRPr="00CF25B0">
        <w:t>.</w:t>
      </w:r>
      <w:r w:rsidR="00142D20" w:rsidRPr="00142D20">
        <w:t xml:space="preserve"> </w:t>
      </w:r>
      <w:r w:rsidR="00142D20">
        <w:t>The PBAC considered this would be consistent with that for previously recommended treatments for</w:t>
      </w:r>
      <w:r w:rsidR="004B16B0">
        <w:t xml:space="preserve"> </w:t>
      </w:r>
      <w:r w:rsidR="00142D20">
        <w:t>rare diseases funded on the PBS when accounting for the clinical need, available evidence</w:t>
      </w:r>
      <w:r w:rsidR="00484C77">
        <w:t xml:space="preserve">, </w:t>
      </w:r>
      <w:r w:rsidR="00BB1323">
        <w:t>nature of the benefits, estimated ICER</w:t>
      </w:r>
      <w:r w:rsidR="00142D20">
        <w:t xml:space="preserve"> and size of the patient population.</w:t>
      </w:r>
    </w:p>
    <w:p w14:paraId="7B3A716B" w14:textId="4837C528" w:rsidR="008131CE" w:rsidRPr="00A607A3" w:rsidRDefault="008131CE" w:rsidP="00123F5D">
      <w:pPr>
        <w:pStyle w:val="3-BodyText"/>
        <w:rPr>
          <w:snapToGrid w:val="0"/>
          <w:lang w:val="en-GB"/>
        </w:rPr>
      </w:pPr>
      <w:r>
        <w:rPr>
          <w:snapToGrid w:val="0"/>
          <w:lang w:val="en-GB"/>
        </w:rPr>
        <w:t xml:space="preserve">The PBAC noted the DUSC advice that the modelled utilisation was </w:t>
      </w:r>
      <w:r w:rsidR="00267264">
        <w:rPr>
          <w:snapToGrid w:val="0"/>
          <w:lang w:val="en-GB"/>
        </w:rPr>
        <w:t>overestimated</w:t>
      </w:r>
      <w:r w:rsidR="00BF4A45">
        <w:rPr>
          <w:snapToGrid w:val="0"/>
          <w:lang w:val="en-GB"/>
        </w:rPr>
        <w:t xml:space="preserve"> </w:t>
      </w:r>
      <w:r w:rsidR="000850CE">
        <w:rPr>
          <w:bCs/>
        </w:rPr>
        <w:t>primarily due to the data sources used to estimate the</w:t>
      </w:r>
      <w:r w:rsidR="00C364E8">
        <w:rPr>
          <w:bCs/>
        </w:rPr>
        <w:t xml:space="preserve"> projected population and the</w:t>
      </w:r>
      <w:r w:rsidR="000850CE">
        <w:rPr>
          <w:bCs/>
        </w:rPr>
        <w:t xml:space="preserve"> prevalence of PH1 </w:t>
      </w:r>
      <w:r w:rsidR="00C96DDD">
        <w:rPr>
          <w:snapToGrid w:val="0"/>
          <w:lang w:val="en-GB"/>
        </w:rPr>
        <w:t xml:space="preserve">(see </w:t>
      </w:r>
      <w:r w:rsidR="00D93F55">
        <w:rPr>
          <w:snapToGrid w:val="0"/>
          <w:lang w:val="en-GB"/>
        </w:rPr>
        <w:fldChar w:fldCharType="begin" w:fldLock="1"/>
      </w:r>
      <w:r w:rsidR="00D93F55">
        <w:rPr>
          <w:snapToGrid w:val="0"/>
          <w:lang w:val="en-GB"/>
        </w:rPr>
        <w:instrText xml:space="preserve"> REF _Ref185797187 \h </w:instrText>
      </w:r>
      <w:r w:rsidR="00D93F55">
        <w:rPr>
          <w:snapToGrid w:val="0"/>
          <w:lang w:val="en-GB"/>
        </w:rPr>
      </w:r>
      <w:r w:rsidR="00D93F55">
        <w:rPr>
          <w:snapToGrid w:val="0"/>
          <w:lang w:val="en-GB"/>
        </w:rPr>
        <w:fldChar w:fldCharType="separate"/>
      </w:r>
      <w:r w:rsidR="00771DFF" w:rsidRPr="0009282C">
        <w:t xml:space="preserve">Table </w:t>
      </w:r>
      <w:r w:rsidR="00771DFF">
        <w:rPr>
          <w:noProof/>
        </w:rPr>
        <w:t>20</w:t>
      </w:r>
      <w:r w:rsidR="00D93F55">
        <w:rPr>
          <w:snapToGrid w:val="0"/>
          <w:lang w:val="en-GB"/>
        </w:rPr>
        <w:fldChar w:fldCharType="end"/>
      </w:r>
      <w:r w:rsidR="00D93F55">
        <w:rPr>
          <w:snapToGrid w:val="0"/>
          <w:lang w:val="en-GB"/>
        </w:rPr>
        <w:t>)</w:t>
      </w:r>
      <w:r w:rsidR="008D6F7E">
        <w:rPr>
          <w:snapToGrid w:val="0"/>
          <w:lang w:val="en-GB"/>
        </w:rPr>
        <w:t>.</w:t>
      </w:r>
      <w:r w:rsidR="00184C1B">
        <w:rPr>
          <w:snapToGrid w:val="0"/>
          <w:lang w:val="en-GB"/>
        </w:rPr>
        <w:t xml:space="preserve"> </w:t>
      </w:r>
      <w:r w:rsidR="008D6F7E">
        <w:rPr>
          <w:snapToGrid w:val="0"/>
          <w:lang w:val="en-GB"/>
        </w:rPr>
        <w:t>The PBAC noted that the DUSC</w:t>
      </w:r>
      <w:r w:rsidR="00184C1B">
        <w:rPr>
          <w:snapToGrid w:val="0"/>
          <w:lang w:val="en-GB"/>
        </w:rPr>
        <w:t xml:space="preserve"> suggested amendments to the assumed uptake rate</w:t>
      </w:r>
      <w:r w:rsidR="003F57DD">
        <w:rPr>
          <w:snapToGrid w:val="0"/>
          <w:lang w:val="en-GB"/>
        </w:rPr>
        <w:t>,</w:t>
      </w:r>
      <w:r w:rsidR="00184C1B">
        <w:rPr>
          <w:snapToGrid w:val="0"/>
          <w:lang w:val="en-GB"/>
        </w:rPr>
        <w:t xml:space="preserve"> discontinuation rate</w:t>
      </w:r>
      <w:r w:rsidR="002F3C3B">
        <w:rPr>
          <w:snapToGrid w:val="0"/>
          <w:lang w:val="en-GB"/>
        </w:rPr>
        <w:t xml:space="preserve"> per annum and the incorporat</w:t>
      </w:r>
      <w:r w:rsidR="00E6257B">
        <w:rPr>
          <w:snapToGrid w:val="0"/>
          <w:lang w:val="en-GB"/>
        </w:rPr>
        <w:t>ion</w:t>
      </w:r>
      <w:r w:rsidR="002F3C3B">
        <w:rPr>
          <w:snapToGrid w:val="0"/>
          <w:lang w:val="en-GB"/>
        </w:rPr>
        <w:t xml:space="preserve"> of age-specific growth rates for each patient group to better account for weight progression and vial usage over time.</w:t>
      </w:r>
      <w:r w:rsidR="00184C1B">
        <w:rPr>
          <w:snapToGrid w:val="0"/>
          <w:lang w:val="en-GB"/>
        </w:rPr>
        <w:t xml:space="preserve"> </w:t>
      </w:r>
      <w:r>
        <w:rPr>
          <w:snapToGrid w:val="0"/>
          <w:lang w:val="en-GB"/>
        </w:rPr>
        <w:t xml:space="preserve">The PBAC </w:t>
      </w:r>
      <w:r w:rsidR="00AD3E07">
        <w:rPr>
          <w:snapToGrid w:val="0"/>
          <w:lang w:val="en-GB"/>
        </w:rPr>
        <w:t xml:space="preserve">also </w:t>
      </w:r>
      <w:r w:rsidR="0050239A">
        <w:rPr>
          <w:snapToGrid w:val="0"/>
          <w:lang w:val="en-GB"/>
        </w:rPr>
        <w:t xml:space="preserve">noted that </w:t>
      </w:r>
      <w:r w:rsidR="0099275E">
        <w:rPr>
          <w:snapToGrid w:val="0"/>
          <w:lang w:val="en-GB"/>
        </w:rPr>
        <w:t>correction</w:t>
      </w:r>
      <w:r w:rsidR="00AA35D4">
        <w:rPr>
          <w:snapToGrid w:val="0"/>
          <w:lang w:val="en-GB"/>
        </w:rPr>
        <w:t>s</w:t>
      </w:r>
      <w:r w:rsidR="00D508C6">
        <w:rPr>
          <w:snapToGrid w:val="0"/>
          <w:lang w:val="en-GB"/>
        </w:rPr>
        <w:t xml:space="preserve"> to the financial estimates were provided</w:t>
      </w:r>
      <w:r>
        <w:rPr>
          <w:snapToGrid w:val="0"/>
          <w:lang w:val="en-GB"/>
        </w:rPr>
        <w:t xml:space="preserve"> in the pre-PBAC </w:t>
      </w:r>
      <w:r w:rsidR="0044609B">
        <w:rPr>
          <w:snapToGrid w:val="0"/>
          <w:lang w:val="en-GB"/>
        </w:rPr>
        <w:t>R</w:t>
      </w:r>
      <w:r>
        <w:rPr>
          <w:snapToGrid w:val="0"/>
          <w:lang w:val="en-GB"/>
        </w:rPr>
        <w:t>esponse (see</w:t>
      </w:r>
      <w:r w:rsidR="0099275E">
        <w:rPr>
          <w:snapToGrid w:val="0"/>
          <w:lang w:val="en-GB"/>
        </w:rPr>
        <w:t xml:space="preserve"> </w:t>
      </w:r>
      <w:r w:rsidR="0044609B">
        <w:fldChar w:fldCharType="begin" w:fldLock="1"/>
      </w:r>
      <w:r w:rsidR="0044609B">
        <w:instrText xml:space="preserve"> REF _Ref185799894 \h </w:instrText>
      </w:r>
      <w:r w:rsidR="0044609B">
        <w:fldChar w:fldCharType="separate"/>
      </w:r>
      <w:r w:rsidR="00771DFF" w:rsidRPr="0009282C">
        <w:t xml:space="preserve">Table </w:t>
      </w:r>
      <w:r w:rsidR="00771DFF">
        <w:rPr>
          <w:noProof/>
        </w:rPr>
        <w:t>21</w:t>
      </w:r>
      <w:r w:rsidR="0044609B">
        <w:fldChar w:fldCharType="end"/>
      </w:r>
      <w:r>
        <w:rPr>
          <w:snapToGrid w:val="0"/>
          <w:lang w:val="en-GB"/>
        </w:rPr>
        <w:t xml:space="preserve">). </w:t>
      </w:r>
      <w:r w:rsidR="00AD3E07">
        <w:rPr>
          <w:snapToGrid w:val="0"/>
          <w:lang w:val="en-GB"/>
        </w:rPr>
        <w:t xml:space="preserve">Overall, the PBAC considered that the </w:t>
      </w:r>
      <w:r w:rsidR="00C87747">
        <w:rPr>
          <w:snapToGrid w:val="0"/>
          <w:lang w:val="en-GB"/>
        </w:rPr>
        <w:t xml:space="preserve">revised estimates </w:t>
      </w:r>
      <w:r w:rsidR="00AD3E07">
        <w:rPr>
          <w:snapToGrid w:val="0"/>
          <w:lang w:val="en-GB"/>
        </w:rPr>
        <w:t xml:space="preserve">provided in the pre-PBAC </w:t>
      </w:r>
      <w:r w:rsidR="000E44F2">
        <w:rPr>
          <w:snapToGrid w:val="0"/>
          <w:lang w:val="en-GB"/>
        </w:rPr>
        <w:t>R</w:t>
      </w:r>
      <w:r w:rsidR="00AD3E07">
        <w:rPr>
          <w:snapToGrid w:val="0"/>
          <w:lang w:val="en-GB"/>
        </w:rPr>
        <w:t xml:space="preserve">esponse </w:t>
      </w:r>
      <w:r w:rsidR="000E44F2">
        <w:rPr>
          <w:snapToGrid w:val="0"/>
          <w:lang w:val="en-GB"/>
        </w:rPr>
        <w:t>were</w:t>
      </w:r>
      <w:r w:rsidR="00AD3E07">
        <w:rPr>
          <w:snapToGrid w:val="0"/>
          <w:lang w:val="en-GB"/>
        </w:rPr>
        <w:t xml:space="preserve"> likely to be a reasonable estimate of the project</w:t>
      </w:r>
      <w:r w:rsidR="00C87747">
        <w:rPr>
          <w:snapToGrid w:val="0"/>
          <w:lang w:val="en-GB"/>
        </w:rPr>
        <w:t>ed</w:t>
      </w:r>
      <w:r w:rsidR="00AD3E07">
        <w:rPr>
          <w:snapToGrid w:val="0"/>
          <w:lang w:val="en-GB"/>
        </w:rPr>
        <w:t xml:space="preserve"> </w:t>
      </w:r>
      <w:r w:rsidR="00C87747">
        <w:rPr>
          <w:snapToGrid w:val="0"/>
          <w:lang w:val="en-GB"/>
        </w:rPr>
        <w:t>net cost to the PBS</w:t>
      </w:r>
      <w:r w:rsidR="00172612">
        <w:rPr>
          <w:snapToGrid w:val="0"/>
          <w:lang w:val="en-GB"/>
        </w:rPr>
        <w:t xml:space="preserve">, </w:t>
      </w:r>
      <w:r w:rsidR="006311A5">
        <w:rPr>
          <w:snapToGrid w:val="0"/>
          <w:lang w:val="en-GB"/>
        </w:rPr>
        <w:t xml:space="preserve">however noted that </w:t>
      </w:r>
      <w:r w:rsidR="00074F31">
        <w:rPr>
          <w:snapToGrid w:val="0"/>
          <w:lang w:val="en-GB"/>
        </w:rPr>
        <w:t xml:space="preserve">there </w:t>
      </w:r>
      <w:r w:rsidR="006311A5">
        <w:rPr>
          <w:snapToGrid w:val="0"/>
          <w:lang w:val="en-GB"/>
        </w:rPr>
        <w:t>were some remaining uncertainties</w:t>
      </w:r>
      <w:r w:rsidR="00C87747">
        <w:rPr>
          <w:snapToGrid w:val="0"/>
          <w:lang w:val="en-GB"/>
        </w:rPr>
        <w:t>.</w:t>
      </w:r>
      <w:r w:rsidR="00123F5D">
        <w:rPr>
          <w:snapToGrid w:val="0"/>
          <w:lang w:val="en-GB"/>
        </w:rPr>
        <w:t xml:space="preserve"> </w:t>
      </w:r>
      <w:r w:rsidR="001E6A39" w:rsidRPr="00123F5D">
        <w:rPr>
          <w:color w:val="000000" w:themeColor="text1"/>
        </w:rPr>
        <w:t>The</w:t>
      </w:r>
      <w:r w:rsidR="00C511F6" w:rsidRPr="00123F5D">
        <w:rPr>
          <w:color w:val="000000" w:themeColor="text1"/>
        </w:rPr>
        <w:t xml:space="preserve"> submission did not </w:t>
      </w:r>
      <w:r w:rsidR="003529A8">
        <w:rPr>
          <w:color w:val="000000" w:themeColor="text1"/>
        </w:rPr>
        <w:t>propose</w:t>
      </w:r>
      <w:r w:rsidR="00C511F6" w:rsidRPr="00123F5D">
        <w:rPr>
          <w:color w:val="000000" w:themeColor="text1"/>
        </w:rPr>
        <w:t xml:space="preserve"> a</w:t>
      </w:r>
      <w:r w:rsidR="008936E8" w:rsidRPr="00123F5D">
        <w:rPr>
          <w:color w:val="000000" w:themeColor="text1"/>
        </w:rPr>
        <w:t>n</w:t>
      </w:r>
      <w:r w:rsidR="00C511F6" w:rsidRPr="00123F5D">
        <w:rPr>
          <w:color w:val="000000" w:themeColor="text1"/>
        </w:rPr>
        <w:t xml:space="preserve"> RSA. </w:t>
      </w:r>
      <w:r w:rsidR="00FD0D17" w:rsidRPr="00123F5D">
        <w:rPr>
          <w:color w:val="000000" w:themeColor="text1"/>
        </w:rPr>
        <w:t>However, the</w:t>
      </w:r>
      <w:r w:rsidR="00785793" w:rsidRPr="00123F5D">
        <w:rPr>
          <w:color w:val="000000" w:themeColor="text1"/>
        </w:rPr>
        <w:t xml:space="preserve"> PBAC considered that an RSA with expenditure caps would be required to mitigate the risk of higher costs</w:t>
      </w:r>
      <w:r w:rsidR="00A84DB3" w:rsidRPr="00123F5D">
        <w:rPr>
          <w:color w:val="000000" w:themeColor="text1"/>
        </w:rPr>
        <w:t xml:space="preserve"> </w:t>
      </w:r>
      <w:r w:rsidR="00785793" w:rsidRPr="00123F5D">
        <w:rPr>
          <w:color w:val="000000" w:themeColor="text1"/>
        </w:rPr>
        <w:t>due to</w:t>
      </w:r>
      <w:r w:rsidR="001A7249" w:rsidRPr="00123F5D">
        <w:rPr>
          <w:color w:val="000000" w:themeColor="text1"/>
        </w:rPr>
        <w:t xml:space="preserve"> </w:t>
      </w:r>
      <w:r w:rsidR="006438BD" w:rsidRPr="00123F5D">
        <w:rPr>
          <w:color w:val="000000" w:themeColor="text1"/>
        </w:rPr>
        <w:t xml:space="preserve">uncertainty </w:t>
      </w:r>
      <w:r w:rsidR="00ED70F0" w:rsidRPr="00123F5D">
        <w:rPr>
          <w:color w:val="000000" w:themeColor="text1"/>
        </w:rPr>
        <w:t>related to the</w:t>
      </w:r>
      <w:r w:rsidR="00DD48A9" w:rsidRPr="00123F5D">
        <w:rPr>
          <w:color w:val="000000" w:themeColor="text1"/>
        </w:rPr>
        <w:t xml:space="preserve"> calculation of the financial estimates </w:t>
      </w:r>
      <w:r w:rsidR="00FE22C5">
        <w:rPr>
          <w:color w:val="000000" w:themeColor="text1"/>
        </w:rPr>
        <w:t>including</w:t>
      </w:r>
      <w:r w:rsidR="00FE22C5" w:rsidRPr="00123F5D">
        <w:rPr>
          <w:color w:val="000000" w:themeColor="text1"/>
        </w:rPr>
        <w:t xml:space="preserve"> </w:t>
      </w:r>
      <w:r w:rsidR="00DD48A9" w:rsidRPr="00123F5D">
        <w:rPr>
          <w:color w:val="000000" w:themeColor="text1"/>
        </w:rPr>
        <w:t>the</w:t>
      </w:r>
      <w:r w:rsidR="00ED70F0" w:rsidRPr="00123F5D">
        <w:rPr>
          <w:color w:val="000000" w:themeColor="text1"/>
        </w:rPr>
        <w:t xml:space="preserve"> </w:t>
      </w:r>
      <w:r w:rsidR="002905FA" w:rsidRPr="00123F5D">
        <w:rPr>
          <w:color w:val="000000" w:themeColor="text1"/>
        </w:rPr>
        <w:t>uptake rate, discontinuation</w:t>
      </w:r>
      <w:r w:rsidR="00626C54" w:rsidRPr="00123F5D">
        <w:rPr>
          <w:color w:val="000000" w:themeColor="text1"/>
        </w:rPr>
        <w:t>,</w:t>
      </w:r>
      <w:r w:rsidR="004D48D1" w:rsidRPr="00123F5D">
        <w:rPr>
          <w:color w:val="000000" w:themeColor="text1"/>
        </w:rPr>
        <w:t xml:space="preserve"> and</w:t>
      </w:r>
      <w:r w:rsidR="00785793" w:rsidRPr="00123F5D">
        <w:rPr>
          <w:color w:val="000000" w:themeColor="text1"/>
        </w:rPr>
        <w:t xml:space="preserve"> </w:t>
      </w:r>
      <w:r w:rsidR="005A7419" w:rsidRPr="00123F5D">
        <w:rPr>
          <w:color w:val="000000" w:themeColor="text1"/>
        </w:rPr>
        <w:t xml:space="preserve">patient </w:t>
      </w:r>
      <w:r w:rsidR="00785793" w:rsidRPr="00123F5D">
        <w:rPr>
          <w:color w:val="000000" w:themeColor="text1"/>
        </w:rPr>
        <w:t>age distribution</w:t>
      </w:r>
      <w:r w:rsidR="004D48D1" w:rsidRPr="00123F5D">
        <w:rPr>
          <w:color w:val="000000" w:themeColor="text1"/>
        </w:rPr>
        <w:t>s</w:t>
      </w:r>
      <w:r w:rsidR="00785793" w:rsidRPr="00123F5D">
        <w:rPr>
          <w:color w:val="000000" w:themeColor="text1"/>
        </w:rPr>
        <w:t xml:space="preserve">. </w:t>
      </w:r>
      <w:r w:rsidR="00C511F6" w:rsidRPr="00123F5D">
        <w:rPr>
          <w:color w:val="000000" w:themeColor="text1"/>
        </w:rPr>
        <w:t>The</w:t>
      </w:r>
      <w:r w:rsidR="001E6A39" w:rsidRPr="00123F5D">
        <w:rPr>
          <w:color w:val="000000" w:themeColor="text1"/>
        </w:rPr>
        <w:t xml:space="preserve"> PBAC considered that given the </w:t>
      </w:r>
      <w:r w:rsidR="005A7419" w:rsidRPr="00123F5D">
        <w:rPr>
          <w:color w:val="000000" w:themeColor="text1"/>
        </w:rPr>
        <w:t xml:space="preserve">high </w:t>
      </w:r>
      <w:r w:rsidR="001E6A39" w:rsidRPr="00123F5D">
        <w:rPr>
          <w:color w:val="000000" w:themeColor="text1"/>
        </w:rPr>
        <w:t xml:space="preserve">level of uncertainty in the cost-effectiveness, the rebate level should be close </w:t>
      </w:r>
      <w:r w:rsidR="001E6A39" w:rsidRPr="00A607A3">
        <w:rPr>
          <w:color w:val="000000" w:themeColor="text1"/>
        </w:rPr>
        <w:t>to 100%.</w:t>
      </w:r>
    </w:p>
    <w:p w14:paraId="619C377F" w14:textId="2BA5A530" w:rsidR="00E82936" w:rsidRPr="00525B39" w:rsidRDefault="00E82936" w:rsidP="00E82936">
      <w:pPr>
        <w:pStyle w:val="3-BodyText"/>
        <w:rPr>
          <w:snapToGrid w:val="0"/>
          <w:lang w:val="en-GB"/>
        </w:rPr>
      </w:pPr>
      <w:r w:rsidRPr="00525B39">
        <w:rPr>
          <w:snapToGrid w:val="0"/>
          <w:lang w:val="en-GB"/>
        </w:rPr>
        <w:t xml:space="preserve">The PBAC </w:t>
      </w:r>
      <w:r>
        <w:rPr>
          <w:snapToGrid w:val="0"/>
          <w:lang w:val="en-GB"/>
        </w:rPr>
        <w:t xml:space="preserve">advised that </w:t>
      </w:r>
      <w:proofErr w:type="spellStart"/>
      <w:r>
        <w:t>lumasiran</w:t>
      </w:r>
      <w:proofErr w:type="spellEnd"/>
      <w:r w:rsidRPr="00525B39">
        <w:rPr>
          <w:snapToGrid w:val="0"/>
          <w:lang w:val="en-GB"/>
        </w:rPr>
        <w:t xml:space="preserve"> should not be treated as interchangeable with any other drugs</w:t>
      </w:r>
      <w:r>
        <w:rPr>
          <w:snapToGrid w:val="0"/>
          <w:lang w:val="en-GB"/>
        </w:rPr>
        <w:t xml:space="preserve">. </w:t>
      </w:r>
    </w:p>
    <w:p w14:paraId="4109EBBD" w14:textId="6E8ABE72" w:rsidR="00E82936" w:rsidRPr="00190F3D" w:rsidRDefault="004E04F1" w:rsidP="00E82936">
      <w:pPr>
        <w:pStyle w:val="3-BodyText"/>
        <w:rPr>
          <w:rFonts w:cstheme="minorHAnsi"/>
        </w:rPr>
      </w:pPr>
      <w:r w:rsidRPr="004E04F1">
        <w:rPr>
          <w:bCs/>
          <w:snapToGrid w:val="0"/>
          <w:lang w:val="en-GB"/>
        </w:rPr>
        <w:t>The PBAC advised that</w:t>
      </w:r>
      <w:r>
        <w:rPr>
          <w:bCs/>
          <w:snapToGrid w:val="0"/>
          <w:lang w:val="en-GB"/>
        </w:rPr>
        <w:t xml:space="preserve"> </w:t>
      </w:r>
      <w:proofErr w:type="spellStart"/>
      <w:r>
        <w:rPr>
          <w:bCs/>
          <w:snapToGrid w:val="0"/>
          <w:lang w:val="en-GB"/>
        </w:rPr>
        <w:t>lumasiran</w:t>
      </w:r>
      <w:proofErr w:type="spellEnd"/>
      <w:r w:rsidRPr="004E04F1">
        <w:rPr>
          <w:bCs/>
          <w:snapToGrid w:val="0"/>
          <w:lang w:val="en-GB"/>
        </w:rPr>
        <w:t xml:space="preserve"> is suitable for prescribing by medical practitioners and </w:t>
      </w:r>
      <w:r w:rsidR="0097591C">
        <w:rPr>
          <w:bCs/>
          <w:snapToGrid w:val="0"/>
          <w:lang w:val="en-GB"/>
        </w:rPr>
        <w:t xml:space="preserve">nurse practitioners </w:t>
      </w:r>
      <w:r w:rsidRPr="004E04F1">
        <w:rPr>
          <w:bCs/>
          <w:snapToGrid w:val="0"/>
          <w:lang w:val="en-GB"/>
        </w:rPr>
        <w:t xml:space="preserve">only, as treatment of </w:t>
      </w:r>
      <w:r w:rsidR="0097591C">
        <w:rPr>
          <w:bCs/>
          <w:snapToGrid w:val="0"/>
          <w:lang w:val="en-GB"/>
        </w:rPr>
        <w:t xml:space="preserve">PH1 </w:t>
      </w:r>
      <w:r w:rsidRPr="004E04F1">
        <w:rPr>
          <w:bCs/>
          <w:snapToGrid w:val="0"/>
          <w:lang w:val="en-GB"/>
        </w:rPr>
        <w:t>would not ordinarily occur in the normal course of providing</w:t>
      </w:r>
      <w:r w:rsidR="0097591C">
        <w:rPr>
          <w:bCs/>
          <w:snapToGrid w:val="0"/>
          <w:lang w:val="en-GB"/>
        </w:rPr>
        <w:t xml:space="preserve"> </w:t>
      </w:r>
      <w:r w:rsidRPr="004E04F1">
        <w:rPr>
          <w:bCs/>
          <w:snapToGrid w:val="0"/>
          <w:lang w:val="en-GB"/>
        </w:rPr>
        <w:t>dental, optometr</w:t>
      </w:r>
      <w:r w:rsidR="0002713B">
        <w:rPr>
          <w:bCs/>
          <w:snapToGrid w:val="0"/>
          <w:lang w:val="en-GB"/>
        </w:rPr>
        <w:t>y</w:t>
      </w:r>
      <w:r w:rsidRPr="004E04F1">
        <w:rPr>
          <w:bCs/>
          <w:snapToGrid w:val="0"/>
          <w:lang w:val="en-GB"/>
        </w:rPr>
        <w:t xml:space="preserve"> </w:t>
      </w:r>
      <w:r w:rsidR="0097591C">
        <w:rPr>
          <w:bCs/>
          <w:snapToGrid w:val="0"/>
          <w:lang w:val="en-GB"/>
        </w:rPr>
        <w:t>or</w:t>
      </w:r>
      <w:r w:rsidRPr="004E04F1">
        <w:rPr>
          <w:bCs/>
          <w:snapToGrid w:val="0"/>
          <w:lang w:val="en-GB"/>
        </w:rPr>
        <w:t xml:space="preserve"> midwifery treatment.</w:t>
      </w:r>
      <w:r w:rsidR="008C2B40">
        <w:rPr>
          <w:bCs/>
          <w:snapToGrid w:val="0"/>
          <w:lang w:val="en-GB"/>
        </w:rPr>
        <w:t xml:space="preserve"> Prescribing is to be </w:t>
      </w:r>
      <w:r w:rsidR="008A3C31">
        <w:rPr>
          <w:bCs/>
          <w:snapToGrid w:val="0"/>
          <w:lang w:val="en-GB"/>
        </w:rPr>
        <w:t>b</w:t>
      </w:r>
      <w:r w:rsidR="00E5294A">
        <w:rPr>
          <w:bCs/>
          <w:snapToGrid w:val="0"/>
          <w:lang w:val="en-GB"/>
        </w:rPr>
        <w:t>y</w:t>
      </w:r>
      <w:r w:rsidR="009E112B">
        <w:rPr>
          <w:bCs/>
          <w:snapToGrid w:val="0"/>
          <w:lang w:val="en-GB"/>
        </w:rPr>
        <w:t xml:space="preserve"> a </w:t>
      </w:r>
      <w:r w:rsidR="009E112B" w:rsidRPr="009E112B">
        <w:rPr>
          <w:bCs/>
          <w:snapToGrid w:val="0"/>
          <w:lang w:val="en-GB"/>
        </w:rPr>
        <w:t xml:space="preserve">nephrologist </w:t>
      </w:r>
      <w:r w:rsidR="007D3AC2">
        <w:rPr>
          <w:bCs/>
          <w:snapToGrid w:val="0"/>
          <w:lang w:val="en-GB"/>
        </w:rPr>
        <w:t>or paediatrician</w:t>
      </w:r>
      <w:r w:rsidR="009E112B" w:rsidRPr="009E112B">
        <w:rPr>
          <w:bCs/>
          <w:snapToGrid w:val="0"/>
          <w:lang w:val="en-GB"/>
        </w:rPr>
        <w:t xml:space="preserve"> with experience in the management of </w:t>
      </w:r>
      <w:r w:rsidR="00DC105E" w:rsidRPr="00DC105E">
        <w:rPr>
          <w:bCs/>
          <w:snapToGrid w:val="0"/>
          <w:lang w:val="en-GB"/>
        </w:rPr>
        <w:t xml:space="preserve">hyperoxaluria </w:t>
      </w:r>
      <w:r w:rsidR="008A083C">
        <w:rPr>
          <w:bCs/>
          <w:snapToGrid w:val="0"/>
          <w:lang w:val="en-GB"/>
        </w:rPr>
        <w:t xml:space="preserve">in the first instance </w:t>
      </w:r>
      <w:r w:rsidR="00AA1405">
        <w:rPr>
          <w:bCs/>
          <w:snapToGrid w:val="0"/>
          <w:lang w:val="en-GB"/>
        </w:rPr>
        <w:t xml:space="preserve">due to the complexity </w:t>
      </w:r>
      <w:r w:rsidR="00B644F2">
        <w:rPr>
          <w:bCs/>
          <w:snapToGrid w:val="0"/>
          <w:lang w:val="en-GB"/>
        </w:rPr>
        <w:t>and seriousness of the c</w:t>
      </w:r>
      <w:r w:rsidR="0002713B">
        <w:rPr>
          <w:bCs/>
          <w:snapToGrid w:val="0"/>
          <w:lang w:val="en-GB"/>
        </w:rPr>
        <w:t>on</w:t>
      </w:r>
      <w:r w:rsidR="00B644F2">
        <w:rPr>
          <w:bCs/>
          <w:snapToGrid w:val="0"/>
          <w:lang w:val="en-GB"/>
        </w:rPr>
        <w:t>dition</w:t>
      </w:r>
      <w:r w:rsidR="003005A4">
        <w:rPr>
          <w:bCs/>
          <w:snapToGrid w:val="0"/>
          <w:lang w:val="en-GB"/>
        </w:rPr>
        <w:t xml:space="preserve">, but </w:t>
      </w:r>
      <w:r w:rsidR="00C41C43">
        <w:rPr>
          <w:bCs/>
          <w:snapToGrid w:val="0"/>
          <w:lang w:val="en-GB"/>
        </w:rPr>
        <w:t xml:space="preserve">in </w:t>
      </w:r>
      <w:r w:rsidR="0032321F">
        <w:rPr>
          <w:bCs/>
          <w:snapToGrid w:val="0"/>
          <w:lang w:val="en-GB"/>
        </w:rPr>
        <w:t xml:space="preserve">instances where this may not be practical, </w:t>
      </w:r>
      <w:r w:rsidR="00B373D1">
        <w:rPr>
          <w:bCs/>
          <w:snapToGrid w:val="0"/>
          <w:lang w:val="en-GB"/>
        </w:rPr>
        <w:t xml:space="preserve">prescribing could be </w:t>
      </w:r>
      <w:r w:rsidR="004678E6">
        <w:rPr>
          <w:bCs/>
          <w:snapToGrid w:val="0"/>
          <w:lang w:val="en-GB"/>
        </w:rPr>
        <w:t xml:space="preserve">by a </w:t>
      </w:r>
      <w:r w:rsidR="002D1A68">
        <w:rPr>
          <w:bCs/>
          <w:snapToGrid w:val="0"/>
          <w:lang w:val="en-GB"/>
        </w:rPr>
        <w:t xml:space="preserve">medical </w:t>
      </w:r>
      <w:r w:rsidR="002D1A68" w:rsidRPr="000521DB">
        <w:rPr>
          <w:bCs/>
          <w:snapToGrid w:val="0"/>
          <w:lang w:val="en-GB"/>
        </w:rPr>
        <w:t xml:space="preserve">practitioner </w:t>
      </w:r>
      <w:r w:rsidR="00790F0A">
        <w:rPr>
          <w:bCs/>
          <w:snapToGrid w:val="0"/>
          <w:lang w:val="en-GB"/>
        </w:rPr>
        <w:t>(</w:t>
      </w:r>
      <w:r w:rsidR="002D1A68" w:rsidRPr="000521DB">
        <w:rPr>
          <w:bCs/>
          <w:snapToGrid w:val="0"/>
          <w:lang w:val="en-GB"/>
        </w:rPr>
        <w:t xml:space="preserve">who is </w:t>
      </w:r>
      <w:r w:rsidR="00574261" w:rsidRPr="000521DB">
        <w:rPr>
          <w:bCs/>
          <w:snapToGrid w:val="0"/>
          <w:lang w:val="en-GB"/>
        </w:rPr>
        <w:t>not a nephrologist</w:t>
      </w:r>
      <w:r w:rsidR="003501AC" w:rsidRPr="003501AC">
        <w:rPr>
          <w:bCs/>
          <w:snapToGrid w:val="0"/>
          <w:lang w:val="en-GB"/>
        </w:rPr>
        <w:t xml:space="preserve"> </w:t>
      </w:r>
      <w:r w:rsidR="003501AC">
        <w:rPr>
          <w:bCs/>
          <w:snapToGrid w:val="0"/>
          <w:lang w:val="en-GB"/>
        </w:rPr>
        <w:t>or paediatrician</w:t>
      </w:r>
      <w:r w:rsidR="00790F0A">
        <w:rPr>
          <w:bCs/>
          <w:snapToGrid w:val="0"/>
          <w:lang w:val="en-GB"/>
        </w:rPr>
        <w:t>)</w:t>
      </w:r>
      <w:r w:rsidR="0036664F" w:rsidRPr="000521DB">
        <w:rPr>
          <w:bCs/>
          <w:snapToGrid w:val="0"/>
          <w:lang w:val="en-GB"/>
        </w:rPr>
        <w:t xml:space="preserve"> or a nurse practitioner, who </w:t>
      </w:r>
      <w:r w:rsidR="00122030" w:rsidRPr="000521DB">
        <w:rPr>
          <w:bCs/>
          <w:snapToGrid w:val="0"/>
          <w:lang w:val="en-GB"/>
        </w:rPr>
        <w:t xml:space="preserve">has </w:t>
      </w:r>
      <w:r w:rsidR="00742AA9" w:rsidRPr="000521DB">
        <w:rPr>
          <w:bCs/>
          <w:snapToGrid w:val="0"/>
          <w:lang w:val="en-GB"/>
        </w:rPr>
        <w:t>consulted a nephrologist</w:t>
      </w:r>
      <w:r w:rsidR="003501AC" w:rsidRPr="003501AC">
        <w:rPr>
          <w:bCs/>
          <w:snapToGrid w:val="0"/>
          <w:lang w:val="en-GB"/>
        </w:rPr>
        <w:t xml:space="preserve"> </w:t>
      </w:r>
      <w:r w:rsidR="003501AC">
        <w:rPr>
          <w:bCs/>
          <w:snapToGrid w:val="0"/>
          <w:lang w:val="en-GB"/>
        </w:rPr>
        <w:t>or paediatrician</w:t>
      </w:r>
      <w:r w:rsidR="00402FB2" w:rsidRPr="000521DB">
        <w:rPr>
          <w:bCs/>
          <w:snapToGrid w:val="0"/>
          <w:lang w:val="en-GB"/>
        </w:rPr>
        <w:t>.</w:t>
      </w:r>
    </w:p>
    <w:p w14:paraId="1852F242" w14:textId="77777777" w:rsidR="000F3BAE" w:rsidRDefault="00E82936" w:rsidP="000F3BAE">
      <w:pPr>
        <w:pStyle w:val="3-BodyText"/>
        <w:rPr>
          <w:snapToGrid w:val="0"/>
          <w:lang w:val="en-GB" w:eastAsia="en-US"/>
        </w:rPr>
      </w:pPr>
      <w:r w:rsidRPr="00D13EC8">
        <w:rPr>
          <w:snapToGrid w:val="0"/>
          <w:lang w:val="en-GB" w:eastAsia="en-US"/>
        </w:rPr>
        <w:t>The PBAC recommended that the Early Supply Rule should not apply.</w:t>
      </w:r>
    </w:p>
    <w:p w14:paraId="0FDB2DCC" w14:textId="03E21D51" w:rsidR="000F3BAE" w:rsidRPr="000F3BAE" w:rsidRDefault="000F3BAE" w:rsidP="000F3BAE">
      <w:pPr>
        <w:pStyle w:val="3-BodyText"/>
        <w:rPr>
          <w:snapToGrid w:val="0"/>
          <w:lang w:val="en-GB" w:eastAsia="en-US"/>
        </w:rPr>
      </w:pPr>
      <w:r w:rsidRPr="000F3BAE">
        <w:rPr>
          <w:rFonts w:cstheme="minorHAnsi"/>
          <w:lang w:val="en-GB"/>
        </w:rPr>
        <w:t xml:space="preserve">The PBAC found that the criteria prescribed by the </w:t>
      </w:r>
      <w:r w:rsidRPr="000F3BAE">
        <w:rPr>
          <w:rFonts w:cstheme="minorHAnsi"/>
          <w:i/>
          <w:lang w:val="en-GB"/>
        </w:rPr>
        <w:t>National Health (Pharmaceuticals and Vaccines – Cost Recovery) Regulations 2022</w:t>
      </w:r>
      <w:r w:rsidRPr="000F3BAE">
        <w:rPr>
          <w:rFonts w:cstheme="minorHAnsi"/>
          <w:lang w:val="en-GB"/>
        </w:rPr>
        <w:t xml:space="preserve"> for Pricing Pathway A were met. </w:t>
      </w:r>
      <w:proofErr w:type="gramStart"/>
      <w:r w:rsidRPr="000F3BAE">
        <w:rPr>
          <w:rFonts w:cstheme="minorHAnsi"/>
          <w:lang w:val="en-GB"/>
        </w:rPr>
        <w:t>Specifically</w:t>
      </w:r>
      <w:proofErr w:type="gramEnd"/>
      <w:r w:rsidRPr="000F3BAE">
        <w:rPr>
          <w:rFonts w:cstheme="minorHAnsi"/>
          <w:lang w:val="en-GB"/>
        </w:rPr>
        <w:t xml:space="preserve"> the PBAC found that in the circumstances of its recommendation for </w:t>
      </w:r>
      <w:proofErr w:type="spellStart"/>
      <w:r w:rsidR="00AD17B6">
        <w:rPr>
          <w:rFonts w:cstheme="minorHAnsi"/>
          <w:lang w:val="en-GB"/>
        </w:rPr>
        <w:t>lumasiran</w:t>
      </w:r>
      <w:proofErr w:type="spellEnd"/>
      <w:r w:rsidRPr="000F3BAE">
        <w:rPr>
          <w:rFonts w:cstheme="minorHAnsi"/>
          <w:lang w:val="en-GB"/>
        </w:rPr>
        <w:t>:</w:t>
      </w:r>
    </w:p>
    <w:p w14:paraId="66789F55" w14:textId="30A9BE6A" w:rsidR="000F3BAE" w:rsidRPr="00763DFB" w:rsidRDefault="000F3BAE" w:rsidP="000F3BAE">
      <w:pPr>
        <w:widowControl w:val="0"/>
        <w:numPr>
          <w:ilvl w:val="1"/>
          <w:numId w:val="24"/>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Pr>
          <w:rFonts w:asciiTheme="minorHAnsi" w:hAnsiTheme="minorHAnsi" w:cstheme="minorHAnsi"/>
          <w:lang w:val="en-GB"/>
        </w:rPr>
        <w:t xml:space="preserve"> </w:t>
      </w:r>
      <w:r w:rsidRPr="00763DFB">
        <w:rPr>
          <w:rFonts w:asciiTheme="minorHAnsi" w:hAnsiTheme="minorHAnsi" w:cstheme="minorHAnsi"/>
          <w:lang w:val="en-GB"/>
        </w:rPr>
        <w:t xml:space="preserve">expected to provide a substantial and clinically relevant improvement in efficacy over </w:t>
      </w:r>
      <w:r w:rsidR="00AD17B6">
        <w:rPr>
          <w:rFonts w:asciiTheme="minorHAnsi" w:hAnsiTheme="minorHAnsi" w:cstheme="minorHAnsi"/>
          <w:lang w:val="en-GB"/>
        </w:rPr>
        <w:t>BSC</w:t>
      </w:r>
      <w:r>
        <w:rPr>
          <w:rFonts w:asciiTheme="minorHAnsi" w:hAnsiTheme="minorHAnsi" w:cstheme="minorHAnsi"/>
          <w:lang w:val="en-GB"/>
        </w:rPr>
        <w:t xml:space="preserve">, by </w:t>
      </w:r>
      <w:r w:rsidRPr="00452F1F">
        <w:t xml:space="preserve">reducing </w:t>
      </w:r>
      <w:r w:rsidR="00F05E86">
        <w:t>oxalate level</w:t>
      </w:r>
      <w:r w:rsidR="00273BEC">
        <w:t>s</w:t>
      </w:r>
      <w:r w:rsidRPr="00452F1F">
        <w:t xml:space="preserve"> and</w:t>
      </w:r>
      <w:r w:rsidR="00F05E86">
        <w:t xml:space="preserve"> potentially</w:t>
      </w:r>
      <w:r w:rsidRPr="00452F1F">
        <w:t xml:space="preserve"> the </w:t>
      </w:r>
      <w:r>
        <w:t>frequency</w:t>
      </w:r>
      <w:r w:rsidRPr="00452F1F">
        <w:t xml:space="preserve"> of </w:t>
      </w:r>
      <w:r w:rsidR="00F05E86">
        <w:t>dialysis and kidne</w:t>
      </w:r>
      <w:r w:rsidR="00A12BE4">
        <w:t>y</w:t>
      </w:r>
      <w:r w:rsidR="00273BEC">
        <w:t>/</w:t>
      </w:r>
      <w:r w:rsidR="00A12BE4">
        <w:t>liver transplantation</w:t>
      </w:r>
      <w:r>
        <w:t xml:space="preserve"> for patients</w:t>
      </w:r>
      <w:r>
        <w:rPr>
          <w:rFonts w:asciiTheme="minorHAnsi" w:hAnsiTheme="minorHAnsi" w:cstheme="minorHAnsi"/>
          <w:lang w:val="en-GB"/>
        </w:rPr>
        <w:t xml:space="preserve"> with </w:t>
      </w:r>
      <w:r w:rsidR="00273BEC">
        <w:rPr>
          <w:rFonts w:asciiTheme="minorHAnsi" w:hAnsiTheme="minorHAnsi" w:cstheme="minorHAnsi"/>
          <w:lang w:val="en-GB"/>
        </w:rPr>
        <w:t>PH</w:t>
      </w:r>
      <w:r w:rsidR="008F3CF5">
        <w:rPr>
          <w:rFonts w:asciiTheme="minorHAnsi" w:hAnsiTheme="minorHAnsi" w:cstheme="minorHAnsi"/>
          <w:lang w:val="en-GB"/>
        </w:rPr>
        <w:t>1</w:t>
      </w:r>
      <w:r w:rsidRPr="00763DFB">
        <w:rPr>
          <w:rFonts w:asciiTheme="minorHAnsi" w:hAnsiTheme="minorHAnsi" w:cstheme="minorHAnsi"/>
          <w:lang w:val="en-GB"/>
        </w:rPr>
        <w:t xml:space="preserve">; </w:t>
      </w:r>
    </w:p>
    <w:p w14:paraId="3C8570DF" w14:textId="5BFA2321" w:rsidR="000F3BAE" w:rsidRDefault="000F3BAE" w:rsidP="000F3BAE">
      <w:pPr>
        <w:widowControl w:val="0"/>
        <w:numPr>
          <w:ilvl w:val="1"/>
          <w:numId w:val="24"/>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Pr>
          <w:rFonts w:asciiTheme="minorHAnsi" w:hAnsiTheme="minorHAnsi" w:cstheme="minorHAnsi"/>
          <w:lang w:val="en-GB"/>
        </w:rPr>
        <w:t xml:space="preserve"> </w:t>
      </w:r>
      <w:r w:rsidRPr="00763DFB">
        <w:rPr>
          <w:rFonts w:asciiTheme="minorHAnsi" w:hAnsiTheme="minorHAnsi" w:cstheme="minorHAnsi"/>
          <w:lang w:val="en-GB"/>
        </w:rPr>
        <w:t>expected to address a high and urgent unmet clinical need</w:t>
      </w:r>
      <w:r>
        <w:rPr>
          <w:rFonts w:asciiTheme="minorHAnsi" w:hAnsiTheme="minorHAnsi" w:cstheme="minorHAnsi"/>
          <w:lang w:val="en-GB"/>
        </w:rPr>
        <w:t xml:space="preserve"> as there are currently no </w:t>
      </w:r>
      <w:r w:rsidR="00004CA7">
        <w:rPr>
          <w:rFonts w:asciiTheme="minorHAnsi" w:hAnsiTheme="minorHAnsi" w:cstheme="minorHAnsi"/>
          <w:lang w:val="en-GB"/>
        </w:rPr>
        <w:t>effective</w:t>
      </w:r>
      <w:r>
        <w:rPr>
          <w:rFonts w:asciiTheme="minorHAnsi" w:hAnsiTheme="minorHAnsi" w:cstheme="minorHAnsi"/>
          <w:lang w:val="en-GB"/>
        </w:rPr>
        <w:t xml:space="preserve"> alternative</w:t>
      </w:r>
      <w:r w:rsidR="00AD06A7">
        <w:rPr>
          <w:rFonts w:asciiTheme="minorHAnsi" w:hAnsiTheme="minorHAnsi" w:cstheme="minorHAnsi"/>
          <w:lang w:val="en-GB"/>
        </w:rPr>
        <w:t xml:space="preserve"> therapies</w:t>
      </w:r>
      <w:r>
        <w:rPr>
          <w:rFonts w:asciiTheme="minorHAnsi" w:hAnsiTheme="minorHAnsi" w:cstheme="minorHAnsi"/>
          <w:lang w:val="en-GB"/>
        </w:rPr>
        <w:t xml:space="preserve"> other than </w:t>
      </w:r>
      <w:r w:rsidR="00004CA7">
        <w:rPr>
          <w:rFonts w:asciiTheme="minorHAnsi" w:hAnsiTheme="minorHAnsi" w:cstheme="minorHAnsi"/>
          <w:lang w:val="en-GB"/>
        </w:rPr>
        <w:t>liver transplantation</w:t>
      </w:r>
      <w:r w:rsidRPr="00763DFB">
        <w:rPr>
          <w:rFonts w:asciiTheme="minorHAnsi" w:hAnsiTheme="minorHAnsi" w:cstheme="minorHAnsi"/>
          <w:lang w:val="en-GB"/>
        </w:rPr>
        <w:t>;</w:t>
      </w:r>
    </w:p>
    <w:p w14:paraId="6647F18D" w14:textId="77777777" w:rsidR="000F3BAE" w:rsidRDefault="000F3BAE" w:rsidP="000F3BAE">
      <w:pPr>
        <w:widowControl w:val="0"/>
        <w:numPr>
          <w:ilvl w:val="1"/>
          <w:numId w:val="24"/>
        </w:numPr>
        <w:spacing w:after="120"/>
        <w:ind w:left="1134"/>
        <w:rPr>
          <w:rFonts w:asciiTheme="minorHAnsi" w:hAnsiTheme="minorHAnsi" w:cstheme="minorHAnsi"/>
        </w:rPr>
      </w:pPr>
      <w:r>
        <w:rPr>
          <w:rFonts w:asciiTheme="minorHAnsi" w:hAnsiTheme="minorHAnsi" w:cstheme="minorHAnsi"/>
        </w:rPr>
        <w:t xml:space="preserve">It would be in the public interest for the subsequent pricing application to be progressed under Pricing Pathway A on the basis of the preceding findings. </w:t>
      </w:r>
    </w:p>
    <w:p w14:paraId="0BD6FDFC" w14:textId="53EB3613" w:rsidR="00AF3B6E" w:rsidRPr="000F3BAE" w:rsidRDefault="000F3BAE" w:rsidP="000F3BAE">
      <w:pPr>
        <w:pStyle w:val="3-BodyText"/>
      </w:pPr>
      <w:r>
        <w:t>The PBAC advised that this submission would not meet the criteria for an Independent Review as received a positive PBAC recommendation.</w:t>
      </w:r>
    </w:p>
    <w:p w14:paraId="51DA68B7" w14:textId="77777777" w:rsidR="00AF3B6E" w:rsidRPr="0009282C" w:rsidRDefault="00AF3B6E" w:rsidP="00AF3B6E">
      <w:pPr>
        <w:spacing w:before="240"/>
        <w:rPr>
          <w:rFonts w:asciiTheme="minorHAnsi" w:hAnsiTheme="minorHAnsi"/>
          <w:b/>
          <w:bCs/>
          <w:snapToGrid w:val="0"/>
        </w:rPr>
      </w:pPr>
      <w:r w:rsidRPr="0009282C">
        <w:rPr>
          <w:rFonts w:asciiTheme="minorHAnsi" w:hAnsiTheme="minorHAnsi"/>
          <w:b/>
          <w:bCs/>
          <w:snapToGrid w:val="0"/>
        </w:rPr>
        <w:t>Outcome:</w:t>
      </w:r>
    </w:p>
    <w:p w14:paraId="0D905AE8" w14:textId="0D02F1D2" w:rsidR="00AF3B6E" w:rsidRPr="0009282C" w:rsidRDefault="00AF3B6E" w:rsidP="000222C0">
      <w:pPr>
        <w:rPr>
          <w:rFonts w:asciiTheme="minorHAnsi" w:hAnsiTheme="minorHAnsi"/>
          <w:b/>
          <w:bCs/>
          <w:snapToGrid w:val="0"/>
        </w:rPr>
      </w:pPr>
      <w:r w:rsidRPr="0009282C">
        <w:rPr>
          <w:rFonts w:asciiTheme="minorHAnsi" w:hAnsiTheme="minorHAnsi"/>
          <w:bCs/>
          <w:snapToGrid w:val="0"/>
        </w:rPr>
        <w:t xml:space="preserve">Recommended </w:t>
      </w:r>
    </w:p>
    <w:bookmarkEnd w:id="95"/>
    <w:p w14:paraId="718AA823" w14:textId="77777777" w:rsidR="00AF3B6E" w:rsidRPr="0009282C" w:rsidRDefault="00AF3B6E" w:rsidP="000222C0">
      <w:pPr>
        <w:pStyle w:val="2-SectionHeading"/>
        <w:ind w:left="709" w:hanging="709"/>
      </w:pPr>
      <w:r w:rsidRPr="0009282C">
        <w:t>Recommended listing</w:t>
      </w:r>
    </w:p>
    <w:p w14:paraId="71A0BB62" w14:textId="11317E81" w:rsidR="00D37011" w:rsidRPr="000222C0" w:rsidRDefault="00D37011" w:rsidP="000222C0">
      <w:pPr>
        <w:pStyle w:val="4-SubsectionHeading"/>
        <w:rPr>
          <w:i w:val="0"/>
          <w:iCs/>
        </w:rPr>
      </w:pPr>
      <w:r w:rsidRPr="000222C0">
        <w:rPr>
          <w:i w:val="0"/>
          <w:iCs/>
        </w:rPr>
        <w:t>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2656"/>
        <w:gridCol w:w="814"/>
        <w:gridCol w:w="815"/>
        <w:gridCol w:w="814"/>
        <w:gridCol w:w="815"/>
        <w:gridCol w:w="1830"/>
      </w:tblGrid>
      <w:tr w:rsidR="00D37011" w:rsidRPr="0009282C" w14:paraId="7C8B8AD4" w14:textId="77777777" w:rsidTr="008821A2">
        <w:trPr>
          <w:cantSplit/>
          <w:trHeight w:val="20"/>
        </w:trPr>
        <w:tc>
          <w:tcPr>
            <w:tcW w:w="3929" w:type="dxa"/>
            <w:gridSpan w:val="2"/>
            <w:vAlign w:val="center"/>
          </w:tcPr>
          <w:p w14:paraId="3E41893A" w14:textId="77777777" w:rsidR="00D37011" w:rsidRPr="0009282C" w:rsidRDefault="00D37011">
            <w:pPr>
              <w:keepLines/>
              <w:rPr>
                <w:rFonts w:ascii="Arial Narrow" w:hAnsi="Arial Narrow"/>
                <w:b/>
                <w:bCs/>
                <w:sz w:val="20"/>
                <w:szCs w:val="20"/>
              </w:rPr>
            </w:pPr>
            <w:r w:rsidRPr="0009282C">
              <w:rPr>
                <w:rFonts w:ascii="Arial Narrow" w:hAnsi="Arial Narrow"/>
                <w:b/>
                <w:bCs/>
                <w:sz w:val="20"/>
                <w:szCs w:val="20"/>
              </w:rPr>
              <w:t>MEDICINAL PRODUCT</w:t>
            </w:r>
          </w:p>
          <w:p w14:paraId="733A3BD3" w14:textId="77777777" w:rsidR="00D37011" w:rsidRPr="0009282C" w:rsidRDefault="00D37011">
            <w:pPr>
              <w:keepLines/>
              <w:rPr>
                <w:rFonts w:ascii="Arial Narrow" w:hAnsi="Arial Narrow"/>
                <w:b/>
                <w:sz w:val="20"/>
                <w:szCs w:val="20"/>
              </w:rPr>
            </w:pPr>
            <w:r w:rsidRPr="0009282C">
              <w:rPr>
                <w:rFonts w:ascii="Arial Narrow" w:hAnsi="Arial Narrow"/>
                <w:b/>
                <w:bCs/>
                <w:sz w:val="20"/>
                <w:szCs w:val="20"/>
              </w:rPr>
              <w:t>medicinal product pack</w:t>
            </w:r>
          </w:p>
        </w:tc>
        <w:tc>
          <w:tcPr>
            <w:tcW w:w="814" w:type="dxa"/>
            <w:vAlign w:val="center"/>
          </w:tcPr>
          <w:p w14:paraId="1C1611FA" w14:textId="77777777" w:rsidR="00D37011" w:rsidRPr="0009282C" w:rsidRDefault="00D37011">
            <w:pPr>
              <w:keepLines/>
              <w:jc w:val="center"/>
              <w:rPr>
                <w:rFonts w:ascii="Arial Narrow" w:hAnsi="Arial Narrow"/>
                <w:b/>
                <w:sz w:val="20"/>
                <w:szCs w:val="20"/>
              </w:rPr>
            </w:pPr>
            <w:r w:rsidRPr="0009282C">
              <w:rPr>
                <w:rFonts w:ascii="Arial Narrow" w:hAnsi="Arial Narrow"/>
                <w:b/>
                <w:sz w:val="20"/>
                <w:szCs w:val="20"/>
              </w:rPr>
              <w:t>PBS item code</w:t>
            </w:r>
          </w:p>
        </w:tc>
        <w:tc>
          <w:tcPr>
            <w:tcW w:w="815" w:type="dxa"/>
            <w:vAlign w:val="center"/>
          </w:tcPr>
          <w:p w14:paraId="15BC7545" w14:textId="77777777" w:rsidR="00D37011" w:rsidRPr="0009282C" w:rsidRDefault="00D37011">
            <w:pPr>
              <w:keepLines/>
              <w:jc w:val="center"/>
              <w:rPr>
                <w:rFonts w:ascii="Arial Narrow" w:hAnsi="Arial Narrow"/>
                <w:b/>
                <w:sz w:val="20"/>
                <w:szCs w:val="20"/>
              </w:rPr>
            </w:pPr>
            <w:r w:rsidRPr="0009282C">
              <w:rPr>
                <w:rFonts w:ascii="Arial Narrow" w:hAnsi="Arial Narrow"/>
                <w:b/>
                <w:sz w:val="20"/>
                <w:szCs w:val="20"/>
              </w:rPr>
              <w:t>Max. qty packs</w:t>
            </w:r>
          </w:p>
        </w:tc>
        <w:tc>
          <w:tcPr>
            <w:tcW w:w="814" w:type="dxa"/>
            <w:vAlign w:val="center"/>
          </w:tcPr>
          <w:p w14:paraId="79EB9C8C" w14:textId="77777777" w:rsidR="00D37011" w:rsidRPr="0009282C" w:rsidRDefault="00D37011">
            <w:pPr>
              <w:keepLines/>
              <w:jc w:val="center"/>
              <w:rPr>
                <w:rFonts w:ascii="Arial Narrow" w:hAnsi="Arial Narrow"/>
                <w:b/>
                <w:sz w:val="20"/>
                <w:szCs w:val="20"/>
              </w:rPr>
            </w:pPr>
            <w:r w:rsidRPr="0009282C">
              <w:rPr>
                <w:rFonts w:ascii="Arial Narrow" w:hAnsi="Arial Narrow"/>
                <w:b/>
                <w:sz w:val="20"/>
                <w:szCs w:val="20"/>
              </w:rPr>
              <w:t>Max. qty units</w:t>
            </w:r>
          </w:p>
        </w:tc>
        <w:tc>
          <w:tcPr>
            <w:tcW w:w="815" w:type="dxa"/>
            <w:vAlign w:val="center"/>
          </w:tcPr>
          <w:p w14:paraId="5EE1A7CF" w14:textId="77777777" w:rsidR="00D37011" w:rsidRPr="0009282C" w:rsidRDefault="00D37011">
            <w:pPr>
              <w:keepLines/>
              <w:jc w:val="center"/>
              <w:rPr>
                <w:rFonts w:ascii="Arial Narrow" w:hAnsi="Arial Narrow"/>
                <w:b/>
                <w:sz w:val="20"/>
                <w:szCs w:val="20"/>
              </w:rPr>
            </w:pPr>
            <w:r w:rsidRPr="0009282C">
              <w:rPr>
                <w:rFonts w:ascii="Arial Narrow" w:hAnsi="Arial Narrow"/>
                <w:b/>
                <w:sz w:val="20"/>
                <w:szCs w:val="20"/>
              </w:rPr>
              <w:t>№.of</w:t>
            </w:r>
          </w:p>
          <w:p w14:paraId="11EFA145" w14:textId="77777777" w:rsidR="00D37011" w:rsidRPr="0009282C" w:rsidRDefault="00D37011">
            <w:pPr>
              <w:keepLines/>
              <w:jc w:val="center"/>
              <w:rPr>
                <w:rFonts w:ascii="Arial Narrow" w:hAnsi="Arial Narrow"/>
                <w:b/>
                <w:sz w:val="20"/>
                <w:szCs w:val="20"/>
              </w:rPr>
            </w:pPr>
            <w:r w:rsidRPr="0009282C">
              <w:rPr>
                <w:rFonts w:ascii="Arial Narrow" w:hAnsi="Arial Narrow"/>
                <w:b/>
                <w:sz w:val="20"/>
                <w:szCs w:val="20"/>
              </w:rPr>
              <w:t>Rpts</w:t>
            </w:r>
          </w:p>
        </w:tc>
        <w:tc>
          <w:tcPr>
            <w:tcW w:w="1830" w:type="dxa"/>
            <w:vAlign w:val="center"/>
          </w:tcPr>
          <w:p w14:paraId="310A8B37" w14:textId="77777777" w:rsidR="00D37011" w:rsidRPr="0009282C" w:rsidRDefault="00D37011">
            <w:pPr>
              <w:keepLines/>
              <w:rPr>
                <w:rFonts w:ascii="Arial Narrow" w:hAnsi="Arial Narrow"/>
                <w:b/>
                <w:sz w:val="20"/>
                <w:szCs w:val="20"/>
              </w:rPr>
            </w:pPr>
            <w:r w:rsidRPr="0009282C">
              <w:rPr>
                <w:rFonts w:ascii="Arial Narrow" w:hAnsi="Arial Narrow"/>
                <w:b/>
                <w:sz w:val="20"/>
                <w:szCs w:val="20"/>
              </w:rPr>
              <w:t>Available brands</w:t>
            </w:r>
          </w:p>
        </w:tc>
      </w:tr>
      <w:tr w:rsidR="00D37011" w:rsidRPr="0009282C" w14:paraId="6272D366" w14:textId="77777777" w:rsidTr="008821A2">
        <w:trPr>
          <w:cantSplit/>
          <w:trHeight w:val="20"/>
        </w:trPr>
        <w:tc>
          <w:tcPr>
            <w:tcW w:w="9017" w:type="dxa"/>
            <w:gridSpan w:val="7"/>
            <w:vAlign w:val="center"/>
          </w:tcPr>
          <w:p w14:paraId="1059DCA8" w14:textId="77777777" w:rsidR="00D37011" w:rsidRPr="0009282C" w:rsidRDefault="00D37011">
            <w:pPr>
              <w:keepLines/>
              <w:rPr>
                <w:rFonts w:ascii="Arial Narrow" w:hAnsi="Arial Narrow"/>
                <w:sz w:val="20"/>
                <w:szCs w:val="20"/>
              </w:rPr>
            </w:pPr>
            <w:r w:rsidRPr="0009282C">
              <w:rPr>
                <w:rFonts w:ascii="Arial Narrow" w:hAnsi="Arial Narrow"/>
                <w:sz w:val="20"/>
                <w:szCs w:val="20"/>
              </w:rPr>
              <w:t>LUMASIRAN</w:t>
            </w:r>
          </w:p>
        </w:tc>
      </w:tr>
      <w:tr w:rsidR="00D37011" w:rsidRPr="0009282C" w14:paraId="671936FE" w14:textId="77777777" w:rsidTr="008821A2">
        <w:trPr>
          <w:cantSplit/>
          <w:trHeight w:val="20"/>
        </w:trPr>
        <w:tc>
          <w:tcPr>
            <w:tcW w:w="3929" w:type="dxa"/>
            <w:gridSpan w:val="2"/>
            <w:vAlign w:val="center"/>
          </w:tcPr>
          <w:p w14:paraId="6A24DD00" w14:textId="77777777" w:rsidR="00D37011" w:rsidRPr="0009282C" w:rsidRDefault="00D37011">
            <w:pPr>
              <w:keepLines/>
              <w:rPr>
                <w:rFonts w:ascii="Arial Narrow" w:hAnsi="Arial Narrow"/>
                <w:sz w:val="20"/>
                <w:szCs w:val="20"/>
              </w:rPr>
            </w:pPr>
            <w:proofErr w:type="spellStart"/>
            <w:r w:rsidRPr="0009282C">
              <w:rPr>
                <w:rFonts w:ascii="Arial Narrow" w:hAnsi="Arial Narrow"/>
                <w:sz w:val="20"/>
                <w:szCs w:val="20"/>
              </w:rPr>
              <w:t>lumasiran</w:t>
            </w:r>
            <w:proofErr w:type="spellEnd"/>
            <w:r w:rsidRPr="0009282C">
              <w:rPr>
                <w:rFonts w:ascii="Arial Narrow" w:hAnsi="Arial Narrow"/>
                <w:sz w:val="20"/>
                <w:szCs w:val="20"/>
              </w:rPr>
              <w:t xml:space="preserve"> 94.5 mg/0.5 mL injection, 0.5 mL vial</w:t>
            </w:r>
          </w:p>
        </w:tc>
        <w:tc>
          <w:tcPr>
            <w:tcW w:w="814" w:type="dxa"/>
            <w:vAlign w:val="center"/>
          </w:tcPr>
          <w:p w14:paraId="233F26E3"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NEW</w:t>
            </w:r>
          </w:p>
        </w:tc>
        <w:tc>
          <w:tcPr>
            <w:tcW w:w="815" w:type="dxa"/>
            <w:vAlign w:val="center"/>
          </w:tcPr>
          <w:p w14:paraId="48C39CCB" w14:textId="1EDB2FC8" w:rsidR="00D37011" w:rsidRPr="0009282C" w:rsidRDefault="00D37011">
            <w:pPr>
              <w:keepLines/>
              <w:jc w:val="center"/>
              <w:rPr>
                <w:rFonts w:ascii="Arial Narrow" w:hAnsi="Arial Narrow"/>
                <w:sz w:val="20"/>
                <w:szCs w:val="20"/>
              </w:rPr>
            </w:pPr>
            <w:r w:rsidRPr="0009282C">
              <w:rPr>
                <w:rFonts w:ascii="Arial Narrow" w:hAnsi="Arial Narrow"/>
                <w:sz w:val="20"/>
                <w:szCs w:val="20"/>
              </w:rPr>
              <w:t>5</w:t>
            </w:r>
          </w:p>
        </w:tc>
        <w:tc>
          <w:tcPr>
            <w:tcW w:w="814" w:type="dxa"/>
            <w:vAlign w:val="center"/>
          </w:tcPr>
          <w:p w14:paraId="1362F8C8"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5</w:t>
            </w:r>
          </w:p>
        </w:tc>
        <w:tc>
          <w:tcPr>
            <w:tcW w:w="815" w:type="dxa"/>
            <w:vAlign w:val="center"/>
          </w:tcPr>
          <w:p w14:paraId="56EECCBF"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2</w:t>
            </w:r>
          </w:p>
        </w:tc>
        <w:tc>
          <w:tcPr>
            <w:tcW w:w="1830" w:type="dxa"/>
            <w:vAlign w:val="center"/>
          </w:tcPr>
          <w:p w14:paraId="2231AF27" w14:textId="77777777" w:rsidR="00D37011" w:rsidRPr="0009282C" w:rsidRDefault="00D37011">
            <w:pPr>
              <w:keepLines/>
              <w:rPr>
                <w:rFonts w:ascii="Arial Narrow" w:hAnsi="Arial Narrow"/>
                <w:sz w:val="20"/>
                <w:szCs w:val="20"/>
              </w:rPr>
            </w:pPr>
            <w:proofErr w:type="spellStart"/>
            <w:r w:rsidRPr="0009282C">
              <w:rPr>
                <w:rFonts w:ascii="Arial Narrow" w:hAnsi="Arial Narrow"/>
                <w:sz w:val="20"/>
                <w:szCs w:val="20"/>
              </w:rPr>
              <w:t>Oxlumo</w:t>
            </w:r>
            <w:proofErr w:type="spellEnd"/>
          </w:p>
        </w:tc>
      </w:tr>
      <w:tr w:rsidR="00D37011" w:rsidRPr="0009282C" w14:paraId="69ACDBE3" w14:textId="77777777" w:rsidTr="008821A2">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D5FA795" w14:textId="77777777" w:rsidR="00D37011" w:rsidRPr="0009282C" w:rsidRDefault="00D37011">
            <w:pPr>
              <w:rPr>
                <w:rFonts w:ascii="Arial Narrow" w:hAnsi="Arial Narrow"/>
                <w:sz w:val="20"/>
                <w:szCs w:val="20"/>
              </w:rPr>
            </w:pPr>
          </w:p>
        </w:tc>
      </w:tr>
      <w:tr w:rsidR="00D37011" w:rsidRPr="0009282C" w14:paraId="707C2153" w14:textId="77777777" w:rsidTr="008821A2">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77C8EB9" w14:textId="39FC7293"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Restriction Summary / Treatment of Concept: </w:t>
            </w:r>
          </w:p>
        </w:tc>
      </w:tr>
      <w:tr w:rsidR="00D37011" w:rsidRPr="0009282C" w14:paraId="19DE03D3" w14:textId="77777777" w:rsidTr="008821A2">
        <w:tblPrEx>
          <w:tblCellMar>
            <w:top w:w="15" w:type="dxa"/>
            <w:bottom w:w="15" w:type="dxa"/>
          </w:tblCellMar>
          <w:tblLook w:val="04A0" w:firstRow="1" w:lastRow="0" w:firstColumn="1" w:lastColumn="0" w:noHBand="0" w:noVBand="1"/>
        </w:tblPrEx>
        <w:trPr>
          <w:trHeight w:val="20"/>
        </w:trPr>
        <w:tc>
          <w:tcPr>
            <w:tcW w:w="1273" w:type="dxa"/>
            <w:vMerge w:val="restart"/>
            <w:tcBorders>
              <w:top w:val="single" w:sz="4" w:space="0" w:color="auto"/>
              <w:left w:val="single" w:sz="4" w:space="0" w:color="auto"/>
              <w:right w:val="single" w:sz="4" w:space="0" w:color="auto"/>
            </w:tcBorders>
          </w:tcPr>
          <w:p w14:paraId="6517705A" w14:textId="19C97839" w:rsidR="00D37011" w:rsidRPr="0009282C" w:rsidRDefault="00D37011">
            <w:pPr>
              <w:jc w:val="center"/>
              <w:rPr>
                <w:rFonts w:ascii="Arial Narrow" w:hAnsi="Arial Narrow"/>
                <w:b/>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4F3E08A2" w14:textId="77777777" w:rsidR="00D37011" w:rsidRPr="0009282C" w:rsidRDefault="00D37011">
            <w:pPr>
              <w:keepLines/>
              <w:rPr>
                <w:rFonts w:ascii="Arial Narrow" w:hAnsi="Arial Narrow"/>
                <w:sz w:val="20"/>
                <w:szCs w:val="20"/>
              </w:rPr>
            </w:pPr>
            <w:r w:rsidRPr="0009282C">
              <w:rPr>
                <w:rFonts w:ascii="Arial Narrow" w:hAnsi="Arial Narrow"/>
                <w:b/>
                <w:sz w:val="20"/>
                <w:szCs w:val="20"/>
              </w:rPr>
              <w:t>Category / Program:</w:t>
            </w:r>
            <w:r w:rsidRPr="0009282C">
              <w:rPr>
                <w:rFonts w:ascii="Arial Narrow" w:eastAsia="Calibri" w:hAnsi="Arial Narrow"/>
                <w:sz w:val="20"/>
                <w:szCs w:val="20"/>
              </w:rPr>
              <w:t xml:space="preserve"> </w:t>
            </w:r>
            <w:r w:rsidRPr="0009282C">
              <w:rPr>
                <w:rFonts w:ascii="Arial Narrow" w:eastAsia="Calibri" w:hAnsi="Arial Narrow"/>
                <w:sz w:val="20"/>
                <w:szCs w:val="20"/>
              </w:rPr>
              <w:fldChar w:fldCharType="begin" w:fldLock="1">
                <w:ffData>
                  <w:name w:val="Check1"/>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GENERAL - General Schedule (Code GE)</w:t>
            </w:r>
          </w:p>
        </w:tc>
      </w:tr>
      <w:tr w:rsidR="00D37011" w:rsidRPr="0009282C" w14:paraId="6DD051E0" w14:textId="77777777" w:rsidTr="1E634179">
        <w:tblPrEx>
          <w:tblCellMar>
            <w:top w:w="15" w:type="dxa"/>
            <w:bottom w:w="15" w:type="dxa"/>
          </w:tblCellMar>
          <w:tblLook w:val="04A0" w:firstRow="1" w:lastRow="0" w:firstColumn="1" w:lastColumn="0" w:noHBand="0" w:noVBand="1"/>
        </w:tblPrEx>
        <w:trPr>
          <w:trHeight w:val="20"/>
        </w:trPr>
        <w:tc>
          <w:tcPr>
            <w:tcW w:w="1273" w:type="dxa"/>
            <w:vMerge/>
          </w:tcPr>
          <w:p w14:paraId="75456860"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02C229F5" w14:textId="7C845981"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Prescriber type: </w:t>
            </w:r>
            <w:r w:rsidRPr="0009282C">
              <w:rPr>
                <w:rFonts w:ascii="Arial Narrow" w:hAnsi="Arial Narrow"/>
                <w:sz w:val="20"/>
                <w:szCs w:val="20"/>
              </w:rPr>
              <w:fldChar w:fldCharType="begin" w:fldLock="1">
                <w:ffData>
                  <w:name w:val=""/>
                  <w:enabled/>
                  <w:calcOnExit w:val="0"/>
                  <w:checkBox>
                    <w:sizeAuto/>
                    <w:default w:val="1"/>
                  </w:checkBox>
                </w:ffData>
              </w:fldChar>
            </w:r>
            <w:r w:rsidRPr="0009282C">
              <w:rPr>
                <w:rFonts w:ascii="Arial Narrow" w:hAnsi="Arial Narrow"/>
                <w:sz w:val="20"/>
                <w:szCs w:val="20"/>
              </w:rPr>
              <w:instrText xml:space="preserve"> FORMCHECKBOX </w:instrText>
            </w:r>
            <w:r w:rsidRPr="0009282C">
              <w:rPr>
                <w:rFonts w:ascii="Arial Narrow" w:hAnsi="Arial Narrow"/>
                <w:sz w:val="20"/>
                <w:szCs w:val="20"/>
              </w:rPr>
            </w:r>
            <w:r w:rsidRPr="0009282C">
              <w:rPr>
                <w:rFonts w:ascii="Arial Narrow" w:hAnsi="Arial Narrow"/>
                <w:sz w:val="20"/>
                <w:szCs w:val="20"/>
              </w:rPr>
              <w:fldChar w:fldCharType="separate"/>
            </w:r>
            <w:r w:rsidRPr="0009282C">
              <w:rPr>
                <w:rFonts w:ascii="Arial Narrow" w:hAnsi="Arial Narrow"/>
                <w:sz w:val="20"/>
                <w:szCs w:val="20"/>
              </w:rPr>
              <w:fldChar w:fldCharType="end"/>
            </w:r>
            <w:r w:rsidRPr="0009282C">
              <w:rPr>
                <w:rFonts w:ascii="Arial Narrow" w:hAnsi="Arial Narrow"/>
                <w:sz w:val="20"/>
                <w:szCs w:val="20"/>
              </w:rPr>
              <w:t>Medical Practitioners</w:t>
            </w:r>
            <w:r w:rsidR="006E1944">
              <w:rPr>
                <w:rFonts w:ascii="Arial Narrow" w:hAnsi="Arial Narrow"/>
                <w:sz w:val="20"/>
                <w:szCs w:val="20"/>
              </w:rPr>
              <w:t xml:space="preserve">  </w:t>
            </w:r>
            <w:r w:rsidR="0020713C" w:rsidRPr="0009282C">
              <w:rPr>
                <w:rFonts w:ascii="Arial Narrow" w:hAnsi="Arial Narrow"/>
                <w:sz w:val="20"/>
                <w:szCs w:val="20"/>
              </w:rPr>
              <w:fldChar w:fldCharType="begin" w:fldLock="1">
                <w:ffData>
                  <w:name w:val=""/>
                  <w:enabled/>
                  <w:calcOnExit w:val="0"/>
                  <w:checkBox>
                    <w:sizeAuto/>
                    <w:default w:val="1"/>
                  </w:checkBox>
                </w:ffData>
              </w:fldChar>
            </w:r>
            <w:r w:rsidR="0020713C" w:rsidRPr="0009282C">
              <w:rPr>
                <w:rFonts w:ascii="Arial Narrow" w:hAnsi="Arial Narrow"/>
                <w:sz w:val="20"/>
                <w:szCs w:val="20"/>
              </w:rPr>
              <w:instrText xml:space="preserve"> FORMCHECKBOX </w:instrText>
            </w:r>
            <w:r w:rsidR="0020713C" w:rsidRPr="0009282C">
              <w:rPr>
                <w:rFonts w:ascii="Arial Narrow" w:hAnsi="Arial Narrow"/>
                <w:sz w:val="20"/>
                <w:szCs w:val="20"/>
              </w:rPr>
            </w:r>
            <w:r w:rsidR="0020713C" w:rsidRPr="0009282C">
              <w:rPr>
                <w:rFonts w:ascii="Arial Narrow" w:hAnsi="Arial Narrow"/>
                <w:sz w:val="20"/>
                <w:szCs w:val="20"/>
              </w:rPr>
              <w:fldChar w:fldCharType="separate"/>
            </w:r>
            <w:r w:rsidR="0020713C" w:rsidRPr="0009282C">
              <w:rPr>
                <w:rFonts w:ascii="Arial Narrow" w:hAnsi="Arial Narrow"/>
                <w:sz w:val="20"/>
                <w:szCs w:val="20"/>
              </w:rPr>
              <w:fldChar w:fldCharType="end"/>
            </w:r>
            <w:r w:rsidR="0020713C">
              <w:rPr>
                <w:rFonts w:ascii="Arial Narrow" w:hAnsi="Arial Narrow"/>
                <w:sz w:val="20"/>
                <w:szCs w:val="20"/>
              </w:rPr>
              <w:t xml:space="preserve"> Nurse p</w:t>
            </w:r>
            <w:r w:rsidR="0020713C" w:rsidRPr="0009282C">
              <w:rPr>
                <w:rFonts w:ascii="Arial Narrow" w:hAnsi="Arial Narrow"/>
                <w:sz w:val="20"/>
                <w:szCs w:val="20"/>
              </w:rPr>
              <w:t>ractitioners</w:t>
            </w:r>
            <w:r w:rsidR="0020713C">
              <w:rPr>
                <w:rFonts w:ascii="Arial Narrow" w:hAnsi="Arial Narrow"/>
                <w:sz w:val="20"/>
                <w:szCs w:val="20"/>
              </w:rPr>
              <w:t xml:space="preserve">  </w:t>
            </w:r>
          </w:p>
        </w:tc>
      </w:tr>
      <w:tr w:rsidR="00D37011" w:rsidRPr="0009282C" w14:paraId="6CB73FBB" w14:textId="77777777" w:rsidTr="1E634179">
        <w:tblPrEx>
          <w:tblCellMar>
            <w:top w:w="15" w:type="dxa"/>
            <w:bottom w:w="15" w:type="dxa"/>
          </w:tblCellMar>
          <w:tblLook w:val="04A0" w:firstRow="1" w:lastRow="0" w:firstColumn="1" w:lastColumn="0" w:noHBand="0" w:noVBand="1"/>
        </w:tblPrEx>
        <w:trPr>
          <w:trHeight w:val="20"/>
        </w:trPr>
        <w:tc>
          <w:tcPr>
            <w:tcW w:w="1273" w:type="dxa"/>
            <w:vMerge/>
          </w:tcPr>
          <w:p w14:paraId="6BE1EF38"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55A31707" w14:textId="6A6E8DC7"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Restriction type: </w:t>
            </w:r>
            <w:r w:rsidRPr="0009282C">
              <w:rPr>
                <w:rFonts w:ascii="Arial Narrow" w:eastAsia="Calibri" w:hAnsi="Arial Narrow"/>
                <w:sz w:val="20"/>
                <w:szCs w:val="20"/>
              </w:rPr>
              <w:fldChar w:fldCharType="begin" w:fldLock="1">
                <w:ffData>
                  <w:name w:val=""/>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Authority Required - delayed assessment (in writing only via post/HPOS upload)</w:t>
            </w:r>
          </w:p>
        </w:tc>
      </w:tr>
      <w:tr w:rsidR="00D37011" w:rsidRPr="0009282C" w14:paraId="540D2E0D" w14:textId="77777777" w:rsidTr="1E634179">
        <w:tblPrEx>
          <w:tblCellMar>
            <w:top w:w="15" w:type="dxa"/>
            <w:bottom w:w="15" w:type="dxa"/>
          </w:tblCellMar>
          <w:tblLook w:val="04A0" w:firstRow="1" w:lastRow="0" w:firstColumn="1" w:lastColumn="0" w:noHBand="0" w:noVBand="1"/>
        </w:tblPrEx>
        <w:trPr>
          <w:trHeight w:val="20"/>
        </w:trPr>
        <w:tc>
          <w:tcPr>
            <w:tcW w:w="1273" w:type="dxa"/>
            <w:vMerge/>
          </w:tcPr>
          <w:p w14:paraId="4D14E11E"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350D233A" w14:textId="77777777" w:rsidR="00D37011" w:rsidRPr="0009282C" w:rsidRDefault="00D37011">
            <w:pPr>
              <w:keepLines/>
              <w:rPr>
                <w:rFonts w:ascii="Arial Narrow" w:hAnsi="Arial Narrow"/>
                <w:b/>
                <w:sz w:val="20"/>
                <w:szCs w:val="20"/>
              </w:rPr>
            </w:pPr>
            <w:r w:rsidRPr="0009282C">
              <w:rPr>
                <w:rFonts w:ascii="Arial Narrow" w:hAnsi="Arial Narrow"/>
                <w:b/>
                <w:sz w:val="20"/>
                <w:szCs w:val="20"/>
              </w:rPr>
              <w:t>Authority type:</w:t>
            </w:r>
            <w:r w:rsidRPr="0009282C">
              <w:rPr>
                <w:rFonts w:ascii="Arial Narrow" w:eastAsia="Calibri" w:hAnsi="Arial Narrow"/>
                <w:sz w:val="20"/>
                <w:szCs w:val="20"/>
              </w:rPr>
              <w:fldChar w:fldCharType="begin" w:fldLock="1">
                <w:ffData>
                  <w:name w:val=""/>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Complex Authority Required (CAR)</w:t>
            </w:r>
          </w:p>
        </w:tc>
      </w:tr>
      <w:tr w:rsidR="00D37011" w:rsidRPr="0009282C" w14:paraId="2AF9876B" w14:textId="77777777" w:rsidTr="008821A2">
        <w:tblPrEx>
          <w:tblCellMar>
            <w:top w:w="15" w:type="dxa"/>
            <w:bottom w:w="15" w:type="dxa"/>
          </w:tblCellMar>
          <w:tblLook w:val="04A0" w:firstRow="1" w:lastRow="0" w:firstColumn="1" w:lastColumn="0" w:noHBand="0" w:noVBand="1"/>
        </w:tblPrEx>
        <w:trPr>
          <w:cantSplit/>
          <w:trHeight w:val="20"/>
        </w:trPr>
        <w:tc>
          <w:tcPr>
            <w:tcW w:w="1273" w:type="dxa"/>
            <w:vMerge w:val="restart"/>
            <w:vAlign w:val="center"/>
          </w:tcPr>
          <w:p w14:paraId="18AC9B97"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30D9B4CA" w14:textId="77777777" w:rsidR="00D37011" w:rsidRPr="0009282C" w:rsidRDefault="00D37011">
            <w:pPr>
              <w:keepLines/>
              <w:rPr>
                <w:rFonts w:ascii="Arial Narrow" w:eastAsia="Times New Roman" w:hAnsi="Arial Narrow"/>
                <w:bCs/>
                <w:sz w:val="20"/>
                <w:szCs w:val="20"/>
              </w:rPr>
            </w:pPr>
            <w:proofErr w:type="spellStart"/>
            <w:r w:rsidRPr="0009282C">
              <w:rPr>
                <w:rFonts w:ascii="Arial Narrow" w:eastAsia="Times New Roman" w:hAnsi="Arial Narrow"/>
                <w:b/>
                <w:bCs/>
                <w:sz w:val="20"/>
                <w:szCs w:val="20"/>
              </w:rPr>
              <w:t>Episodicity</w:t>
            </w:r>
            <w:proofErr w:type="spellEnd"/>
            <w:r w:rsidRPr="0009282C">
              <w:rPr>
                <w:rFonts w:ascii="Arial Narrow" w:eastAsia="Times New Roman" w:hAnsi="Arial Narrow"/>
                <w:b/>
                <w:bCs/>
                <w:sz w:val="20"/>
                <w:szCs w:val="20"/>
              </w:rPr>
              <w:t xml:space="preserve">: </w:t>
            </w:r>
            <w:r w:rsidRPr="0009282C">
              <w:rPr>
                <w:rFonts w:ascii="Arial Narrow" w:eastAsia="Times New Roman" w:hAnsi="Arial Narrow"/>
                <w:bCs/>
                <w:sz w:val="20"/>
                <w:szCs w:val="20"/>
              </w:rPr>
              <w:t>[blank]</w:t>
            </w:r>
          </w:p>
        </w:tc>
      </w:tr>
      <w:tr w:rsidR="00D37011" w:rsidRPr="0009282C" w14:paraId="283DDF12" w14:textId="77777777" w:rsidTr="008821A2">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41CCEC23"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6D8BD381" w14:textId="77777777" w:rsidR="00D37011" w:rsidRPr="0009282C" w:rsidRDefault="00D37011">
            <w:pPr>
              <w:keepLines/>
              <w:rPr>
                <w:rFonts w:ascii="Arial Narrow" w:eastAsia="Times New Roman" w:hAnsi="Arial Narrow"/>
                <w:b/>
                <w:bCs/>
                <w:sz w:val="20"/>
                <w:szCs w:val="20"/>
              </w:rPr>
            </w:pPr>
            <w:r w:rsidRPr="0009282C">
              <w:rPr>
                <w:rFonts w:ascii="Arial Narrow" w:eastAsia="Times New Roman" w:hAnsi="Arial Narrow"/>
                <w:b/>
                <w:bCs/>
                <w:sz w:val="20"/>
                <w:szCs w:val="20"/>
              </w:rPr>
              <w:t xml:space="preserve">Severity: </w:t>
            </w:r>
            <w:r w:rsidRPr="0009282C">
              <w:rPr>
                <w:rFonts w:ascii="Arial Narrow" w:eastAsia="Times New Roman" w:hAnsi="Arial Narrow"/>
                <w:bCs/>
                <w:sz w:val="20"/>
                <w:szCs w:val="20"/>
              </w:rPr>
              <w:t>[blank]</w:t>
            </w:r>
          </w:p>
        </w:tc>
      </w:tr>
      <w:tr w:rsidR="00D37011" w:rsidRPr="0009282C" w14:paraId="1DF63177" w14:textId="77777777" w:rsidTr="008821A2">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68A37BE5"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62D4EF88" w14:textId="77777777" w:rsidR="00D37011" w:rsidRPr="0009282C" w:rsidRDefault="00D37011">
            <w:pPr>
              <w:keepLines/>
              <w:rPr>
                <w:rFonts w:ascii="Arial Narrow" w:eastAsia="Times New Roman" w:hAnsi="Arial Narrow"/>
                <w:b/>
                <w:bCs/>
                <w:sz w:val="20"/>
                <w:szCs w:val="20"/>
              </w:rPr>
            </w:pPr>
            <w:r w:rsidRPr="0009282C">
              <w:rPr>
                <w:rFonts w:ascii="Arial Narrow" w:eastAsia="Times New Roman" w:hAnsi="Arial Narrow"/>
                <w:b/>
                <w:bCs/>
                <w:sz w:val="20"/>
                <w:szCs w:val="20"/>
              </w:rPr>
              <w:t xml:space="preserve">Condition: </w:t>
            </w:r>
            <w:r w:rsidRPr="0009282C">
              <w:rPr>
                <w:rFonts w:ascii="Arial Narrow" w:eastAsia="Times New Roman" w:hAnsi="Arial Narrow"/>
                <w:bCs/>
                <w:sz w:val="20"/>
                <w:szCs w:val="20"/>
              </w:rPr>
              <w:t xml:space="preserve">Primary hyperoxaluria type 1 </w:t>
            </w:r>
          </w:p>
        </w:tc>
      </w:tr>
      <w:tr w:rsidR="00D37011" w:rsidRPr="0009282C" w14:paraId="6724FA21" w14:textId="77777777" w:rsidTr="004B10D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8D45BC7" w14:textId="6115EA09" w:rsidR="00D37011" w:rsidRPr="0009282C" w:rsidRDefault="00D37011">
            <w:pPr>
              <w:keepLines/>
              <w:jc w:val="center"/>
              <w:rPr>
                <w:rFonts w:ascii="Arial Narrow" w:eastAsia="Times New Roman" w:hAnsi="Arial Narrow"/>
                <w:sz w:val="20"/>
                <w:szCs w:val="20"/>
              </w:rPr>
            </w:pPr>
          </w:p>
        </w:tc>
        <w:tc>
          <w:tcPr>
            <w:tcW w:w="7744" w:type="dxa"/>
            <w:gridSpan w:val="6"/>
            <w:vAlign w:val="center"/>
            <w:hideMark/>
          </w:tcPr>
          <w:p w14:paraId="55D1A7F3" w14:textId="77777777" w:rsidR="00D37011" w:rsidRPr="0009282C" w:rsidRDefault="00D37011">
            <w:pPr>
              <w:keepLines/>
              <w:rPr>
                <w:rFonts w:ascii="Arial Narrow" w:eastAsia="Times New Roman" w:hAnsi="Arial Narrow"/>
                <w:sz w:val="20"/>
                <w:szCs w:val="20"/>
              </w:rPr>
            </w:pPr>
            <w:r w:rsidRPr="0009282C">
              <w:rPr>
                <w:rFonts w:ascii="Arial Narrow" w:eastAsia="Times New Roman" w:hAnsi="Arial Narrow"/>
                <w:b/>
                <w:bCs/>
                <w:sz w:val="20"/>
                <w:szCs w:val="20"/>
              </w:rPr>
              <w:t>Indication:</w:t>
            </w:r>
            <w:r w:rsidRPr="0009282C">
              <w:rPr>
                <w:rFonts w:ascii="Arial Narrow" w:eastAsia="Times New Roman" w:hAnsi="Arial Narrow"/>
                <w:sz w:val="20"/>
                <w:szCs w:val="20"/>
              </w:rPr>
              <w:t xml:space="preserve"> </w:t>
            </w:r>
            <w:r w:rsidRPr="0009282C">
              <w:rPr>
                <w:rFonts w:ascii="Arial Narrow" w:eastAsia="Times New Roman" w:hAnsi="Arial Narrow"/>
                <w:bCs/>
                <w:sz w:val="20"/>
                <w:szCs w:val="20"/>
              </w:rPr>
              <w:t>Primary hyperoxaluria type 1</w:t>
            </w:r>
          </w:p>
        </w:tc>
      </w:tr>
      <w:tr w:rsidR="00D37011" w:rsidRPr="0009282C" w14:paraId="174164FF" w14:textId="77777777" w:rsidTr="004B10D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09CB090" w14:textId="77777777" w:rsidR="00D37011" w:rsidRPr="0009282C" w:rsidRDefault="00D37011">
            <w:pPr>
              <w:jc w:val="center"/>
              <w:rPr>
                <w:rFonts w:ascii="Arial Narrow" w:eastAsia="Times New Roman" w:hAnsi="Arial Narrow"/>
                <w:sz w:val="20"/>
                <w:szCs w:val="20"/>
              </w:rPr>
            </w:pPr>
          </w:p>
        </w:tc>
        <w:tc>
          <w:tcPr>
            <w:tcW w:w="7744" w:type="dxa"/>
            <w:gridSpan w:val="6"/>
            <w:vAlign w:val="center"/>
            <w:hideMark/>
          </w:tcPr>
          <w:p w14:paraId="662E3F5B"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Treatment Phase:</w:t>
            </w:r>
            <w:r w:rsidRPr="0009282C">
              <w:rPr>
                <w:rFonts w:ascii="Arial Narrow" w:eastAsia="Times New Roman" w:hAnsi="Arial Narrow"/>
                <w:sz w:val="20"/>
                <w:szCs w:val="20"/>
              </w:rPr>
              <w:t xml:space="preserve"> Initial treatment </w:t>
            </w:r>
            <w:r w:rsidRPr="0009282C">
              <w:rPr>
                <w:rFonts w:ascii="Arial Narrow" w:eastAsia="Calibri" w:hAnsi="Arial Narrow"/>
                <w:sz w:val="20"/>
                <w:szCs w:val="20"/>
              </w:rPr>
              <w:t>– loading doses</w:t>
            </w:r>
          </w:p>
        </w:tc>
      </w:tr>
      <w:tr w:rsidR="00D37011" w:rsidRPr="0009282C" w14:paraId="103718E2"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42CC436F"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3143C707"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Clinical criteria:</w:t>
            </w:r>
          </w:p>
        </w:tc>
      </w:tr>
      <w:tr w:rsidR="00D37011" w:rsidRPr="0009282C" w14:paraId="5B215035"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2CC25891" w14:textId="20C0587A" w:rsidR="00D37011" w:rsidRPr="0009282C" w:rsidRDefault="00D37011">
            <w:pPr>
              <w:jc w:val="center"/>
              <w:rPr>
                <w:rFonts w:ascii="Arial Narrow" w:eastAsia="Times New Roman" w:hAnsi="Arial Narrow"/>
                <w:sz w:val="20"/>
                <w:szCs w:val="20"/>
              </w:rPr>
            </w:pPr>
          </w:p>
        </w:tc>
        <w:tc>
          <w:tcPr>
            <w:tcW w:w="7744" w:type="dxa"/>
            <w:gridSpan w:val="6"/>
            <w:vAlign w:val="center"/>
          </w:tcPr>
          <w:p w14:paraId="36CC6A93"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The condition must be primary hyperoxaluria type 1 confirmed by genetic testing</w:t>
            </w:r>
          </w:p>
        </w:tc>
      </w:tr>
      <w:tr w:rsidR="00E67C33" w:rsidRPr="0009282C" w14:paraId="1612F8BA"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0FF58659" w14:textId="77777777" w:rsidR="00E67C33" w:rsidRPr="0009282C" w:rsidRDefault="00E67C33" w:rsidP="00E67C33">
            <w:pPr>
              <w:jc w:val="center"/>
              <w:rPr>
                <w:rFonts w:ascii="Arial Narrow" w:eastAsia="Times New Roman" w:hAnsi="Arial Narrow"/>
                <w:sz w:val="20"/>
                <w:szCs w:val="20"/>
              </w:rPr>
            </w:pPr>
          </w:p>
        </w:tc>
        <w:tc>
          <w:tcPr>
            <w:tcW w:w="7744" w:type="dxa"/>
            <w:gridSpan w:val="6"/>
            <w:vAlign w:val="center"/>
          </w:tcPr>
          <w:p w14:paraId="592FB3D6" w14:textId="2B97E951" w:rsidR="00E67C33" w:rsidRPr="0009282C" w:rsidRDefault="00E67C33" w:rsidP="00E67C33">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E67C33" w:rsidRPr="0009282C" w14:paraId="66C9F9EA"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1CCEDB68" w14:textId="77777777" w:rsidR="00E67C33" w:rsidRPr="0009282C" w:rsidRDefault="00E67C33" w:rsidP="00E67C33">
            <w:pPr>
              <w:jc w:val="center"/>
              <w:rPr>
                <w:rFonts w:ascii="Arial Narrow" w:eastAsia="Times New Roman" w:hAnsi="Arial Narrow"/>
                <w:sz w:val="20"/>
                <w:szCs w:val="20"/>
              </w:rPr>
            </w:pPr>
          </w:p>
        </w:tc>
        <w:tc>
          <w:tcPr>
            <w:tcW w:w="7744" w:type="dxa"/>
            <w:gridSpan w:val="6"/>
            <w:vAlign w:val="center"/>
          </w:tcPr>
          <w:p w14:paraId="46C3F63A" w14:textId="7DDE9B98" w:rsidR="00E67C33" w:rsidRPr="0009282C" w:rsidRDefault="00E67C33" w:rsidP="00E67C33">
            <w:pPr>
              <w:rPr>
                <w:rFonts w:ascii="Arial Narrow" w:eastAsia="Times New Roman" w:hAnsi="Arial Narrow"/>
                <w:sz w:val="20"/>
                <w:szCs w:val="20"/>
              </w:rPr>
            </w:pPr>
            <w:r w:rsidRPr="0009282C">
              <w:rPr>
                <w:rFonts w:ascii="Arial Narrow" w:eastAsia="Times New Roman" w:hAnsi="Arial Narrow"/>
                <w:b/>
                <w:bCs/>
                <w:sz w:val="20"/>
                <w:szCs w:val="20"/>
              </w:rPr>
              <w:t>Clinical criteria:</w:t>
            </w:r>
          </w:p>
        </w:tc>
      </w:tr>
      <w:tr w:rsidR="00E67C33" w:rsidRPr="0009282C" w14:paraId="0D1EFAEF"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086354B8" w14:textId="0E0F07CE" w:rsidR="00E67C33" w:rsidRPr="0009282C" w:rsidRDefault="00E67C33" w:rsidP="00E67C33">
            <w:pPr>
              <w:jc w:val="center"/>
              <w:rPr>
                <w:rFonts w:ascii="Arial Narrow" w:eastAsia="Times New Roman" w:hAnsi="Arial Narrow"/>
                <w:sz w:val="20"/>
                <w:szCs w:val="20"/>
              </w:rPr>
            </w:pPr>
          </w:p>
        </w:tc>
        <w:tc>
          <w:tcPr>
            <w:tcW w:w="7744" w:type="dxa"/>
            <w:gridSpan w:val="6"/>
            <w:vAlign w:val="center"/>
          </w:tcPr>
          <w:p w14:paraId="65B5DE53" w14:textId="50C80B22" w:rsidR="00E67C33" w:rsidRPr="0009282C" w:rsidRDefault="00E67C33" w:rsidP="00E67C33">
            <w:pPr>
              <w:rPr>
                <w:rFonts w:ascii="Arial Narrow" w:eastAsia="Times New Roman" w:hAnsi="Arial Narrow"/>
                <w:sz w:val="20"/>
                <w:szCs w:val="20"/>
              </w:rPr>
            </w:pPr>
            <w:r>
              <w:rPr>
                <w:rFonts w:ascii="Arial Narrow" w:eastAsia="Times New Roman" w:hAnsi="Arial Narrow"/>
                <w:sz w:val="20"/>
                <w:szCs w:val="20"/>
              </w:rPr>
              <w:t xml:space="preserve">Patient must have </w:t>
            </w:r>
            <w:r w:rsidR="00942928">
              <w:rPr>
                <w:rFonts w:ascii="Arial Narrow" w:eastAsia="Times New Roman" w:hAnsi="Arial Narrow"/>
                <w:sz w:val="20"/>
                <w:szCs w:val="20"/>
              </w:rPr>
              <w:t>undergone treatment with</w:t>
            </w:r>
            <w:r>
              <w:rPr>
                <w:rFonts w:ascii="Arial Narrow" w:eastAsia="Times New Roman" w:hAnsi="Arial Narrow"/>
                <w:sz w:val="20"/>
                <w:szCs w:val="20"/>
              </w:rPr>
              <w:t xml:space="preserve"> </w:t>
            </w:r>
            <w:r w:rsidRPr="00E67C33">
              <w:rPr>
                <w:rFonts w:ascii="Arial Narrow" w:eastAsia="Times New Roman" w:hAnsi="Arial Narrow"/>
                <w:sz w:val="20"/>
                <w:szCs w:val="20"/>
              </w:rPr>
              <w:t xml:space="preserve">pyridoxine therapy </w:t>
            </w:r>
            <w:r w:rsidR="009A2E71">
              <w:rPr>
                <w:rFonts w:ascii="Arial Narrow" w:eastAsia="Times New Roman" w:hAnsi="Arial Narrow"/>
                <w:sz w:val="20"/>
                <w:szCs w:val="20"/>
              </w:rPr>
              <w:t>OR</w:t>
            </w:r>
          </w:p>
        </w:tc>
      </w:tr>
      <w:tr w:rsidR="00753753" w:rsidRPr="0009282C" w14:paraId="0CFA6320"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4D90F785" w14:textId="4E3404DA"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4D74980F" w14:textId="0E01C96E" w:rsidR="00753753" w:rsidRDefault="00753753" w:rsidP="00753753">
            <w:pPr>
              <w:rPr>
                <w:rFonts w:ascii="Arial Narrow" w:eastAsia="Times New Roman" w:hAnsi="Arial Narrow"/>
                <w:sz w:val="20"/>
                <w:szCs w:val="20"/>
              </w:rPr>
            </w:pPr>
            <w:r>
              <w:rPr>
                <w:rFonts w:ascii="Arial Narrow" w:eastAsia="Times New Roman" w:hAnsi="Arial Narrow"/>
                <w:sz w:val="20"/>
                <w:szCs w:val="20"/>
              </w:rPr>
              <w:t xml:space="preserve">Patient must have a PH1 allele that is considered not responsive to </w:t>
            </w:r>
            <w:r w:rsidRPr="00714E07">
              <w:rPr>
                <w:rFonts w:ascii="Arial Narrow" w:eastAsia="Times New Roman" w:hAnsi="Arial Narrow"/>
                <w:sz w:val="20"/>
                <w:szCs w:val="20"/>
              </w:rPr>
              <w:t xml:space="preserve">pyridoxine </w:t>
            </w:r>
            <w:r>
              <w:rPr>
                <w:rFonts w:ascii="Arial Narrow" w:eastAsia="Times New Roman" w:hAnsi="Arial Narrow"/>
                <w:sz w:val="20"/>
                <w:szCs w:val="20"/>
              </w:rPr>
              <w:t>therapy</w:t>
            </w:r>
          </w:p>
        </w:tc>
      </w:tr>
      <w:tr w:rsidR="00753753" w:rsidRPr="0009282C" w14:paraId="21BF0850"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280EF40C"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60B52E53"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753753" w:rsidRPr="0009282C" w14:paraId="0B577212"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38AE9697"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1CD3FB2B" w14:textId="77777777" w:rsidR="00753753" w:rsidRPr="0009282C" w:rsidRDefault="00753753" w:rsidP="00753753">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753753" w:rsidRPr="0009282C" w14:paraId="6C6DB931"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34BFE106" w14:textId="07E10BC5"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40287DC5"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sz w:val="20"/>
                <w:szCs w:val="20"/>
              </w:rPr>
              <w:t>Patient must have urinary oxalate greater than or equal to 0.70 mmol/24 h/1.73 m</w:t>
            </w:r>
            <w:r w:rsidRPr="0009282C">
              <w:rPr>
                <w:rFonts w:ascii="Arial Narrow" w:eastAsia="Times New Roman" w:hAnsi="Arial Narrow"/>
                <w:sz w:val="20"/>
                <w:szCs w:val="20"/>
                <w:vertAlign w:val="superscript"/>
              </w:rPr>
              <w:t>2</w:t>
            </w:r>
            <w:r w:rsidRPr="0009282C">
              <w:rPr>
                <w:rFonts w:ascii="Arial Narrow" w:eastAsia="Times New Roman" w:hAnsi="Arial Narrow"/>
                <w:sz w:val="20"/>
                <w:szCs w:val="20"/>
              </w:rPr>
              <w:t xml:space="preserve"> measured by mean 24-h urinary oxalate excretion from a valid 24-h urine collection; OR</w:t>
            </w:r>
          </w:p>
        </w:tc>
      </w:tr>
      <w:tr w:rsidR="00753753" w:rsidRPr="0009282C" w14:paraId="291AAC58"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486689B5" w14:textId="48FF0068"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20BDB6CD"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sz w:val="20"/>
                <w:szCs w:val="20"/>
              </w:rPr>
              <w:t xml:space="preserve">Patient must have urinary </w:t>
            </w:r>
            <w:proofErr w:type="spellStart"/>
            <w:r w:rsidRPr="0009282C">
              <w:rPr>
                <w:rFonts w:ascii="Arial Narrow" w:eastAsia="Times New Roman" w:hAnsi="Arial Narrow"/>
                <w:sz w:val="20"/>
                <w:szCs w:val="20"/>
              </w:rPr>
              <w:t>oxalate:creatinine</w:t>
            </w:r>
            <w:proofErr w:type="spellEnd"/>
            <w:r w:rsidRPr="0009282C">
              <w:rPr>
                <w:rFonts w:ascii="Arial Narrow" w:eastAsia="Times New Roman" w:hAnsi="Arial Narrow"/>
                <w:sz w:val="20"/>
                <w:szCs w:val="20"/>
              </w:rPr>
              <w:t xml:space="preserve"> ratio greater than the upper limit of normal based on age on at least two of three single-void collections during screening; OR</w:t>
            </w:r>
          </w:p>
        </w:tc>
      </w:tr>
      <w:tr w:rsidR="00753753" w:rsidRPr="0009282C" w14:paraId="6094926A"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7F526596" w14:textId="41F5E3BE"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17101F7C"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sz w:val="20"/>
                <w:szCs w:val="20"/>
              </w:rPr>
              <w:t>Patient must have clinical symptoms indicative of hyperoxaluria, such as (</w:t>
            </w:r>
            <w:proofErr w:type="spellStart"/>
            <w:r w:rsidRPr="0009282C">
              <w:rPr>
                <w:rFonts w:ascii="Arial Narrow" w:eastAsia="Times New Roman" w:hAnsi="Arial Narrow"/>
                <w:sz w:val="20"/>
                <w:szCs w:val="20"/>
              </w:rPr>
              <w:t>i</w:t>
            </w:r>
            <w:proofErr w:type="spellEnd"/>
            <w:r w:rsidRPr="0009282C">
              <w:rPr>
                <w:rFonts w:ascii="Arial Narrow" w:eastAsia="Times New Roman" w:hAnsi="Arial Narrow"/>
                <w:sz w:val="20"/>
                <w:szCs w:val="20"/>
              </w:rPr>
              <w:t>) nephrocalcinosis; (ii) renal stones; (iii) renal impairment; (iv) systemic oxalosis</w:t>
            </w:r>
          </w:p>
        </w:tc>
      </w:tr>
      <w:tr w:rsidR="00753753" w:rsidRPr="0009282C" w14:paraId="3CF377DF"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3EC1D974"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2DC01507"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753753" w:rsidRPr="0009282C" w14:paraId="4BC4968B"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634A870B"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3D2B9374"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Clinical criteria:</w:t>
            </w:r>
          </w:p>
        </w:tc>
      </w:tr>
      <w:tr w:rsidR="00753753" w:rsidRPr="0009282C" w14:paraId="65BD80D7"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4FD01E53" w14:textId="49E381E4"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7E282918"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sz w:val="20"/>
                <w:szCs w:val="20"/>
              </w:rPr>
              <w:t xml:space="preserve">Patient must not have previously undergone liver transplant for primary hyperoxaluria type 1 </w:t>
            </w:r>
          </w:p>
        </w:tc>
      </w:tr>
      <w:tr w:rsidR="00753753" w:rsidRPr="0009282C" w14:paraId="13F21CE7"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3204B383"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796788A5"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753753" w:rsidRPr="0009282C" w14:paraId="4C7C4A05"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4A4B803E" w14:textId="77777777"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4D839873"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Treatment criteria:</w:t>
            </w:r>
          </w:p>
        </w:tc>
      </w:tr>
      <w:tr w:rsidR="00753753" w:rsidRPr="0009282C" w14:paraId="342925F4"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57307E47" w14:textId="37FAD754"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7A69492C" w14:textId="3892A210" w:rsidR="00753753" w:rsidRPr="0009282C" w:rsidRDefault="00753753" w:rsidP="00753753">
            <w:pPr>
              <w:rPr>
                <w:rFonts w:ascii="Arial Narrow" w:eastAsia="Times New Roman" w:hAnsi="Arial Narrow"/>
                <w:sz w:val="20"/>
                <w:szCs w:val="20"/>
              </w:rPr>
            </w:pPr>
            <w:r w:rsidRPr="0009282C">
              <w:rPr>
                <w:rFonts w:ascii="Arial Narrow" w:hAnsi="Arial Narrow" w:cs="Arial Narrow"/>
                <w:sz w:val="20"/>
                <w:szCs w:val="20"/>
              </w:rPr>
              <w:t xml:space="preserve">Must be treated by a nephrologist with experience in the management of </w:t>
            </w:r>
            <w:r w:rsidRPr="0039216C">
              <w:rPr>
                <w:rFonts w:ascii="Arial Narrow" w:eastAsia="Times New Roman" w:hAnsi="Arial Narrow"/>
                <w:sz w:val="20"/>
                <w:szCs w:val="20"/>
              </w:rPr>
              <w:t>hyperoxaluria O</w:t>
            </w:r>
            <w:r w:rsidRPr="0039216C">
              <w:rPr>
                <w:rFonts w:ascii="Arial Narrow" w:hAnsi="Arial Narrow" w:cs="Arial Narrow"/>
                <w:sz w:val="20"/>
                <w:szCs w:val="20"/>
              </w:rPr>
              <w:t>R</w:t>
            </w:r>
            <w:r w:rsidRPr="0009282C">
              <w:rPr>
                <w:rFonts w:ascii="Arial Narrow" w:hAnsi="Arial Narrow" w:cs="Arial Narrow"/>
                <w:sz w:val="20"/>
                <w:szCs w:val="20"/>
              </w:rPr>
              <w:t xml:space="preserve"> </w:t>
            </w:r>
          </w:p>
        </w:tc>
      </w:tr>
      <w:tr w:rsidR="00753753" w:rsidRPr="0009282C" w14:paraId="7E575119"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1E0A0F41" w14:textId="460AE639"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02F7FAA6" w14:textId="0FD9BEC6" w:rsidR="00753753" w:rsidRPr="0009282C" w:rsidRDefault="00753753" w:rsidP="00753753">
            <w:pPr>
              <w:rPr>
                <w:rFonts w:ascii="Arial Narrow" w:hAnsi="Arial Narrow" w:cs="Arial Narrow"/>
                <w:sz w:val="20"/>
                <w:szCs w:val="20"/>
              </w:rPr>
            </w:pPr>
            <w:r w:rsidRPr="0009282C">
              <w:rPr>
                <w:rFonts w:ascii="Arial Narrow" w:hAnsi="Arial Narrow" w:cs="Arial Narrow"/>
                <w:sz w:val="20"/>
                <w:szCs w:val="20"/>
              </w:rPr>
              <w:t xml:space="preserve">Must be treated by a </w:t>
            </w:r>
            <w:r>
              <w:rPr>
                <w:rFonts w:ascii="Arial Narrow" w:hAnsi="Arial Narrow" w:cs="Arial Narrow"/>
                <w:sz w:val="20"/>
                <w:szCs w:val="20"/>
              </w:rPr>
              <w:t>paediatrician</w:t>
            </w:r>
            <w:r w:rsidRPr="0009282C">
              <w:rPr>
                <w:rFonts w:ascii="Arial Narrow" w:hAnsi="Arial Narrow" w:cs="Arial Narrow"/>
                <w:sz w:val="20"/>
                <w:szCs w:val="20"/>
              </w:rPr>
              <w:t xml:space="preserve"> with experience in the management of </w:t>
            </w:r>
            <w:r w:rsidRPr="0039216C">
              <w:rPr>
                <w:rFonts w:ascii="Arial Narrow" w:eastAsia="Times New Roman" w:hAnsi="Arial Narrow"/>
                <w:sz w:val="20"/>
                <w:szCs w:val="20"/>
              </w:rPr>
              <w:t>hyperoxaluria O</w:t>
            </w:r>
            <w:r w:rsidRPr="0039216C">
              <w:rPr>
                <w:rFonts w:ascii="Arial Narrow" w:hAnsi="Arial Narrow" w:cs="Arial Narrow"/>
                <w:sz w:val="20"/>
                <w:szCs w:val="20"/>
              </w:rPr>
              <w:t>R</w:t>
            </w:r>
          </w:p>
        </w:tc>
      </w:tr>
      <w:tr w:rsidR="00753753" w:rsidRPr="0009282C" w14:paraId="0EE36464"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5660D837" w14:textId="451E3F62"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5C539E0E" w14:textId="75B596FA" w:rsidR="00753753" w:rsidRPr="0009282C" w:rsidRDefault="00753753" w:rsidP="00753753">
            <w:pPr>
              <w:rPr>
                <w:rFonts w:ascii="Arial Narrow" w:hAnsi="Arial Narrow" w:cs="Arial Narrow"/>
                <w:sz w:val="20"/>
                <w:szCs w:val="20"/>
              </w:rPr>
            </w:pPr>
            <w:r>
              <w:rPr>
                <w:rFonts w:ascii="Arial Narrow" w:hAnsi="Arial Narrow" w:cs="Arial Narrow"/>
                <w:sz w:val="20"/>
                <w:szCs w:val="20"/>
              </w:rPr>
              <w:t xml:space="preserve">Must be treated by an authorised prescriber </w:t>
            </w:r>
            <w:r w:rsidRPr="0009282C">
              <w:rPr>
                <w:rFonts w:ascii="Arial Narrow" w:hAnsi="Arial Narrow" w:cs="Arial Narrow"/>
                <w:sz w:val="20"/>
                <w:szCs w:val="20"/>
              </w:rPr>
              <w:t xml:space="preserve">in consultation with </w:t>
            </w:r>
            <w:r>
              <w:rPr>
                <w:rFonts w:ascii="Arial Narrow" w:hAnsi="Arial Narrow" w:cs="Arial Narrow"/>
                <w:sz w:val="20"/>
                <w:szCs w:val="20"/>
              </w:rPr>
              <w:t>one of the above specialty types</w:t>
            </w:r>
          </w:p>
        </w:tc>
      </w:tr>
      <w:tr w:rsidR="00753753" w:rsidRPr="0009282C" w14:paraId="0625E110"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29A1DCFB" w14:textId="3472633A"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41A74CC5"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4A38F543" w14:textId="77777777" w:rsidR="00753753" w:rsidRPr="0009282C" w:rsidRDefault="00753753" w:rsidP="00753753">
            <w:pPr>
              <w:rPr>
                <w:rFonts w:ascii="Arial Narrow" w:eastAsia="Times New Roman" w:hAnsi="Arial Narrow"/>
                <w:b/>
                <w:bCs/>
                <w:sz w:val="20"/>
                <w:szCs w:val="20"/>
              </w:rPr>
            </w:pPr>
            <w:r w:rsidRPr="0009282C">
              <w:rPr>
                <w:rFonts w:ascii="Arial Narrow" w:eastAsia="Times New Roman" w:hAnsi="Arial Narrow"/>
                <w:sz w:val="20"/>
                <w:szCs w:val="20"/>
              </w:rPr>
              <w:t>At the time of the authority application, prescribers should request the appropriate number of vials based on the patient's weight, as per the TGA approved Product Information. Up to 2 repeats may be requested for initial treatment.</w:t>
            </w:r>
          </w:p>
        </w:tc>
      </w:tr>
      <w:tr w:rsidR="00753753" w:rsidRPr="0009282C" w14:paraId="5DE2680C"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7C0FED01" w14:textId="1F353E0C"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0A669600" w14:textId="77777777" w:rsidR="00753753" w:rsidRPr="0009282C" w:rsidRDefault="00753753" w:rsidP="00753753">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0A043142" w14:textId="16D83298" w:rsidR="00753753" w:rsidRPr="0009282C" w:rsidRDefault="00753753" w:rsidP="00753753">
            <w:pPr>
              <w:rPr>
                <w:rFonts w:ascii="Arial Narrow" w:eastAsia="Times New Roman" w:hAnsi="Arial Narrow"/>
                <w:b/>
                <w:bCs/>
                <w:sz w:val="20"/>
                <w:szCs w:val="20"/>
              </w:rPr>
            </w:pPr>
            <w:r w:rsidRPr="0009282C">
              <w:rPr>
                <w:rFonts w:ascii="Arial Narrow" w:eastAsia="Times New Roman" w:hAnsi="Arial Narrow"/>
                <w:sz w:val="20"/>
                <w:szCs w:val="20"/>
              </w:rPr>
              <w:t>The authority application must be made via the Online PBS Authorities System, or in writing via HPOS form upload or mail.</w:t>
            </w:r>
            <w:r>
              <w:rPr>
                <w:rFonts w:ascii="Arial Narrow" w:eastAsia="Times New Roman" w:hAnsi="Arial Narrow"/>
                <w:sz w:val="20"/>
                <w:szCs w:val="20"/>
              </w:rPr>
              <w:t xml:space="preserve"> </w:t>
            </w:r>
          </w:p>
        </w:tc>
      </w:tr>
      <w:tr w:rsidR="00753753" w:rsidRPr="0009282C" w14:paraId="5DC521A6"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7637CE7E" w14:textId="2AB8D391"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55F9B401" w14:textId="77777777" w:rsidR="00753753" w:rsidRPr="0009282C" w:rsidRDefault="00753753" w:rsidP="00753753">
            <w:pPr>
              <w:spacing w:after="20"/>
              <w:rPr>
                <w:rFonts w:ascii="Arial Narrow" w:eastAsia="Times New Roman" w:hAnsi="Arial Narrow"/>
                <w:b/>
                <w:bCs/>
                <w:sz w:val="20"/>
                <w:szCs w:val="20"/>
              </w:rPr>
            </w:pPr>
            <w:r w:rsidRPr="0009282C">
              <w:rPr>
                <w:rFonts w:ascii="Arial Narrow" w:eastAsia="Times New Roman" w:hAnsi="Arial Narrow"/>
                <w:b/>
                <w:bCs/>
                <w:sz w:val="20"/>
                <w:szCs w:val="20"/>
              </w:rPr>
              <w:t>Prescribing Instructions:</w:t>
            </w:r>
          </w:p>
          <w:p w14:paraId="677B6A7F" w14:textId="7CEBB82B" w:rsidR="00753753" w:rsidRPr="0009282C" w:rsidRDefault="00753753" w:rsidP="00753753">
            <w:pPr>
              <w:spacing w:after="20"/>
              <w:rPr>
                <w:rFonts w:ascii="Arial Narrow" w:hAnsi="Arial Narrow"/>
                <w:sz w:val="20"/>
              </w:rPr>
            </w:pPr>
            <w:r>
              <w:rPr>
                <w:rFonts w:ascii="Arial Narrow" w:hAnsi="Arial Narrow"/>
                <w:sz w:val="20"/>
              </w:rPr>
              <w:t>If t</w:t>
            </w:r>
            <w:r w:rsidRPr="0009282C">
              <w:rPr>
                <w:rFonts w:ascii="Arial Narrow" w:hAnsi="Arial Narrow"/>
                <w:sz w:val="20"/>
              </w:rPr>
              <w:t xml:space="preserve">he application </w:t>
            </w:r>
            <w:r>
              <w:rPr>
                <w:rFonts w:ascii="Arial Narrow" w:hAnsi="Arial Narrow"/>
                <w:sz w:val="20"/>
              </w:rPr>
              <w:t xml:space="preserve">is submitted through HPOS form upload or mail, it </w:t>
            </w:r>
            <w:r w:rsidRPr="0009282C">
              <w:rPr>
                <w:rFonts w:ascii="Arial Narrow" w:hAnsi="Arial Narrow"/>
                <w:sz w:val="20"/>
              </w:rPr>
              <w:t>must include:</w:t>
            </w:r>
          </w:p>
          <w:p w14:paraId="04B165B4" w14:textId="77777777" w:rsidR="00753753" w:rsidRPr="0009282C" w:rsidRDefault="00753753" w:rsidP="00753753">
            <w:pPr>
              <w:spacing w:after="20"/>
              <w:rPr>
                <w:rFonts w:ascii="Arial Narrow" w:hAnsi="Arial Narrow"/>
                <w:sz w:val="20"/>
              </w:rPr>
            </w:pPr>
            <w:r w:rsidRPr="0009282C">
              <w:rPr>
                <w:rFonts w:ascii="Arial Narrow" w:hAnsi="Arial Narrow"/>
                <w:sz w:val="20"/>
              </w:rPr>
              <w:t>(1) details of the proposed prescription; and</w:t>
            </w:r>
          </w:p>
          <w:p w14:paraId="24975C85" w14:textId="77777777" w:rsidR="00753753" w:rsidRPr="0009282C" w:rsidRDefault="00753753" w:rsidP="00753753">
            <w:pPr>
              <w:rPr>
                <w:rFonts w:ascii="Arial Narrow" w:eastAsia="Times New Roman" w:hAnsi="Arial Narrow"/>
                <w:b/>
                <w:bCs/>
                <w:sz w:val="20"/>
                <w:szCs w:val="20"/>
              </w:rPr>
            </w:pPr>
            <w:r w:rsidRPr="0009282C">
              <w:rPr>
                <w:rFonts w:ascii="Arial Narrow" w:hAnsi="Arial Narrow"/>
                <w:sz w:val="20"/>
              </w:rPr>
              <w:t>(2) a completed PBS Authority Application Form relevant to the indication and treatment phase (the latest version is located on the website specified in the Administrative Advice)</w:t>
            </w:r>
            <w:r w:rsidRPr="0009282C">
              <w:rPr>
                <w:rFonts w:ascii="Arial Narrow" w:hAnsi="Arial Narrow"/>
                <w:color w:val="00B0F0"/>
                <w:sz w:val="20"/>
              </w:rPr>
              <w:t xml:space="preserve"> </w:t>
            </w:r>
          </w:p>
        </w:tc>
      </w:tr>
      <w:tr w:rsidR="00753753" w:rsidRPr="0009282C" w14:paraId="6A1D1E72"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6EA8B425" w14:textId="0F993021"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5913DD49" w14:textId="77777777" w:rsidR="00753753" w:rsidRPr="0009282C" w:rsidRDefault="00753753" w:rsidP="00753753">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Special Pricing Arrangements apply.</w:t>
            </w:r>
          </w:p>
        </w:tc>
      </w:tr>
      <w:tr w:rsidR="00753753" w:rsidRPr="0009282C" w14:paraId="4CD0DA7B"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7A25EEF3" w14:textId="02D81C49"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1C4CE3EE" w14:textId="77777777" w:rsidR="00753753" w:rsidRPr="0009282C" w:rsidRDefault="00753753" w:rsidP="00753753">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quantity or number of units may be authorised.</w:t>
            </w:r>
          </w:p>
        </w:tc>
      </w:tr>
      <w:tr w:rsidR="00753753" w:rsidRPr="0009282C" w14:paraId="327C134B"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035A834B" w14:textId="37C1DC22" w:rsidR="00753753" w:rsidRPr="0009282C" w:rsidRDefault="00753753" w:rsidP="00753753">
            <w:pPr>
              <w:jc w:val="center"/>
              <w:rPr>
                <w:rFonts w:ascii="Arial Narrow" w:eastAsia="Times New Roman" w:hAnsi="Arial Narrow"/>
                <w:sz w:val="20"/>
                <w:szCs w:val="20"/>
              </w:rPr>
            </w:pPr>
          </w:p>
        </w:tc>
        <w:tc>
          <w:tcPr>
            <w:tcW w:w="7744" w:type="dxa"/>
            <w:gridSpan w:val="6"/>
            <w:vAlign w:val="center"/>
          </w:tcPr>
          <w:p w14:paraId="426B8938" w14:textId="77777777" w:rsidR="00753753" w:rsidRPr="0009282C" w:rsidRDefault="00753753" w:rsidP="00753753">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number of repeats may be authorised.</w:t>
            </w:r>
          </w:p>
        </w:tc>
      </w:tr>
      <w:tr w:rsidR="00753753" w:rsidRPr="0009282C" w14:paraId="6789F82B" w14:textId="77777777" w:rsidTr="008821A2">
        <w:tblPrEx>
          <w:tblCellMar>
            <w:top w:w="15" w:type="dxa"/>
            <w:bottom w:w="15" w:type="dxa"/>
          </w:tblCellMar>
          <w:tblLook w:val="04A0" w:firstRow="1" w:lastRow="0" w:firstColumn="1" w:lastColumn="0" w:noHBand="0" w:noVBand="1"/>
        </w:tblPrEx>
        <w:trPr>
          <w:cantSplit/>
          <w:trHeight w:val="20"/>
        </w:trPr>
        <w:tc>
          <w:tcPr>
            <w:tcW w:w="1273" w:type="dxa"/>
            <w:vAlign w:val="center"/>
          </w:tcPr>
          <w:p w14:paraId="5CFCF7F1" w14:textId="545FBCBA" w:rsidR="00753753" w:rsidRPr="0009282C" w:rsidRDefault="00753753" w:rsidP="00753753">
            <w:pPr>
              <w:jc w:val="center"/>
              <w:rPr>
                <w:rFonts w:ascii="Arial Narrow" w:hAnsi="Arial Narrow"/>
                <w:bCs/>
                <w:sz w:val="20"/>
                <w:szCs w:val="20"/>
              </w:rPr>
            </w:pPr>
          </w:p>
        </w:tc>
        <w:tc>
          <w:tcPr>
            <w:tcW w:w="7744" w:type="dxa"/>
            <w:gridSpan w:val="6"/>
            <w:vAlign w:val="center"/>
          </w:tcPr>
          <w:p w14:paraId="6FC0AE44" w14:textId="77777777" w:rsidR="00753753" w:rsidRPr="0009282C" w:rsidRDefault="00753753" w:rsidP="00753753">
            <w:pPr>
              <w:rPr>
                <w:rFonts w:ascii="Arial Narrow" w:hAnsi="Arial Narrow"/>
                <w:b/>
                <w:bCs/>
                <w:sz w:val="20"/>
                <w:szCs w:val="20"/>
              </w:rPr>
            </w:pPr>
            <w:r w:rsidRPr="0009282C">
              <w:rPr>
                <w:rFonts w:ascii="Arial Narrow" w:hAnsi="Arial Narrow"/>
                <w:b/>
                <w:bCs/>
                <w:sz w:val="20"/>
                <w:szCs w:val="20"/>
              </w:rPr>
              <w:t>Administrative Advice:</w:t>
            </w:r>
          </w:p>
          <w:p w14:paraId="4DEA5F1D"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Any queries concerning the arrangements to prescribe may be directed to Services Australia on 1800 700 270 (hours of operation 8 a.m. to 5 p.m. Monday to Friday).</w:t>
            </w:r>
          </w:p>
          <w:p w14:paraId="334FB17B"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5BEC1BE6" w14:textId="19B9A21D" w:rsidR="00753753" w:rsidRDefault="00753753" w:rsidP="00753753">
            <w:pPr>
              <w:rPr>
                <w:rFonts w:ascii="Arial Narrow" w:hAnsi="Arial Narrow"/>
                <w:sz w:val="20"/>
                <w:szCs w:val="20"/>
              </w:rPr>
            </w:pPr>
            <w:r w:rsidRPr="0009282C">
              <w:rPr>
                <w:rFonts w:ascii="Arial Narrow" w:hAnsi="Arial Narrow"/>
                <w:sz w:val="20"/>
                <w:szCs w:val="20"/>
              </w:rPr>
              <w:t xml:space="preserve">Applications for </w:t>
            </w:r>
            <w:r w:rsidRPr="008121E4">
              <w:rPr>
                <w:rFonts w:ascii="Arial Narrow" w:hAnsi="Arial Narrow"/>
                <w:sz w:val="20"/>
                <w:szCs w:val="20"/>
              </w:rPr>
              <w:t xml:space="preserve">authorisation under this restriction should be made using the Online PBS Authorities system (see </w:t>
            </w:r>
            <w:hyperlink r:id="rId11" w:history="1">
              <w:r w:rsidRPr="00F7249C">
                <w:rPr>
                  <w:rStyle w:val="Hyperlink"/>
                  <w:rFonts w:ascii="Arial Narrow" w:hAnsi="Arial Narrow"/>
                  <w:sz w:val="20"/>
                  <w:szCs w:val="20"/>
                </w:rPr>
                <w:t>www.servicesaustralia.gov.au/hpos</w:t>
              </w:r>
            </w:hyperlink>
            <w:r w:rsidRPr="008121E4">
              <w:rPr>
                <w:rFonts w:ascii="Arial Narrow" w:hAnsi="Arial Narrow"/>
                <w:sz w:val="20"/>
                <w:szCs w:val="20"/>
              </w:rPr>
              <w:t>)</w:t>
            </w:r>
          </w:p>
          <w:p w14:paraId="13587C46" w14:textId="7C40B078" w:rsidR="00753753" w:rsidRPr="0009282C" w:rsidRDefault="00753753" w:rsidP="00753753">
            <w:pPr>
              <w:rPr>
                <w:rFonts w:ascii="Arial Narrow" w:hAnsi="Arial Narrow"/>
                <w:sz w:val="20"/>
                <w:szCs w:val="20"/>
              </w:rPr>
            </w:pPr>
            <w:r w:rsidRPr="0009282C">
              <w:rPr>
                <w:rFonts w:ascii="Arial Narrow" w:hAnsi="Arial Narrow"/>
                <w:sz w:val="20"/>
                <w:szCs w:val="20"/>
              </w:rPr>
              <w:t>A</w:t>
            </w:r>
            <w:r>
              <w:rPr>
                <w:rFonts w:ascii="Arial Narrow" w:hAnsi="Arial Narrow"/>
                <w:sz w:val="20"/>
                <w:szCs w:val="20"/>
              </w:rPr>
              <w:t>lternatively, a</w:t>
            </w:r>
            <w:r w:rsidRPr="0009282C">
              <w:rPr>
                <w:rFonts w:ascii="Arial Narrow" w:hAnsi="Arial Narrow"/>
                <w:sz w:val="20"/>
                <w:szCs w:val="20"/>
              </w:rPr>
              <w:t>pplications for authority to prescribe should be submitted online using the form upload facility in Health Professional Online Services (HPOS) at www.servicesaustralia.gov.au/hpos</w:t>
            </w:r>
          </w:p>
          <w:p w14:paraId="44A452EF"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Or mailed to:</w:t>
            </w:r>
          </w:p>
          <w:p w14:paraId="6F0E7BEE"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Services Australia</w:t>
            </w:r>
          </w:p>
          <w:p w14:paraId="19B542E3"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Complex Drugs</w:t>
            </w:r>
          </w:p>
          <w:p w14:paraId="59D3C7D2"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Reply Paid 9826</w:t>
            </w:r>
          </w:p>
          <w:p w14:paraId="2CA59676" w14:textId="77777777" w:rsidR="00753753" w:rsidRPr="0009282C" w:rsidRDefault="00753753" w:rsidP="00753753">
            <w:pPr>
              <w:rPr>
                <w:rFonts w:ascii="Arial Narrow" w:hAnsi="Arial Narrow"/>
                <w:sz w:val="20"/>
                <w:szCs w:val="20"/>
              </w:rPr>
            </w:pPr>
            <w:r w:rsidRPr="0009282C">
              <w:rPr>
                <w:rFonts w:ascii="Arial Narrow" w:hAnsi="Arial Narrow"/>
                <w:sz w:val="20"/>
                <w:szCs w:val="20"/>
              </w:rPr>
              <w:t>HOBART TAS 7001</w:t>
            </w:r>
          </w:p>
        </w:tc>
      </w:tr>
    </w:tbl>
    <w:p w14:paraId="3B986E39" w14:textId="21ACBC6A" w:rsidR="00D37011" w:rsidRPr="000222C0" w:rsidRDefault="00D37011" w:rsidP="004B10D4">
      <w:pPr>
        <w:pStyle w:val="4-SubsectionHeading"/>
        <w:keepLines/>
        <w:rPr>
          <w:i w:val="0"/>
          <w:iCs/>
        </w:rPr>
      </w:pPr>
      <w:r w:rsidRPr="000222C0">
        <w:rPr>
          <w:i w:val="0"/>
          <w:iCs/>
        </w:rPr>
        <w:t xml:space="preserve">Continuing </w:t>
      </w:r>
      <w:r w:rsidR="004232E4" w:rsidRPr="000222C0">
        <w:rPr>
          <w:i w:val="0"/>
          <w:iCs/>
        </w:rPr>
        <w:t>treatment</w:t>
      </w:r>
      <w:r w:rsidRPr="000222C0">
        <w:rPr>
          <w:i w:val="0"/>
          <w:iCs/>
        </w:rPr>
        <w:t xml:space="preserve"> and Grandfather restriction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2656"/>
        <w:gridCol w:w="814"/>
        <w:gridCol w:w="815"/>
        <w:gridCol w:w="814"/>
        <w:gridCol w:w="815"/>
        <w:gridCol w:w="1830"/>
      </w:tblGrid>
      <w:tr w:rsidR="00D37011" w:rsidRPr="0009282C" w14:paraId="39CD06F8" w14:textId="77777777" w:rsidTr="004232E4">
        <w:trPr>
          <w:cantSplit/>
          <w:trHeight w:val="20"/>
        </w:trPr>
        <w:tc>
          <w:tcPr>
            <w:tcW w:w="3929" w:type="dxa"/>
            <w:gridSpan w:val="2"/>
            <w:vAlign w:val="center"/>
          </w:tcPr>
          <w:p w14:paraId="61C95E11" w14:textId="77777777" w:rsidR="00D37011" w:rsidRPr="0009282C" w:rsidRDefault="00D37011" w:rsidP="004B10D4">
            <w:pPr>
              <w:keepNext/>
              <w:keepLines/>
              <w:rPr>
                <w:rFonts w:ascii="Arial Narrow" w:hAnsi="Arial Narrow"/>
                <w:b/>
                <w:bCs/>
                <w:sz w:val="20"/>
                <w:szCs w:val="20"/>
              </w:rPr>
            </w:pPr>
            <w:r w:rsidRPr="0009282C">
              <w:rPr>
                <w:rFonts w:ascii="Arial Narrow" w:hAnsi="Arial Narrow"/>
                <w:b/>
                <w:bCs/>
                <w:sz w:val="20"/>
                <w:szCs w:val="20"/>
              </w:rPr>
              <w:t>MEDICINAL PRODUCT</w:t>
            </w:r>
          </w:p>
          <w:p w14:paraId="052A9875" w14:textId="77777777" w:rsidR="00D37011" w:rsidRPr="0009282C" w:rsidRDefault="00D37011" w:rsidP="004B10D4">
            <w:pPr>
              <w:keepNext/>
              <w:keepLines/>
              <w:rPr>
                <w:rFonts w:ascii="Arial Narrow" w:hAnsi="Arial Narrow"/>
                <w:b/>
                <w:sz w:val="20"/>
                <w:szCs w:val="20"/>
              </w:rPr>
            </w:pPr>
            <w:r w:rsidRPr="0009282C">
              <w:rPr>
                <w:rFonts w:ascii="Arial Narrow" w:hAnsi="Arial Narrow"/>
                <w:b/>
                <w:bCs/>
                <w:sz w:val="20"/>
                <w:szCs w:val="20"/>
              </w:rPr>
              <w:t>medicinal product pack</w:t>
            </w:r>
          </w:p>
        </w:tc>
        <w:tc>
          <w:tcPr>
            <w:tcW w:w="814" w:type="dxa"/>
            <w:vAlign w:val="center"/>
          </w:tcPr>
          <w:p w14:paraId="4E2771A8" w14:textId="77777777" w:rsidR="00D37011" w:rsidRPr="0009282C" w:rsidRDefault="00D37011" w:rsidP="004B10D4">
            <w:pPr>
              <w:keepNext/>
              <w:keepLines/>
              <w:jc w:val="center"/>
              <w:rPr>
                <w:rFonts w:ascii="Arial Narrow" w:hAnsi="Arial Narrow"/>
                <w:b/>
                <w:sz w:val="20"/>
                <w:szCs w:val="20"/>
              </w:rPr>
            </w:pPr>
            <w:r w:rsidRPr="0009282C">
              <w:rPr>
                <w:rFonts w:ascii="Arial Narrow" w:hAnsi="Arial Narrow"/>
                <w:b/>
                <w:sz w:val="20"/>
                <w:szCs w:val="20"/>
              </w:rPr>
              <w:t>PBS item code</w:t>
            </w:r>
          </w:p>
        </w:tc>
        <w:tc>
          <w:tcPr>
            <w:tcW w:w="815" w:type="dxa"/>
            <w:vAlign w:val="center"/>
          </w:tcPr>
          <w:p w14:paraId="5A4019DD" w14:textId="77777777" w:rsidR="00D37011" w:rsidRPr="0009282C" w:rsidRDefault="00D37011" w:rsidP="004B10D4">
            <w:pPr>
              <w:keepNext/>
              <w:keepLines/>
              <w:jc w:val="center"/>
              <w:rPr>
                <w:rFonts w:ascii="Arial Narrow" w:hAnsi="Arial Narrow"/>
                <w:b/>
                <w:sz w:val="20"/>
                <w:szCs w:val="20"/>
              </w:rPr>
            </w:pPr>
            <w:r w:rsidRPr="0009282C">
              <w:rPr>
                <w:rFonts w:ascii="Arial Narrow" w:hAnsi="Arial Narrow"/>
                <w:b/>
                <w:sz w:val="20"/>
                <w:szCs w:val="20"/>
              </w:rPr>
              <w:t>Max. qty packs</w:t>
            </w:r>
          </w:p>
        </w:tc>
        <w:tc>
          <w:tcPr>
            <w:tcW w:w="814" w:type="dxa"/>
            <w:vAlign w:val="center"/>
          </w:tcPr>
          <w:p w14:paraId="682D1956" w14:textId="77777777" w:rsidR="00D37011" w:rsidRPr="0009282C" w:rsidRDefault="00D37011" w:rsidP="004B10D4">
            <w:pPr>
              <w:keepNext/>
              <w:keepLines/>
              <w:jc w:val="center"/>
              <w:rPr>
                <w:rFonts w:ascii="Arial Narrow" w:hAnsi="Arial Narrow"/>
                <w:b/>
                <w:sz w:val="20"/>
                <w:szCs w:val="20"/>
              </w:rPr>
            </w:pPr>
            <w:r w:rsidRPr="0009282C">
              <w:rPr>
                <w:rFonts w:ascii="Arial Narrow" w:hAnsi="Arial Narrow"/>
                <w:b/>
                <w:sz w:val="20"/>
                <w:szCs w:val="20"/>
              </w:rPr>
              <w:t>Max. qty units</w:t>
            </w:r>
          </w:p>
        </w:tc>
        <w:tc>
          <w:tcPr>
            <w:tcW w:w="815" w:type="dxa"/>
            <w:vAlign w:val="center"/>
          </w:tcPr>
          <w:p w14:paraId="2531E138" w14:textId="77777777" w:rsidR="00D37011" w:rsidRPr="0009282C" w:rsidRDefault="00D37011" w:rsidP="004B10D4">
            <w:pPr>
              <w:keepNext/>
              <w:keepLines/>
              <w:jc w:val="center"/>
              <w:rPr>
                <w:rFonts w:ascii="Arial Narrow" w:hAnsi="Arial Narrow"/>
                <w:b/>
                <w:sz w:val="20"/>
                <w:szCs w:val="20"/>
              </w:rPr>
            </w:pPr>
            <w:r w:rsidRPr="0009282C">
              <w:rPr>
                <w:rFonts w:ascii="Arial Narrow" w:hAnsi="Arial Narrow"/>
                <w:b/>
                <w:sz w:val="20"/>
                <w:szCs w:val="20"/>
              </w:rPr>
              <w:t>№.of</w:t>
            </w:r>
          </w:p>
          <w:p w14:paraId="0599E72E" w14:textId="77777777" w:rsidR="00D37011" w:rsidRPr="0009282C" w:rsidRDefault="00D37011" w:rsidP="004B10D4">
            <w:pPr>
              <w:keepNext/>
              <w:keepLines/>
              <w:jc w:val="center"/>
              <w:rPr>
                <w:rFonts w:ascii="Arial Narrow" w:hAnsi="Arial Narrow"/>
                <w:b/>
                <w:sz w:val="20"/>
                <w:szCs w:val="20"/>
              </w:rPr>
            </w:pPr>
            <w:r w:rsidRPr="0009282C">
              <w:rPr>
                <w:rFonts w:ascii="Arial Narrow" w:hAnsi="Arial Narrow"/>
                <w:b/>
                <w:sz w:val="20"/>
                <w:szCs w:val="20"/>
              </w:rPr>
              <w:t>Rpts</w:t>
            </w:r>
          </w:p>
        </w:tc>
        <w:tc>
          <w:tcPr>
            <w:tcW w:w="1830" w:type="dxa"/>
            <w:vAlign w:val="center"/>
          </w:tcPr>
          <w:p w14:paraId="7C468E46" w14:textId="77777777" w:rsidR="00D37011" w:rsidRPr="0009282C" w:rsidRDefault="00D37011" w:rsidP="004B10D4">
            <w:pPr>
              <w:keepNext/>
              <w:keepLines/>
              <w:rPr>
                <w:rFonts w:ascii="Arial Narrow" w:hAnsi="Arial Narrow"/>
                <w:b/>
                <w:sz w:val="20"/>
                <w:szCs w:val="20"/>
              </w:rPr>
            </w:pPr>
            <w:r w:rsidRPr="0009282C">
              <w:rPr>
                <w:rFonts w:ascii="Arial Narrow" w:hAnsi="Arial Narrow"/>
                <w:b/>
                <w:sz w:val="20"/>
                <w:szCs w:val="20"/>
              </w:rPr>
              <w:t>Available brands</w:t>
            </w:r>
          </w:p>
        </w:tc>
      </w:tr>
      <w:tr w:rsidR="00D37011" w:rsidRPr="0009282C" w14:paraId="22BF694A" w14:textId="77777777" w:rsidTr="004232E4">
        <w:trPr>
          <w:cantSplit/>
          <w:trHeight w:val="20"/>
        </w:trPr>
        <w:tc>
          <w:tcPr>
            <w:tcW w:w="9017" w:type="dxa"/>
            <w:gridSpan w:val="7"/>
            <w:vAlign w:val="center"/>
          </w:tcPr>
          <w:p w14:paraId="09913588" w14:textId="77777777" w:rsidR="00D37011" w:rsidRPr="0009282C" w:rsidRDefault="00D37011" w:rsidP="004B10D4">
            <w:pPr>
              <w:keepNext/>
              <w:keepLines/>
              <w:rPr>
                <w:rFonts w:ascii="Arial Narrow" w:hAnsi="Arial Narrow"/>
                <w:sz w:val="20"/>
                <w:szCs w:val="20"/>
              </w:rPr>
            </w:pPr>
            <w:r w:rsidRPr="0009282C">
              <w:rPr>
                <w:rFonts w:ascii="Arial Narrow" w:hAnsi="Arial Narrow"/>
                <w:sz w:val="20"/>
                <w:szCs w:val="20"/>
              </w:rPr>
              <w:t>LUMASIRAN</w:t>
            </w:r>
          </w:p>
        </w:tc>
      </w:tr>
      <w:tr w:rsidR="00D37011" w:rsidRPr="0009282C" w14:paraId="564B3A3B" w14:textId="77777777" w:rsidTr="004232E4">
        <w:trPr>
          <w:cantSplit/>
          <w:trHeight w:val="20"/>
        </w:trPr>
        <w:tc>
          <w:tcPr>
            <w:tcW w:w="3929" w:type="dxa"/>
            <w:gridSpan w:val="2"/>
            <w:vAlign w:val="center"/>
          </w:tcPr>
          <w:p w14:paraId="24370F48" w14:textId="1BC1882C" w:rsidR="00D37011" w:rsidRPr="0009282C" w:rsidRDefault="00D37011">
            <w:pPr>
              <w:keepLines/>
              <w:rPr>
                <w:rFonts w:ascii="Arial Narrow" w:hAnsi="Arial Narrow"/>
                <w:sz w:val="20"/>
                <w:szCs w:val="20"/>
              </w:rPr>
            </w:pPr>
            <w:proofErr w:type="spellStart"/>
            <w:r w:rsidRPr="0009282C">
              <w:rPr>
                <w:rFonts w:ascii="Arial Narrow" w:hAnsi="Arial Narrow"/>
                <w:sz w:val="20"/>
                <w:szCs w:val="20"/>
              </w:rPr>
              <w:t>lumasiran</w:t>
            </w:r>
            <w:proofErr w:type="spellEnd"/>
            <w:r w:rsidRPr="0009282C">
              <w:rPr>
                <w:rFonts w:ascii="Arial Narrow" w:hAnsi="Arial Narrow"/>
                <w:sz w:val="20"/>
                <w:szCs w:val="20"/>
              </w:rPr>
              <w:t xml:space="preserve"> 94.5 mg/0.5 mL injection, 0.5 mL vial</w:t>
            </w:r>
          </w:p>
        </w:tc>
        <w:tc>
          <w:tcPr>
            <w:tcW w:w="814" w:type="dxa"/>
            <w:vAlign w:val="center"/>
          </w:tcPr>
          <w:p w14:paraId="6F51F700"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NEW</w:t>
            </w:r>
          </w:p>
        </w:tc>
        <w:tc>
          <w:tcPr>
            <w:tcW w:w="815" w:type="dxa"/>
            <w:vAlign w:val="center"/>
          </w:tcPr>
          <w:p w14:paraId="367D9D88"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5</w:t>
            </w:r>
          </w:p>
        </w:tc>
        <w:tc>
          <w:tcPr>
            <w:tcW w:w="814" w:type="dxa"/>
            <w:vAlign w:val="center"/>
          </w:tcPr>
          <w:p w14:paraId="0C113EDB"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5</w:t>
            </w:r>
          </w:p>
        </w:tc>
        <w:tc>
          <w:tcPr>
            <w:tcW w:w="815" w:type="dxa"/>
            <w:vAlign w:val="center"/>
          </w:tcPr>
          <w:p w14:paraId="0CA4FFE0" w14:textId="77777777" w:rsidR="00D37011" w:rsidRPr="0009282C" w:rsidRDefault="00D37011">
            <w:pPr>
              <w:keepLines/>
              <w:jc w:val="center"/>
              <w:rPr>
                <w:rFonts w:ascii="Arial Narrow" w:hAnsi="Arial Narrow"/>
                <w:sz w:val="20"/>
                <w:szCs w:val="20"/>
              </w:rPr>
            </w:pPr>
            <w:r w:rsidRPr="0009282C">
              <w:rPr>
                <w:rFonts w:ascii="Arial Narrow" w:hAnsi="Arial Narrow"/>
                <w:sz w:val="20"/>
                <w:szCs w:val="20"/>
              </w:rPr>
              <w:t>1</w:t>
            </w:r>
          </w:p>
        </w:tc>
        <w:tc>
          <w:tcPr>
            <w:tcW w:w="1830" w:type="dxa"/>
            <w:vAlign w:val="center"/>
          </w:tcPr>
          <w:p w14:paraId="30F8DD36" w14:textId="77777777" w:rsidR="00D37011" w:rsidRPr="0009282C" w:rsidRDefault="00D37011">
            <w:pPr>
              <w:keepLines/>
              <w:rPr>
                <w:rFonts w:ascii="Arial Narrow" w:hAnsi="Arial Narrow"/>
                <w:sz w:val="20"/>
                <w:szCs w:val="20"/>
              </w:rPr>
            </w:pPr>
            <w:proofErr w:type="spellStart"/>
            <w:r w:rsidRPr="0009282C">
              <w:rPr>
                <w:rFonts w:ascii="Arial Narrow" w:hAnsi="Arial Narrow"/>
                <w:sz w:val="20"/>
                <w:szCs w:val="20"/>
              </w:rPr>
              <w:t>Oxlumo</w:t>
            </w:r>
            <w:proofErr w:type="spellEnd"/>
          </w:p>
        </w:tc>
      </w:tr>
      <w:tr w:rsidR="00D37011" w:rsidRPr="0009282C" w14:paraId="3C859611" w14:textId="77777777" w:rsidTr="004232E4">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1F05CC91" w14:textId="77777777" w:rsidR="00D37011" w:rsidRPr="0009282C" w:rsidRDefault="00D37011">
            <w:pPr>
              <w:rPr>
                <w:rFonts w:ascii="Arial Narrow" w:hAnsi="Arial Narrow"/>
                <w:sz w:val="20"/>
                <w:szCs w:val="20"/>
              </w:rPr>
            </w:pPr>
          </w:p>
        </w:tc>
      </w:tr>
      <w:tr w:rsidR="00D37011" w:rsidRPr="0009282C" w14:paraId="4581951C" w14:textId="77777777" w:rsidTr="004232E4">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BDAD746" w14:textId="5FD45519"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Restriction Summary / Treatment of Concept: </w:t>
            </w:r>
          </w:p>
        </w:tc>
      </w:tr>
      <w:tr w:rsidR="00D37011" w:rsidRPr="0009282C" w14:paraId="3B770D3C" w14:textId="77777777" w:rsidTr="004232E4">
        <w:tblPrEx>
          <w:tblCellMar>
            <w:top w:w="15" w:type="dxa"/>
            <w:bottom w:w="15" w:type="dxa"/>
          </w:tblCellMar>
          <w:tblLook w:val="04A0" w:firstRow="1" w:lastRow="0" w:firstColumn="1" w:lastColumn="0" w:noHBand="0" w:noVBand="1"/>
        </w:tblPrEx>
        <w:trPr>
          <w:trHeight w:val="20"/>
        </w:trPr>
        <w:tc>
          <w:tcPr>
            <w:tcW w:w="1273" w:type="dxa"/>
            <w:vMerge w:val="restart"/>
            <w:tcBorders>
              <w:top w:val="single" w:sz="4" w:space="0" w:color="auto"/>
              <w:left w:val="single" w:sz="4" w:space="0" w:color="auto"/>
              <w:right w:val="single" w:sz="4" w:space="0" w:color="auto"/>
            </w:tcBorders>
          </w:tcPr>
          <w:p w14:paraId="1742369B" w14:textId="528FA0C9" w:rsidR="00D37011" w:rsidRPr="0009282C" w:rsidRDefault="00D37011">
            <w:pPr>
              <w:jc w:val="center"/>
              <w:rPr>
                <w:rFonts w:ascii="Arial Narrow" w:hAnsi="Arial Narrow"/>
                <w:b/>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62358D35" w14:textId="77777777" w:rsidR="00D37011" w:rsidRPr="0009282C" w:rsidRDefault="00D37011">
            <w:pPr>
              <w:keepLines/>
              <w:rPr>
                <w:rFonts w:ascii="Arial Narrow" w:hAnsi="Arial Narrow"/>
                <w:sz w:val="20"/>
                <w:szCs w:val="20"/>
              </w:rPr>
            </w:pPr>
            <w:r w:rsidRPr="0009282C">
              <w:rPr>
                <w:rFonts w:ascii="Arial Narrow" w:hAnsi="Arial Narrow"/>
                <w:b/>
                <w:sz w:val="20"/>
                <w:szCs w:val="20"/>
              </w:rPr>
              <w:t>Category / Program:</w:t>
            </w:r>
            <w:r w:rsidRPr="0009282C">
              <w:rPr>
                <w:rFonts w:ascii="Arial Narrow" w:hAnsi="Arial Narrow"/>
                <w:sz w:val="20"/>
                <w:szCs w:val="20"/>
              </w:rPr>
              <w:t xml:space="preserve"> </w:t>
            </w:r>
            <w:r w:rsidRPr="0009282C">
              <w:rPr>
                <w:rFonts w:ascii="Arial Narrow" w:eastAsia="Calibri" w:hAnsi="Arial Narrow"/>
                <w:sz w:val="20"/>
                <w:szCs w:val="20"/>
              </w:rPr>
              <w:fldChar w:fldCharType="begin" w:fldLock="1">
                <w:ffData>
                  <w:name w:val="Check1"/>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GENERAL - General Schedule (Code GE)</w:t>
            </w:r>
          </w:p>
        </w:tc>
      </w:tr>
      <w:tr w:rsidR="00D37011" w:rsidRPr="0009282C" w14:paraId="0CD948CF" w14:textId="77777777" w:rsidTr="004232E4">
        <w:tblPrEx>
          <w:tblCellMar>
            <w:top w:w="15" w:type="dxa"/>
            <w:bottom w:w="15" w:type="dxa"/>
          </w:tblCellMar>
          <w:tblLook w:val="04A0" w:firstRow="1" w:lastRow="0" w:firstColumn="1" w:lastColumn="0" w:noHBand="0" w:noVBand="1"/>
        </w:tblPrEx>
        <w:trPr>
          <w:trHeight w:val="20"/>
        </w:trPr>
        <w:tc>
          <w:tcPr>
            <w:tcW w:w="1273" w:type="dxa"/>
            <w:vMerge/>
            <w:tcBorders>
              <w:left w:val="single" w:sz="4" w:space="0" w:color="auto"/>
              <w:right w:val="single" w:sz="4" w:space="0" w:color="auto"/>
            </w:tcBorders>
          </w:tcPr>
          <w:p w14:paraId="61438E9C"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77C2F260" w14:textId="19A8E419"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Prescriber type: </w:t>
            </w:r>
            <w:r w:rsidRPr="0009282C">
              <w:rPr>
                <w:rFonts w:ascii="Arial Narrow" w:hAnsi="Arial Narrow"/>
                <w:sz w:val="20"/>
                <w:szCs w:val="20"/>
              </w:rPr>
              <w:fldChar w:fldCharType="begin" w:fldLock="1">
                <w:ffData>
                  <w:name w:val=""/>
                  <w:enabled/>
                  <w:calcOnExit w:val="0"/>
                  <w:checkBox>
                    <w:sizeAuto/>
                    <w:default w:val="1"/>
                  </w:checkBox>
                </w:ffData>
              </w:fldChar>
            </w:r>
            <w:r w:rsidRPr="0009282C">
              <w:rPr>
                <w:rFonts w:ascii="Arial Narrow" w:hAnsi="Arial Narrow"/>
                <w:sz w:val="20"/>
                <w:szCs w:val="20"/>
              </w:rPr>
              <w:instrText xml:space="preserve"> FORMCHECKBOX </w:instrText>
            </w:r>
            <w:r w:rsidRPr="0009282C">
              <w:rPr>
                <w:rFonts w:ascii="Arial Narrow" w:hAnsi="Arial Narrow"/>
                <w:sz w:val="20"/>
                <w:szCs w:val="20"/>
              </w:rPr>
            </w:r>
            <w:r w:rsidRPr="0009282C">
              <w:rPr>
                <w:rFonts w:ascii="Arial Narrow" w:hAnsi="Arial Narrow"/>
                <w:sz w:val="20"/>
                <w:szCs w:val="20"/>
              </w:rPr>
              <w:fldChar w:fldCharType="separate"/>
            </w:r>
            <w:r w:rsidRPr="0009282C">
              <w:rPr>
                <w:rFonts w:ascii="Arial Narrow" w:hAnsi="Arial Narrow"/>
                <w:sz w:val="20"/>
                <w:szCs w:val="20"/>
              </w:rPr>
              <w:fldChar w:fldCharType="end"/>
            </w:r>
            <w:r w:rsidRPr="0009282C">
              <w:rPr>
                <w:rFonts w:ascii="Arial Narrow" w:hAnsi="Arial Narrow"/>
                <w:sz w:val="20"/>
                <w:szCs w:val="20"/>
              </w:rPr>
              <w:t>Medical Practitioners</w:t>
            </w:r>
            <w:r w:rsidR="006E1944">
              <w:rPr>
                <w:rFonts w:ascii="Arial Narrow" w:hAnsi="Arial Narrow"/>
                <w:sz w:val="20"/>
                <w:szCs w:val="20"/>
              </w:rPr>
              <w:t xml:space="preserve">  </w:t>
            </w:r>
            <w:r w:rsidR="00CE1B8F" w:rsidRPr="0009282C">
              <w:rPr>
                <w:rFonts w:ascii="Arial Narrow" w:hAnsi="Arial Narrow"/>
                <w:sz w:val="20"/>
                <w:szCs w:val="20"/>
              </w:rPr>
              <w:fldChar w:fldCharType="begin" w:fldLock="1">
                <w:ffData>
                  <w:name w:val=""/>
                  <w:enabled/>
                  <w:calcOnExit w:val="0"/>
                  <w:checkBox>
                    <w:sizeAuto/>
                    <w:default w:val="1"/>
                  </w:checkBox>
                </w:ffData>
              </w:fldChar>
            </w:r>
            <w:r w:rsidR="00CE1B8F" w:rsidRPr="0009282C">
              <w:rPr>
                <w:rFonts w:ascii="Arial Narrow" w:hAnsi="Arial Narrow"/>
                <w:sz w:val="20"/>
                <w:szCs w:val="20"/>
              </w:rPr>
              <w:instrText xml:space="preserve"> FORMCHECKBOX </w:instrText>
            </w:r>
            <w:r w:rsidR="00CE1B8F" w:rsidRPr="0009282C">
              <w:rPr>
                <w:rFonts w:ascii="Arial Narrow" w:hAnsi="Arial Narrow"/>
                <w:sz w:val="20"/>
                <w:szCs w:val="20"/>
              </w:rPr>
            </w:r>
            <w:r w:rsidR="00CE1B8F" w:rsidRPr="0009282C">
              <w:rPr>
                <w:rFonts w:ascii="Arial Narrow" w:hAnsi="Arial Narrow"/>
                <w:sz w:val="20"/>
                <w:szCs w:val="20"/>
              </w:rPr>
              <w:fldChar w:fldCharType="separate"/>
            </w:r>
            <w:r w:rsidR="00CE1B8F" w:rsidRPr="0009282C">
              <w:rPr>
                <w:rFonts w:ascii="Arial Narrow" w:hAnsi="Arial Narrow"/>
                <w:sz w:val="20"/>
                <w:szCs w:val="20"/>
              </w:rPr>
              <w:fldChar w:fldCharType="end"/>
            </w:r>
            <w:r w:rsidR="00CE1B8F">
              <w:rPr>
                <w:rFonts w:ascii="Arial Narrow" w:hAnsi="Arial Narrow"/>
                <w:sz w:val="20"/>
                <w:szCs w:val="20"/>
              </w:rPr>
              <w:t xml:space="preserve"> Nurse p</w:t>
            </w:r>
            <w:r w:rsidR="00CE1B8F" w:rsidRPr="0009282C">
              <w:rPr>
                <w:rFonts w:ascii="Arial Narrow" w:hAnsi="Arial Narrow"/>
                <w:sz w:val="20"/>
                <w:szCs w:val="20"/>
              </w:rPr>
              <w:t>ractitioners</w:t>
            </w:r>
            <w:r w:rsidR="00CE1B8F">
              <w:rPr>
                <w:rFonts w:ascii="Arial Narrow" w:hAnsi="Arial Narrow"/>
                <w:sz w:val="20"/>
                <w:szCs w:val="20"/>
              </w:rPr>
              <w:t xml:space="preserve">  </w:t>
            </w:r>
          </w:p>
        </w:tc>
      </w:tr>
      <w:tr w:rsidR="00D37011" w:rsidRPr="0009282C" w14:paraId="72AE5536" w14:textId="77777777" w:rsidTr="004232E4">
        <w:tblPrEx>
          <w:tblCellMar>
            <w:top w:w="15" w:type="dxa"/>
            <w:bottom w:w="15" w:type="dxa"/>
          </w:tblCellMar>
          <w:tblLook w:val="04A0" w:firstRow="1" w:lastRow="0" w:firstColumn="1" w:lastColumn="0" w:noHBand="0" w:noVBand="1"/>
        </w:tblPrEx>
        <w:trPr>
          <w:trHeight w:val="20"/>
        </w:trPr>
        <w:tc>
          <w:tcPr>
            <w:tcW w:w="1273" w:type="dxa"/>
            <w:vMerge/>
            <w:tcBorders>
              <w:left w:val="single" w:sz="4" w:space="0" w:color="auto"/>
              <w:right w:val="single" w:sz="4" w:space="0" w:color="auto"/>
            </w:tcBorders>
          </w:tcPr>
          <w:p w14:paraId="06CAF176"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329E018D" w14:textId="77777777" w:rsidR="00D37011" w:rsidRPr="0009282C" w:rsidRDefault="00D37011">
            <w:pPr>
              <w:keepLines/>
              <w:rPr>
                <w:rFonts w:ascii="Arial Narrow" w:hAnsi="Arial Narrow"/>
                <w:b/>
                <w:sz w:val="20"/>
                <w:szCs w:val="20"/>
              </w:rPr>
            </w:pPr>
            <w:r w:rsidRPr="0009282C">
              <w:rPr>
                <w:rFonts w:ascii="Arial Narrow" w:hAnsi="Arial Narrow"/>
                <w:b/>
                <w:sz w:val="20"/>
                <w:szCs w:val="20"/>
              </w:rPr>
              <w:t xml:space="preserve">Restriction type: </w:t>
            </w:r>
            <w:r w:rsidRPr="0009282C">
              <w:rPr>
                <w:rFonts w:ascii="Arial Narrow" w:eastAsia="Calibri" w:hAnsi="Arial Narrow"/>
                <w:sz w:val="20"/>
                <w:szCs w:val="20"/>
              </w:rPr>
              <w:fldChar w:fldCharType="begin" w:fldLock="1">
                <w:ffData>
                  <w:name w:val="Check3"/>
                  <w:enabled/>
                  <w:calcOnExit w:val="0"/>
                  <w:checkBox>
                    <w:sizeAuto/>
                    <w:default w:val="1"/>
                  </w:checkBox>
                </w:ffData>
              </w:fldChar>
            </w:r>
            <w:bookmarkStart w:id="97" w:name="Check3"/>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bookmarkEnd w:id="97"/>
            <w:r w:rsidRPr="0009282C">
              <w:rPr>
                <w:rFonts w:ascii="Arial Narrow" w:eastAsia="Calibri" w:hAnsi="Arial Narrow"/>
                <w:sz w:val="20"/>
                <w:szCs w:val="20"/>
              </w:rPr>
              <w:t xml:space="preserve">Authority Required- immediate assessment (Written/online PBS Authorities system) </w:t>
            </w:r>
          </w:p>
        </w:tc>
      </w:tr>
      <w:tr w:rsidR="00D37011" w:rsidRPr="0009282C" w14:paraId="203D8C36" w14:textId="77777777" w:rsidTr="004232E4">
        <w:tblPrEx>
          <w:tblCellMar>
            <w:top w:w="15" w:type="dxa"/>
            <w:bottom w:w="15" w:type="dxa"/>
          </w:tblCellMar>
          <w:tblLook w:val="04A0" w:firstRow="1" w:lastRow="0" w:firstColumn="1" w:lastColumn="0" w:noHBand="0" w:noVBand="1"/>
        </w:tblPrEx>
        <w:trPr>
          <w:trHeight w:val="20"/>
        </w:trPr>
        <w:tc>
          <w:tcPr>
            <w:tcW w:w="1273" w:type="dxa"/>
            <w:vMerge/>
            <w:tcBorders>
              <w:left w:val="single" w:sz="4" w:space="0" w:color="auto"/>
              <w:bottom w:val="single" w:sz="4" w:space="0" w:color="auto"/>
              <w:right w:val="single" w:sz="4" w:space="0" w:color="auto"/>
            </w:tcBorders>
          </w:tcPr>
          <w:p w14:paraId="2507F467" w14:textId="77777777" w:rsidR="00D37011" w:rsidRPr="0009282C" w:rsidRDefault="00D37011">
            <w:pPr>
              <w:rPr>
                <w:rFonts w:ascii="Arial Narrow" w:hAnsi="Arial Narrow"/>
                <w:sz w:val="20"/>
                <w:szCs w:val="20"/>
              </w:rPr>
            </w:pPr>
          </w:p>
        </w:tc>
        <w:tc>
          <w:tcPr>
            <w:tcW w:w="7744" w:type="dxa"/>
            <w:gridSpan w:val="6"/>
            <w:tcBorders>
              <w:top w:val="single" w:sz="4" w:space="0" w:color="auto"/>
              <w:left w:val="single" w:sz="4" w:space="0" w:color="auto"/>
              <w:bottom w:val="single" w:sz="4" w:space="0" w:color="auto"/>
              <w:right w:val="single" w:sz="4" w:space="0" w:color="auto"/>
            </w:tcBorders>
            <w:vAlign w:val="center"/>
          </w:tcPr>
          <w:p w14:paraId="3D37C997" w14:textId="77777777" w:rsidR="00D37011" w:rsidRPr="0009282C" w:rsidRDefault="00D37011">
            <w:pPr>
              <w:keepLines/>
              <w:rPr>
                <w:rFonts w:ascii="Arial Narrow" w:hAnsi="Arial Narrow"/>
                <w:b/>
                <w:sz w:val="20"/>
                <w:szCs w:val="20"/>
              </w:rPr>
            </w:pPr>
            <w:r w:rsidRPr="0009282C">
              <w:rPr>
                <w:rFonts w:ascii="Arial Narrow" w:hAnsi="Arial Narrow"/>
                <w:b/>
                <w:sz w:val="20"/>
                <w:szCs w:val="20"/>
              </w:rPr>
              <w:t>Authority type:</w:t>
            </w:r>
            <w:r w:rsidRPr="0009282C">
              <w:rPr>
                <w:rFonts w:ascii="Arial Narrow" w:eastAsia="Calibri" w:hAnsi="Arial Narrow"/>
                <w:sz w:val="20"/>
                <w:szCs w:val="20"/>
              </w:rPr>
              <w:fldChar w:fldCharType="begin" w:fldLock="1">
                <w:ffData>
                  <w:name w:val=""/>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Complex Authority Required (CAR)</w:t>
            </w:r>
          </w:p>
        </w:tc>
      </w:tr>
      <w:tr w:rsidR="00D37011" w:rsidRPr="0009282C" w14:paraId="41A21BF0"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restart"/>
            <w:vAlign w:val="center"/>
          </w:tcPr>
          <w:p w14:paraId="7438ABBC"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3D214D5F" w14:textId="77777777" w:rsidR="00D37011" w:rsidRPr="0009282C" w:rsidRDefault="00D37011">
            <w:pPr>
              <w:keepLines/>
              <w:rPr>
                <w:rFonts w:ascii="Arial Narrow" w:eastAsia="Times New Roman" w:hAnsi="Arial Narrow"/>
                <w:bCs/>
                <w:sz w:val="20"/>
                <w:szCs w:val="20"/>
              </w:rPr>
            </w:pPr>
            <w:proofErr w:type="spellStart"/>
            <w:r w:rsidRPr="0009282C">
              <w:rPr>
                <w:rFonts w:ascii="Arial Narrow" w:eastAsia="Times New Roman" w:hAnsi="Arial Narrow"/>
                <w:b/>
                <w:bCs/>
                <w:sz w:val="20"/>
                <w:szCs w:val="20"/>
              </w:rPr>
              <w:t>Episodicity</w:t>
            </w:r>
            <w:proofErr w:type="spellEnd"/>
            <w:r w:rsidRPr="0009282C">
              <w:rPr>
                <w:rFonts w:ascii="Arial Narrow" w:eastAsia="Times New Roman" w:hAnsi="Arial Narrow"/>
                <w:b/>
                <w:bCs/>
                <w:sz w:val="20"/>
                <w:szCs w:val="20"/>
              </w:rPr>
              <w:t xml:space="preserve">: </w:t>
            </w:r>
            <w:r w:rsidRPr="0009282C">
              <w:rPr>
                <w:rFonts w:ascii="Arial Narrow" w:eastAsia="Times New Roman" w:hAnsi="Arial Narrow"/>
                <w:bCs/>
                <w:sz w:val="20"/>
                <w:szCs w:val="20"/>
              </w:rPr>
              <w:t>[blank]</w:t>
            </w:r>
          </w:p>
        </w:tc>
      </w:tr>
      <w:tr w:rsidR="00D37011" w:rsidRPr="0009282C" w14:paraId="43987A6D"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0316ABA5"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17C38A2C" w14:textId="77777777" w:rsidR="00D37011" w:rsidRPr="0009282C" w:rsidRDefault="00D37011">
            <w:pPr>
              <w:keepLines/>
              <w:rPr>
                <w:rFonts w:ascii="Arial Narrow" w:eastAsia="Times New Roman" w:hAnsi="Arial Narrow"/>
                <w:b/>
                <w:bCs/>
                <w:sz w:val="20"/>
                <w:szCs w:val="20"/>
              </w:rPr>
            </w:pPr>
            <w:r w:rsidRPr="0009282C">
              <w:rPr>
                <w:rFonts w:ascii="Arial Narrow" w:eastAsia="Times New Roman" w:hAnsi="Arial Narrow"/>
                <w:b/>
                <w:bCs/>
                <w:sz w:val="20"/>
                <w:szCs w:val="20"/>
              </w:rPr>
              <w:t xml:space="preserve">Severity: </w:t>
            </w:r>
            <w:r w:rsidRPr="0009282C">
              <w:rPr>
                <w:rFonts w:ascii="Arial Narrow" w:eastAsia="Times New Roman" w:hAnsi="Arial Narrow"/>
                <w:bCs/>
                <w:sz w:val="20"/>
                <w:szCs w:val="20"/>
              </w:rPr>
              <w:t>[blank]</w:t>
            </w:r>
          </w:p>
        </w:tc>
      </w:tr>
      <w:tr w:rsidR="00D37011" w:rsidRPr="0009282C" w14:paraId="76F0BE6A"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4B9D7A2B" w14:textId="77777777" w:rsidR="00D37011" w:rsidRPr="0009282C" w:rsidRDefault="00D37011">
            <w:pPr>
              <w:keepLines/>
              <w:jc w:val="center"/>
              <w:rPr>
                <w:rFonts w:ascii="Arial Narrow" w:eastAsia="Times New Roman" w:hAnsi="Arial Narrow"/>
                <w:sz w:val="20"/>
                <w:szCs w:val="20"/>
              </w:rPr>
            </w:pPr>
          </w:p>
        </w:tc>
        <w:tc>
          <w:tcPr>
            <w:tcW w:w="7744" w:type="dxa"/>
            <w:gridSpan w:val="6"/>
            <w:vAlign w:val="center"/>
          </w:tcPr>
          <w:p w14:paraId="7364A3E7" w14:textId="77777777" w:rsidR="00D37011" w:rsidRPr="0009282C" w:rsidRDefault="00D37011">
            <w:pPr>
              <w:keepLines/>
              <w:rPr>
                <w:rFonts w:ascii="Arial Narrow" w:eastAsia="Times New Roman" w:hAnsi="Arial Narrow"/>
                <w:b/>
                <w:bCs/>
                <w:sz w:val="20"/>
                <w:szCs w:val="20"/>
              </w:rPr>
            </w:pPr>
            <w:r w:rsidRPr="0009282C">
              <w:rPr>
                <w:rFonts w:ascii="Arial Narrow" w:eastAsia="Times New Roman" w:hAnsi="Arial Narrow"/>
                <w:b/>
                <w:bCs/>
                <w:sz w:val="20"/>
                <w:szCs w:val="20"/>
              </w:rPr>
              <w:t xml:space="preserve">Condition: </w:t>
            </w:r>
            <w:r w:rsidRPr="0009282C">
              <w:rPr>
                <w:rFonts w:ascii="Arial Narrow" w:eastAsia="Times New Roman" w:hAnsi="Arial Narrow"/>
                <w:bCs/>
                <w:sz w:val="20"/>
                <w:szCs w:val="20"/>
              </w:rPr>
              <w:t xml:space="preserve">Primary hyperoxaluria type 1 </w:t>
            </w:r>
          </w:p>
        </w:tc>
      </w:tr>
      <w:tr w:rsidR="00D37011" w:rsidRPr="0009282C" w14:paraId="049E8FA4" w14:textId="77777777" w:rsidTr="004B10D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CC5DF1F" w14:textId="6B181842" w:rsidR="00D37011" w:rsidRPr="0009282C" w:rsidRDefault="00D37011">
            <w:pPr>
              <w:keepLines/>
              <w:jc w:val="center"/>
              <w:rPr>
                <w:rFonts w:ascii="Arial Narrow" w:eastAsia="Times New Roman" w:hAnsi="Arial Narrow"/>
                <w:sz w:val="20"/>
                <w:szCs w:val="20"/>
              </w:rPr>
            </w:pPr>
          </w:p>
        </w:tc>
        <w:tc>
          <w:tcPr>
            <w:tcW w:w="7744" w:type="dxa"/>
            <w:gridSpan w:val="6"/>
            <w:vAlign w:val="center"/>
            <w:hideMark/>
          </w:tcPr>
          <w:p w14:paraId="1E0D706C" w14:textId="77777777" w:rsidR="00D37011" w:rsidRPr="0009282C" w:rsidRDefault="00D37011">
            <w:pPr>
              <w:keepLines/>
              <w:rPr>
                <w:rFonts w:ascii="Arial Narrow" w:eastAsia="Times New Roman" w:hAnsi="Arial Narrow"/>
                <w:sz w:val="20"/>
                <w:szCs w:val="20"/>
              </w:rPr>
            </w:pPr>
            <w:r w:rsidRPr="0009282C">
              <w:rPr>
                <w:rFonts w:ascii="Arial Narrow" w:eastAsia="Times New Roman" w:hAnsi="Arial Narrow"/>
                <w:b/>
                <w:bCs/>
                <w:sz w:val="20"/>
                <w:szCs w:val="20"/>
              </w:rPr>
              <w:t>Indication:</w:t>
            </w:r>
            <w:r w:rsidRPr="0009282C">
              <w:rPr>
                <w:rFonts w:ascii="Arial Narrow" w:eastAsia="Times New Roman" w:hAnsi="Arial Narrow"/>
                <w:sz w:val="20"/>
                <w:szCs w:val="20"/>
              </w:rPr>
              <w:t xml:space="preserve"> </w:t>
            </w:r>
            <w:r w:rsidRPr="0009282C">
              <w:rPr>
                <w:rFonts w:ascii="Arial Narrow" w:eastAsia="Times New Roman" w:hAnsi="Arial Narrow"/>
                <w:bCs/>
                <w:sz w:val="20"/>
                <w:szCs w:val="20"/>
              </w:rPr>
              <w:t>Primary hyperoxaluria type 1</w:t>
            </w:r>
          </w:p>
        </w:tc>
      </w:tr>
      <w:tr w:rsidR="00D37011" w:rsidRPr="0009282C" w14:paraId="3CAD70D8"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51F94717"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63292641"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Treatment Phase:</w:t>
            </w:r>
            <w:r w:rsidRPr="0009282C">
              <w:rPr>
                <w:rFonts w:ascii="Arial Narrow" w:eastAsia="Times New Roman" w:hAnsi="Arial Narrow"/>
                <w:sz w:val="20"/>
                <w:szCs w:val="20"/>
              </w:rPr>
              <w:t xml:space="preserve"> Continuing treatment</w:t>
            </w:r>
          </w:p>
        </w:tc>
      </w:tr>
      <w:tr w:rsidR="00D37011" w:rsidRPr="0009282C" w14:paraId="00BE75B1"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4CED127"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6D3AB855"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Clinical criteria:</w:t>
            </w:r>
          </w:p>
        </w:tc>
      </w:tr>
      <w:tr w:rsidR="00D37011" w:rsidRPr="0009282C" w14:paraId="34C6538E"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25B5AE7D" w14:textId="166782A2" w:rsidR="00D37011" w:rsidRPr="0009282C" w:rsidRDefault="00D37011">
            <w:pPr>
              <w:jc w:val="center"/>
              <w:rPr>
                <w:rFonts w:ascii="Arial Narrow" w:eastAsia="Times New Roman" w:hAnsi="Arial Narrow"/>
                <w:sz w:val="20"/>
                <w:szCs w:val="20"/>
              </w:rPr>
            </w:pPr>
          </w:p>
        </w:tc>
        <w:tc>
          <w:tcPr>
            <w:tcW w:w="7744" w:type="dxa"/>
            <w:gridSpan w:val="6"/>
            <w:vAlign w:val="center"/>
          </w:tcPr>
          <w:p w14:paraId="45F3CB2D"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Patient must have previously received PBS-subsidised treatment with this drug for this condition</w:t>
            </w:r>
          </w:p>
        </w:tc>
      </w:tr>
      <w:tr w:rsidR="00D37011" w:rsidRPr="0009282C" w14:paraId="45E872A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780346C"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4C67D1CD"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D37011" w:rsidRPr="0009282C" w14:paraId="58BD45E5"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1832798"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1F92AB2B" w14:textId="77777777" w:rsidR="00D37011" w:rsidRPr="0009282C" w:rsidRDefault="00D37011">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D37011" w:rsidRPr="0009282C" w14:paraId="2A0CAB3D"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02F4D26" w14:textId="7408D603" w:rsidR="00D37011" w:rsidRPr="0009282C" w:rsidRDefault="00D37011">
            <w:pPr>
              <w:jc w:val="center"/>
              <w:rPr>
                <w:rFonts w:ascii="Arial Narrow" w:eastAsia="Times New Roman" w:hAnsi="Arial Narrow"/>
                <w:sz w:val="20"/>
                <w:szCs w:val="20"/>
              </w:rPr>
            </w:pPr>
          </w:p>
        </w:tc>
        <w:tc>
          <w:tcPr>
            <w:tcW w:w="7744" w:type="dxa"/>
            <w:gridSpan w:val="6"/>
            <w:vAlign w:val="center"/>
          </w:tcPr>
          <w:p w14:paraId="61AFA2FD"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 xml:space="preserve">Patient must continue to demonstrate clinical benefit as assessed by the treating physician </w:t>
            </w:r>
          </w:p>
        </w:tc>
      </w:tr>
      <w:tr w:rsidR="00D37011" w:rsidRPr="0009282C" w14:paraId="5A92B4D9"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3120925"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25F59CF2"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D37011" w:rsidRPr="0009282C" w14:paraId="06918BCD"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930C6DE"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6F4A0AE9" w14:textId="77777777" w:rsidR="00D37011" w:rsidRPr="0009282C" w:rsidRDefault="00D37011">
            <w:pPr>
              <w:autoSpaceDE w:val="0"/>
              <w:autoSpaceDN w:val="0"/>
              <w:adjustRightInd w:val="0"/>
              <w:rPr>
                <w:rFonts w:ascii="Arial Narrow" w:hAnsi="Arial Narrow" w:cs="Arial Narrow"/>
                <w:sz w:val="20"/>
                <w:szCs w:val="20"/>
              </w:rPr>
            </w:pPr>
            <w:r w:rsidRPr="0009282C">
              <w:rPr>
                <w:rFonts w:ascii="Arial Narrow" w:eastAsia="Times New Roman" w:hAnsi="Arial Narrow"/>
                <w:b/>
                <w:bCs/>
                <w:sz w:val="20"/>
                <w:szCs w:val="20"/>
              </w:rPr>
              <w:t>Clinical criteria:</w:t>
            </w:r>
          </w:p>
        </w:tc>
      </w:tr>
      <w:tr w:rsidR="00D37011" w:rsidRPr="0009282C" w14:paraId="30038AE4"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8ACF464" w14:textId="39DB11E8" w:rsidR="00D37011" w:rsidRPr="0009282C" w:rsidRDefault="00D37011">
            <w:pPr>
              <w:jc w:val="center"/>
              <w:rPr>
                <w:rFonts w:ascii="Arial Narrow" w:eastAsia="Times New Roman" w:hAnsi="Arial Narrow"/>
                <w:sz w:val="20"/>
                <w:szCs w:val="20"/>
              </w:rPr>
            </w:pPr>
          </w:p>
        </w:tc>
        <w:tc>
          <w:tcPr>
            <w:tcW w:w="7744" w:type="dxa"/>
            <w:gridSpan w:val="6"/>
            <w:vAlign w:val="center"/>
          </w:tcPr>
          <w:p w14:paraId="3E286DA8" w14:textId="77777777" w:rsidR="00D37011" w:rsidRPr="0009282C" w:rsidRDefault="00D37011">
            <w:pPr>
              <w:autoSpaceDE w:val="0"/>
              <w:autoSpaceDN w:val="0"/>
              <w:adjustRightInd w:val="0"/>
              <w:rPr>
                <w:rFonts w:ascii="Arial Narrow" w:hAnsi="Arial Narrow" w:cs="Arial Narrow"/>
                <w:sz w:val="20"/>
                <w:szCs w:val="20"/>
              </w:rPr>
            </w:pPr>
            <w:r w:rsidRPr="0009282C">
              <w:rPr>
                <w:rFonts w:ascii="Arial Narrow" w:eastAsia="Times New Roman" w:hAnsi="Arial Narrow"/>
                <w:sz w:val="20"/>
                <w:szCs w:val="20"/>
              </w:rPr>
              <w:t xml:space="preserve">Patient must not have previously undergone liver transplant for primary hyperoxaluria type 1 </w:t>
            </w:r>
          </w:p>
        </w:tc>
      </w:tr>
      <w:tr w:rsidR="00D37011" w:rsidRPr="0009282C" w14:paraId="387ADA2F"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2F423E6"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3B11E494" w14:textId="77777777" w:rsidR="00D37011" w:rsidRPr="0009282C" w:rsidDel="006802C1" w:rsidRDefault="00D37011">
            <w:pPr>
              <w:rPr>
                <w:rFonts w:ascii="Arial Narrow" w:eastAsia="Times New Roman" w:hAnsi="Arial Narrow"/>
                <w:b/>
                <w:bCs/>
                <w:sz w:val="20"/>
                <w:szCs w:val="20"/>
              </w:rPr>
            </w:pPr>
            <w:r w:rsidRPr="0009282C">
              <w:rPr>
                <w:rFonts w:ascii="Arial Narrow" w:eastAsia="Times New Roman" w:hAnsi="Arial Narrow"/>
                <w:b/>
                <w:bCs/>
                <w:sz w:val="20"/>
                <w:szCs w:val="20"/>
              </w:rPr>
              <w:t>AND</w:t>
            </w:r>
          </w:p>
        </w:tc>
      </w:tr>
      <w:tr w:rsidR="00D37011" w:rsidRPr="0009282C" w14:paraId="723BA9C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5C10FD70"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12D78CA7" w14:textId="77777777" w:rsidR="00D37011" w:rsidRPr="0009282C" w:rsidDel="006802C1" w:rsidRDefault="00D37011">
            <w:pPr>
              <w:rPr>
                <w:rFonts w:ascii="Arial Narrow" w:eastAsia="Times New Roman" w:hAnsi="Arial Narrow"/>
                <w:b/>
                <w:bCs/>
                <w:sz w:val="20"/>
                <w:szCs w:val="20"/>
              </w:rPr>
            </w:pPr>
            <w:r w:rsidRPr="0009282C">
              <w:rPr>
                <w:rFonts w:ascii="Arial Narrow" w:eastAsia="Times New Roman" w:hAnsi="Arial Narrow"/>
                <w:b/>
                <w:bCs/>
                <w:sz w:val="20"/>
                <w:szCs w:val="20"/>
              </w:rPr>
              <w:t>Treatment criteria:</w:t>
            </w:r>
          </w:p>
        </w:tc>
      </w:tr>
      <w:tr w:rsidR="00D37011" w:rsidRPr="0009282C" w14:paraId="7B3D2785"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5ECF93A" w14:textId="1C36A8EA" w:rsidR="00D37011" w:rsidRPr="0009282C" w:rsidRDefault="00D37011" w:rsidP="002E2A97">
            <w:pPr>
              <w:jc w:val="center"/>
              <w:rPr>
                <w:rFonts w:ascii="Arial Narrow" w:eastAsia="Times New Roman" w:hAnsi="Arial Narrow"/>
                <w:sz w:val="20"/>
                <w:szCs w:val="20"/>
              </w:rPr>
            </w:pPr>
          </w:p>
        </w:tc>
        <w:tc>
          <w:tcPr>
            <w:tcW w:w="7744" w:type="dxa"/>
            <w:gridSpan w:val="6"/>
            <w:vAlign w:val="center"/>
          </w:tcPr>
          <w:p w14:paraId="1F222048" w14:textId="538C6A91" w:rsidR="00D37011" w:rsidRPr="002E2A97" w:rsidRDefault="00D37011">
            <w:pPr>
              <w:rPr>
                <w:rFonts w:ascii="Arial Narrow" w:hAnsi="Arial Narrow" w:cs="Arial Narrow"/>
                <w:sz w:val="20"/>
                <w:szCs w:val="20"/>
              </w:rPr>
            </w:pPr>
            <w:r w:rsidRPr="0009282C">
              <w:rPr>
                <w:rFonts w:ascii="Arial Narrow" w:hAnsi="Arial Narrow" w:cs="Arial Narrow"/>
                <w:sz w:val="20"/>
                <w:szCs w:val="20"/>
              </w:rPr>
              <w:t xml:space="preserve">Must be treated by a nephrologist with experience in the management of </w:t>
            </w:r>
            <w:r w:rsidRPr="0009282C">
              <w:rPr>
                <w:rFonts w:ascii="Arial Narrow" w:eastAsia="Times New Roman" w:hAnsi="Arial Narrow"/>
                <w:sz w:val="20"/>
                <w:szCs w:val="20"/>
              </w:rPr>
              <w:t xml:space="preserve">hyperoxaluria </w:t>
            </w:r>
            <w:r w:rsidR="00F1446D">
              <w:rPr>
                <w:rFonts w:ascii="Arial Narrow" w:hAnsi="Arial Narrow" w:cs="Arial Narrow"/>
                <w:sz w:val="20"/>
                <w:szCs w:val="20"/>
              </w:rPr>
              <w:t>OR</w:t>
            </w:r>
          </w:p>
        </w:tc>
      </w:tr>
      <w:tr w:rsidR="002E2A97" w:rsidRPr="0009282C" w14:paraId="049BCB0C"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CE84304" w14:textId="77FAE582" w:rsidR="002E2A97" w:rsidRPr="0009282C" w:rsidRDefault="002E2A97" w:rsidP="002E2A97">
            <w:pPr>
              <w:jc w:val="center"/>
              <w:rPr>
                <w:rFonts w:ascii="Arial Narrow" w:eastAsia="Times New Roman" w:hAnsi="Arial Narrow"/>
                <w:sz w:val="20"/>
                <w:szCs w:val="20"/>
              </w:rPr>
            </w:pPr>
          </w:p>
        </w:tc>
        <w:tc>
          <w:tcPr>
            <w:tcW w:w="7744" w:type="dxa"/>
            <w:gridSpan w:val="6"/>
            <w:vAlign w:val="center"/>
          </w:tcPr>
          <w:p w14:paraId="455FBB28" w14:textId="70278E79" w:rsidR="002E2A97" w:rsidRPr="0009282C" w:rsidRDefault="002E2A97">
            <w:pPr>
              <w:rPr>
                <w:rFonts w:ascii="Arial Narrow" w:hAnsi="Arial Narrow" w:cs="Arial Narrow"/>
                <w:sz w:val="20"/>
                <w:szCs w:val="20"/>
              </w:rPr>
            </w:pPr>
            <w:r w:rsidRPr="0009282C">
              <w:rPr>
                <w:rFonts w:ascii="Arial Narrow" w:hAnsi="Arial Narrow" w:cs="Arial Narrow"/>
                <w:sz w:val="20"/>
                <w:szCs w:val="20"/>
              </w:rPr>
              <w:t xml:space="preserve">Must be treated by a </w:t>
            </w:r>
            <w:r>
              <w:rPr>
                <w:rFonts w:ascii="Arial Narrow" w:hAnsi="Arial Narrow" w:cs="Arial Narrow"/>
                <w:sz w:val="20"/>
                <w:szCs w:val="20"/>
              </w:rPr>
              <w:t>paediatrician</w:t>
            </w:r>
            <w:r w:rsidRPr="0009282C">
              <w:rPr>
                <w:rFonts w:ascii="Arial Narrow" w:hAnsi="Arial Narrow" w:cs="Arial Narrow"/>
                <w:sz w:val="20"/>
                <w:szCs w:val="20"/>
              </w:rPr>
              <w:t xml:space="preserve"> with experience in the management of </w:t>
            </w:r>
            <w:r w:rsidRPr="0039216C">
              <w:rPr>
                <w:rFonts w:ascii="Arial Narrow" w:eastAsia="Times New Roman" w:hAnsi="Arial Narrow"/>
                <w:sz w:val="20"/>
                <w:szCs w:val="20"/>
              </w:rPr>
              <w:t>hyperoxaluria O</w:t>
            </w:r>
            <w:r w:rsidRPr="0039216C">
              <w:rPr>
                <w:rFonts w:ascii="Arial Narrow" w:hAnsi="Arial Narrow" w:cs="Arial Narrow"/>
                <w:sz w:val="20"/>
                <w:szCs w:val="20"/>
              </w:rPr>
              <w:t>R</w:t>
            </w:r>
          </w:p>
        </w:tc>
      </w:tr>
      <w:tr w:rsidR="002E2A97" w:rsidRPr="0009282C" w14:paraId="792C5A9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DD18348" w14:textId="6F439785" w:rsidR="002E2A97" w:rsidRPr="0009282C" w:rsidRDefault="002E2A97" w:rsidP="00AD4D59">
            <w:pPr>
              <w:jc w:val="center"/>
              <w:rPr>
                <w:rFonts w:ascii="Arial Narrow" w:eastAsia="Times New Roman" w:hAnsi="Arial Narrow"/>
                <w:sz w:val="20"/>
                <w:szCs w:val="20"/>
              </w:rPr>
            </w:pPr>
          </w:p>
        </w:tc>
        <w:tc>
          <w:tcPr>
            <w:tcW w:w="7744" w:type="dxa"/>
            <w:gridSpan w:val="6"/>
            <w:vAlign w:val="center"/>
          </w:tcPr>
          <w:p w14:paraId="79A63AD8" w14:textId="52ECFB42" w:rsidR="002E2A97" w:rsidRPr="0009282C" w:rsidRDefault="002E2A97">
            <w:pPr>
              <w:rPr>
                <w:rFonts w:ascii="Arial Narrow" w:hAnsi="Arial Narrow" w:cs="Arial Narrow"/>
                <w:sz w:val="20"/>
                <w:szCs w:val="20"/>
              </w:rPr>
            </w:pPr>
            <w:r>
              <w:rPr>
                <w:rFonts w:ascii="Arial Narrow" w:hAnsi="Arial Narrow" w:cs="Arial Narrow"/>
                <w:sz w:val="20"/>
                <w:szCs w:val="20"/>
              </w:rPr>
              <w:t>Must be treated by</w:t>
            </w:r>
            <w:r w:rsidRPr="0009282C" w:rsidDel="00F1446D">
              <w:rPr>
                <w:rFonts w:ascii="Arial Narrow" w:hAnsi="Arial Narrow" w:cs="Arial Narrow"/>
                <w:sz w:val="20"/>
                <w:szCs w:val="20"/>
              </w:rPr>
              <w:t xml:space="preserve"> </w:t>
            </w:r>
            <w:r>
              <w:rPr>
                <w:rFonts w:ascii="Arial Narrow" w:hAnsi="Arial Narrow" w:cs="Arial Narrow"/>
                <w:sz w:val="20"/>
                <w:szCs w:val="20"/>
              </w:rPr>
              <w:t xml:space="preserve">an authorised prescriber </w:t>
            </w:r>
            <w:r w:rsidRPr="0009282C">
              <w:rPr>
                <w:rFonts w:ascii="Arial Narrow" w:hAnsi="Arial Narrow" w:cs="Arial Narrow"/>
                <w:sz w:val="20"/>
                <w:szCs w:val="20"/>
              </w:rPr>
              <w:t xml:space="preserve">in consultation with a nephrologist with </w:t>
            </w:r>
            <w:r>
              <w:rPr>
                <w:rFonts w:ascii="Arial Narrow" w:hAnsi="Arial Narrow" w:cs="Arial Narrow"/>
                <w:sz w:val="20"/>
                <w:szCs w:val="20"/>
              </w:rPr>
              <w:t>one of the above specialty types</w:t>
            </w:r>
          </w:p>
        </w:tc>
      </w:tr>
      <w:tr w:rsidR="00D37011" w:rsidRPr="0009282C" w14:paraId="50E46E5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4221073" w14:textId="0F18CDB8" w:rsidR="00D37011" w:rsidRPr="0009282C" w:rsidRDefault="00D37011">
            <w:pPr>
              <w:jc w:val="center"/>
              <w:rPr>
                <w:rFonts w:ascii="Arial Narrow" w:eastAsia="Times New Roman" w:hAnsi="Arial Narrow"/>
                <w:sz w:val="20"/>
                <w:szCs w:val="20"/>
              </w:rPr>
            </w:pPr>
          </w:p>
        </w:tc>
        <w:tc>
          <w:tcPr>
            <w:tcW w:w="7744" w:type="dxa"/>
            <w:gridSpan w:val="6"/>
            <w:vAlign w:val="center"/>
          </w:tcPr>
          <w:p w14:paraId="59DE04C9"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356A7A59"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At the time of the authority application, prescribers should request the appropriate number of vials based on the patient's weight, as per the TGA approved Product Information. Up to 1 repeat may be requested for continuing treatment.</w:t>
            </w:r>
          </w:p>
        </w:tc>
      </w:tr>
      <w:tr w:rsidR="00D37011" w:rsidRPr="0009282C" w14:paraId="3A4357D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668E5ED" w14:textId="4598BDD2" w:rsidR="00D37011" w:rsidRPr="0009282C" w:rsidRDefault="00D37011">
            <w:pPr>
              <w:jc w:val="center"/>
              <w:rPr>
                <w:rFonts w:ascii="Arial Narrow" w:eastAsia="Times New Roman" w:hAnsi="Arial Narrow"/>
                <w:sz w:val="20"/>
                <w:szCs w:val="20"/>
              </w:rPr>
            </w:pPr>
          </w:p>
        </w:tc>
        <w:tc>
          <w:tcPr>
            <w:tcW w:w="7744" w:type="dxa"/>
            <w:gridSpan w:val="6"/>
            <w:vAlign w:val="center"/>
          </w:tcPr>
          <w:p w14:paraId="6149A065"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609B20BA"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The authority application must be made via the Online PBS Authorities System (real time assessment), or in writing via HPOS form upload or mail.</w:t>
            </w:r>
          </w:p>
        </w:tc>
      </w:tr>
      <w:tr w:rsidR="00D37011" w:rsidRPr="0009282C" w14:paraId="6FA06E64"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48D8588" w14:textId="77777777" w:rsidR="00D37011" w:rsidRPr="0009282C" w:rsidRDefault="00D37011">
            <w:pPr>
              <w:jc w:val="center"/>
              <w:rPr>
                <w:rFonts w:ascii="Arial Narrow" w:eastAsia="Times New Roman" w:hAnsi="Arial Narrow"/>
                <w:sz w:val="20"/>
                <w:szCs w:val="20"/>
              </w:rPr>
            </w:pPr>
          </w:p>
        </w:tc>
        <w:tc>
          <w:tcPr>
            <w:tcW w:w="7744" w:type="dxa"/>
            <w:gridSpan w:val="6"/>
            <w:vAlign w:val="center"/>
          </w:tcPr>
          <w:p w14:paraId="0448959E" w14:textId="77777777" w:rsidR="00D37011" w:rsidRPr="0009282C" w:rsidRDefault="00D37011">
            <w:pPr>
              <w:rPr>
                <w:rFonts w:ascii="Arial Narrow" w:eastAsia="Times New Roman" w:hAnsi="Arial Narrow"/>
                <w:sz w:val="20"/>
                <w:szCs w:val="20"/>
              </w:rPr>
            </w:pPr>
          </w:p>
        </w:tc>
      </w:tr>
      <w:tr w:rsidR="00D37011" w:rsidRPr="0009282C" w14:paraId="04E08DE8"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8B7E1AB" w14:textId="0FB7010D" w:rsidR="00D37011" w:rsidRPr="0009282C" w:rsidRDefault="00D37011">
            <w:pPr>
              <w:jc w:val="center"/>
              <w:rPr>
                <w:rFonts w:ascii="Arial Narrow" w:eastAsia="Times New Roman" w:hAnsi="Arial Narrow"/>
                <w:sz w:val="20"/>
                <w:szCs w:val="20"/>
              </w:rPr>
            </w:pPr>
          </w:p>
        </w:tc>
        <w:tc>
          <w:tcPr>
            <w:tcW w:w="7744" w:type="dxa"/>
            <w:gridSpan w:val="6"/>
            <w:vAlign w:val="center"/>
          </w:tcPr>
          <w:p w14:paraId="41595A54"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1BEB1013"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If the application is submitted through HPOS form upload or mail, it must include:</w:t>
            </w:r>
          </w:p>
          <w:p w14:paraId="23D46E4A"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w:t>
            </w:r>
            <w:proofErr w:type="spellStart"/>
            <w:r w:rsidRPr="0009282C">
              <w:rPr>
                <w:rFonts w:ascii="Arial Narrow" w:eastAsia="Times New Roman" w:hAnsi="Arial Narrow"/>
                <w:sz w:val="20"/>
                <w:szCs w:val="20"/>
              </w:rPr>
              <w:t>i</w:t>
            </w:r>
            <w:proofErr w:type="spellEnd"/>
            <w:r w:rsidRPr="0009282C">
              <w:rPr>
                <w:rFonts w:ascii="Arial Narrow" w:eastAsia="Times New Roman" w:hAnsi="Arial Narrow"/>
                <w:sz w:val="20"/>
                <w:szCs w:val="20"/>
              </w:rPr>
              <w:t>) details of the proposed prescription; and</w:t>
            </w:r>
          </w:p>
          <w:p w14:paraId="2797C801" w14:textId="77777777" w:rsidR="00D37011" w:rsidRPr="0009282C" w:rsidRDefault="00D37011">
            <w:pPr>
              <w:rPr>
                <w:rFonts w:ascii="Arial Narrow" w:eastAsia="Times New Roman" w:hAnsi="Arial Narrow"/>
                <w:sz w:val="20"/>
                <w:szCs w:val="20"/>
              </w:rPr>
            </w:pPr>
            <w:r w:rsidRPr="0009282C">
              <w:rPr>
                <w:rFonts w:ascii="Arial Narrow" w:eastAsia="Times New Roman" w:hAnsi="Arial Narrow"/>
                <w:sz w:val="20"/>
                <w:szCs w:val="20"/>
              </w:rPr>
              <w:t>(ii) a completed authority application form relevant to the indication and treatment phase (the latest version is located on the website specified in the Administrative Advice).</w:t>
            </w:r>
          </w:p>
        </w:tc>
      </w:tr>
      <w:tr w:rsidR="00D37011" w:rsidRPr="0009282C" w14:paraId="7F332D71"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5B0B1F5" w14:textId="7AB00871" w:rsidR="00D37011" w:rsidRPr="0009282C" w:rsidRDefault="00D37011">
            <w:pPr>
              <w:jc w:val="center"/>
              <w:rPr>
                <w:rFonts w:ascii="Arial Narrow" w:eastAsia="Times New Roman" w:hAnsi="Arial Narrow"/>
                <w:sz w:val="20"/>
                <w:szCs w:val="20"/>
              </w:rPr>
            </w:pPr>
          </w:p>
        </w:tc>
        <w:tc>
          <w:tcPr>
            <w:tcW w:w="7744" w:type="dxa"/>
            <w:gridSpan w:val="6"/>
            <w:vAlign w:val="center"/>
          </w:tcPr>
          <w:p w14:paraId="56A7D214" w14:textId="77777777" w:rsidR="00D37011" w:rsidRPr="0009282C" w:rsidRDefault="00D37011">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Special Pricing Arrangements apply.</w:t>
            </w:r>
          </w:p>
        </w:tc>
      </w:tr>
      <w:tr w:rsidR="00D37011" w:rsidRPr="0009282C" w14:paraId="3FFE3F1C"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96342A2" w14:textId="4E40C425" w:rsidR="00D37011" w:rsidRPr="0009282C" w:rsidRDefault="00D37011">
            <w:pPr>
              <w:jc w:val="center"/>
              <w:rPr>
                <w:rFonts w:ascii="Arial Narrow" w:eastAsia="Times New Roman" w:hAnsi="Arial Narrow"/>
                <w:sz w:val="20"/>
                <w:szCs w:val="20"/>
              </w:rPr>
            </w:pPr>
          </w:p>
        </w:tc>
        <w:tc>
          <w:tcPr>
            <w:tcW w:w="7744" w:type="dxa"/>
            <w:gridSpan w:val="6"/>
            <w:vAlign w:val="center"/>
          </w:tcPr>
          <w:p w14:paraId="200020FD" w14:textId="77777777" w:rsidR="00D37011" w:rsidRPr="0009282C" w:rsidRDefault="00D37011">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quantity or number of units may be authorised.</w:t>
            </w:r>
          </w:p>
        </w:tc>
      </w:tr>
      <w:tr w:rsidR="00D37011" w:rsidRPr="0009282C" w14:paraId="3E8DFB33"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7C7EDAA" w14:textId="25B1AB44" w:rsidR="00D37011" w:rsidRPr="0009282C" w:rsidRDefault="00D37011">
            <w:pPr>
              <w:jc w:val="center"/>
              <w:rPr>
                <w:rFonts w:ascii="Arial Narrow" w:eastAsia="Times New Roman" w:hAnsi="Arial Narrow"/>
                <w:sz w:val="20"/>
                <w:szCs w:val="20"/>
              </w:rPr>
            </w:pPr>
          </w:p>
        </w:tc>
        <w:tc>
          <w:tcPr>
            <w:tcW w:w="7744" w:type="dxa"/>
            <w:gridSpan w:val="6"/>
            <w:vAlign w:val="center"/>
          </w:tcPr>
          <w:p w14:paraId="6BF55A16" w14:textId="77777777" w:rsidR="00D37011" w:rsidRPr="0009282C" w:rsidRDefault="00D37011">
            <w:pPr>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number of repeats may be authorised.</w:t>
            </w:r>
          </w:p>
        </w:tc>
      </w:tr>
      <w:tr w:rsidR="00D37011" w:rsidRPr="0009282C" w14:paraId="454AB05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31A245B" w14:textId="77777777" w:rsidR="00D37011" w:rsidRPr="0009282C" w:rsidRDefault="00D37011" w:rsidP="004B10D4">
            <w:pPr>
              <w:jc w:val="center"/>
              <w:rPr>
                <w:rFonts w:ascii="Arial Narrow" w:hAnsi="Arial Narrow"/>
                <w:bCs/>
                <w:sz w:val="20"/>
                <w:szCs w:val="20"/>
              </w:rPr>
            </w:pPr>
          </w:p>
        </w:tc>
        <w:tc>
          <w:tcPr>
            <w:tcW w:w="7744" w:type="dxa"/>
            <w:gridSpan w:val="6"/>
            <w:vAlign w:val="center"/>
          </w:tcPr>
          <w:p w14:paraId="5CF19CF6" w14:textId="77777777" w:rsidR="00D37011" w:rsidRPr="0009282C" w:rsidRDefault="00D37011">
            <w:pPr>
              <w:rPr>
                <w:rFonts w:ascii="Arial Narrow" w:eastAsia="Times New Roman" w:hAnsi="Arial Narrow"/>
                <w:bCs/>
                <w:sz w:val="20"/>
                <w:szCs w:val="20"/>
              </w:rPr>
            </w:pPr>
            <w:r w:rsidRPr="0009282C">
              <w:rPr>
                <w:rFonts w:ascii="Arial Narrow" w:eastAsia="Times New Roman" w:hAnsi="Arial Narrow"/>
                <w:b/>
                <w:bCs/>
                <w:color w:val="333333"/>
                <w:sz w:val="20"/>
                <w:szCs w:val="20"/>
              </w:rPr>
              <w:t xml:space="preserve">Administrative Advice: </w:t>
            </w:r>
          </w:p>
          <w:p w14:paraId="3C1F6468"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Any queries concerning the arrangements to prescribe may be directed to Services Australia on 1800 700 270 (hours of operation 8 a.m. to 5 p.m. Monday to Friday). </w:t>
            </w:r>
          </w:p>
          <w:p w14:paraId="1B5BB7DC"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Prescribing information (including Authority Application forms and other relevant documentation as applicable) is available on the Services Australia website at www.servicesaustralia.gov.au </w:t>
            </w:r>
          </w:p>
          <w:p w14:paraId="28A930BD"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Applications for authorisation under this restriction should be made in real time using the Online PBS Authorities system (see www.servicesaustralia.gov.au/hpos) </w:t>
            </w:r>
          </w:p>
          <w:p w14:paraId="7DBF96E0"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Alternatively, applications for authority to prescribe can be submitted online using the form upload facility in Health Professional Online Services (HPOS) at www.servicesaustralia.gov.au/hpos </w:t>
            </w:r>
          </w:p>
          <w:p w14:paraId="3A0C15DF"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Or mailed to: </w:t>
            </w:r>
          </w:p>
          <w:p w14:paraId="7CAFE7A5"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Services Australia </w:t>
            </w:r>
          </w:p>
          <w:p w14:paraId="0356AAC4"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Complex Drugs </w:t>
            </w:r>
          </w:p>
          <w:p w14:paraId="2EE1E491" w14:textId="77777777" w:rsidR="00D37011" w:rsidRPr="0009282C" w:rsidRDefault="00D37011">
            <w:pPr>
              <w:rPr>
                <w:rFonts w:ascii="Arial Narrow" w:hAnsi="Arial Narrow"/>
                <w:sz w:val="20"/>
                <w:szCs w:val="20"/>
              </w:rPr>
            </w:pPr>
            <w:r w:rsidRPr="0009282C">
              <w:rPr>
                <w:rFonts w:ascii="Arial Narrow" w:hAnsi="Arial Narrow"/>
                <w:sz w:val="20"/>
                <w:szCs w:val="20"/>
              </w:rPr>
              <w:t xml:space="preserve">Reply Paid 9826 </w:t>
            </w:r>
          </w:p>
          <w:p w14:paraId="2B0A4D78" w14:textId="77777777" w:rsidR="00D37011" w:rsidRPr="0009282C" w:rsidRDefault="00D37011">
            <w:pPr>
              <w:rPr>
                <w:rFonts w:ascii="Arial Narrow" w:hAnsi="Arial Narrow"/>
                <w:b/>
                <w:bCs/>
                <w:sz w:val="20"/>
                <w:szCs w:val="20"/>
              </w:rPr>
            </w:pPr>
            <w:r w:rsidRPr="0009282C">
              <w:rPr>
                <w:rFonts w:ascii="Arial Narrow" w:hAnsi="Arial Narrow"/>
                <w:sz w:val="20"/>
                <w:szCs w:val="20"/>
              </w:rPr>
              <w:t>HOBART TAS 7001</w:t>
            </w:r>
          </w:p>
        </w:tc>
      </w:tr>
      <w:tr w:rsidR="00DE3028" w:rsidRPr="0009282C" w14:paraId="2BC34B93"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2C5C4E6" w14:textId="77777777" w:rsidR="00DE3028" w:rsidRPr="0009282C" w:rsidRDefault="00DE3028">
            <w:pPr>
              <w:jc w:val="center"/>
              <w:rPr>
                <w:rFonts w:ascii="Arial Narrow" w:eastAsia="Times New Roman" w:hAnsi="Arial Narrow"/>
                <w:color w:val="333333"/>
                <w:sz w:val="20"/>
                <w:szCs w:val="20"/>
              </w:rPr>
            </w:pPr>
          </w:p>
        </w:tc>
        <w:tc>
          <w:tcPr>
            <w:tcW w:w="7744" w:type="dxa"/>
            <w:gridSpan w:val="6"/>
            <w:vAlign w:val="center"/>
          </w:tcPr>
          <w:p w14:paraId="381F81CC" w14:textId="77777777" w:rsidR="00DE3028" w:rsidRPr="0009282C" w:rsidRDefault="00DE3028">
            <w:pPr>
              <w:rPr>
                <w:rFonts w:ascii="Arial Narrow" w:eastAsia="Times New Roman" w:hAnsi="Arial Narrow"/>
                <w:b/>
                <w:bCs/>
                <w:color w:val="333333"/>
                <w:sz w:val="20"/>
                <w:szCs w:val="20"/>
              </w:rPr>
            </w:pPr>
          </w:p>
        </w:tc>
      </w:tr>
      <w:tr w:rsidR="003C35A5" w:rsidRPr="0009282C" w14:paraId="1329F118" w14:textId="77777777" w:rsidTr="002A302E">
        <w:tblPrEx>
          <w:tblCellMar>
            <w:top w:w="15" w:type="dxa"/>
            <w:bottom w:w="15" w:type="dxa"/>
          </w:tblCellMar>
          <w:tblLook w:val="04A0" w:firstRow="1" w:lastRow="0" w:firstColumn="1" w:lastColumn="0" w:noHBand="0" w:noVBand="1"/>
        </w:tblPrEx>
        <w:trPr>
          <w:cantSplit/>
          <w:trHeight w:val="20"/>
        </w:trPr>
        <w:tc>
          <w:tcPr>
            <w:tcW w:w="9017" w:type="dxa"/>
            <w:gridSpan w:val="7"/>
            <w:vAlign w:val="center"/>
          </w:tcPr>
          <w:p w14:paraId="374CAA31" w14:textId="5ABA0EE6" w:rsidR="003C35A5" w:rsidRDefault="003C35A5" w:rsidP="003C35A5">
            <w:pPr>
              <w:rPr>
                <w:rFonts w:ascii="Arial Narrow" w:eastAsia="Times New Roman" w:hAnsi="Arial Narrow"/>
                <w:b/>
                <w:bCs/>
                <w:color w:val="333333"/>
                <w:sz w:val="20"/>
                <w:szCs w:val="20"/>
              </w:rPr>
            </w:pPr>
            <w:r w:rsidRPr="0009282C">
              <w:rPr>
                <w:rFonts w:ascii="Arial Narrow" w:hAnsi="Arial Narrow"/>
                <w:b/>
                <w:sz w:val="20"/>
                <w:szCs w:val="20"/>
              </w:rPr>
              <w:t xml:space="preserve">Restriction Summary / Treatment of Concept: </w:t>
            </w:r>
          </w:p>
        </w:tc>
      </w:tr>
      <w:tr w:rsidR="003C35A5" w:rsidRPr="0009282C" w14:paraId="017D76C7"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restart"/>
            <w:vAlign w:val="center"/>
          </w:tcPr>
          <w:p w14:paraId="50434E22" w14:textId="1001AE39" w:rsidR="003C35A5" w:rsidRPr="0009282C" w:rsidRDefault="003C35A5" w:rsidP="003C35A5">
            <w:pPr>
              <w:jc w:val="center"/>
              <w:rPr>
                <w:rFonts w:ascii="Arial Narrow" w:eastAsia="Times New Roman" w:hAnsi="Arial Narrow"/>
                <w:color w:val="333333"/>
                <w:sz w:val="20"/>
                <w:szCs w:val="20"/>
              </w:rPr>
            </w:pPr>
          </w:p>
        </w:tc>
        <w:tc>
          <w:tcPr>
            <w:tcW w:w="7744" w:type="dxa"/>
            <w:gridSpan w:val="6"/>
            <w:vAlign w:val="center"/>
          </w:tcPr>
          <w:p w14:paraId="4119451E" w14:textId="77777777" w:rsidR="003C35A5" w:rsidRPr="0009282C" w:rsidRDefault="003C35A5" w:rsidP="003C35A5">
            <w:pPr>
              <w:rPr>
                <w:rFonts w:ascii="Arial Narrow" w:eastAsia="Times New Roman" w:hAnsi="Arial Narrow"/>
                <w:b/>
                <w:bCs/>
                <w:color w:val="333333"/>
                <w:sz w:val="20"/>
                <w:szCs w:val="20"/>
              </w:rPr>
            </w:pPr>
            <w:r w:rsidRPr="0009282C">
              <w:rPr>
                <w:rFonts w:ascii="Arial Narrow" w:hAnsi="Arial Narrow"/>
                <w:b/>
                <w:sz w:val="20"/>
                <w:szCs w:val="20"/>
              </w:rPr>
              <w:t>Category / Program:</w:t>
            </w:r>
            <w:r w:rsidRPr="0009282C">
              <w:rPr>
                <w:rFonts w:ascii="Arial Narrow" w:hAnsi="Arial Narrow"/>
                <w:sz w:val="20"/>
                <w:szCs w:val="20"/>
              </w:rPr>
              <w:t xml:space="preserve"> </w:t>
            </w:r>
            <w:r w:rsidRPr="0009282C">
              <w:rPr>
                <w:rFonts w:ascii="Arial Narrow" w:eastAsia="Calibri" w:hAnsi="Arial Narrow"/>
                <w:sz w:val="20"/>
                <w:szCs w:val="20"/>
              </w:rPr>
              <w:fldChar w:fldCharType="begin" w:fldLock="1">
                <w:ffData>
                  <w:name w:val="Check1"/>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GENERAL - General Schedule (Code GE)</w:t>
            </w:r>
          </w:p>
        </w:tc>
      </w:tr>
      <w:tr w:rsidR="003C35A5" w:rsidRPr="0009282C" w14:paraId="18E1830A"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454272D4" w14:textId="77777777" w:rsidR="003C35A5" w:rsidRPr="0009282C" w:rsidRDefault="003C35A5" w:rsidP="003C35A5">
            <w:pPr>
              <w:jc w:val="center"/>
              <w:rPr>
                <w:rFonts w:ascii="Arial Narrow" w:hAnsi="Arial Narrow"/>
                <w:b/>
                <w:sz w:val="20"/>
                <w:szCs w:val="20"/>
              </w:rPr>
            </w:pPr>
          </w:p>
        </w:tc>
        <w:tc>
          <w:tcPr>
            <w:tcW w:w="7744" w:type="dxa"/>
            <w:gridSpan w:val="6"/>
            <w:vAlign w:val="center"/>
          </w:tcPr>
          <w:p w14:paraId="213C143F" w14:textId="6FDC8DA6" w:rsidR="003C35A5" w:rsidRPr="0009282C" w:rsidRDefault="003C35A5" w:rsidP="003C35A5">
            <w:pPr>
              <w:rPr>
                <w:rFonts w:ascii="Arial Narrow" w:hAnsi="Arial Narrow"/>
                <w:b/>
                <w:sz w:val="20"/>
                <w:szCs w:val="20"/>
              </w:rPr>
            </w:pPr>
            <w:r w:rsidRPr="0009282C">
              <w:rPr>
                <w:rFonts w:ascii="Arial Narrow" w:hAnsi="Arial Narrow"/>
                <w:b/>
                <w:sz w:val="20"/>
                <w:szCs w:val="20"/>
              </w:rPr>
              <w:t xml:space="preserve">Prescriber type: </w:t>
            </w:r>
            <w:r w:rsidRPr="0009282C">
              <w:rPr>
                <w:rFonts w:ascii="Arial Narrow" w:hAnsi="Arial Narrow"/>
                <w:sz w:val="20"/>
                <w:szCs w:val="20"/>
              </w:rPr>
              <w:fldChar w:fldCharType="begin" w:fldLock="1">
                <w:ffData>
                  <w:name w:val=""/>
                  <w:enabled/>
                  <w:calcOnExit w:val="0"/>
                  <w:checkBox>
                    <w:sizeAuto/>
                    <w:default w:val="1"/>
                  </w:checkBox>
                </w:ffData>
              </w:fldChar>
            </w:r>
            <w:r w:rsidRPr="0009282C">
              <w:rPr>
                <w:rFonts w:ascii="Arial Narrow" w:hAnsi="Arial Narrow"/>
                <w:sz w:val="20"/>
                <w:szCs w:val="20"/>
              </w:rPr>
              <w:instrText xml:space="preserve"> FORMCHECKBOX </w:instrText>
            </w:r>
            <w:r w:rsidRPr="0009282C">
              <w:rPr>
                <w:rFonts w:ascii="Arial Narrow" w:hAnsi="Arial Narrow"/>
                <w:sz w:val="20"/>
                <w:szCs w:val="20"/>
              </w:rPr>
            </w:r>
            <w:r w:rsidRPr="0009282C">
              <w:rPr>
                <w:rFonts w:ascii="Arial Narrow" w:hAnsi="Arial Narrow"/>
                <w:sz w:val="20"/>
                <w:szCs w:val="20"/>
              </w:rPr>
              <w:fldChar w:fldCharType="separate"/>
            </w:r>
            <w:r w:rsidRPr="0009282C">
              <w:rPr>
                <w:rFonts w:ascii="Arial Narrow" w:hAnsi="Arial Narrow"/>
                <w:sz w:val="20"/>
                <w:szCs w:val="20"/>
              </w:rPr>
              <w:fldChar w:fldCharType="end"/>
            </w:r>
            <w:r w:rsidRPr="0009282C">
              <w:rPr>
                <w:rFonts w:ascii="Arial Narrow" w:hAnsi="Arial Narrow"/>
                <w:sz w:val="20"/>
                <w:szCs w:val="20"/>
              </w:rPr>
              <w:t>Medical Practitioners</w:t>
            </w:r>
            <w:r>
              <w:rPr>
                <w:rFonts w:ascii="Arial Narrow" w:hAnsi="Arial Narrow"/>
                <w:sz w:val="20"/>
                <w:szCs w:val="20"/>
              </w:rPr>
              <w:t xml:space="preserve"> </w:t>
            </w:r>
            <w:r w:rsidRPr="0009282C">
              <w:rPr>
                <w:rFonts w:ascii="Arial Narrow" w:hAnsi="Arial Narrow"/>
                <w:sz w:val="20"/>
                <w:szCs w:val="20"/>
              </w:rPr>
              <w:fldChar w:fldCharType="begin" w:fldLock="1">
                <w:ffData>
                  <w:name w:val=""/>
                  <w:enabled/>
                  <w:calcOnExit w:val="0"/>
                  <w:checkBox>
                    <w:sizeAuto/>
                    <w:default w:val="1"/>
                  </w:checkBox>
                </w:ffData>
              </w:fldChar>
            </w:r>
            <w:r w:rsidRPr="0009282C">
              <w:rPr>
                <w:rFonts w:ascii="Arial Narrow" w:hAnsi="Arial Narrow"/>
                <w:sz w:val="20"/>
                <w:szCs w:val="20"/>
              </w:rPr>
              <w:instrText xml:space="preserve"> FORMCHECKBOX </w:instrText>
            </w:r>
            <w:r w:rsidRPr="0009282C">
              <w:rPr>
                <w:rFonts w:ascii="Arial Narrow" w:hAnsi="Arial Narrow"/>
                <w:sz w:val="20"/>
                <w:szCs w:val="20"/>
              </w:rPr>
            </w:r>
            <w:r w:rsidRPr="0009282C">
              <w:rPr>
                <w:rFonts w:ascii="Arial Narrow" w:hAnsi="Arial Narrow"/>
                <w:sz w:val="20"/>
                <w:szCs w:val="20"/>
              </w:rPr>
              <w:fldChar w:fldCharType="separate"/>
            </w:r>
            <w:r w:rsidRPr="0009282C">
              <w:rPr>
                <w:rFonts w:ascii="Arial Narrow" w:hAnsi="Arial Narrow"/>
                <w:sz w:val="20"/>
                <w:szCs w:val="20"/>
              </w:rPr>
              <w:fldChar w:fldCharType="end"/>
            </w:r>
            <w:r>
              <w:rPr>
                <w:rFonts w:ascii="Arial Narrow" w:hAnsi="Arial Narrow"/>
                <w:sz w:val="20"/>
                <w:szCs w:val="20"/>
              </w:rPr>
              <w:t xml:space="preserve"> Nurse p</w:t>
            </w:r>
            <w:r w:rsidRPr="0009282C">
              <w:rPr>
                <w:rFonts w:ascii="Arial Narrow" w:hAnsi="Arial Narrow"/>
                <w:sz w:val="20"/>
                <w:szCs w:val="20"/>
              </w:rPr>
              <w:t>ractitioners</w:t>
            </w:r>
            <w:r>
              <w:rPr>
                <w:rFonts w:ascii="Arial Narrow" w:hAnsi="Arial Narrow"/>
                <w:sz w:val="20"/>
                <w:szCs w:val="20"/>
              </w:rPr>
              <w:t xml:space="preserve">  </w:t>
            </w:r>
          </w:p>
        </w:tc>
      </w:tr>
      <w:tr w:rsidR="003C35A5" w:rsidRPr="0009282C" w14:paraId="62E37599"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1E6CDB6B" w14:textId="77777777" w:rsidR="003C35A5" w:rsidRPr="0009282C" w:rsidRDefault="003C35A5" w:rsidP="003C35A5">
            <w:pPr>
              <w:jc w:val="center"/>
              <w:rPr>
                <w:rFonts w:ascii="Arial Narrow" w:hAnsi="Arial Narrow"/>
                <w:b/>
                <w:sz w:val="20"/>
                <w:szCs w:val="20"/>
              </w:rPr>
            </w:pPr>
          </w:p>
        </w:tc>
        <w:tc>
          <w:tcPr>
            <w:tcW w:w="7744" w:type="dxa"/>
            <w:gridSpan w:val="6"/>
            <w:vAlign w:val="center"/>
          </w:tcPr>
          <w:p w14:paraId="512A67F8" w14:textId="77777777" w:rsidR="003C35A5" w:rsidRPr="0009282C" w:rsidRDefault="003C35A5" w:rsidP="003C35A5">
            <w:pPr>
              <w:rPr>
                <w:rFonts w:ascii="Arial Narrow" w:hAnsi="Arial Narrow"/>
                <w:b/>
                <w:sz w:val="20"/>
                <w:szCs w:val="20"/>
              </w:rPr>
            </w:pPr>
            <w:r w:rsidRPr="0009282C">
              <w:rPr>
                <w:rFonts w:ascii="Arial Narrow" w:hAnsi="Arial Narrow"/>
                <w:b/>
                <w:sz w:val="20"/>
                <w:szCs w:val="20"/>
              </w:rPr>
              <w:t xml:space="preserve">Restriction type: </w:t>
            </w:r>
            <w:r w:rsidRPr="0009282C">
              <w:rPr>
                <w:rFonts w:ascii="Arial Narrow" w:eastAsia="Calibri" w:hAnsi="Arial Narrow"/>
                <w:sz w:val="20"/>
                <w:szCs w:val="20"/>
              </w:rPr>
              <w:fldChar w:fldCharType="begin" w:fldLock="1">
                <w:ffData>
                  <w:name w:val=""/>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Authority Required - delayed assessment (in writing only via post/HPOS upload)</w:t>
            </w:r>
          </w:p>
        </w:tc>
      </w:tr>
      <w:tr w:rsidR="003C35A5" w:rsidRPr="0009282C" w14:paraId="3BCE0051" w14:textId="77777777" w:rsidTr="004232E4">
        <w:tblPrEx>
          <w:tblCellMar>
            <w:top w:w="15" w:type="dxa"/>
            <w:bottom w:w="15" w:type="dxa"/>
          </w:tblCellMar>
          <w:tblLook w:val="04A0" w:firstRow="1" w:lastRow="0" w:firstColumn="1" w:lastColumn="0" w:noHBand="0" w:noVBand="1"/>
        </w:tblPrEx>
        <w:trPr>
          <w:cantSplit/>
          <w:trHeight w:val="20"/>
        </w:trPr>
        <w:tc>
          <w:tcPr>
            <w:tcW w:w="1273" w:type="dxa"/>
            <w:vMerge/>
            <w:vAlign w:val="center"/>
          </w:tcPr>
          <w:p w14:paraId="4B236CFC" w14:textId="77777777" w:rsidR="003C35A5" w:rsidRPr="0009282C" w:rsidRDefault="003C35A5" w:rsidP="003C35A5">
            <w:pPr>
              <w:jc w:val="center"/>
              <w:rPr>
                <w:rFonts w:ascii="Arial Narrow" w:hAnsi="Arial Narrow"/>
                <w:b/>
                <w:sz w:val="20"/>
                <w:szCs w:val="20"/>
              </w:rPr>
            </w:pPr>
          </w:p>
        </w:tc>
        <w:tc>
          <w:tcPr>
            <w:tcW w:w="7744" w:type="dxa"/>
            <w:gridSpan w:val="6"/>
            <w:vAlign w:val="center"/>
          </w:tcPr>
          <w:p w14:paraId="2918E9CC" w14:textId="77777777" w:rsidR="003C35A5" w:rsidRPr="0009282C" w:rsidRDefault="003C35A5" w:rsidP="003C35A5">
            <w:pPr>
              <w:rPr>
                <w:rFonts w:ascii="Arial Narrow" w:hAnsi="Arial Narrow"/>
                <w:b/>
                <w:sz w:val="20"/>
                <w:szCs w:val="20"/>
              </w:rPr>
            </w:pPr>
            <w:r w:rsidRPr="0009282C">
              <w:rPr>
                <w:rFonts w:ascii="Arial Narrow" w:hAnsi="Arial Narrow"/>
                <w:b/>
                <w:sz w:val="20"/>
                <w:szCs w:val="20"/>
              </w:rPr>
              <w:t>Authority type:</w:t>
            </w:r>
            <w:r w:rsidRPr="0009282C">
              <w:rPr>
                <w:rFonts w:ascii="Arial Narrow" w:eastAsia="Calibri" w:hAnsi="Arial Narrow"/>
                <w:sz w:val="20"/>
                <w:szCs w:val="20"/>
              </w:rPr>
              <w:fldChar w:fldCharType="begin" w:fldLock="1">
                <w:ffData>
                  <w:name w:val=""/>
                  <w:enabled/>
                  <w:calcOnExit w:val="0"/>
                  <w:checkBox>
                    <w:sizeAuto/>
                    <w:default w:val="1"/>
                  </w:checkBox>
                </w:ffData>
              </w:fldChar>
            </w:r>
            <w:r w:rsidRPr="0009282C">
              <w:rPr>
                <w:rFonts w:ascii="Arial Narrow" w:eastAsia="Calibri" w:hAnsi="Arial Narrow"/>
                <w:sz w:val="20"/>
                <w:szCs w:val="20"/>
              </w:rPr>
              <w:instrText xml:space="preserve"> FORMCHECKBOX </w:instrText>
            </w:r>
            <w:r w:rsidRPr="0009282C">
              <w:rPr>
                <w:rFonts w:ascii="Arial Narrow" w:eastAsia="Calibri" w:hAnsi="Arial Narrow"/>
                <w:sz w:val="20"/>
                <w:szCs w:val="20"/>
              </w:rPr>
            </w:r>
            <w:r w:rsidRPr="0009282C">
              <w:rPr>
                <w:rFonts w:ascii="Arial Narrow" w:eastAsia="Calibri" w:hAnsi="Arial Narrow"/>
                <w:sz w:val="20"/>
                <w:szCs w:val="20"/>
              </w:rPr>
              <w:fldChar w:fldCharType="separate"/>
            </w:r>
            <w:r w:rsidRPr="0009282C">
              <w:rPr>
                <w:rFonts w:ascii="Arial Narrow" w:eastAsia="Calibri" w:hAnsi="Arial Narrow"/>
                <w:sz w:val="20"/>
                <w:szCs w:val="20"/>
              </w:rPr>
              <w:fldChar w:fldCharType="end"/>
            </w:r>
            <w:r w:rsidRPr="0009282C">
              <w:rPr>
                <w:rFonts w:ascii="Arial Narrow" w:eastAsia="Calibri" w:hAnsi="Arial Narrow"/>
                <w:sz w:val="20"/>
                <w:szCs w:val="20"/>
              </w:rPr>
              <w:t xml:space="preserve"> Complex Authority Required (CAR)</w:t>
            </w:r>
          </w:p>
        </w:tc>
      </w:tr>
      <w:tr w:rsidR="003C35A5" w:rsidRPr="0009282C" w14:paraId="7E8CDB54"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8EEE8A8" w14:textId="2B857AA1" w:rsidR="003C35A5" w:rsidRPr="0009282C" w:rsidRDefault="003C35A5" w:rsidP="003C35A5">
            <w:pPr>
              <w:jc w:val="center"/>
              <w:rPr>
                <w:rFonts w:ascii="Arial Narrow" w:hAnsi="Arial Narrow"/>
                <w:b/>
                <w:sz w:val="20"/>
                <w:szCs w:val="20"/>
              </w:rPr>
            </w:pPr>
          </w:p>
        </w:tc>
        <w:tc>
          <w:tcPr>
            <w:tcW w:w="7744" w:type="dxa"/>
            <w:gridSpan w:val="6"/>
            <w:vAlign w:val="center"/>
          </w:tcPr>
          <w:p w14:paraId="30606EF1" w14:textId="77777777" w:rsidR="003C35A5" w:rsidRPr="0009282C" w:rsidRDefault="003C35A5" w:rsidP="003C35A5">
            <w:pPr>
              <w:rPr>
                <w:rFonts w:ascii="Arial Narrow" w:hAnsi="Arial Narrow"/>
                <w:b/>
                <w:sz w:val="20"/>
                <w:szCs w:val="20"/>
              </w:rPr>
            </w:pPr>
            <w:r w:rsidRPr="0009282C">
              <w:rPr>
                <w:rFonts w:ascii="Arial Narrow" w:eastAsia="Times New Roman" w:hAnsi="Arial Narrow"/>
                <w:b/>
                <w:bCs/>
                <w:sz w:val="20"/>
                <w:szCs w:val="20"/>
              </w:rPr>
              <w:t>Indication:</w:t>
            </w:r>
            <w:r w:rsidRPr="0009282C">
              <w:rPr>
                <w:rFonts w:ascii="Arial Narrow" w:eastAsia="Times New Roman" w:hAnsi="Arial Narrow"/>
                <w:sz w:val="20"/>
                <w:szCs w:val="20"/>
              </w:rPr>
              <w:t xml:space="preserve"> </w:t>
            </w:r>
            <w:r w:rsidRPr="0009282C">
              <w:rPr>
                <w:rFonts w:ascii="Arial Narrow" w:eastAsia="Times New Roman" w:hAnsi="Arial Narrow"/>
                <w:bCs/>
                <w:sz w:val="20"/>
                <w:szCs w:val="20"/>
              </w:rPr>
              <w:t>Primary hyperoxaluria type 1</w:t>
            </w:r>
          </w:p>
        </w:tc>
      </w:tr>
      <w:tr w:rsidR="003C35A5" w:rsidRPr="0009282C" w14:paraId="26FB5DA2"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CC7262A" w14:textId="77777777" w:rsidR="003C35A5" w:rsidRPr="0009282C" w:rsidRDefault="003C35A5" w:rsidP="003C35A5">
            <w:pPr>
              <w:jc w:val="center"/>
              <w:rPr>
                <w:rFonts w:ascii="Arial Narrow" w:hAnsi="Arial Narrow"/>
                <w:b/>
                <w:sz w:val="20"/>
                <w:szCs w:val="20"/>
              </w:rPr>
            </w:pPr>
          </w:p>
        </w:tc>
        <w:tc>
          <w:tcPr>
            <w:tcW w:w="7744" w:type="dxa"/>
            <w:gridSpan w:val="6"/>
            <w:vAlign w:val="center"/>
          </w:tcPr>
          <w:p w14:paraId="7F1014D0"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Treatment Phase:</w:t>
            </w:r>
            <w:r w:rsidRPr="0009282C">
              <w:rPr>
                <w:rFonts w:ascii="Arial Narrow" w:eastAsia="Times New Roman" w:hAnsi="Arial Narrow"/>
                <w:sz w:val="20"/>
                <w:szCs w:val="20"/>
              </w:rPr>
              <w:t xml:space="preserve"> Transitioning from non-PBS to PBS-subsidised supply - Grandfather arrangements</w:t>
            </w:r>
          </w:p>
        </w:tc>
      </w:tr>
      <w:tr w:rsidR="003C35A5" w:rsidRPr="0009282C" w14:paraId="2716234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443E340"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0B71C819"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3C35A5" w:rsidRPr="0009282C" w14:paraId="74CCCFE9"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753229F" w14:textId="2E1C0B60" w:rsidR="003C35A5" w:rsidRPr="0009282C" w:rsidRDefault="003C35A5" w:rsidP="003C35A5">
            <w:pPr>
              <w:jc w:val="center"/>
              <w:rPr>
                <w:rFonts w:ascii="Arial Narrow" w:hAnsi="Arial Narrow"/>
                <w:bCs/>
                <w:sz w:val="20"/>
                <w:szCs w:val="20"/>
              </w:rPr>
            </w:pPr>
          </w:p>
        </w:tc>
        <w:tc>
          <w:tcPr>
            <w:tcW w:w="7744" w:type="dxa"/>
            <w:gridSpan w:val="6"/>
            <w:vAlign w:val="center"/>
          </w:tcPr>
          <w:p w14:paraId="6B63F577"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sz w:val="20"/>
                <w:szCs w:val="20"/>
              </w:rPr>
              <w:t>Patient must have received treatment with this drug for this condition prior to &lt;PBS listing date&gt;</w:t>
            </w:r>
          </w:p>
        </w:tc>
      </w:tr>
      <w:tr w:rsidR="003C35A5" w:rsidRPr="0009282C" w14:paraId="16BD7745"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2AD19C43"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466473DB" w14:textId="2241416B"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71CF634C"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C6A4137" w14:textId="04ED29F6" w:rsidR="003C35A5" w:rsidRPr="0009282C" w:rsidRDefault="003C35A5" w:rsidP="003C35A5">
            <w:pPr>
              <w:jc w:val="center"/>
              <w:rPr>
                <w:rFonts w:ascii="Arial Narrow" w:hAnsi="Arial Narrow"/>
                <w:bCs/>
                <w:sz w:val="20"/>
                <w:szCs w:val="20"/>
              </w:rPr>
            </w:pPr>
          </w:p>
        </w:tc>
        <w:tc>
          <w:tcPr>
            <w:tcW w:w="7744" w:type="dxa"/>
            <w:gridSpan w:val="6"/>
            <w:vAlign w:val="center"/>
          </w:tcPr>
          <w:p w14:paraId="5354A875" w14:textId="5E02FB83"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sz w:val="20"/>
                <w:szCs w:val="20"/>
              </w:rPr>
              <w:t>The condition must be primary hyperoxaluria type 1 confirmed by genetic testing</w:t>
            </w:r>
          </w:p>
        </w:tc>
      </w:tr>
      <w:tr w:rsidR="003C35A5" w:rsidRPr="0009282C" w14:paraId="406BA71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9EF2C5A"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27855070" w14:textId="3377C1CF"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3647365E"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214E4A6"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7694672E" w14:textId="1452E749"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Clinical criteria:</w:t>
            </w:r>
          </w:p>
        </w:tc>
      </w:tr>
      <w:tr w:rsidR="003C35A5" w:rsidRPr="0009282C" w14:paraId="754CA739"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42C11985" w14:textId="196F6BCE" w:rsidR="003C35A5" w:rsidRPr="0009282C" w:rsidRDefault="003C35A5" w:rsidP="003C35A5">
            <w:pPr>
              <w:jc w:val="center"/>
              <w:rPr>
                <w:rFonts w:ascii="Arial Narrow" w:hAnsi="Arial Narrow"/>
                <w:bCs/>
                <w:sz w:val="20"/>
                <w:szCs w:val="20"/>
              </w:rPr>
            </w:pPr>
          </w:p>
        </w:tc>
        <w:tc>
          <w:tcPr>
            <w:tcW w:w="7744" w:type="dxa"/>
            <w:gridSpan w:val="6"/>
            <w:vAlign w:val="center"/>
          </w:tcPr>
          <w:p w14:paraId="04FCE793" w14:textId="1C4BC78B" w:rsidR="003C35A5" w:rsidRPr="0009282C" w:rsidRDefault="003C35A5" w:rsidP="003C35A5">
            <w:pPr>
              <w:rPr>
                <w:rFonts w:ascii="Arial Narrow" w:eastAsia="Times New Roman" w:hAnsi="Arial Narrow"/>
                <w:sz w:val="20"/>
                <w:szCs w:val="20"/>
              </w:rPr>
            </w:pPr>
            <w:r>
              <w:rPr>
                <w:rFonts w:ascii="Arial Narrow" w:eastAsia="Times New Roman" w:hAnsi="Arial Narrow"/>
                <w:sz w:val="20"/>
                <w:szCs w:val="20"/>
              </w:rPr>
              <w:t xml:space="preserve">Patient must have undergone treatment with </w:t>
            </w:r>
            <w:r w:rsidRPr="00E67C33">
              <w:rPr>
                <w:rFonts w:ascii="Arial Narrow" w:eastAsia="Times New Roman" w:hAnsi="Arial Narrow"/>
                <w:sz w:val="20"/>
                <w:szCs w:val="20"/>
              </w:rPr>
              <w:t xml:space="preserve">pyridoxine therapy </w:t>
            </w:r>
            <w:r>
              <w:rPr>
                <w:rFonts w:ascii="Arial Narrow" w:eastAsia="Times New Roman" w:hAnsi="Arial Narrow"/>
                <w:sz w:val="20"/>
                <w:szCs w:val="20"/>
              </w:rPr>
              <w:t>prior to commencing non-PBS subsidised treatment with this drug for this condition OR</w:t>
            </w:r>
          </w:p>
        </w:tc>
      </w:tr>
      <w:tr w:rsidR="003C35A5" w:rsidRPr="0009282C" w14:paraId="7D84A862"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283BC48" w14:textId="62878278" w:rsidR="003C35A5" w:rsidRPr="0009282C" w:rsidRDefault="003C35A5" w:rsidP="003C35A5">
            <w:pPr>
              <w:jc w:val="center"/>
              <w:rPr>
                <w:rFonts w:ascii="Arial Narrow" w:hAnsi="Arial Narrow"/>
                <w:bCs/>
                <w:sz w:val="20"/>
                <w:szCs w:val="20"/>
              </w:rPr>
            </w:pPr>
          </w:p>
        </w:tc>
        <w:tc>
          <w:tcPr>
            <w:tcW w:w="7744" w:type="dxa"/>
            <w:gridSpan w:val="6"/>
            <w:vAlign w:val="center"/>
          </w:tcPr>
          <w:p w14:paraId="62DAC356" w14:textId="65B30FB9" w:rsidR="003C35A5" w:rsidRPr="0009282C" w:rsidRDefault="003C35A5" w:rsidP="003C35A5">
            <w:pPr>
              <w:rPr>
                <w:rFonts w:ascii="Arial Narrow" w:eastAsia="Times New Roman" w:hAnsi="Arial Narrow"/>
                <w:sz w:val="20"/>
                <w:szCs w:val="20"/>
              </w:rPr>
            </w:pPr>
            <w:r>
              <w:rPr>
                <w:rFonts w:ascii="Arial Narrow" w:eastAsia="Times New Roman" w:hAnsi="Arial Narrow"/>
                <w:sz w:val="20"/>
                <w:szCs w:val="20"/>
              </w:rPr>
              <w:t xml:space="preserve">Patient must have a PH1 allele that is considered not responsive to </w:t>
            </w:r>
            <w:r w:rsidRPr="00714E07">
              <w:rPr>
                <w:rFonts w:ascii="Arial Narrow" w:eastAsia="Times New Roman" w:hAnsi="Arial Narrow"/>
                <w:sz w:val="20"/>
                <w:szCs w:val="20"/>
              </w:rPr>
              <w:t xml:space="preserve">pyridoxine </w:t>
            </w:r>
            <w:r>
              <w:rPr>
                <w:rFonts w:ascii="Arial Narrow" w:eastAsia="Times New Roman" w:hAnsi="Arial Narrow"/>
                <w:sz w:val="20"/>
                <w:szCs w:val="20"/>
              </w:rPr>
              <w:t>therapy</w:t>
            </w:r>
          </w:p>
        </w:tc>
      </w:tr>
      <w:tr w:rsidR="003C35A5" w:rsidRPr="0009282C" w14:paraId="7844C212"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0511D3F"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72DBE09C"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01E24CFC"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0D6210F"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31BEDAF2"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3C35A5" w:rsidRPr="0009282C" w14:paraId="1B2B900D"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1B02112" w14:textId="70814DA5" w:rsidR="003C35A5" w:rsidRPr="0009282C" w:rsidRDefault="003C35A5" w:rsidP="003C35A5">
            <w:pPr>
              <w:jc w:val="center"/>
              <w:rPr>
                <w:rFonts w:ascii="Arial Narrow" w:hAnsi="Arial Narrow"/>
                <w:bCs/>
                <w:sz w:val="20"/>
                <w:szCs w:val="20"/>
              </w:rPr>
            </w:pPr>
          </w:p>
        </w:tc>
        <w:tc>
          <w:tcPr>
            <w:tcW w:w="7744" w:type="dxa"/>
            <w:gridSpan w:val="6"/>
            <w:vAlign w:val="center"/>
          </w:tcPr>
          <w:p w14:paraId="3CF1969B"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sz w:val="20"/>
                <w:szCs w:val="20"/>
              </w:rPr>
              <w:t>Patient must have urinary oxalate ≥0.70 mmol/24 h/1.73 m</w:t>
            </w:r>
            <w:r w:rsidRPr="0009282C">
              <w:rPr>
                <w:rFonts w:ascii="Arial Narrow" w:eastAsia="Times New Roman" w:hAnsi="Arial Narrow"/>
                <w:sz w:val="20"/>
                <w:szCs w:val="20"/>
                <w:vertAlign w:val="superscript"/>
              </w:rPr>
              <w:t>2</w:t>
            </w:r>
            <w:r w:rsidRPr="0009282C">
              <w:rPr>
                <w:rFonts w:ascii="Arial Narrow" w:eastAsia="Times New Roman" w:hAnsi="Arial Narrow"/>
                <w:sz w:val="20"/>
                <w:szCs w:val="20"/>
              </w:rPr>
              <w:t xml:space="preserve"> measured by mean 24-h urinary oxalate excretion from a valid 24-h urine collection prior to commencing treatment with this drug for this condition; OR</w:t>
            </w:r>
          </w:p>
        </w:tc>
      </w:tr>
      <w:tr w:rsidR="003C35A5" w:rsidRPr="0009282C" w14:paraId="492E00BD"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1421118" w14:textId="4F5FA896" w:rsidR="003C35A5" w:rsidRPr="0009282C" w:rsidRDefault="003C35A5" w:rsidP="003C35A5">
            <w:pPr>
              <w:jc w:val="center"/>
              <w:rPr>
                <w:rFonts w:ascii="Arial Narrow" w:hAnsi="Arial Narrow"/>
                <w:bCs/>
                <w:sz w:val="20"/>
                <w:szCs w:val="20"/>
              </w:rPr>
            </w:pPr>
          </w:p>
        </w:tc>
        <w:tc>
          <w:tcPr>
            <w:tcW w:w="7744" w:type="dxa"/>
            <w:gridSpan w:val="6"/>
            <w:vAlign w:val="center"/>
          </w:tcPr>
          <w:p w14:paraId="0E96C5C6"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sz w:val="20"/>
                <w:szCs w:val="20"/>
              </w:rPr>
              <w:t xml:space="preserve">Patient must have urinary </w:t>
            </w:r>
            <w:proofErr w:type="spellStart"/>
            <w:r w:rsidRPr="0009282C">
              <w:rPr>
                <w:rFonts w:ascii="Arial Narrow" w:eastAsia="Times New Roman" w:hAnsi="Arial Narrow"/>
                <w:sz w:val="20"/>
                <w:szCs w:val="20"/>
              </w:rPr>
              <w:t>oxalate:creatinine</w:t>
            </w:r>
            <w:proofErr w:type="spellEnd"/>
            <w:r w:rsidRPr="0009282C">
              <w:rPr>
                <w:rFonts w:ascii="Arial Narrow" w:eastAsia="Times New Roman" w:hAnsi="Arial Narrow"/>
                <w:sz w:val="20"/>
                <w:szCs w:val="20"/>
              </w:rPr>
              <w:t xml:space="preserve"> ratio greater than the upper limit of normal based on age on at least two of three single-void collections during screening prior to commencing treatment with this drug for this condition; OR</w:t>
            </w:r>
          </w:p>
        </w:tc>
      </w:tr>
      <w:tr w:rsidR="003C35A5" w:rsidRPr="0009282C" w14:paraId="7C9879D5"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4DF3B44" w14:textId="7D846651" w:rsidR="003C35A5" w:rsidRPr="0009282C" w:rsidRDefault="003C35A5" w:rsidP="003C35A5">
            <w:pPr>
              <w:jc w:val="center"/>
              <w:rPr>
                <w:rFonts w:ascii="Arial Narrow" w:hAnsi="Arial Narrow"/>
                <w:bCs/>
                <w:sz w:val="20"/>
                <w:szCs w:val="20"/>
              </w:rPr>
            </w:pPr>
          </w:p>
        </w:tc>
        <w:tc>
          <w:tcPr>
            <w:tcW w:w="7744" w:type="dxa"/>
            <w:gridSpan w:val="6"/>
            <w:vAlign w:val="center"/>
          </w:tcPr>
          <w:p w14:paraId="02F142B3"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sz w:val="20"/>
                <w:szCs w:val="20"/>
              </w:rPr>
              <w:t>Patient must have, prior to commencing treatment with this drug for this condition, clinical symptoms indicative of hyperoxaluria, such as (</w:t>
            </w:r>
            <w:proofErr w:type="spellStart"/>
            <w:r w:rsidRPr="0009282C">
              <w:rPr>
                <w:rFonts w:ascii="Arial Narrow" w:eastAsia="Times New Roman" w:hAnsi="Arial Narrow"/>
                <w:sz w:val="20"/>
                <w:szCs w:val="20"/>
              </w:rPr>
              <w:t>i</w:t>
            </w:r>
            <w:proofErr w:type="spellEnd"/>
            <w:r w:rsidRPr="0009282C">
              <w:rPr>
                <w:rFonts w:ascii="Arial Narrow" w:eastAsia="Times New Roman" w:hAnsi="Arial Narrow"/>
                <w:sz w:val="20"/>
                <w:szCs w:val="20"/>
              </w:rPr>
              <w:t xml:space="preserve">) nephrocalcinosis; (ii) renal stones; (iii) renal impairment; (iv) systemic oxalosis </w:t>
            </w:r>
          </w:p>
        </w:tc>
      </w:tr>
      <w:tr w:rsidR="003C35A5" w:rsidRPr="0009282C" w14:paraId="3DCA1C5F"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086D20D"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4F34F5E4"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5EE626A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DAF4713"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18466039"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1D5390" w:rsidRPr="0009282C" w14:paraId="01ACF16F"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E659422" w14:textId="135EEEF6" w:rsidR="001D5390" w:rsidRPr="0009282C" w:rsidRDefault="001D5390" w:rsidP="001D5390">
            <w:pPr>
              <w:jc w:val="center"/>
              <w:rPr>
                <w:rFonts w:ascii="Arial Narrow" w:hAnsi="Arial Narrow"/>
                <w:bCs/>
                <w:sz w:val="20"/>
                <w:szCs w:val="20"/>
              </w:rPr>
            </w:pPr>
          </w:p>
        </w:tc>
        <w:tc>
          <w:tcPr>
            <w:tcW w:w="7744" w:type="dxa"/>
            <w:gridSpan w:val="6"/>
            <w:vAlign w:val="center"/>
          </w:tcPr>
          <w:p w14:paraId="59F0B06B" w14:textId="79F25393" w:rsidR="001D5390" w:rsidRPr="0009282C" w:rsidRDefault="001D5390" w:rsidP="001D5390">
            <w:pPr>
              <w:rPr>
                <w:rFonts w:ascii="Arial Narrow" w:eastAsia="Times New Roman" w:hAnsi="Arial Narrow"/>
                <w:b/>
                <w:bCs/>
                <w:sz w:val="20"/>
                <w:szCs w:val="20"/>
              </w:rPr>
            </w:pPr>
            <w:r w:rsidRPr="0009282C">
              <w:rPr>
                <w:rFonts w:ascii="Arial Narrow" w:eastAsia="Times New Roman" w:hAnsi="Arial Narrow"/>
                <w:sz w:val="20"/>
                <w:szCs w:val="20"/>
              </w:rPr>
              <w:t xml:space="preserve">Patient must continue to demonstrate clinical benefit as assessed by the treating physician </w:t>
            </w:r>
          </w:p>
        </w:tc>
      </w:tr>
      <w:tr w:rsidR="003C35A5" w:rsidRPr="0009282C" w14:paraId="5F66134A"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2B6ECC3"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1EA5F2F3"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55356998"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9FEF4DE"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7504D391"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Clinical criteria:</w:t>
            </w:r>
          </w:p>
        </w:tc>
      </w:tr>
      <w:tr w:rsidR="001D5390" w:rsidRPr="0009282C" w14:paraId="1D6405D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D20D93C" w14:textId="36CFE6FE" w:rsidR="001D5390" w:rsidRPr="0009282C" w:rsidRDefault="001D5390" w:rsidP="001D5390">
            <w:pPr>
              <w:jc w:val="center"/>
              <w:rPr>
                <w:rFonts w:ascii="Arial Narrow" w:hAnsi="Arial Narrow"/>
                <w:bCs/>
                <w:sz w:val="20"/>
                <w:szCs w:val="20"/>
              </w:rPr>
            </w:pPr>
          </w:p>
        </w:tc>
        <w:tc>
          <w:tcPr>
            <w:tcW w:w="7744" w:type="dxa"/>
            <w:gridSpan w:val="6"/>
            <w:vAlign w:val="center"/>
          </w:tcPr>
          <w:p w14:paraId="703ADE03" w14:textId="7B846B7A" w:rsidR="001D5390" w:rsidRPr="0009282C" w:rsidRDefault="001D5390" w:rsidP="001D5390">
            <w:pPr>
              <w:rPr>
                <w:rFonts w:ascii="Arial Narrow" w:eastAsia="Times New Roman" w:hAnsi="Arial Narrow"/>
                <w:b/>
                <w:bCs/>
                <w:sz w:val="20"/>
                <w:szCs w:val="20"/>
              </w:rPr>
            </w:pPr>
            <w:r w:rsidRPr="0009282C">
              <w:rPr>
                <w:rFonts w:ascii="Arial Narrow" w:eastAsia="Times New Roman" w:hAnsi="Arial Narrow"/>
                <w:sz w:val="20"/>
                <w:szCs w:val="20"/>
              </w:rPr>
              <w:t xml:space="preserve">Patient must not have previously undergone liver transplant for primary hyperoxaluria type 1 </w:t>
            </w:r>
          </w:p>
        </w:tc>
      </w:tr>
      <w:tr w:rsidR="003C35A5" w:rsidRPr="0009282C" w14:paraId="0E7A473D"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213FC59F"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268D1C10"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AND</w:t>
            </w:r>
          </w:p>
        </w:tc>
      </w:tr>
      <w:tr w:rsidR="003C35A5" w:rsidRPr="0009282C" w14:paraId="0E708B52"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40BB632" w14:textId="77777777" w:rsidR="003C35A5" w:rsidRPr="0009282C" w:rsidRDefault="003C35A5" w:rsidP="003C35A5">
            <w:pPr>
              <w:jc w:val="center"/>
              <w:rPr>
                <w:rFonts w:ascii="Arial Narrow" w:hAnsi="Arial Narrow"/>
                <w:bCs/>
                <w:sz w:val="20"/>
                <w:szCs w:val="20"/>
              </w:rPr>
            </w:pPr>
          </w:p>
        </w:tc>
        <w:tc>
          <w:tcPr>
            <w:tcW w:w="7744" w:type="dxa"/>
            <w:gridSpan w:val="6"/>
            <w:vAlign w:val="center"/>
          </w:tcPr>
          <w:p w14:paraId="50595722"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b/>
                <w:bCs/>
                <w:sz w:val="20"/>
                <w:szCs w:val="20"/>
              </w:rPr>
              <w:t>Treatment criteria:</w:t>
            </w:r>
          </w:p>
        </w:tc>
      </w:tr>
      <w:tr w:rsidR="003C35A5" w:rsidRPr="0009282C" w14:paraId="659D707C"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E9D85B6" w14:textId="60DD6EE5" w:rsidR="003C35A5" w:rsidRPr="0009282C" w:rsidRDefault="003C35A5" w:rsidP="003C35A5">
            <w:pPr>
              <w:jc w:val="center"/>
              <w:rPr>
                <w:rFonts w:ascii="Arial Narrow" w:hAnsi="Arial Narrow"/>
                <w:bCs/>
                <w:sz w:val="20"/>
                <w:szCs w:val="20"/>
              </w:rPr>
            </w:pPr>
          </w:p>
        </w:tc>
        <w:tc>
          <w:tcPr>
            <w:tcW w:w="7744" w:type="dxa"/>
            <w:gridSpan w:val="6"/>
            <w:vAlign w:val="center"/>
          </w:tcPr>
          <w:p w14:paraId="4C1F3E14" w14:textId="34404B3D" w:rsidR="003C35A5" w:rsidRPr="002E2A97" w:rsidRDefault="003C35A5" w:rsidP="003C35A5">
            <w:pPr>
              <w:rPr>
                <w:rFonts w:ascii="Arial Narrow" w:hAnsi="Arial Narrow" w:cs="Arial Narrow"/>
                <w:sz w:val="20"/>
                <w:szCs w:val="20"/>
              </w:rPr>
            </w:pPr>
            <w:r w:rsidRPr="0009282C">
              <w:rPr>
                <w:rFonts w:ascii="Arial Narrow" w:hAnsi="Arial Narrow" w:cs="Arial Narrow"/>
                <w:sz w:val="20"/>
                <w:szCs w:val="20"/>
              </w:rPr>
              <w:t xml:space="preserve">Must be treated by a nephrologist with experience in the management of </w:t>
            </w:r>
            <w:r w:rsidRPr="0009282C">
              <w:rPr>
                <w:rFonts w:ascii="Arial Narrow" w:eastAsia="Times New Roman" w:hAnsi="Arial Narrow"/>
                <w:sz w:val="20"/>
                <w:szCs w:val="20"/>
              </w:rPr>
              <w:t xml:space="preserve">hyperoxaluria </w:t>
            </w:r>
            <w:r>
              <w:rPr>
                <w:rFonts w:ascii="Arial Narrow" w:hAnsi="Arial Narrow" w:cs="Arial Narrow"/>
                <w:sz w:val="20"/>
                <w:szCs w:val="20"/>
              </w:rPr>
              <w:t>OR</w:t>
            </w:r>
          </w:p>
        </w:tc>
      </w:tr>
      <w:tr w:rsidR="003C35A5" w:rsidRPr="0009282C" w14:paraId="0CCCA018"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17F0372" w14:textId="29F4321E" w:rsidR="003C35A5" w:rsidRPr="0009282C" w:rsidRDefault="003C35A5" w:rsidP="003C35A5">
            <w:pPr>
              <w:jc w:val="center"/>
              <w:rPr>
                <w:rFonts w:ascii="Arial Narrow" w:hAnsi="Arial Narrow"/>
                <w:bCs/>
                <w:sz w:val="20"/>
                <w:szCs w:val="20"/>
              </w:rPr>
            </w:pPr>
          </w:p>
        </w:tc>
        <w:tc>
          <w:tcPr>
            <w:tcW w:w="7744" w:type="dxa"/>
            <w:gridSpan w:val="6"/>
            <w:vAlign w:val="center"/>
          </w:tcPr>
          <w:p w14:paraId="00B3CD03" w14:textId="492E04F2" w:rsidR="003C35A5" w:rsidRPr="0009282C" w:rsidRDefault="003C35A5" w:rsidP="003C35A5">
            <w:pPr>
              <w:rPr>
                <w:rFonts w:ascii="Arial Narrow" w:hAnsi="Arial Narrow" w:cs="Arial Narrow"/>
                <w:sz w:val="20"/>
                <w:szCs w:val="20"/>
              </w:rPr>
            </w:pPr>
            <w:r w:rsidRPr="0009282C">
              <w:rPr>
                <w:rFonts w:ascii="Arial Narrow" w:hAnsi="Arial Narrow" w:cs="Arial Narrow"/>
                <w:sz w:val="20"/>
                <w:szCs w:val="20"/>
              </w:rPr>
              <w:t xml:space="preserve">Must be treated by a </w:t>
            </w:r>
            <w:r>
              <w:rPr>
                <w:rFonts w:ascii="Arial Narrow" w:hAnsi="Arial Narrow" w:cs="Arial Narrow"/>
                <w:sz w:val="20"/>
                <w:szCs w:val="20"/>
              </w:rPr>
              <w:t>paediatrician</w:t>
            </w:r>
            <w:r w:rsidRPr="0009282C">
              <w:rPr>
                <w:rFonts w:ascii="Arial Narrow" w:hAnsi="Arial Narrow" w:cs="Arial Narrow"/>
                <w:sz w:val="20"/>
                <w:szCs w:val="20"/>
              </w:rPr>
              <w:t xml:space="preserve"> with experience in the management of </w:t>
            </w:r>
            <w:r w:rsidRPr="0039216C">
              <w:rPr>
                <w:rFonts w:ascii="Arial Narrow" w:eastAsia="Times New Roman" w:hAnsi="Arial Narrow"/>
                <w:sz w:val="20"/>
                <w:szCs w:val="20"/>
              </w:rPr>
              <w:t>hyperoxaluria O</w:t>
            </w:r>
            <w:r w:rsidRPr="0039216C">
              <w:rPr>
                <w:rFonts w:ascii="Arial Narrow" w:hAnsi="Arial Narrow" w:cs="Arial Narrow"/>
                <w:sz w:val="20"/>
                <w:szCs w:val="20"/>
              </w:rPr>
              <w:t>R</w:t>
            </w:r>
          </w:p>
        </w:tc>
      </w:tr>
      <w:tr w:rsidR="003C35A5" w:rsidRPr="0009282C" w14:paraId="03E1B04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763534BE" w14:textId="18336418" w:rsidR="003C35A5" w:rsidRPr="0009282C" w:rsidRDefault="003C35A5" w:rsidP="003C35A5">
            <w:pPr>
              <w:jc w:val="center"/>
              <w:rPr>
                <w:rFonts w:ascii="Arial Narrow" w:hAnsi="Arial Narrow"/>
                <w:bCs/>
                <w:sz w:val="20"/>
                <w:szCs w:val="20"/>
              </w:rPr>
            </w:pPr>
          </w:p>
        </w:tc>
        <w:tc>
          <w:tcPr>
            <w:tcW w:w="7744" w:type="dxa"/>
            <w:gridSpan w:val="6"/>
            <w:vAlign w:val="center"/>
          </w:tcPr>
          <w:p w14:paraId="72355A9A" w14:textId="29B53078" w:rsidR="003C35A5" w:rsidRPr="0009282C" w:rsidRDefault="003C35A5" w:rsidP="003C35A5">
            <w:pPr>
              <w:rPr>
                <w:rFonts w:ascii="Arial Narrow" w:hAnsi="Arial Narrow" w:cs="Arial Narrow"/>
                <w:sz w:val="20"/>
                <w:szCs w:val="20"/>
              </w:rPr>
            </w:pPr>
            <w:r>
              <w:rPr>
                <w:rFonts w:ascii="Arial Narrow" w:hAnsi="Arial Narrow" w:cs="Arial Narrow"/>
                <w:sz w:val="20"/>
                <w:szCs w:val="20"/>
              </w:rPr>
              <w:t xml:space="preserve">Must be treated by an authorised prescriber </w:t>
            </w:r>
            <w:r w:rsidRPr="0009282C">
              <w:rPr>
                <w:rFonts w:ascii="Arial Narrow" w:hAnsi="Arial Narrow" w:cs="Arial Narrow"/>
                <w:sz w:val="20"/>
                <w:szCs w:val="20"/>
              </w:rPr>
              <w:t xml:space="preserve">in consultation with a nephrologist with </w:t>
            </w:r>
            <w:r>
              <w:rPr>
                <w:rFonts w:ascii="Arial Narrow" w:hAnsi="Arial Narrow" w:cs="Arial Narrow"/>
                <w:sz w:val="20"/>
                <w:szCs w:val="20"/>
              </w:rPr>
              <w:t>one of the above specialty types</w:t>
            </w:r>
          </w:p>
        </w:tc>
      </w:tr>
      <w:tr w:rsidR="003C35A5" w:rsidRPr="0009282C" w14:paraId="61B5FE59"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63F1427A" w14:textId="0693B33B" w:rsidR="003C35A5" w:rsidRPr="0009282C" w:rsidRDefault="003C35A5" w:rsidP="003C35A5">
            <w:pPr>
              <w:jc w:val="center"/>
              <w:rPr>
                <w:rFonts w:ascii="Arial Narrow" w:hAnsi="Arial Narrow"/>
                <w:bCs/>
                <w:sz w:val="20"/>
                <w:szCs w:val="20"/>
              </w:rPr>
            </w:pPr>
          </w:p>
        </w:tc>
        <w:tc>
          <w:tcPr>
            <w:tcW w:w="7744" w:type="dxa"/>
            <w:gridSpan w:val="6"/>
            <w:vAlign w:val="center"/>
          </w:tcPr>
          <w:p w14:paraId="39901EB5"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68F6DE2B" w14:textId="6D562A14"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sz w:val="20"/>
                <w:szCs w:val="20"/>
              </w:rPr>
              <w:t xml:space="preserve">At the time of the authority application, prescribers should request the appropriate number of vials based on the patient's weight, as per the TGA approved Product Information. Up to 2 repeats may be requested. </w:t>
            </w:r>
          </w:p>
        </w:tc>
      </w:tr>
      <w:tr w:rsidR="003C35A5" w:rsidRPr="0009282C" w14:paraId="532F37C1"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5848E021" w14:textId="662D4E5C" w:rsidR="003C35A5" w:rsidRPr="0009282C" w:rsidRDefault="003C35A5" w:rsidP="003C35A5">
            <w:pPr>
              <w:jc w:val="center"/>
              <w:rPr>
                <w:rFonts w:ascii="Arial Narrow" w:hAnsi="Arial Narrow"/>
                <w:bCs/>
                <w:sz w:val="20"/>
                <w:szCs w:val="20"/>
              </w:rPr>
            </w:pPr>
          </w:p>
        </w:tc>
        <w:tc>
          <w:tcPr>
            <w:tcW w:w="7744" w:type="dxa"/>
            <w:gridSpan w:val="6"/>
            <w:vAlign w:val="center"/>
          </w:tcPr>
          <w:p w14:paraId="29575FF3" w14:textId="77777777" w:rsidR="003C35A5" w:rsidRPr="0009282C" w:rsidRDefault="003C35A5" w:rsidP="003C35A5">
            <w:pPr>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7ECB2AA0" w14:textId="7A0A1FD3" w:rsidR="003C35A5" w:rsidRPr="0009282C" w:rsidRDefault="003C35A5" w:rsidP="003C35A5">
            <w:pPr>
              <w:keepLines/>
              <w:rPr>
                <w:rFonts w:ascii="Arial Narrow" w:eastAsia="Times New Roman" w:hAnsi="Arial Narrow"/>
                <w:b/>
                <w:bCs/>
                <w:sz w:val="20"/>
                <w:szCs w:val="20"/>
              </w:rPr>
            </w:pPr>
            <w:r>
              <w:rPr>
                <w:rFonts w:ascii="Arial Narrow" w:eastAsia="Times New Roman" w:hAnsi="Arial Narrow"/>
                <w:sz w:val="20"/>
                <w:szCs w:val="20"/>
              </w:rPr>
              <w:t>The</w:t>
            </w:r>
            <w:r w:rsidRPr="0009282C">
              <w:rPr>
                <w:rFonts w:ascii="Arial Narrow" w:eastAsia="Times New Roman" w:hAnsi="Arial Narrow"/>
                <w:sz w:val="20"/>
                <w:szCs w:val="20"/>
              </w:rPr>
              <w:t xml:space="preserve"> authority application must be made via the Online PBS Authorities System, or in writing via HPOS form upload or mail.</w:t>
            </w:r>
            <w:r>
              <w:rPr>
                <w:rFonts w:ascii="Arial Narrow" w:eastAsia="Times New Roman" w:hAnsi="Arial Narrow"/>
                <w:sz w:val="20"/>
                <w:szCs w:val="20"/>
              </w:rPr>
              <w:t xml:space="preserve"> </w:t>
            </w:r>
          </w:p>
        </w:tc>
      </w:tr>
      <w:tr w:rsidR="003C35A5" w:rsidRPr="0009282C" w14:paraId="3706975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DEB774C" w14:textId="4726C51D" w:rsidR="003C35A5" w:rsidRPr="0009282C" w:rsidRDefault="003C35A5" w:rsidP="003C35A5">
            <w:pPr>
              <w:jc w:val="center"/>
              <w:rPr>
                <w:rFonts w:ascii="Arial Narrow" w:hAnsi="Arial Narrow"/>
                <w:bCs/>
                <w:sz w:val="20"/>
                <w:szCs w:val="20"/>
              </w:rPr>
            </w:pPr>
          </w:p>
        </w:tc>
        <w:tc>
          <w:tcPr>
            <w:tcW w:w="7744" w:type="dxa"/>
            <w:gridSpan w:val="6"/>
            <w:vAlign w:val="center"/>
          </w:tcPr>
          <w:p w14:paraId="6D4C65B7" w14:textId="77777777" w:rsidR="003C35A5" w:rsidRPr="0009282C" w:rsidRDefault="003C35A5" w:rsidP="003C35A5">
            <w:pPr>
              <w:keepLines/>
              <w:rPr>
                <w:rFonts w:ascii="Arial Narrow" w:eastAsia="Times New Roman" w:hAnsi="Arial Narrow"/>
                <w:sz w:val="20"/>
                <w:szCs w:val="20"/>
              </w:rPr>
            </w:pPr>
            <w:r w:rsidRPr="0009282C">
              <w:rPr>
                <w:rFonts w:ascii="Arial Narrow" w:eastAsia="Times New Roman" w:hAnsi="Arial Narrow"/>
                <w:b/>
                <w:bCs/>
                <w:sz w:val="20"/>
                <w:szCs w:val="20"/>
              </w:rPr>
              <w:t>Prescribing Instructions:</w:t>
            </w:r>
            <w:r w:rsidRPr="0009282C">
              <w:rPr>
                <w:rFonts w:ascii="Arial Narrow" w:eastAsia="Times New Roman" w:hAnsi="Arial Narrow"/>
                <w:sz w:val="20"/>
                <w:szCs w:val="20"/>
              </w:rPr>
              <w:t xml:space="preserve"> </w:t>
            </w:r>
          </w:p>
          <w:p w14:paraId="26E705C8" w14:textId="5FDB9138" w:rsidR="003C35A5" w:rsidRPr="0009282C" w:rsidRDefault="003C35A5" w:rsidP="003C35A5">
            <w:pPr>
              <w:keepLines/>
              <w:rPr>
                <w:rFonts w:ascii="Arial Narrow" w:eastAsia="Times New Roman" w:hAnsi="Arial Narrow"/>
                <w:sz w:val="20"/>
                <w:szCs w:val="20"/>
              </w:rPr>
            </w:pPr>
            <w:r>
              <w:rPr>
                <w:rFonts w:ascii="Arial Narrow" w:eastAsia="Times New Roman" w:hAnsi="Arial Narrow"/>
                <w:sz w:val="20"/>
                <w:szCs w:val="20"/>
              </w:rPr>
              <w:t>If t</w:t>
            </w:r>
            <w:r w:rsidRPr="0009282C">
              <w:rPr>
                <w:rFonts w:ascii="Arial Narrow" w:eastAsia="Times New Roman" w:hAnsi="Arial Narrow"/>
                <w:sz w:val="20"/>
                <w:szCs w:val="20"/>
              </w:rPr>
              <w:t xml:space="preserve">he application </w:t>
            </w:r>
            <w:r>
              <w:rPr>
                <w:rFonts w:ascii="Arial Narrow" w:eastAsia="Times New Roman" w:hAnsi="Arial Narrow"/>
                <w:sz w:val="20"/>
                <w:szCs w:val="20"/>
              </w:rPr>
              <w:t xml:space="preserve">is submitted through HPOS form upload or mail, it </w:t>
            </w:r>
            <w:r w:rsidRPr="0009282C">
              <w:rPr>
                <w:rFonts w:ascii="Arial Narrow" w:eastAsia="Times New Roman" w:hAnsi="Arial Narrow"/>
                <w:sz w:val="20"/>
                <w:szCs w:val="20"/>
              </w:rPr>
              <w:t>must include:</w:t>
            </w:r>
          </w:p>
          <w:p w14:paraId="07D59D81" w14:textId="77777777" w:rsidR="003C35A5" w:rsidRPr="0009282C" w:rsidRDefault="003C35A5" w:rsidP="003C35A5">
            <w:pPr>
              <w:keepLines/>
              <w:rPr>
                <w:rFonts w:ascii="Arial Narrow" w:eastAsia="Times New Roman" w:hAnsi="Arial Narrow"/>
                <w:sz w:val="20"/>
                <w:szCs w:val="20"/>
              </w:rPr>
            </w:pPr>
            <w:r w:rsidRPr="0009282C">
              <w:rPr>
                <w:rFonts w:ascii="Arial Narrow" w:eastAsia="Times New Roman" w:hAnsi="Arial Narrow"/>
                <w:sz w:val="20"/>
                <w:szCs w:val="20"/>
              </w:rPr>
              <w:t>(1) details of the proposed prescription; and</w:t>
            </w:r>
          </w:p>
          <w:p w14:paraId="29081B28" w14:textId="77777777" w:rsidR="003C35A5" w:rsidRPr="0009282C" w:rsidRDefault="003C35A5" w:rsidP="003C35A5">
            <w:pPr>
              <w:rPr>
                <w:rFonts w:ascii="Arial Narrow" w:eastAsia="Times New Roman" w:hAnsi="Arial Narrow"/>
                <w:b/>
                <w:bCs/>
                <w:sz w:val="20"/>
                <w:szCs w:val="20"/>
              </w:rPr>
            </w:pPr>
            <w:r w:rsidRPr="0009282C">
              <w:rPr>
                <w:rFonts w:ascii="Arial Narrow" w:eastAsia="Times New Roman" w:hAnsi="Arial Narrow"/>
                <w:sz w:val="20"/>
                <w:szCs w:val="20"/>
              </w:rPr>
              <w:t>(2) a completed PBS Authority Application Form relevant to the indication and treatment phase (the latest version is located on the website specified in the Administrative Advice)</w:t>
            </w:r>
          </w:p>
        </w:tc>
      </w:tr>
      <w:tr w:rsidR="003C35A5" w:rsidRPr="0009282C" w14:paraId="4192AD10"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2E894DD" w14:textId="3564C792" w:rsidR="003C35A5" w:rsidRPr="0009282C" w:rsidRDefault="003C35A5" w:rsidP="003C35A5">
            <w:pPr>
              <w:jc w:val="center"/>
              <w:rPr>
                <w:rFonts w:ascii="Arial Narrow" w:hAnsi="Arial Narrow"/>
                <w:bCs/>
                <w:sz w:val="20"/>
                <w:szCs w:val="20"/>
              </w:rPr>
            </w:pPr>
          </w:p>
        </w:tc>
        <w:tc>
          <w:tcPr>
            <w:tcW w:w="7744" w:type="dxa"/>
            <w:gridSpan w:val="6"/>
            <w:vAlign w:val="center"/>
          </w:tcPr>
          <w:p w14:paraId="7FA394DC" w14:textId="77777777" w:rsidR="003C35A5" w:rsidRPr="0009282C" w:rsidRDefault="003C35A5" w:rsidP="003C35A5">
            <w:pPr>
              <w:keepLines/>
              <w:rPr>
                <w:rFonts w:ascii="Arial Narrow" w:eastAsia="Times New Roman" w:hAnsi="Arial Narrow"/>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3C35A5" w:rsidRPr="0009282C" w14:paraId="1505C341"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3062371" w14:textId="7649044D" w:rsidR="003C35A5" w:rsidRPr="0009282C" w:rsidRDefault="003C35A5" w:rsidP="003C35A5">
            <w:pPr>
              <w:jc w:val="center"/>
              <w:rPr>
                <w:rFonts w:ascii="Arial Narrow" w:hAnsi="Arial Narrow"/>
                <w:bCs/>
                <w:sz w:val="20"/>
                <w:szCs w:val="20"/>
              </w:rPr>
            </w:pPr>
          </w:p>
        </w:tc>
        <w:tc>
          <w:tcPr>
            <w:tcW w:w="7744" w:type="dxa"/>
            <w:gridSpan w:val="6"/>
            <w:vAlign w:val="center"/>
          </w:tcPr>
          <w:p w14:paraId="0D8A7DB8" w14:textId="77777777" w:rsidR="003C35A5" w:rsidRPr="0009282C" w:rsidRDefault="003C35A5" w:rsidP="003C35A5">
            <w:pPr>
              <w:keepLines/>
              <w:rPr>
                <w:rFonts w:ascii="Arial Narrow" w:hAnsi="Arial Narrow"/>
                <w:b/>
                <w:bCs/>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This grandfather restriction will cease to operate from 12 months after the date specified in the clinical criteria.</w:t>
            </w:r>
          </w:p>
        </w:tc>
      </w:tr>
      <w:tr w:rsidR="003C35A5" w:rsidRPr="0009282C" w14:paraId="76230E22"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9204C10" w14:textId="6A36FD20" w:rsidR="003C35A5" w:rsidRPr="0009282C" w:rsidRDefault="003C35A5" w:rsidP="003C35A5">
            <w:pPr>
              <w:jc w:val="center"/>
              <w:rPr>
                <w:rFonts w:ascii="Arial Narrow" w:hAnsi="Arial Narrow"/>
                <w:bCs/>
                <w:sz w:val="20"/>
                <w:szCs w:val="20"/>
              </w:rPr>
            </w:pPr>
          </w:p>
        </w:tc>
        <w:tc>
          <w:tcPr>
            <w:tcW w:w="7744" w:type="dxa"/>
            <w:gridSpan w:val="6"/>
            <w:vAlign w:val="center"/>
          </w:tcPr>
          <w:p w14:paraId="0712C52D" w14:textId="77777777" w:rsidR="003C35A5" w:rsidRPr="0009282C" w:rsidRDefault="003C35A5" w:rsidP="003C35A5">
            <w:pPr>
              <w:keepLines/>
              <w:rPr>
                <w:rFonts w:ascii="Arial Narrow" w:hAnsi="Arial Narrow"/>
                <w:b/>
                <w:bCs/>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Special Pricing Arrangements apply.</w:t>
            </w:r>
          </w:p>
        </w:tc>
      </w:tr>
      <w:tr w:rsidR="003C35A5" w:rsidRPr="0009282C" w14:paraId="29005036"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39E236CC" w14:textId="5A9997E7" w:rsidR="003C35A5" w:rsidRPr="0009282C" w:rsidRDefault="003C35A5" w:rsidP="003C35A5">
            <w:pPr>
              <w:jc w:val="center"/>
              <w:rPr>
                <w:rFonts w:ascii="Arial Narrow" w:hAnsi="Arial Narrow"/>
                <w:bCs/>
                <w:sz w:val="20"/>
                <w:szCs w:val="20"/>
              </w:rPr>
            </w:pPr>
          </w:p>
        </w:tc>
        <w:tc>
          <w:tcPr>
            <w:tcW w:w="7744" w:type="dxa"/>
            <w:gridSpan w:val="6"/>
            <w:vAlign w:val="center"/>
          </w:tcPr>
          <w:p w14:paraId="365D011C" w14:textId="77777777" w:rsidR="003C35A5" w:rsidRPr="0009282C" w:rsidRDefault="003C35A5" w:rsidP="003C35A5">
            <w:pPr>
              <w:keepLines/>
              <w:rPr>
                <w:rFonts w:ascii="Arial Narrow" w:hAnsi="Arial Narrow"/>
                <w:b/>
                <w:bCs/>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quantity or number of units may be authorised.</w:t>
            </w:r>
          </w:p>
        </w:tc>
      </w:tr>
      <w:tr w:rsidR="003C35A5" w:rsidRPr="0009282C" w14:paraId="6306ED8B"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0C11F492" w14:textId="51656C9B" w:rsidR="003C35A5" w:rsidRPr="0009282C" w:rsidRDefault="003C35A5" w:rsidP="003C35A5">
            <w:pPr>
              <w:jc w:val="center"/>
              <w:rPr>
                <w:rFonts w:ascii="Arial Narrow" w:hAnsi="Arial Narrow"/>
                <w:bCs/>
                <w:sz w:val="20"/>
                <w:szCs w:val="20"/>
              </w:rPr>
            </w:pPr>
          </w:p>
        </w:tc>
        <w:tc>
          <w:tcPr>
            <w:tcW w:w="7744" w:type="dxa"/>
            <w:gridSpan w:val="6"/>
            <w:vAlign w:val="center"/>
          </w:tcPr>
          <w:p w14:paraId="27E04D6C" w14:textId="77777777" w:rsidR="003C35A5" w:rsidRPr="0009282C" w:rsidRDefault="003C35A5" w:rsidP="003C35A5">
            <w:pPr>
              <w:keepLines/>
              <w:rPr>
                <w:rFonts w:ascii="Arial Narrow" w:hAnsi="Arial Narrow"/>
                <w:b/>
                <w:bCs/>
                <w:sz w:val="20"/>
                <w:szCs w:val="20"/>
              </w:rPr>
            </w:pPr>
            <w:r w:rsidRPr="0009282C">
              <w:rPr>
                <w:rFonts w:ascii="Arial Narrow" w:hAnsi="Arial Narrow"/>
                <w:b/>
                <w:bCs/>
                <w:sz w:val="20"/>
                <w:szCs w:val="20"/>
              </w:rPr>
              <w:t xml:space="preserve">Administrative Advice: </w:t>
            </w:r>
            <w:r w:rsidRPr="0009282C">
              <w:rPr>
                <w:rFonts w:ascii="Arial Narrow" w:hAnsi="Arial Narrow"/>
                <w:bCs/>
                <w:sz w:val="20"/>
                <w:szCs w:val="20"/>
              </w:rPr>
              <w:t>No increase in the maximum number of repeats may be authorised.</w:t>
            </w:r>
          </w:p>
        </w:tc>
      </w:tr>
      <w:tr w:rsidR="003C35A5" w:rsidRPr="0009282C" w14:paraId="0935A78A" w14:textId="77777777" w:rsidTr="004232E4">
        <w:tblPrEx>
          <w:tblCellMar>
            <w:top w:w="15" w:type="dxa"/>
            <w:bottom w:w="15" w:type="dxa"/>
          </w:tblCellMar>
          <w:tblLook w:val="04A0" w:firstRow="1" w:lastRow="0" w:firstColumn="1" w:lastColumn="0" w:noHBand="0" w:noVBand="1"/>
        </w:tblPrEx>
        <w:trPr>
          <w:cantSplit/>
          <w:trHeight w:val="20"/>
        </w:trPr>
        <w:tc>
          <w:tcPr>
            <w:tcW w:w="1273" w:type="dxa"/>
            <w:vAlign w:val="center"/>
          </w:tcPr>
          <w:p w14:paraId="1BD3C803" w14:textId="558D7F58" w:rsidR="003C35A5" w:rsidRPr="0009282C" w:rsidRDefault="003C35A5" w:rsidP="003C35A5">
            <w:pPr>
              <w:jc w:val="center"/>
              <w:rPr>
                <w:rFonts w:ascii="Arial Narrow" w:hAnsi="Arial Narrow"/>
                <w:bCs/>
                <w:sz w:val="20"/>
                <w:szCs w:val="20"/>
              </w:rPr>
            </w:pPr>
          </w:p>
        </w:tc>
        <w:tc>
          <w:tcPr>
            <w:tcW w:w="7744" w:type="dxa"/>
            <w:gridSpan w:val="6"/>
            <w:vAlign w:val="center"/>
          </w:tcPr>
          <w:p w14:paraId="26ACDEC1" w14:textId="77777777" w:rsidR="003C35A5" w:rsidRPr="0009282C" w:rsidRDefault="003C35A5" w:rsidP="003C35A5">
            <w:pPr>
              <w:rPr>
                <w:rFonts w:ascii="Arial Narrow" w:hAnsi="Arial Narrow"/>
                <w:b/>
                <w:bCs/>
                <w:sz w:val="20"/>
                <w:szCs w:val="20"/>
              </w:rPr>
            </w:pPr>
            <w:r w:rsidRPr="0009282C">
              <w:rPr>
                <w:rFonts w:ascii="Arial Narrow" w:hAnsi="Arial Narrow"/>
                <w:b/>
                <w:bCs/>
                <w:sz w:val="20"/>
                <w:szCs w:val="20"/>
              </w:rPr>
              <w:t>Administrative Advice:</w:t>
            </w:r>
          </w:p>
          <w:p w14:paraId="50EA466A"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Any queries concerning the arrangements to prescribe may be directed to Services Australia on 1800 700 270 (hours of operation 8 a.m. to 5 p.m. Monday to Friday).</w:t>
            </w:r>
          </w:p>
          <w:p w14:paraId="469C221B"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6E52F9B5" w14:textId="1A06DD39" w:rsidR="003C35A5" w:rsidRDefault="003C35A5" w:rsidP="003C35A5">
            <w:pPr>
              <w:rPr>
                <w:rFonts w:ascii="Arial Narrow" w:hAnsi="Arial Narrow"/>
                <w:sz w:val="20"/>
                <w:szCs w:val="20"/>
              </w:rPr>
            </w:pPr>
            <w:r w:rsidRPr="0009282C">
              <w:rPr>
                <w:rFonts w:ascii="Arial Narrow" w:hAnsi="Arial Narrow"/>
                <w:sz w:val="20"/>
                <w:szCs w:val="20"/>
              </w:rPr>
              <w:t xml:space="preserve">Applications for </w:t>
            </w:r>
            <w:r w:rsidRPr="008121E4">
              <w:rPr>
                <w:rFonts w:ascii="Arial Narrow" w:hAnsi="Arial Narrow"/>
                <w:sz w:val="20"/>
                <w:szCs w:val="20"/>
              </w:rPr>
              <w:t xml:space="preserve">authorisation under this restriction should be made using the Online PBS Authorities system (see </w:t>
            </w:r>
            <w:hyperlink r:id="rId12" w:history="1">
              <w:r w:rsidRPr="00F7249C">
                <w:rPr>
                  <w:rStyle w:val="Hyperlink"/>
                  <w:rFonts w:ascii="Arial Narrow" w:hAnsi="Arial Narrow"/>
                  <w:sz w:val="20"/>
                  <w:szCs w:val="20"/>
                </w:rPr>
                <w:t>www.servicesaustralia.gov.au/hpos</w:t>
              </w:r>
            </w:hyperlink>
            <w:r w:rsidRPr="008121E4">
              <w:rPr>
                <w:rFonts w:ascii="Arial Narrow" w:hAnsi="Arial Narrow"/>
                <w:sz w:val="20"/>
                <w:szCs w:val="20"/>
              </w:rPr>
              <w:t>)</w:t>
            </w:r>
          </w:p>
          <w:p w14:paraId="6ED5383A" w14:textId="5A774082" w:rsidR="003C35A5" w:rsidRPr="0009282C" w:rsidRDefault="003C35A5" w:rsidP="003C35A5">
            <w:pPr>
              <w:rPr>
                <w:rFonts w:ascii="Arial Narrow" w:hAnsi="Arial Narrow"/>
                <w:sz w:val="20"/>
                <w:szCs w:val="20"/>
              </w:rPr>
            </w:pPr>
            <w:r w:rsidRPr="0009282C">
              <w:rPr>
                <w:rFonts w:ascii="Arial Narrow" w:hAnsi="Arial Narrow"/>
                <w:sz w:val="20"/>
                <w:szCs w:val="20"/>
              </w:rPr>
              <w:t>A</w:t>
            </w:r>
            <w:r>
              <w:rPr>
                <w:rFonts w:ascii="Arial Narrow" w:hAnsi="Arial Narrow"/>
                <w:sz w:val="20"/>
                <w:szCs w:val="20"/>
              </w:rPr>
              <w:t>lternatively, a</w:t>
            </w:r>
            <w:r w:rsidRPr="0009282C">
              <w:rPr>
                <w:rFonts w:ascii="Arial Narrow" w:hAnsi="Arial Narrow"/>
                <w:sz w:val="20"/>
                <w:szCs w:val="20"/>
              </w:rPr>
              <w:t>pplications for authority to prescribe should be submitted online using the form upload facility in Health Professional Online Services (HPOS) at www.servicesaustralia.gov.au/hpos</w:t>
            </w:r>
          </w:p>
          <w:p w14:paraId="04DB01C9"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Or mailed to:</w:t>
            </w:r>
          </w:p>
          <w:p w14:paraId="60E0211B"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Services Australia</w:t>
            </w:r>
          </w:p>
          <w:p w14:paraId="116305A4"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Complex Drugs</w:t>
            </w:r>
          </w:p>
          <w:p w14:paraId="1EDC2F95" w14:textId="77777777" w:rsidR="003C35A5" w:rsidRPr="0009282C" w:rsidRDefault="003C35A5" w:rsidP="003C35A5">
            <w:pPr>
              <w:rPr>
                <w:rFonts w:ascii="Arial Narrow" w:hAnsi="Arial Narrow"/>
                <w:sz w:val="20"/>
                <w:szCs w:val="20"/>
              </w:rPr>
            </w:pPr>
            <w:r w:rsidRPr="0009282C">
              <w:rPr>
                <w:rFonts w:ascii="Arial Narrow" w:hAnsi="Arial Narrow"/>
                <w:sz w:val="20"/>
                <w:szCs w:val="20"/>
              </w:rPr>
              <w:t>Reply Paid 9826</w:t>
            </w:r>
          </w:p>
          <w:p w14:paraId="001A3A27" w14:textId="77777777" w:rsidR="003C35A5" w:rsidRPr="0009282C" w:rsidRDefault="003C35A5" w:rsidP="003C35A5">
            <w:pPr>
              <w:keepLines/>
              <w:rPr>
                <w:rFonts w:ascii="Arial Narrow" w:hAnsi="Arial Narrow"/>
                <w:b/>
                <w:bCs/>
                <w:sz w:val="20"/>
                <w:szCs w:val="20"/>
              </w:rPr>
            </w:pPr>
            <w:r w:rsidRPr="0009282C">
              <w:rPr>
                <w:rFonts w:ascii="Arial Narrow" w:hAnsi="Arial Narrow"/>
                <w:sz w:val="20"/>
                <w:szCs w:val="20"/>
              </w:rPr>
              <w:t>HOBART TAS 7001</w:t>
            </w:r>
          </w:p>
        </w:tc>
      </w:tr>
    </w:tbl>
    <w:p w14:paraId="1A7354A8" w14:textId="77777777" w:rsidR="00D37011" w:rsidRPr="0009282C" w:rsidRDefault="00D37011" w:rsidP="004B10D4">
      <w:pPr>
        <w:rPr>
          <w:rFonts w:asciiTheme="minorHAnsi" w:hAnsiTheme="minorHAnsi"/>
          <w:bCs/>
          <w:snapToGrid w:val="0"/>
        </w:rPr>
      </w:pPr>
    </w:p>
    <w:p w14:paraId="50DF8257" w14:textId="29A4A887" w:rsidR="00AF3B6E" w:rsidRDefault="00AF3B6E" w:rsidP="004B10D4">
      <w:pPr>
        <w:rPr>
          <w:rFonts w:asciiTheme="minorHAnsi" w:hAnsiTheme="minorHAnsi"/>
          <w:b/>
          <w:i/>
          <w:iCs/>
          <w:snapToGrid w:val="0"/>
        </w:rPr>
      </w:pPr>
      <w:r w:rsidRPr="0009282C">
        <w:rPr>
          <w:rFonts w:asciiTheme="minorHAnsi" w:hAnsiTheme="minorHAnsi"/>
          <w:b/>
          <w:i/>
          <w:iCs/>
          <w:snapToGrid w:val="0"/>
        </w:rPr>
        <w:t>These restrictions may be subject to further review. Should there be any changes made to the restriction the sponsor will be informed.</w:t>
      </w:r>
      <w:bookmarkEnd w:id="96"/>
    </w:p>
    <w:p w14:paraId="23E3E194" w14:textId="77777777" w:rsidR="000E620B" w:rsidRPr="000E620B" w:rsidRDefault="000E620B" w:rsidP="00C1796F">
      <w:pPr>
        <w:pStyle w:val="2-SectionHeading"/>
        <w:ind w:left="709" w:hanging="709"/>
      </w:pPr>
      <w:r w:rsidRPr="000E620B">
        <w:t>Context for Decision</w:t>
      </w:r>
    </w:p>
    <w:p w14:paraId="7851B517" w14:textId="77777777" w:rsidR="000E620B" w:rsidRPr="00061CBE" w:rsidRDefault="000E620B" w:rsidP="000E620B">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7555126" w14:textId="77777777" w:rsidR="004B10D4" w:rsidRPr="004B10D4" w:rsidRDefault="004B10D4" w:rsidP="004B10D4">
      <w:pPr>
        <w:pStyle w:val="2-SectionHeading"/>
        <w:ind w:left="709" w:hanging="709"/>
      </w:pPr>
      <w:r w:rsidRPr="004B10D4">
        <w:t>Sponsor’s Comment</w:t>
      </w:r>
    </w:p>
    <w:p w14:paraId="7E5C4230" w14:textId="21DA2642" w:rsidR="00D606ED" w:rsidRPr="0009282C" w:rsidRDefault="004B10D4" w:rsidP="004B10D4">
      <w:pPr>
        <w:spacing w:before="120"/>
        <w:ind w:firstLine="720"/>
        <w:rPr>
          <w:rFonts w:asciiTheme="minorHAnsi" w:hAnsiTheme="minorHAnsi"/>
          <w:b/>
          <w:i/>
          <w:iCs/>
          <w:snapToGrid w:val="0"/>
        </w:rPr>
      </w:pPr>
      <w:r w:rsidRPr="00061CBE">
        <w:rPr>
          <w:bCs/>
        </w:rPr>
        <w:t>The sponsor had no comment</w:t>
      </w:r>
    </w:p>
    <w:sectPr w:rsidR="00D606ED" w:rsidRPr="0009282C" w:rsidSect="00F55013">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84BB" w14:textId="77777777" w:rsidR="00547622" w:rsidRPr="000163E6" w:rsidRDefault="00547622" w:rsidP="00124A51">
      <w:r w:rsidRPr="000163E6">
        <w:separator/>
      </w:r>
    </w:p>
    <w:p w14:paraId="1A9CB342" w14:textId="77777777" w:rsidR="00547622" w:rsidRPr="000163E6" w:rsidRDefault="00547622"/>
  </w:endnote>
  <w:endnote w:type="continuationSeparator" w:id="0">
    <w:p w14:paraId="6EAA7CC9" w14:textId="77777777" w:rsidR="00547622" w:rsidRPr="000163E6" w:rsidRDefault="00547622" w:rsidP="00124A51">
      <w:r w:rsidRPr="000163E6">
        <w:continuationSeparator/>
      </w:r>
    </w:p>
    <w:p w14:paraId="1D821678" w14:textId="77777777" w:rsidR="00547622" w:rsidRPr="000163E6" w:rsidRDefault="00547622"/>
  </w:endnote>
  <w:endnote w:type="continuationNotice" w:id="1">
    <w:p w14:paraId="254DBDA8" w14:textId="77777777" w:rsidR="00547622" w:rsidRPr="000163E6" w:rsidRDefault="0054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41E3" w14:textId="77777777" w:rsidR="002212A2" w:rsidRDefault="00221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BED5" w14:textId="77777777" w:rsidR="007A68A1" w:rsidRDefault="007A68A1">
    <w:pPr>
      <w:pStyle w:val="Footer"/>
      <w:jc w:val="center"/>
    </w:pPr>
  </w:p>
  <w:bookmarkStart w:id="99" w:name="_Hlk76375156"/>
  <w:p w14:paraId="5DE47CE5" w14:textId="68ED72A5" w:rsidR="007A68A1" w:rsidRPr="0094410E" w:rsidRDefault="0094410E" w:rsidP="0094410E">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9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16A7" w14:textId="77777777" w:rsidR="002212A2" w:rsidRDefault="00221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56BD" w14:textId="77777777" w:rsidR="00547622" w:rsidRPr="000163E6" w:rsidRDefault="00547622" w:rsidP="00124A51">
      <w:r w:rsidRPr="000163E6">
        <w:separator/>
      </w:r>
    </w:p>
    <w:p w14:paraId="3C8E7331" w14:textId="77777777" w:rsidR="00547622" w:rsidRPr="000163E6" w:rsidRDefault="00547622"/>
  </w:footnote>
  <w:footnote w:type="continuationSeparator" w:id="0">
    <w:p w14:paraId="73AEA6B0" w14:textId="77777777" w:rsidR="00547622" w:rsidRPr="000163E6" w:rsidRDefault="00547622" w:rsidP="00124A51">
      <w:r w:rsidRPr="000163E6">
        <w:continuationSeparator/>
      </w:r>
    </w:p>
    <w:p w14:paraId="0E3DA7A0" w14:textId="77777777" w:rsidR="00547622" w:rsidRPr="000163E6" w:rsidRDefault="00547622"/>
  </w:footnote>
  <w:footnote w:type="continuationNotice" w:id="1">
    <w:p w14:paraId="34C0DEA7" w14:textId="77777777" w:rsidR="00547622" w:rsidRPr="000163E6" w:rsidRDefault="00547622"/>
  </w:footnote>
  <w:footnote w:id="2">
    <w:p w14:paraId="7170BA50" w14:textId="77777777" w:rsidR="00584CF1" w:rsidRPr="005E4AB5" w:rsidRDefault="00584CF1" w:rsidP="00F27754">
      <w:pPr>
        <w:pStyle w:val="FootnoteText"/>
        <w:spacing w:after="0"/>
        <w:rPr>
          <w:lang w:val="en-AU"/>
        </w:rPr>
      </w:pPr>
      <w:r>
        <w:rPr>
          <w:rStyle w:val="FootnoteReference"/>
        </w:rPr>
        <w:footnoteRef/>
      </w:r>
      <w:r>
        <w:t xml:space="preserve"> </w:t>
      </w:r>
      <w:r w:rsidRPr="005E4AB5">
        <w:rPr>
          <w:lang w:val="en-AU"/>
        </w:rPr>
        <w:t xml:space="preserve">Groothoff et al. Clinical practice recommendations for primary hyperoxaluria: an expert consensus statement from </w:t>
      </w:r>
      <w:proofErr w:type="spellStart"/>
      <w:r w:rsidRPr="005E4AB5">
        <w:rPr>
          <w:lang w:val="en-AU"/>
        </w:rPr>
        <w:t>ERKNet</w:t>
      </w:r>
      <w:proofErr w:type="spellEnd"/>
      <w:r w:rsidRPr="005E4AB5">
        <w:rPr>
          <w:lang w:val="en-AU"/>
        </w:rPr>
        <w:t xml:space="preserve"> and </w:t>
      </w:r>
      <w:proofErr w:type="spellStart"/>
      <w:r w:rsidRPr="005E4AB5">
        <w:rPr>
          <w:lang w:val="en-AU"/>
        </w:rPr>
        <w:t>OxalEurope</w:t>
      </w:r>
      <w:proofErr w:type="spellEnd"/>
      <w:r w:rsidRPr="005E4AB5">
        <w:rPr>
          <w:lang w:val="en-AU"/>
        </w:rPr>
        <w:t>. Nature Reviews Nephrology, 2023,19:194-211.</w:t>
      </w:r>
    </w:p>
  </w:footnote>
  <w:footnote w:id="3">
    <w:p w14:paraId="0843F638" w14:textId="1E0D8B30" w:rsidR="005E4AB5" w:rsidRPr="005E4AB5" w:rsidRDefault="005E4AB5" w:rsidP="00F27754">
      <w:pPr>
        <w:pStyle w:val="FootnoteText"/>
        <w:spacing w:after="0"/>
        <w:rPr>
          <w:lang w:val="en-AU"/>
        </w:rPr>
      </w:pPr>
      <w:r>
        <w:rPr>
          <w:rStyle w:val="FootnoteReference"/>
        </w:rPr>
        <w:footnoteRef/>
      </w:r>
      <w:r>
        <w:t xml:space="preserve"> </w:t>
      </w:r>
      <w:r w:rsidRPr="005E4AB5">
        <w:rPr>
          <w:lang w:val="en-AU"/>
        </w:rPr>
        <w:t xml:space="preserve">Groothoff et al. Clinical practice recommendations for primary hyperoxaluria: an expert consensus statement from </w:t>
      </w:r>
      <w:proofErr w:type="spellStart"/>
      <w:r w:rsidRPr="005E4AB5">
        <w:rPr>
          <w:lang w:val="en-AU"/>
        </w:rPr>
        <w:t>ERKNet</w:t>
      </w:r>
      <w:proofErr w:type="spellEnd"/>
      <w:r w:rsidRPr="005E4AB5">
        <w:rPr>
          <w:lang w:val="en-AU"/>
        </w:rPr>
        <w:t xml:space="preserve"> and </w:t>
      </w:r>
      <w:proofErr w:type="spellStart"/>
      <w:r w:rsidRPr="005E4AB5">
        <w:rPr>
          <w:lang w:val="en-AU"/>
        </w:rPr>
        <w:t>OxalEurope</w:t>
      </w:r>
      <w:proofErr w:type="spellEnd"/>
      <w:r w:rsidRPr="005E4AB5">
        <w:rPr>
          <w:lang w:val="en-AU"/>
        </w:rPr>
        <w:t>. Nature Reviews Nephrology, 2023,19:194-211.</w:t>
      </w:r>
    </w:p>
  </w:footnote>
  <w:footnote w:id="4">
    <w:p w14:paraId="19B049C5" w14:textId="77777777" w:rsidR="00F70A62" w:rsidRPr="002222B3" w:rsidRDefault="00F70A62" w:rsidP="00E50779">
      <w:pPr>
        <w:pStyle w:val="FootnoteText"/>
        <w:spacing w:after="0"/>
        <w:rPr>
          <w:lang w:val="en-AU"/>
        </w:rPr>
      </w:pPr>
      <w:r>
        <w:rPr>
          <w:rStyle w:val="FootnoteReference"/>
        </w:rPr>
        <w:footnoteRef/>
      </w:r>
      <w:r>
        <w:t xml:space="preserve"> </w:t>
      </w:r>
      <w:r w:rsidRPr="002222B3">
        <w:t xml:space="preserve">Groothoff et al. Clinical practice recommendations for primary hyperoxaluria: an expert consensus statement from </w:t>
      </w:r>
      <w:proofErr w:type="spellStart"/>
      <w:r w:rsidRPr="002222B3">
        <w:t>ERKNet</w:t>
      </w:r>
      <w:proofErr w:type="spellEnd"/>
      <w:r w:rsidRPr="002222B3">
        <w:t xml:space="preserve"> and </w:t>
      </w:r>
      <w:proofErr w:type="spellStart"/>
      <w:r w:rsidRPr="002222B3">
        <w:t>OxalEurope</w:t>
      </w:r>
      <w:proofErr w:type="spellEnd"/>
      <w:r w:rsidRPr="002222B3">
        <w:t>. Nature Reviews Nephrology, 2023,19:194-211.</w:t>
      </w:r>
    </w:p>
  </w:footnote>
  <w:footnote w:id="5">
    <w:p w14:paraId="099B8079" w14:textId="0644BBD6" w:rsidR="009C4636" w:rsidRPr="009C4636" w:rsidRDefault="009C4636" w:rsidP="00E50779">
      <w:pPr>
        <w:pStyle w:val="FootnoteText"/>
        <w:spacing w:after="0"/>
        <w:rPr>
          <w:lang w:val="en-AU"/>
        </w:rPr>
      </w:pPr>
      <w:r>
        <w:rPr>
          <w:rStyle w:val="FootnoteReference"/>
        </w:rPr>
        <w:footnoteRef/>
      </w:r>
      <w:r>
        <w:t xml:space="preserve"> </w:t>
      </w:r>
      <w:r w:rsidRPr="00C121B2">
        <w:rPr>
          <w:noProof/>
        </w:rPr>
        <w:t xml:space="preserve">Cochat P, Deloraine A, Rotily M, et al. Epidemiology of primary hyperoxaluria type 1. Societe de Nephrologie and the Societe de Nephrologie Pediatrique. </w:t>
      </w:r>
      <w:r w:rsidRPr="00C121B2">
        <w:rPr>
          <w:i/>
          <w:noProof/>
        </w:rPr>
        <w:t xml:space="preserve">Nephrol Dial Transplant. </w:t>
      </w:r>
      <w:r w:rsidRPr="00C121B2">
        <w:rPr>
          <w:noProof/>
        </w:rPr>
        <w:t>1995;10 Suppl 8:3-7.</w:t>
      </w:r>
    </w:p>
  </w:footnote>
  <w:footnote w:id="6">
    <w:p w14:paraId="18C056B3" w14:textId="42B331FF" w:rsidR="009C4636" w:rsidRPr="009C4636" w:rsidRDefault="009C4636" w:rsidP="00BB7EC0">
      <w:pPr>
        <w:pStyle w:val="FootnoteText"/>
        <w:spacing w:after="0"/>
        <w:rPr>
          <w:lang w:val="en-AU"/>
        </w:rPr>
      </w:pPr>
      <w:r>
        <w:rPr>
          <w:rStyle w:val="FootnoteReference"/>
        </w:rPr>
        <w:footnoteRef/>
      </w:r>
      <w:r>
        <w:t xml:space="preserve"> </w:t>
      </w:r>
      <w:r w:rsidR="0023539C" w:rsidRPr="00C121B2">
        <w:rPr>
          <w:noProof/>
        </w:rPr>
        <w:t xml:space="preserve">Kopp N, Leumann E. Changing pattern of primary hyperoxaluria in Switzerland. </w:t>
      </w:r>
      <w:r w:rsidR="0023539C" w:rsidRPr="00C121B2">
        <w:rPr>
          <w:i/>
          <w:noProof/>
        </w:rPr>
        <w:t xml:space="preserve">Nephrol Dial Transplant. </w:t>
      </w:r>
      <w:r w:rsidR="0023539C" w:rsidRPr="00C121B2">
        <w:rPr>
          <w:noProof/>
        </w:rPr>
        <w:t>1995;10(12):2224-2227.</w:t>
      </w:r>
    </w:p>
  </w:footnote>
  <w:footnote w:id="7">
    <w:p w14:paraId="4B130247" w14:textId="08E7B2D2" w:rsidR="00BB7EC0" w:rsidRPr="00BB7EC0" w:rsidRDefault="00BB7EC0" w:rsidP="00BB7EC0">
      <w:pPr>
        <w:pStyle w:val="FootnoteText"/>
        <w:spacing w:after="0"/>
        <w:rPr>
          <w:lang w:val="en-AU"/>
        </w:rPr>
      </w:pPr>
      <w:r>
        <w:rPr>
          <w:rStyle w:val="FootnoteReference"/>
        </w:rPr>
        <w:footnoteRef/>
      </w:r>
      <w:r>
        <w:t xml:space="preserve"> </w:t>
      </w:r>
      <w:r w:rsidRPr="00C121B2">
        <w:rPr>
          <w:noProof/>
        </w:rPr>
        <w:t xml:space="preserve">van Woerden CS, Groothoff JW, Wanders RJ, et al. Primary hyperoxaluria type 1 in The Netherlands: prevalence and outcome. </w:t>
      </w:r>
      <w:r w:rsidRPr="00C121B2">
        <w:rPr>
          <w:i/>
          <w:noProof/>
        </w:rPr>
        <w:t xml:space="preserve">Nephrol Dial Transplant. </w:t>
      </w:r>
      <w:r w:rsidRPr="00C121B2">
        <w:rPr>
          <w:noProof/>
        </w:rPr>
        <w:t>2003;18(2):273-279.</w:t>
      </w:r>
    </w:p>
  </w:footnote>
  <w:footnote w:id="8">
    <w:p w14:paraId="13D2C324" w14:textId="129AC0D5" w:rsidR="002222B3" w:rsidRPr="002222B3" w:rsidRDefault="002222B3">
      <w:pPr>
        <w:pStyle w:val="FootnoteText"/>
        <w:rPr>
          <w:lang w:val="en-AU"/>
        </w:rPr>
      </w:pPr>
      <w:r>
        <w:rPr>
          <w:rStyle w:val="FootnoteReference"/>
        </w:rPr>
        <w:footnoteRef/>
      </w:r>
      <w:r>
        <w:t xml:space="preserve"> </w:t>
      </w:r>
      <w:r w:rsidRPr="002222B3">
        <w:t xml:space="preserve">Groothoff et al. Clinical practice recommendations for primary hyperoxaluria: an expert consensus statement from </w:t>
      </w:r>
      <w:proofErr w:type="spellStart"/>
      <w:r w:rsidRPr="002222B3">
        <w:t>ERKNet</w:t>
      </w:r>
      <w:proofErr w:type="spellEnd"/>
      <w:r w:rsidRPr="002222B3">
        <w:t xml:space="preserve"> and </w:t>
      </w:r>
      <w:proofErr w:type="spellStart"/>
      <w:r w:rsidRPr="002222B3">
        <w:t>OxalEurope</w:t>
      </w:r>
      <w:proofErr w:type="spellEnd"/>
      <w:r w:rsidRPr="002222B3">
        <w:t>. Nature Reviews Nephrology, 2023,19:194-211.</w:t>
      </w:r>
    </w:p>
  </w:footnote>
  <w:footnote w:id="9">
    <w:p w14:paraId="483DBEC3" w14:textId="6A0D6473" w:rsidR="00162AB2" w:rsidRPr="00162AB2" w:rsidRDefault="00162AB2" w:rsidP="00162AB2">
      <w:pPr>
        <w:pStyle w:val="FootnoteText"/>
        <w:spacing w:after="0"/>
        <w:rPr>
          <w:lang w:val="en-AU"/>
        </w:rPr>
      </w:pPr>
      <w:r>
        <w:rPr>
          <w:rStyle w:val="FootnoteReference"/>
        </w:rPr>
        <w:footnoteRef/>
      </w:r>
      <w:r>
        <w:t xml:space="preserve"> </w:t>
      </w:r>
      <w:r w:rsidRPr="00162AB2">
        <w:rPr>
          <w:lang w:val="en-AU"/>
        </w:rPr>
        <w:t>Milliner DS et al. 2020. Clin J Am Soc Nephrol. 2020;15(7):1056-1065.</w:t>
      </w:r>
    </w:p>
  </w:footnote>
  <w:footnote w:id="10">
    <w:p w14:paraId="7A092AA2" w14:textId="2DEA86E5" w:rsidR="00162AB2" w:rsidRPr="00162AB2" w:rsidRDefault="00162AB2" w:rsidP="00162AB2">
      <w:pPr>
        <w:pStyle w:val="FootnoteText"/>
        <w:spacing w:after="0"/>
        <w:rPr>
          <w:lang w:val="en-AU"/>
        </w:rPr>
      </w:pPr>
      <w:r>
        <w:rPr>
          <w:rStyle w:val="FootnoteReference"/>
        </w:rPr>
        <w:footnoteRef/>
      </w:r>
      <w:r>
        <w:t xml:space="preserve"> </w:t>
      </w:r>
      <w:r w:rsidRPr="00162AB2">
        <w:rPr>
          <w:lang w:val="en-AU"/>
        </w:rPr>
        <w:t>Zhao F, et al. 2016. Clin J Am Soc Nephrol. 11(1):119-126</w:t>
      </w:r>
    </w:p>
  </w:footnote>
  <w:footnote w:id="11">
    <w:p w14:paraId="25BCB2AD" w14:textId="77777777" w:rsidR="00B11048" w:rsidRPr="00B01D0E" w:rsidRDefault="00B11048" w:rsidP="00B11048">
      <w:pPr>
        <w:pStyle w:val="FootnoteText"/>
        <w:spacing w:after="0"/>
      </w:pPr>
      <w:r w:rsidRPr="00B01D0E">
        <w:rPr>
          <w:vertAlign w:val="superscript"/>
        </w:rPr>
        <w:footnoteRef/>
      </w:r>
      <w:r w:rsidRPr="00B01D0E">
        <w:rPr>
          <w:vertAlign w:val="superscript"/>
        </w:rPr>
        <w:t xml:space="preserve"> </w:t>
      </w:r>
      <w:proofErr w:type="spellStart"/>
      <w:r w:rsidRPr="00502056">
        <w:t>Marangella</w:t>
      </w:r>
      <w:proofErr w:type="spellEnd"/>
      <w:r w:rsidRPr="00502056">
        <w:t xml:space="preserve"> M, </w:t>
      </w:r>
      <w:proofErr w:type="spellStart"/>
      <w:r w:rsidRPr="00502056">
        <w:t>Cosseddu</w:t>
      </w:r>
      <w:proofErr w:type="spellEnd"/>
      <w:r w:rsidRPr="00502056">
        <w:t xml:space="preserve"> D, </w:t>
      </w:r>
      <w:proofErr w:type="spellStart"/>
      <w:r w:rsidRPr="00502056">
        <w:t>Petrarulo</w:t>
      </w:r>
      <w:proofErr w:type="spellEnd"/>
      <w:r w:rsidRPr="00502056">
        <w:t xml:space="preserve"> M, et al. Thresholds of serum calcium oxalate supersaturation in relation to renal function in patients with or without primary hyperoxaluria. Nephrol Dial Transplant. 1993;8(12):1333-1337</w:t>
      </w:r>
    </w:p>
  </w:footnote>
  <w:footnote w:id="12">
    <w:p w14:paraId="531F56FC" w14:textId="77777777" w:rsidR="00B11048" w:rsidRPr="00B01D0E" w:rsidRDefault="00B11048" w:rsidP="00B11048">
      <w:pPr>
        <w:pStyle w:val="FootnoteText"/>
        <w:spacing w:after="0"/>
      </w:pPr>
      <w:r w:rsidRPr="00B01D0E">
        <w:rPr>
          <w:vertAlign w:val="superscript"/>
        </w:rPr>
        <w:footnoteRef/>
      </w:r>
      <w:r>
        <w:t xml:space="preserve"> </w:t>
      </w:r>
      <w:r w:rsidRPr="00C121B2">
        <w:t xml:space="preserve">Illies F, Bonzel KE, </w:t>
      </w:r>
      <w:proofErr w:type="spellStart"/>
      <w:r w:rsidRPr="00C121B2">
        <w:t>Wingen</w:t>
      </w:r>
      <w:proofErr w:type="spellEnd"/>
      <w:r w:rsidRPr="00C121B2">
        <w:t xml:space="preserve"> AM, et al. Clearance and removal of oxalate in children on intensified dialysis for primary hyperoxaluria type 1. </w:t>
      </w:r>
      <w:r w:rsidRPr="00B01D0E">
        <w:t xml:space="preserve">Kidney Int. </w:t>
      </w:r>
      <w:r w:rsidRPr="00C121B2">
        <w:t>2006;70(9):1642-1648.</w:t>
      </w:r>
    </w:p>
  </w:footnote>
  <w:footnote w:id="13">
    <w:p w14:paraId="7458EDF7" w14:textId="77777777" w:rsidR="00B11048" w:rsidRPr="00A02800" w:rsidRDefault="00B11048" w:rsidP="00B11048">
      <w:pPr>
        <w:pStyle w:val="FootnoteText"/>
        <w:spacing w:after="0"/>
      </w:pPr>
      <w:r w:rsidRPr="00B01D0E">
        <w:rPr>
          <w:vertAlign w:val="superscript"/>
        </w:rPr>
        <w:footnoteRef/>
      </w:r>
      <w:r w:rsidRPr="00B01D0E">
        <w:rPr>
          <w:vertAlign w:val="superscript"/>
        </w:rPr>
        <w:t xml:space="preserve"> </w:t>
      </w:r>
      <w:r w:rsidRPr="00C121B2">
        <w:t xml:space="preserve">Sas DJ, Enders FT, Gunderson TM, et al. Natural history of clinical, laboratory, and echocardiographic parameters of a primary hyperoxaluria cohort on long term hemodialysis. </w:t>
      </w:r>
      <w:r w:rsidRPr="00B01D0E">
        <w:t xml:space="preserve">Front Med (Lausanne). </w:t>
      </w:r>
      <w:r w:rsidRPr="00C121B2">
        <w:t>2021;8:592357.</w:t>
      </w:r>
    </w:p>
  </w:footnote>
  <w:footnote w:id="14">
    <w:p w14:paraId="7A09E26B" w14:textId="77777777" w:rsidR="0056563B" w:rsidRPr="00A02800" w:rsidRDefault="0056563B" w:rsidP="0056563B">
      <w:pPr>
        <w:pStyle w:val="FootnoteText"/>
        <w:spacing w:after="0"/>
        <w:rPr>
          <w:lang w:val="en-AU"/>
        </w:rPr>
      </w:pPr>
      <w:r>
        <w:rPr>
          <w:rStyle w:val="FootnoteReference"/>
        </w:rPr>
        <w:footnoteRef/>
      </w:r>
      <w:r>
        <w:t xml:space="preserve"> </w:t>
      </w:r>
      <w:r w:rsidRPr="00C121B2">
        <w:rPr>
          <w:noProof/>
        </w:rPr>
        <w:t xml:space="preserve">Metry EL, Garrelfs SF, Peters-Sengers H, et al. Long-term transplantation outcomes in patients with primary hyperoxaluria type 1 included in the European Hyperoxaluria Consortium (OxalEurope) Registry. </w:t>
      </w:r>
      <w:r w:rsidRPr="00C121B2">
        <w:rPr>
          <w:i/>
          <w:noProof/>
        </w:rPr>
        <w:t xml:space="preserve">Kidney Int Rep. </w:t>
      </w:r>
      <w:r w:rsidRPr="00C121B2">
        <w:rPr>
          <w:noProof/>
        </w:rPr>
        <w:t>2022;7(2):210-220.</w:t>
      </w:r>
    </w:p>
  </w:footnote>
  <w:footnote w:id="15">
    <w:p w14:paraId="686A1B39" w14:textId="3EF57AAA" w:rsidR="00F8060C" w:rsidRPr="00F8060C" w:rsidRDefault="00F8060C" w:rsidP="00B55D1C">
      <w:pPr>
        <w:pStyle w:val="FootnoteText"/>
        <w:spacing w:after="0"/>
        <w:rPr>
          <w:lang w:val="en-AU"/>
        </w:rPr>
      </w:pPr>
      <w:r w:rsidRPr="00B55D1C">
        <w:rPr>
          <w:vertAlign w:val="superscript"/>
        </w:rPr>
        <w:footnoteRef/>
      </w:r>
      <w:r w:rsidRPr="00B55D1C">
        <w:rPr>
          <w:vertAlign w:val="superscript"/>
        </w:rPr>
        <w:t xml:space="preserve"> </w:t>
      </w:r>
      <w:r w:rsidRPr="00B55D1C">
        <w:t>Go</w:t>
      </w:r>
      <w:r w:rsidRPr="00F8060C">
        <w:t xml:space="preserve"> AS, </w:t>
      </w:r>
      <w:proofErr w:type="spellStart"/>
      <w:r w:rsidRPr="00F8060C">
        <w:t>Chertow</w:t>
      </w:r>
      <w:proofErr w:type="spellEnd"/>
      <w:r w:rsidRPr="00F8060C">
        <w:t xml:space="preserve"> GM, Fan D, et al. </w:t>
      </w:r>
      <w:proofErr w:type="gramStart"/>
      <w:r w:rsidRPr="00F8060C">
        <w:t>Chronic kidney disease</w:t>
      </w:r>
      <w:proofErr w:type="gramEnd"/>
      <w:r w:rsidRPr="00F8060C">
        <w:t xml:space="preserve"> and the risks of death, cardiovascular events, and hospitalization.</w:t>
      </w:r>
      <w:r w:rsidR="00B55D1C">
        <w:t xml:space="preserve"> </w:t>
      </w:r>
      <w:r w:rsidRPr="00F8060C">
        <w:t>N Engl J Med. 2004;351(13):1296-1305.</w:t>
      </w:r>
    </w:p>
  </w:footnote>
  <w:footnote w:id="16">
    <w:p w14:paraId="72DA6FA7" w14:textId="1134A633" w:rsidR="00B55D1C" w:rsidRPr="002F25B5" w:rsidRDefault="00B55D1C" w:rsidP="00B55D1C">
      <w:pPr>
        <w:pStyle w:val="FootnoteText"/>
        <w:spacing w:after="0"/>
        <w:rPr>
          <w:lang w:val="en-AU"/>
        </w:rPr>
      </w:pPr>
      <w:r w:rsidRPr="002F25B5">
        <w:rPr>
          <w:rStyle w:val="FootnoteReference"/>
        </w:rPr>
        <w:footnoteRef/>
      </w:r>
      <w:r w:rsidRPr="002F25B5">
        <w:t xml:space="preserve"> Jamieson NV, European PHITSG. A 20-year experience of combined liver/kidney transplantation for primary hyperoxaluria (PH1): the European PH1 transplant registry experience 1984-2004. Am J Nephrol. 2005;25(3):282-289.</w:t>
      </w:r>
    </w:p>
  </w:footnote>
  <w:footnote w:id="17">
    <w:p w14:paraId="0122B1CD" w14:textId="01E951B3" w:rsidR="004C499A" w:rsidRPr="004C499A" w:rsidRDefault="004C499A">
      <w:pPr>
        <w:pStyle w:val="FootnoteText"/>
        <w:rPr>
          <w:lang w:val="en-AU"/>
        </w:rPr>
      </w:pPr>
      <w:r>
        <w:rPr>
          <w:rStyle w:val="FootnoteReference"/>
        </w:rPr>
        <w:footnoteRef/>
      </w:r>
      <w:r>
        <w:t xml:space="preserve"> </w:t>
      </w:r>
      <w:r w:rsidR="001A26BB" w:rsidRPr="001A26BB">
        <w:t xml:space="preserve">Kopp N, </w:t>
      </w:r>
      <w:proofErr w:type="spellStart"/>
      <w:r w:rsidR="001A26BB" w:rsidRPr="001A26BB">
        <w:t>Leumann</w:t>
      </w:r>
      <w:proofErr w:type="spellEnd"/>
      <w:r w:rsidR="001A26BB" w:rsidRPr="001A26BB">
        <w:t xml:space="preserve"> E. Changing pattern of primary hyperoxaluria in Switzerland. Nephrol Dial Transplant. 1995;10(12):2224-2227.</w:t>
      </w:r>
    </w:p>
  </w:footnote>
  <w:footnote w:id="18">
    <w:p w14:paraId="4D176C13" w14:textId="2AB66DFE" w:rsidR="006B7007" w:rsidRPr="006B7007" w:rsidRDefault="006B7007" w:rsidP="00A72AB5">
      <w:pPr>
        <w:pStyle w:val="FootnoteText"/>
        <w:spacing w:after="0"/>
        <w:rPr>
          <w:lang w:val="en-AU"/>
        </w:rPr>
      </w:pPr>
      <w:r>
        <w:rPr>
          <w:rStyle w:val="FootnoteReference"/>
        </w:rPr>
        <w:footnoteRef/>
      </w:r>
      <w:r>
        <w:t xml:space="preserve"> </w:t>
      </w:r>
      <w:r w:rsidR="00B834DE" w:rsidRPr="00B834DE">
        <w:t>Kopp N, Leumann E. Changing pattern of primary hyperoxaluria in Switzerland. Nephrol Dial Transplant. 1995;10(12):2224-2227.</w:t>
      </w:r>
    </w:p>
  </w:footnote>
  <w:footnote w:id="19">
    <w:p w14:paraId="5FCB0762" w14:textId="77777777" w:rsidR="003271BE" w:rsidRPr="006B7007" w:rsidRDefault="003271BE" w:rsidP="00A72AB5">
      <w:pPr>
        <w:pStyle w:val="FootnoteText"/>
        <w:spacing w:after="0"/>
        <w:rPr>
          <w:lang w:val="en-AU"/>
        </w:rPr>
      </w:pPr>
      <w:r>
        <w:rPr>
          <w:rStyle w:val="FootnoteReference"/>
        </w:rPr>
        <w:footnoteRef/>
      </w:r>
      <w:r>
        <w:t xml:space="preserve"> </w:t>
      </w:r>
      <w:r w:rsidRPr="00B834DE">
        <w:t>Kopp N, Leumann E. Changing pattern of primary hyperoxaluria in Switzerland. Nephrol Dial Transplant. 1995;10(12):2224-2227.</w:t>
      </w:r>
    </w:p>
  </w:footnote>
  <w:footnote w:id="20">
    <w:p w14:paraId="4166A9EC" w14:textId="77777777" w:rsidR="003271BE" w:rsidRPr="000A405F" w:rsidRDefault="003271BE" w:rsidP="00A72AB5">
      <w:pPr>
        <w:pStyle w:val="FootnoteText"/>
        <w:spacing w:after="0"/>
        <w:rPr>
          <w:lang w:val="en-AU"/>
        </w:rPr>
      </w:pPr>
      <w:r>
        <w:rPr>
          <w:rStyle w:val="FootnoteReference"/>
        </w:rPr>
        <w:footnoteRef/>
      </w:r>
      <w:r>
        <w:t xml:space="preserve"> </w:t>
      </w:r>
      <w:r w:rsidRPr="00A05A2A">
        <w:t>van Woerden CS, Groothoff JW, Wanders RJ, et al. Primary hyperoxaluria type 1 in The Netherlands: prevalence and outcome. Nephrol Dial Transplant. 2003;18(2):273-279.</w:t>
      </w:r>
    </w:p>
  </w:footnote>
  <w:footnote w:id="21">
    <w:p w14:paraId="40818D22" w14:textId="57C3A654" w:rsidR="00A72AB5" w:rsidRPr="00A72AB5" w:rsidRDefault="00A72AB5" w:rsidP="00A72AB5">
      <w:pPr>
        <w:pStyle w:val="FootnoteText"/>
        <w:spacing w:after="0"/>
        <w:rPr>
          <w:lang w:val="en-AU"/>
        </w:rPr>
      </w:pPr>
      <w:r>
        <w:rPr>
          <w:rStyle w:val="FootnoteReference"/>
        </w:rPr>
        <w:footnoteRef/>
      </w:r>
      <w:r>
        <w:t xml:space="preserve"> </w:t>
      </w:r>
      <w:r w:rsidRPr="00A72AB5">
        <w:t>Cochat P, Deloraine A, Rotily M, et al. Epidemiology of primary hyperoxaluria type 1. Societe de Nephrologie and the Societe de Nephrologie Pediatrique. Nephrol Dial Transplant. 1995;10 Suppl 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FE1D" w14:textId="77777777" w:rsidR="002212A2" w:rsidRDefault="00221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7135" w14:textId="366EB104" w:rsidR="000C061D" w:rsidRPr="00056684" w:rsidRDefault="004B2764" w:rsidP="000C061D">
    <w:pPr>
      <w:pStyle w:val="Header"/>
      <w:ind w:left="360"/>
      <w:rPr>
        <w:rFonts w:asciiTheme="minorHAnsi" w:hAnsiTheme="minorHAnsi"/>
        <w:i w:val="0"/>
        <w:color w:val="808080"/>
      </w:rPr>
    </w:pPr>
    <w:bookmarkStart w:id="98" w:name="_Hlk76375146"/>
    <w:r>
      <w:rPr>
        <w:rFonts w:asciiTheme="minorHAnsi" w:hAnsiTheme="minorHAnsi"/>
        <w:color w:val="808080" w:themeColor="background1" w:themeShade="80"/>
      </w:rPr>
      <w:t>Public Summary Document</w:t>
    </w:r>
    <w:r w:rsidR="0019724A" w:rsidRPr="5F5C39BE">
      <w:rPr>
        <w:rFonts w:asciiTheme="minorHAnsi" w:hAnsiTheme="minorHAnsi"/>
        <w:color w:val="808080" w:themeColor="background1" w:themeShade="80"/>
      </w:rPr>
      <w:t xml:space="preserve"> </w:t>
    </w:r>
    <w:r w:rsidR="000C061D" w:rsidRPr="5F5C39BE">
      <w:rPr>
        <w:rFonts w:asciiTheme="minorHAnsi" w:hAnsiTheme="minorHAnsi"/>
        <w:color w:val="808080" w:themeColor="background1" w:themeShade="80"/>
      </w:rPr>
      <w:t xml:space="preserve">– March </w:t>
    </w:r>
    <w:r w:rsidR="5F5C39BE" w:rsidRPr="5F5C39BE">
      <w:rPr>
        <w:rFonts w:asciiTheme="minorHAnsi" w:hAnsiTheme="minorHAnsi"/>
        <w:color w:val="808080" w:themeColor="background1" w:themeShade="80"/>
      </w:rPr>
      <w:t>2025</w:t>
    </w:r>
    <w:r w:rsidR="000C061D" w:rsidRPr="5F5C39BE">
      <w:rPr>
        <w:rFonts w:asciiTheme="minorHAnsi" w:hAnsiTheme="minorHAnsi"/>
        <w:color w:val="808080" w:themeColor="background1" w:themeShade="80"/>
      </w:rPr>
      <w:t xml:space="preserve"> PBAC Meeting</w:t>
    </w:r>
  </w:p>
  <w:bookmarkEnd w:id="98"/>
  <w:p w14:paraId="6F2A9332" w14:textId="77777777" w:rsidR="00A358CB" w:rsidRDefault="00A358CB" w:rsidP="00A358C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1C5F" w14:textId="77777777" w:rsidR="002212A2" w:rsidRDefault="00221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976CA"/>
    <w:multiLevelType w:val="hybridMultilevel"/>
    <w:tmpl w:val="79367D0A"/>
    <w:lvl w:ilvl="0" w:tplc="0C090015">
      <w:start w:val="1"/>
      <w:numFmt w:val="upperLetter"/>
      <w:lvlText w:val="%1."/>
      <w:lvlJc w:val="left"/>
      <w:pPr>
        <w:ind w:left="1790" w:hanging="360"/>
      </w:pPr>
      <w:rPr>
        <w:rFonts w:hint="default"/>
      </w:rPr>
    </w:lvl>
    <w:lvl w:ilvl="1" w:tplc="0C090019">
      <w:start w:val="1"/>
      <w:numFmt w:val="lowerLetter"/>
      <w:lvlText w:val="%2."/>
      <w:lvlJc w:val="left"/>
      <w:pPr>
        <w:ind w:left="2510" w:hanging="360"/>
      </w:pPr>
    </w:lvl>
    <w:lvl w:ilvl="2" w:tplc="540A985E">
      <w:start w:val="1"/>
      <w:numFmt w:val="decimal"/>
      <w:lvlText w:val="(%3)"/>
      <w:lvlJc w:val="left"/>
      <w:pPr>
        <w:ind w:left="3410" w:hanging="360"/>
      </w:pPr>
      <w:rPr>
        <w:rFonts w:hint="default"/>
      </w:r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22048"/>
    <w:multiLevelType w:val="hybridMultilevel"/>
    <w:tmpl w:val="558C344C"/>
    <w:lvl w:ilvl="0" w:tplc="9FBA3682">
      <w:start w:val="1"/>
      <w:numFmt w:val="bullet"/>
      <w:lvlText w:val=""/>
      <w:lvlJc w:val="left"/>
      <w:pPr>
        <w:ind w:left="720" w:hanging="360"/>
      </w:pPr>
      <w:rPr>
        <w:rFonts w:ascii="Symbol" w:hAnsi="Symbol"/>
      </w:rPr>
    </w:lvl>
    <w:lvl w:ilvl="1" w:tplc="8A44E754">
      <w:start w:val="1"/>
      <w:numFmt w:val="bullet"/>
      <w:lvlText w:val=""/>
      <w:lvlJc w:val="left"/>
      <w:pPr>
        <w:ind w:left="720" w:hanging="360"/>
      </w:pPr>
      <w:rPr>
        <w:rFonts w:ascii="Symbol" w:hAnsi="Symbol"/>
      </w:rPr>
    </w:lvl>
    <w:lvl w:ilvl="2" w:tplc="30A808A8">
      <w:start w:val="1"/>
      <w:numFmt w:val="bullet"/>
      <w:lvlText w:val=""/>
      <w:lvlJc w:val="left"/>
      <w:pPr>
        <w:ind w:left="720" w:hanging="360"/>
      </w:pPr>
      <w:rPr>
        <w:rFonts w:ascii="Symbol" w:hAnsi="Symbol"/>
      </w:rPr>
    </w:lvl>
    <w:lvl w:ilvl="3" w:tplc="6332D3BC">
      <w:start w:val="1"/>
      <w:numFmt w:val="bullet"/>
      <w:lvlText w:val=""/>
      <w:lvlJc w:val="left"/>
      <w:pPr>
        <w:ind w:left="720" w:hanging="360"/>
      </w:pPr>
      <w:rPr>
        <w:rFonts w:ascii="Symbol" w:hAnsi="Symbol"/>
      </w:rPr>
    </w:lvl>
    <w:lvl w:ilvl="4" w:tplc="7D606966">
      <w:start w:val="1"/>
      <w:numFmt w:val="bullet"/>
      <w:lvlText w:val=""/>
      <w:lvlJc w:val="left"/>
      <w:pPr>
        <w:ind w:left="720" w:hanging="360"/>
      </w:pPr>
      <w:rPr>
        <w:rFonts w:ascii="Symbol" w:hAnsi="Symbol"/>
      </w:rPr>
    </w:lvl>
    <w:lvl w:ilvl="5" w:tplc="CB565F02">
      <w:start w:val="1"/>
      <w:numFmt w:val="bullet"/>
      <w:lvlText w:val=""/>
      <w:lvlJc w:val="left"/>
      <w:pPr>
        <w:ind w:left="720" w:hanging="360"/>
      </w:pPr>
      <w:rPr>
        <w:rFonts w:ascii="Symbol" w:hAnsi="Symbol"/>
      </w:rPr>
    </w:lvl>
    <w:lvl w:ilvl="6" w:tplc="5998B1FE">
      <w:start w:val="1"/>
      <w:numFmt w:val="bullet"/>
      <w:lvlText w:val=""/>
      <w:lvlJc w:val="left"/>
      <w:pPr>
        <w:ind w:left="720" w:hanging="360"/>
      </w:pPr>
      <w:rPr>
        <w:rFonts w:ascii="Symbol" w:hAnsi="Symbol"/>
      </w:rPr>
    </w:lvl>
    <w:lvl w:ilvl="7" w:tplc="03AC50CE">
      <w:start w:val="1"/>
      <w:numFmt w:val="bullet"/>
      <w:lvlText w:val=""/>
      <w:lvlJc w:val="left"/>
      <w:pPr>
        <w:ind w:left="720" w:hanging="360"/>
      </w:pPr>
      <w:rPr>
        <w:rFonts w:ascii="Symbol" w:hAnsi="Symbol"/>
      </w:rPr>
    </w:lvl>
    <w:lvl w:ilvl="8" w:tplc="571C3024">
      <w:start w:val="1"/>
      <w:numFmt w:val="bullet"/>
      <w:lvlText w:val=""/>
      <w:lvlJc w:val="left"/>
      <w:pPr>
        <w:ind w:left="720" w:hanging="360"/>
      </w:pPr>
      <w:rPr>
        <w:rFonts w:ascii="Symbol" w:hAnsi="Symbol"/>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2943A4"/>
    <w:multiLevelType w:val="hybridMultilevel"/>
    <w:tmpl w:val="68807B5C"/>
    <w:lvl w:ilvl="0" w:tplc="0C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05AA182"/>
    <w:lvl w:ilvl="0" w:tplc="CFBE442A">
      <w:start w:val="1"/>
      <w:numFmt w:val="bullet"/>
      <w:pStyle w:val="ListParagraph"/>
      <w:lvlText w:val=""/>
      <w:lvlJc w:val="left"/>
      <w:pPr>
        <w:ind w:left="-284" w:hanging="360"/>
      </w:pPr>
      <w:rPr>
        <w:rFonts w:ascii="Symbol" w:hAnsi="Symbol" w:hint="default"/>
      </w:rPr>
    </w:lvl>
    <w:lvl w:ilvl="1" w:tplc="9E2C7DAC">
      <w:numFmt w:val="bullet"/>
      <w:lvlText w:val="•"/>
      <w:lvlJc w:val="left"/>
      <w:pPr>
        <w:ind w:left="-1364" w:hanging="360"/>
      </w:pPr>
      <w:rPr>
        <w:rFonts w:ascii="Arial Narrow" w:eastAsiaTheme="majorEastAsia" w:hAnsi="Arial Narrow" w:cstheme="majorBidi" w:hint="default"/>
      </w:rPr>
    </w:lvl>
    <w:lvl w:ilvl="2" w:tplc="0C090005" w:tentative="1">
      <w:start w:val="1"/>
      <w:numFmt w:val="bullet"/>
      <w:lvlText w:val=""/>
      <w:lvlJc w:val="left"/>
      <w:pPr>
        <w:ind w:left="1156" w:hanging="360"/>
      </w:pPr>
      <w:rPr>
        <w:rFonts w:ascii="Wingdings" w:hAnsi="Wingdings" w:hint="default"/>
      </w:rPr>
    </w:lvl>
    <w:lvl w:ilvl="3" w:tplc="0C090001" w:tentative="1">
      <w:start w:val="1"/>
      <w:numFmt w:val="bullet"/>
      <w:lvlText w:val=""/>
      <w:lvlJc w:val="left"/>
      <w:pPr>
        <w:ind w:left="1876" w:hanging="360"/>
      </w:pPr>
      <w:rPr>
        <w:rFonts w:ascii="Symbol" w:hAnsi="Symbol" w:hint="default"/>
      </w:rPr>
    </w:lvl>
    <w:lvl w:ilvl="4" w:tplc="0C090003" w:tentative="1">
      <w:start w:val="1"/>
      <w:numFmt w:val="bullet"/>
      <w:lvlText w:val="o"/>
      <w:lvlJc w:val="left"/>
      <w:pPr>
        <w:ind w:left="2596" w:hanging="360"/>
      </w:pPr>
      <w:rPr>
        <w:rFonts w:ascii="Courier New" w:hAnsi="Courier New" w:cs="Courier New" w:hint="default"/>
      </w:rPr>
    </w:lvl>
    <w:lvl w:ilvl="5" w:tplc="0C090005" w:tentative="1">
      <w:start w:val="1"/>
      <w:numFmt w:val="bullet"/>
      <w:lvlText w:val=""/>
      <w:lvlJc w:val="left"/>
      <w:pPr>
        <w:ind w:left="3316" w:hanging="360"/>
      </w:pPr>
      <w:rPr>
        <w:rFonts w:ascii="Wingdings" w:hAnsi="Wingdings" w:hint="default"/>
      </w:rPr>
    </w:lvl>
    <w:lvl w:ilvl="6" w:tplc="0C090001" w:tentative="1">
      <w:start w:val="1"/>
      <w:numFmt w:val="bullet"/>
      <w:lvlText w:val=""/>
      <w:lvlJc w:val="left"/>
      <w:pPr>
        <w:ind w:left="4036" w:hanging="360"/>
      </w:pPr>
      <w:rPr>
        <w:rFonts w:ascii="Symbol" w:hAnsi="Symbol" w:hint="default"/>
      </w:rPr>
    </w:lvl>
    <w:lvl w:ilvl="7" w:tplc="0C090003" w:tentative="1">
      <w:start w:val="1"/>
      <w:numFmt w:val="bullet"/>
      <w:lvlText w:val="o"/>
      <w:lvlJc w:val="left"/>
      <w:pPr>
        <w:ind w:left="4756" w:hanging="360"/>
      </w:pPr>
      <w:rPr>
        <w:rFonts w:ascii="Courier New" w:hAnsi="Courier New" w:cs="Courier New" w:hint="default"/>
      </w:rPr>
    </w:lvl>
    <w:lvl w:ilvl="8" w:tplc="0C090005" w:tentative="1">
      <w:start w:val="1"/>
      <w:numFmt w:val="bullet"/>
      <w:lvlText w:val=""/>
      <w:lvlJc w:val="left"/>
      <w:pPr>
        <w:ind w:left="5476" w:hanging="360"/>
      </w:pPr>
      <w:rPr>
        <w:rFonts w:ascii="Wingdings" w:hAnsi="Wingdings" w:hint="default"/>
      </w:rPr>
    </w:lvl>
  </w:abstractNum>
  <w:abstractNum w:abstractNumId="10" w15:restartNumberingAfterBreak="0">
    <w:nsid w:val="31EC7855"/>
    <w:multiLevelType w:val="hybridMultilevel"/>
    <w:tmpl w:val="58A29C94"/>
    <w:lvl w:ilvl="0" w:tplc="6ACED5C0">
      <w:start w:val="1"/>
      <w:numFmt w:val="bullet"/>
      <w:lvlText w:val=""/>
      <w:lvlJc w:val="left"/>
      <w:pPr>
        <w:ind w:left="720" w:hanging="360"/>
      </w:pPr>
      <w:rPr>
        <w:rFonts w:ascii="Symbol" w:hAnsi="Symbol"/>
      </w:rPr>
    </w:lvl>
    <w:lvl w:ilvl="1" w:tplc="E2465C26">
      <w:start w:val="1"/>
      <w:numFmt w:val="bullet"/>
      <w:lvlText w:val=""/>
      <w:lvlJc w:val="left"/>
      <w:pPr>
        <w:ind w:left="720" w:hanging="360"/>
      </w:pPr>
      <w:rPr>
        <w:rFonts w:ascii="Symbol" w:hAnsi="Symbol"/>
      </w:rPr>
    </w:lvl>
    <w:lvl w:ilvl="2" w:tplc="8C065C7C">
      <w:start w:val="1"/>
      <w:numFmt w:val="bullet"/>
      <w:lvlText w:val=""/>
      <w:lvlJc w:val="left"/>
      <w:pPr>
        <w:ind w:left="720" w:hanging="360"/>
      </w:pPr>
      <w:rPr>
        <w:rFonts w:ascii="Symbol" w:hAnsi="Symbol"/>
      </w:rPr>
    </w:lvl>
    <w:lvl w:ilvl="3" w:tplc="867E2C72">
      <w:start w:val="1"/>
      <w:numFmt w:val="bullet"/>
      <w:lvlText w:val=""/>
      <w:lvlJc w:val="left"/>
      <w:pPr>
        <w:ind w:left="720" w:hanging="360"/>
      </w:pPr>
      <w:rPr>
        <w:rFonts w:ascii="Symbol" w:hAnsi="Symbol"/>
      </w:rPr>
    </w:lvl>
    <w:lvl w:ilvl="4" w:tplc="62224BEA">
      <w:start w:val="1"/>
      <w:numFmt w:val="bullet"/>
      <w:lvlText w:val=""/>
      <w:lvlJc w:val="left"/>
      <w:pPr>
        <w:ind w:left="720" w:hanging="360"/>
      </w:pPr>
      <w:rPr>
        <w:rFonts w:ascii="Symbol" w:hAnsi="Symbol"/>
      </w:rPr>
    </w:lvl>
    <w:lvl w:ilvl="5" w:tplc="CBDE882A">
      <w:start w:val="1"/>
      <w:numFmt w:val="bullet"/>
      <w:lvlText w:val=""/>
      <w:lvlJc w:val="left"/>
      <w:pPr>
        <w:ind w:left="720" w:hanging="360"/>
      </w:pPr>
      <w:rPr>
        <w:rFonts w:ascii="Symbol" w:hAnsi="Symbol"/>
      </w:rPr>
    </w:lvl>
    <w:lvl w:ilvl="6" w:tplc="44643CBC">
      <w:start w:val="1"/>
      <w:numFmt w:val="bullet"/>
      <w:lvlText w:val=""/>
      <w:lvlJc w:val="left"/>
      <w:pPr>
        <w:ind w:left="720" w:hanging="360"/>
      </w:pPr>
      <w:rPr>
        <w:rFonts w:ascii="Symbol" w:hAnsi="Symbol"/>
      </w:rPr>
    </w:lvl>
    <w:lvl w:ilvl="7" w:tplc="717064BC">
      <w:start w:val="1"/>
      <w:numFmt w:val="bullet"/>
      <w:lvlText w:val=""/>
      <w:lvlJc w:val="left"/>
      <w:pPr>
        <w:ind w:left="720" w:hanging="360"/>
      </w:pPr>
      <w:rPr>
        <w:rFonts w:ascii="Symbol" w:hAnsi="Symbol"/>
      </w:rPr>
    </w:lvl>
    <w:lvl w:ilvl="8" w:tplc="0A7EC490">
      <w:start w:val="1"/>
      <w:numFmt w:val="bullet"/>
      <w:lvlText w:val=""/>
      <w:lvlJc w:val="left"/>
      <w:pPr>
        <w:ind w:left="720" w:hanging="360"/>
      </w:pPr>
      <w:rPr>
        <w:rFonts w:ascii="Symbol" w:hAnsi="Symbol"/>
      </w:rPr>
    </w:lvl>
  </w:abstractNum>
  <w:abstractNum w:abstractNumId="11" w15:restartNumberingAfterBreak="0">
    <w:nsid w:val="3A6D16B9"/>
    <w:multiLevelType w:val="hybridMultilevel"/>
    <w:tmpl w:val="B3A8A43A"/>
    <w:lvl w:ilvl="0" w:tplc="BA9EB396">
      <w:start w:val="1"/>
      <w:numFmt w:val="bullet"/>
      <w:lvlText w:val=""/>
      <w:lvlJc w:val="left"/>
      <w:pPr>
        <w:ind w:left="720" w:hanging="360"/>
      </w:pPr>
      <w:rPr>
        <w:rFonts w:ascii="Symbol" w:hAnsi="Symbol"/>
      </w:rPr>
    </w:lvl>
    <w:lvl w:ilvl="1" w:tplc="36CCBDC8">
      <w:start w:val="1"/>
      <w:numFmt w:val="bullet"/>
      <w:lvlText w:val=""/>
      <w:lvlJc w:val="left"/>
      <w:pPr>
        <w:ind w:left="720" w:hanging="360"/>
      </w:pPr>
      <w:rPr>
        <w:rFonts w:ascii="Symbol" w:hAnsi="Symbol"/>
      </w:rPr>
    </w:lvl>
    <w:lvl w:ilvl="2" w:tplc="237CC392">
      <w:start w:val="1"/>
      <w:numFmt w:val="bullet"/>
      <w:lvlText w:val=""/>
      <w:lvlJc w:val="left"/>
      <w:pPr>
        <w:ind w:left="720" w:hanging="360"/>
      </w:pPr>
      <w:rPr>
        <w:rFonts w:ascii="Symbol" w:hAnsi="Symbol"/>
      </w:rPr>
    </w:lvl>
    <w:lvl w:ilvl="3" w:tplc="2CEE303A">
      <w:start w:val="1"/>
      <w:numFmt w:val="bullet"/>
      <w:lvlText w:val=""/>
      <w:lvlJc w:val="left"/>
      <w:pPr>
        <w:ind w:left="720" w:hanging="360"/>
      </w:pPr>
      <w:rPr>
        <w:rFonts w:ascii="Symbol" w:hAnsi="Symbol"/>
      </w:rPr>
    </w:lvl>
    <w:lvl w:ilvl="4" w:tplc="7658ABD8">
      <w:start w:val="1"/>
      <w:numFmt w:val="bullet"/>
      <w:lvlText w:val=""/>
      <w:lvlJc w:val="left"/>
      <w:pPr>
        <w:ind w:left="720" w:hanging="360"/>
      </w:pPr>
      <w:rPr>
        <w:rFonts w:ascii="Symbol" w:hAnsi="Symbol"/>
      </w:rPr>
    </w:lvl>
    <w:lvl w:ilvl="5" w:tplc="F17A8DCA">
      <w:start w:val="1"/>
      <w:numFmt w:val="bullet"/>
      <w:lvlText w:val=""/>
      <w:lvlJc w:val="left"/>
      <w:pPr>
        <w:ind w:left="720" w:hanging="360"/>
      </w:pPr>
      <w:rPr>
        <w:rFonts w:ascii="Symbol" w:hAnsi="Symbol"/>
      </w:rPr>
    </w:lvl>
    <w:lvl w:ilvl="6" w:tplc="F902458C">
      <w:start w:val="1"/>
      <w:numFmt w:val="bullet"/>
      <w:lvlText w:val=""/>
      <w:lvlJc w:val="left"/>
      <w:pPr>
        <w:ind w:left="720" w:hanging="360"/>
      </w:pPr>
      <w:rPr>
        <w:rFonts w:ascii="Symbol" w:hAnsi="Symbol"/>
      </w:rPr>
    </w:lvl>
    <w:lvl w:ilvl="7" w:tplc="748E0D00">
      <w:start w:val="1"/>
      <w:numFmt w:val="bullet"/>
      <w:lvlText w:val=""/>
      <w:lvlJc w:val="left"/>
      <w:pPr>
        <w:ind w:left="720" w:hanging="360"/>
      </w:pPr>
      <w:rPr>
        <w:rFonts w:ascii="Symbol" w:hAnsi="Symbol"/>
      </w:rPr>
    </w:lvl>
    <w:lvl w:ilvl="8" w:tplc="21343E5C">
      <w:start w:val="1"/>
      <w:numFmt w:val="bullet"/>
      <w:lvlText w:val=""/>
      <w:lvlJc w:val="left"/>
      <w:pPr>
        <w:ind w:left="720" w:hanging="360"/>
      </w:pPr>
      <w:rPr>
        <w:rFonts w:ascii="Symbol" w:hAnsi="Symbol"/>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46263"/>
    <w:multiLevelType w:val="hybridMultilevel"/>
    <w:tmpl w:val="F11A241C"/>
    <w:lvl w:ilvl="0" w:tplc="0C090001">
      <w:start w:val="1"/>
      <w:numFmt w:val="bullet"/>
      <w:lvlText w:val=""/>
      <w:lvlJc w:val="left"/>
      <w:pPr>
        <w:ind w:left="1003"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975881"/>
    <w:multiLevelType w:val="hybridMultilevel"/>
    <w:tmpl w:val="41EEB9D2"/>
    <w:lvl w:ilvl="0" w:tplc="2DDCA0C6">
      <w:start w:val="1"/>
      <w:numFmt w:val="bullet"/>
      <w:lvlText w:val=""/>
      <w:lvlJc w:val="left"/>
      <w:pPr>
        <w:ind w:left="720" w:hanging="360"/>
      </w:pPr>
      <w:rPr>
        <w:rFonts w:ascii="Symbol" w:hAnsi="Symbol"/>
      </w:rPr>
    </w:lvl>
    <w:lvl w:ilvl="1" w:tplc="72E4134E">
      <w:start w:val="1"/>
      <w:numFmt w:val="bullet"/>
      <w:lvlText w:val=""/>
      <w:lvlJc w:val="left"/>
      <w:pPr>
        <w:ind w:left="720" w:hanging="360"/>
      </w:pPr>
      <w:rPr>
        <w:rFonts w:ascii="Symbol" w:hAnsi="Symbol"/>
      </w:rPr>
    </w:lvl>
    <w:lvl w:ilvl="2" w:tplc="FDDECF5C">
      <w:start w:val="1"/>
      <w:numFmt w:val="bullet"/>
      <w:lvlText w:val=""/>
      <w:lvlJc w:val="left"/>
      <w:pPr>
        <w:ind w:left="720" w:hanging="360"/>
      </w:pPr>
      <w:rPr>
        <w:rFonts w:ascii="Symbol" w:hAnsi="Symbol"/>
      </w:rPr>
    </w:lvl>
    <w:lvl w:ilvl="3" w:tplc="756E594E">
      <w:start w:val="1"/>
      <w:numFmt w:val="bullet"/>
      <w:lvlText w:val=""/>
      <w:lvlJc w:val="left"/>
      <w:pPr>
        <w:ind w:left="720" w:hanging="360"/>
      </w:pPr>
      <w:rPr>
        <w:rFonts w:ascii="Symbol" w:hAnsi="Symbol"/>
      </w:rPr>
    </w:lvl>
    <w:lvl w:ilvl="4" w:tplc="8E2E1AA2">
      <w:start w:val="1"/>
      <w:numFmt w:val="bullet"/>
      <w:lvlText w:val=""/>
      <w:lvlJc w:val="left"/>
      <w:pPr>
        <w:ind w:left="720" w:hanging="360"/>
      </w:pPr>
      <w:rPr>
        <w:rFonts w:ascii="Symbol" w:hAnsi="Symbol"/>
      </w:rPr>
    </w:lvl>
    <w:lvl w:ilvl="5" w:tplc="25E07D32">
      <w:start w:val="1"/>
      <w:numFmt w:val="bullet"/>
      <w:lvlText w:val=""/>
      <w:lvlJc w:val="left"/>
      <w:pPr>
        <w:ind w:left="720" w:hanging="360"/>
      </w:pPr>
      <w:rPr>
        <w:rFonts w:ascii="Symbol" w:hAnsi="Symbol"/>
      </w:rPr>
    </w:lvl>
    <w:lvl w:ilvl="6" w:tplc="48FC537A">
      <w:start w:val="1"/>
      <w:numFmt w:val="bullet"/>
      <w:lvlText w:val=""/>
      <w:lvlJc w:val="left"/>
      <w:pPr>
        <w:ind w:left="720" w:hanging="360"/>
      </w:pPr>
      <w:rPr>
        <w:rFonts w:ascii="Symbol" w:hAnsi="Symbol"/>
      </w:rPr>
    </w:lvl>
    <w:lvl w:ilvl="7" w:tplc="E47C0C2A">
      <w:start w:val="1"/>
      <w:numFmt w:val="bullet"/>
      <w:lvlText w:val=""/>
      <w:lvlJc w:val="left"/>
      <w:pPr>
        <w:ind w:left="720" w:hanging="360"/>
      </w:pPr>
      <w:rPr>
        <w:rFonts w:ascii="Symbol" w:hAnsi="Symbol"/>
      </w:rPr>
    </w:lvl>
    <w:lvl w:ilvl="8" w:tplc="113EC342">
      <w:start w:val="1"/>
      <w:numFmt w:val="bullet"/>
      <w:lvlText w:val=""/>
      <w:lvlJc w:val="left"/>
      <w:pPr>
        <w:ind w:left="720" w:hanging="360"/>
      </w:pPr>
      <w:rPr>
        <w:rFonts w:ascii="Symbol" w:hAnsi="Symbol"/>
      </w:rPr>
    </w:lvl>
  </w:abstractNum>
  <w:abstractNum w:abstractNumId="15" w15:restartNumberingAfterBreak="0">
    <w:nsid w:val="5EAD60B4"/>
    <w:multiLevelType w:val="hybridMultilevel"/>
    <w:tmpl w:val="0C8E2096"/>
    <w:lvl w:ilvl="0" w:tplc="96908D08">
      <w:start w:val="3"/>
      <w:numFmt w:val="bullet"/>
      <w:lvlText w:val="-"/>
      <w:lvlJc w:val="left"/>
      <w:pPr>
        <w:ind w:left="720" w:hanging="360"/>
      </w:pPr>
      <w:rPr>
        <w:rFonts w:ascii="Arial Narrow" w:eastAsiaTheme="majorEastAsia" w:hAnsi="Arial Narrow"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5AD75B6"/>
    <w:multiLevelType w:val="hybridMultilevel"/>
    <w:tmpl w:val="50F88F32"/>
    <w:lvl w:ilvl="0" w:tplc="FF621904">
      <w:start w:val="1"/>
      <w:numFmt w:val="bullet"/>
      <w:lvlText w:val=""/>
      <w:lvlJc w:val="left"/>
      <w:pPr>
        <w:ind w:left="720" w:hanging="360"/>
      </w:pPr>
      <w:rPr>
        <w:rFonts w:ascii="Symbol" w:hAnsi="Symbol"/>
      </w:rPr>
    </w:lvl>
    <w:lvl w:ilvl="1" w:tplc="0A2A6AD2">
      <w:start w:val="1"/>
      <w:numFmt w:val="bullet"/>
      <w:lvlText w:val=""/>
      <w:lvlJc w:val="left"/>
      <w:pPr>
        <w:ind w:left="720" w:hanging="360"/>
      </w:pPr>
      <w:rPr>
        <w:rFonts w:ascii="Symbol" w:hAnsi="Symbol"/>
      </w:rPr>
    </w:lvl>
    <w:lvl w:ilvl="2" w:tplc="952C6558">
      <w:start w:val="1"/>
      <w:numFmt w:val="bullet"/>
      <w:lvlText w:val=""/>
      <w:lvlJc w:val="left"/>
      <w:pPr>
        <w:ind w:left="720" w:hanging="360"/>
      </w:pPr>
      <w:rPr>
        <w:rFonts w:ascii="Symbol" w:hAnsi="Symbol"/>
      </w:rPr>
    </w:lvl>
    <w:lvl w:ilvl="3" w:tplc="46187956">
      <w:start w:val="1"/>
      <w:numFmt w:val="bullet"/>
      <w:lvlText w:val=""/>
      <w:lvlJc w:val="left"/>
      <w:pPr>
        <w:ind w:left="720" w:hanging="360"/>
      </w:pPr>
      <w:rPr>
        <w:rFonts w:ascii="Symbol" w:hAnsi="Symbol"/>
      </w:rPr>
    </w:lvl>
    <w:lvl w:ilvl="4" w:tplc="6D224ADC">
      <w:start w:val="1"/>
      <w:numFmt w:val="bullet"/>
      <w:lvlText w:val=""/>
      <w:lvlJc w:val="left"/>
      <w:pPr>
        <w:ind w:left="720" w:hanging="360"/>
      </w:pPr>
      <w:rPr>
        <w:rFonts w:ascii="Symbol" w:hAnsi="Symbol"/>
      </w:rPr>
    </w:lvl>
    <w:lvl w:ilvl="5" w:tplc="2CD41F6E">
      <w:start w:val="1"/>
      <w:numFmt w:val="bullet"/>
      <w:lvlText w:val=""/>
      <w:lvlJc w:val="left"/>
      <w:pPr>
        <w:ind w:left="720" w:hanging="360"/>
      </w:pPr>
      <w:rPr>
        <w:rFonts w:ascii="Symbol" w:hAnsi="Symbol"/>
      </w:rPr>
    </w:lvl>
    <w:lvl w:ilvl="6" w:tplc="0544838E">
      <w:start w:val="1"/>
      <w:numFmt w:val="bullet"/>
      <w:lvlText w:val=""/>
      <w:lvlJc w:val="left"/>
      <w:pPr>
        <w:ind w:left="720" w:hanging="360"/>
      </w:pPr>
      <w:rPr>
        <w:rFonts w:ascii="Symbol" w:hAnsi="Symbol"/>
      </w:rPr>
    </w:lvl>
    <w:lvl w:ilvl="7" w:tplc="705276EC">
      <w:start w:val="1"/>
      <w:numFmt w:val="bullet"/>
      <w:lvlText w:val=""/>
      <w:lvlJc w:val="left"/>
      <w:pPr>
        <w:ind w:left="720" w:hanging="360"/>
      </w:pPr>
      <w:rPr>
        <w:rFonts w:ascii="Symbol" w:hAnsi="Symbol"/>
      </w:rPr>
    </w:lvl>
    <w:lvl w:ilvl="8" w:tplc="A4246750">
      <w:start w:val="1"/>
      <w:numFmt w:val="bullet"/>
      <w:lvlText w:val=""/>
      <w:lvlJc w:val="left"/>
      <w:pPr>
        <w:ind w:left="720" w:hanging="360"/>
      </w:pPr>
      <w:rPr>
        <w:rFonts w:ascii="Symbol" w:hAnsi="Symbol"/>
      </w:rPr>
    </w:lvl>
  </w:abstractNum>
  <w:abstractNum w:abstractNumId="18" w15:restartNumberingAfterBreak="0">
    <w:nsid w:val="6ACA2007"/>
    <w:multiLevelType w:val="multilevel"/>
    <w:tmpl w:val="39A83066"/>
    <w:lvl w:ilvl="0">
      <w:start w:val="1"/>
      <w:numFmt w:val="decimal"/>
      <w:pStyle w:val="2-SectionHeading"/>
      <w:lvlText w:val="%1"/>
      <w:lvlJc w:val="left"/>
      <w:pPr>
        <w:ind w:left="360" w:hanging="360"/>
      </w:pPr>
      <w:rPr>
        <w:rFonts w:hint="default"/>
      </w:rPr>
    </w:lvl>
    <w:lvl w:ilvl="1">
      <w:start w:val="1"/>
      <w:numFmt w:val="decimal"/>
      <w:lvlRestart w:val="0"/>
      <w:pStyle w:val="3-BodyText"/>
      <w:lvlText w:val="%1.%2"/>
      <w:lvlJc w:val="left"/>
      <w:pPr>
        <w:ind w:left="720" w:hanging="720"/>
      </w:pPr>
      <w:rPr>
        <w:rFonts w:hint="default"/>
        <w:b w:val="0"/>
        <w:bCs/>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FA3C06"/>
    <w:multiLevelType w:val="hybridMultilevel"/>
    <w:tmpl w:val="CD221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AA96BBE6"/>
    <w:lvl w:ilvl="0">
      <w:start w:val="1"/>
      <w:numFmt w:val="decimal"/>
      <w:lvlText w:val="%1"/>
      <w:lvlJc w:val="left"/>
      <w:pPr>
        <w:ind w:left="0" w:firstLine="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995F8C"/>
    <w:multiLevelType w:val="hybridMultilevel"/>
    <w:tmpl w:val="ADFC1D6A"/>
    <w:lvl w:ilvl="0" w:tplc="0C090001">
      <w:start w:val="1"/>
      <w:numFmt w:val="bullet"/>
      <w:lvlText w:val=""/>
      <w:lvlJc w:val="left"/>
      <w:pPr>
        <w:ind w:left="926" w:hanging="360"/>
      </w:pPr>
      <w:rPr>
        <w:rFonts w:ascii="Symbol" w:hAnsi="Symbol" w:hint="default"/>
      </w:rPr>
    </w:lvl>
    <w:lvl w:ilvl="1" w:tplc="0C090003">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num w:numId="1" w16cid:durableId="1932815497">
    <w:abstractNumId w:val="12"/>
  </w:num>
  <w:num w:numId="2" w16cid:durableId="222179822">
    <w:abstractNumId w:val="0"/>
  </w:num>
  <w:num w:numId="3" w16cid:durableId="1447893778">
    <w:abstractNumId w:val="16"/>
  </w:num>
  <w:num w:numId="4" w16cid:durableId="968163873">
    <w:abstractNumId w:val="9"/>
  </w:num>
  <w:num w:numId="5" w16cid:durableId="1458332083">
    <w:abstractNumId w:val="22"/>
  </w:num>
  <w:num w:numId="6" w16cid:durableId="5905694">
    <w:abstractNumId w:val="13"/>
  </w:num>
  <w:num w:numId="7" w16cid:durableId="2122532865">
    <w:abstractNumId w:val="7"/>
  </w:num>
  <w:num w:numId="8" w16cid:durableId="793791962">
    <w:abstractNumId w:val="2"/>
  </w:num>
  <w:num w:numId="9" w16cid:durableId="1654485312">
    <w:abstractNumId w:val="21"/>
  </w:num>
  <w:num w:numId="10" w16cid:durableId="235092690">
    <w:abstractNumId w:val="15"/>
  </w:num>
  <w:num w:numId="11" w16cid:durableId="65886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85637">
    <w:abstractNumId w:val="18"/>
  </w:num>
  <w:num w:numId="13" w16cid:durableId="21955805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8987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9838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09492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7130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8681785">
    <w:abstractNumId w:val="19"/>
  </w:num>
  <w:num w:numId="19" w16cid:durableId="1569418770">
    <w:abstractNumId w:val="3"/>
  </w:num>
  <w:num w:numId="20" w16cid:durableId="705176722">
    <w:abstractNumId w:val="1"/>
  </w:num>
  <w:num w:numId="21" w16cid:durableId="1926569401">
    <w:abstractNumId w:val="6"/>
  </w:num>
  <w:num w:numId="22" w16cid:durableId="1979457665">
    <w:abstractNumId w:val="8"/>
  </w:num>
  <w:num w:numId="23" w16cid:durableId="2038313566">
    <w:abstractNumId w:val="5"/>
  </w:num>
  <w:num w:numId="24" w16cid:durableId="209997201">
    <w:abstractNumId w:val="20"/>
  </w:num>
  <w:num w:numId="25" w16cid:durableId="1982226196">
    <w:abstractNumId w:val="18"/>
  </w:num>
  <w:num w:numId="26" w16cid:durableId="1360009568">
    <w:abstractNumId w:val="18"/>
  </w:num>
  <w:num w:numId="27" w16cid:durableId="861237866">
    <w:abstractNumId w:val="18"/>
  </w:num>
  <w:num w:numId="28" w16cid:durableId="811606052">
    <w:abstractNumId w:val="18"/>
  </w:num>
  <w:num w:numId="29" w16cid:durableId="2047635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060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9568650">
    <w:abstractNumId w:val="18"/>
  </w:num>
  <w:num w:numId="32" w16cid:durableId="1686592849">
    <w:abstractNumId w:val="18"/>
  </w:num>
  <w:num w:numId="33" w16cid:durableId="2018002591">
    <w:abstractNumId w:val="18"/>
  </w:num>
  <w:num w:numId="34" w16cid:durableId="764306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155965">
    <w:abstractNumId w:val="18"/>
  </w:num>
  <w:num w:numId="36" w16cid:durableId="2091003367">
    <w:abstractNumId w:val="18"/>
  </w:num>
  <w:num w:numId="37" w16cid:durableId="645083672">
    <w:abstractNumId w:val="18"/>
  </w:num>
  <w:num w:numId="38" w16cid:durableId="1211841309">
    <w:abstractNumId w:val="18"/>
  </w:num>
  <w:num w:numId="39" w16cid:durableId="1587418042">
    <w:abstractNumId w:val="18"/>
  </w:num>
  <w:num w:numId="40" w16cid:durableId="1434278018">
    <w:abstractNumId w:val="18"/>
  </w:num>
  <w:num w:numId="41" w16cid:durableId="74979281">
    <w:abstractNumId w:val="18"/>
  </w:num>
  <w:num w:numId="42" w16cid:durableId="460851304">
    <w:abstractNumId w:val="18"/>
  </w:num>
  <w:num w:numId="43" w16cid:durableId="566385127">
    <w:abstractNumId w:val="18"/>
  </w:num>
  <w:num w:numId="44" w16cid:durableId="705763417">
    <w:abstractNumId w:val="14"/>
  </w:num>
  <w:num w:numId="45" w16cid:durableId="1832333182">
    <w:abstractNumId w:val="11"/>
  </w:num>
  <w:num w:numId="46" w16cid:durableId="1118526746">
    <w:abstractNumId w:val="10"/>
  </w:num>
  <w:num w:numId="47" w16cid:durableId="722141956">
    <w:abstractNumId w:val="4"/>
  </w:num>
  <w:num w:numId="48" w16cid:durableId="1023094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c0NDUyMTQC0kbGRko6SsGpxcWZ+XkgBYbmtQCfUY0nLQAAAA=="/>
    <w:docVar w:name="EN.InstantFormat" w:val="&lt;ENInstantFormat&gt;&lt;Enabled&gt;0&lt;/Enabled&gt;&lt;ScanUnformatted&gt;1&lt;/ScanUnformatted&gt;&lt;ScanChanges&gt;1&lt;/ScanChanges&gt;&lt;Suspended&gt;0&lt;/Suspended&gt;&lt;/ENInstantFormat&gt;"/>
    <w:docVar w:name="EN.Layout" w:val="&lt;ENLayout&gt;&lt;Style&gt;Harvard Do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af0dvdkssa0eewaxb5x5egppze5f5ax2rv&quot;&gt;PBAC Lumasiran Lib&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item&gt;68&lt;/item&gt;&lt;/record-ids&gt;&lt;/item&gt;&lt;/Libraries&gt;"/>
  </w:docVars>
  <w:rsids>
    <w:rsidRoot w:val="00E65E79"/>
    <w:rsid w:val="0000006F"/>
    <w:rsid w:val="00000284"/>
    <w:rsid w:val="000002A6"/>
    <w:rsid w:val="000004E5"/>
    <w:rsid w:val="000006B8"/>
    <w:rsid w:val="0000075F"/>
    <w:rsid w:val="00000790"/>
    <w:rsid w:val="000007B6"/>
    <w:rsid w:val="00000812"/>
    <w:rsid w:val="0000089E"/>
    <w:rsid w:val="00000C1F"/>
    <w:rsid w:val="00000DC3"/>
    <w:rsid w:val="00000E21"/>
    <w:rsid w:val="00000E6E"/>
    <w:rsid w:val="00001022"/>
    <w:rsid w:val="00001044"/>
    <w:rsid w:val="0000110B"/>
    <w:rsid w:val="00001359"/>
    <w:rsid w:val="0000138F"/>
    <w:rsid w:val="000013E6"/>
    <w:rsid w:val="000014FA"/>
    <w:rsid w:val="00001529"/>
    <w:rsid w:val="0000172D"/>
    <w:rsid w:val="00001784"/>
    <w:rsid w:val="000017AC"/>
    <w:rsid w:val="000019B9"/>
    <w:rsid w:val="00001BB6"/>
    <w:rsid w:val="00001BE7"/>
    <w:rsid w:val="00001C50"/>
    <w:rsid w:val="00001DF4"/>
    <w:rsid w:val="00001FA6"/>
    <w:rsid w:val="00001FF8"/>
    <w:rsid w:val="0000205B"/>
    <w:rsid w:val="000020E9"/>
    <w:rsid w:val="000021B6"/>
    <w:rsid w:val="00002276"/>
    <w:rsid w:val="0000227B"/>
    <w:rsid w:val="00002341"/>
    <w:rsid w:val="00002497"/>
    <w:rsid w:val="00002510"/>
    <w:rsid w:val="00002616"/>
    <w:rsid w:val="000027B7"/>
    <w:rsid w:val="00002884"/>
    <w:rsid w:val="00002A8B"/>
    <w:rsid w:val="00002B58"/>
    <w:rsid w:val="00002F71"/>
    <w:rsid w:val="0000330E"/>
    <w:rsid w:val="00003499"/>
    <w:rsid w:val="000036D8"/>
    <w:rsid w:val="0000395D"/>
    <w:rsid w:val="000039B7"/>
    <w:rsid w:val="00003B55"/>
    <w:rsid w:val="00003B61"/>
    <w:rsid w:val="00003B91"/>
    <w:rsid w:val="00003C4B"/>
    <w:rsid w:val="00003D48"/>
    <w:rsid w:val="000040F9"/>
    <w:rsid w:val="0000413B"/>
    <w:rsid w:val="0000457F"/>
    <w:rsid w:val="0000464C"/>
    <w:rsid w:val="00004675"/>
    <w:rsid w:val="00004978"/>
    <w:rsid w:val="00004BD2"/>
    <w:rsid w:val="00004C0E"/>
    <w:rsid w:val="00004CA7"/>
    <w:rsid w:val="00004D03"/>
    <w:rsid w:val="00004D99"/>
    <w:rsid w:val="00004DE5"/>
    <w:rsid w:val="00004E4C"/>
    <w:rsid w:val="00005160"/>
    <w:rsid w:val="0000526B"/>
    <w:rsid w:val="00005298"/>
    <w:rsid w:val="000052C5"/>
    <w:rsid w:val="000052CF"/>
    <w:rsid w:val="000052FB"/>
    <w:rsid w:val="000054D3"/>
    <w:rsid w:val="0000557C"/>
    <w:rsid w:val="000055E4"/>
    <w:rsid w:val="000055E7"/>
    <w:rsid w:val="000056B9"/>
    <w:rsid w:val="000056ED"/>
    <w:rsid w:val="000058B3"/>
    <w:rsid w:val="00005AEF"/>
    <w:rsid w:val="00005CB9"/>
    <w:rsid w:val="00005D4F"/>
    <w:rsid w:val="00006222"/>
    <w:rsid w:val="00006274"/>
    <w:rsid w:val="0000639A"/>
    <w:rsid w:val="000063B9"/>
    <w:rsid w:val="0000643E"/>
    <w:rsid w:val="0000647C"/>
    <w:rsid w:val="00006545"/>
    <w:rsid w:val="0000685D"/>
    <w:rsid w:val="000068C4"/>
    <w:rsid w:val="00006A21"/>
    <w:rsid w:val="00006B10"/>
    <w:rsid w:val="00006BB6"/>
    <w:rsid w:val="00006C5D"/>
    <w:rsid w:val="00006D96"/>
    <w:rsid w:val="00006DA2"/>
    <w:rsid w:val="00007067"/>
    <w:rsid w:val="000070C8"/>
    <w:rsid w:val="00007371"/>
    <w:rsid w:val="000073C2"/>
    <w:rsid w:val="0000744C"/>
    <w:rsid w:val="000074A5"/>
    <w:rsid w:val="000074BF"/>
    <w:rsid w:val="000074E8"/>
    <w:rsid w:val="0000770C"/>
    <w:rsid w:val="00007807"/>
    <w:rsid w:val="000078F1"/>
    <w:rsid w:val="00007A85"/>
    <w:rsid w:val="00007A93"/>
    <w:rsid w:val="00007D2E"/>
    <w:rsid w:val="00007DCC"/>
    <w:rsid w:val="0001015E"/>
    <w:rsid w:val="0001017F"/>
    <w:rsid w:val="000101F3"/>
    <w:rsid w:val="0001024E"/>
    <w:rsid w:val="00010361"/>
    <w:rsid w:val="000103E9"/>
    <w:rsid w:val="00010400"/>
    <w:rsid w:val="000105AE"/>
    <w:rsid w:val="000107AD"/>
    <w:rsid w:val="00010CF3"/>
    <w:rsid w:val="00010E88"/>
    <w:rsid w:val="00010FD1"/>
    <w:rsid w:val="0001115B"/>
    <w:rsid w:val="000111CE"/>
    <w:rsid w:val="00011385"/>
    <w:rsid w:val="000113AE"/>
    <w:rsid w:val="00011669"/>
    <w:rsid w:val="000116DE"/>
    <w:rsid w:val="00011EC1"/>
    <w:rsid w:val="00011EF6"/>
    <w:rsid w:val="000120D8"/>
    <w:rsid w:val="000122DF"/>
    <w:rsid w:val="0001265E"/>
    <w:rsid w:val="0001266E"/>
    <w:rsid w:val="000126D8"/>
    <w:rsid w:val="00012792"/>
    <w:rsid w:val="0001287B"/>
    <w:rsid w:val="00012896"/>
    <w:rsid w:val="00012E1D"/>
    <w:rsid w:val="00012E95"/>
    <w:rsid w:val="00013129"/>
    <w:rsid w:val="00013247"/>
    <w:rsid w:val="0001330D"/>
    <w:rsid w:val="00013451"/>
    <w:rsid w:val="0001347E"/>
    <w:rsid w:val="000137D1"/>
    <w:rsid w:val="00013942"/>
    <w:rsid w:val="000139D5"/>
    <w:rsid w:val="00013C6C"/>
    <w:rsid w:val="00013D6A"/>
    <w:rsid w:val="00013D7E"/>
    <w:rsid w:val="00013DAC"/>
    <w:rsid w:val="00013DC9"/>
    <w:rsid w:val="00013E28"/>
    <w:rsid w:val="00013FF2"/>
    <w:rsid w:val="0001422A"/>
    <w:rsid w:val="00014450"/>
    <w:rsid w:val="00014623"/>
    <w:rsid w:val="00014923"/>
    <w:rsid w:val="00014A0A"/>
    <w:rsid w:val="00014A27"/>
    <w:rsid w:val="00014B33"/>
    <w:rsid w:val="00014BA6"/>
    <w:rsid w:val="00014D31"/>
    <w:rsid w:val="00014EC7"/>
    <w:rsid w:val="00014F97"/>
    <w:rsid w:val="00014FCE"/>
    <w:rsid w:val="00014FF5"/>
    <w:rsid w:val="00015047"/>
    <w:rsid w:val="000153DD"/>
    <w:rsid w:val="00015410"/>
    <w:rsid w:val="00015546"/>
    <w:rsid w:val="00015596"/>
    <w:rsid w:val="0001560F"/>
    <w:rsid w:val="00015886"/>
    <w:rsid w:val="00015ABD"/>
    <w:rsid w:val="00015B5F"/>
    <w:rsid w:val="00015E6F"/>
    <w:rsid w:val="00015F38"/>
    <w:rsid w:val="00015F4D"/>
    <w:rsid w:val="00015F75"/>
    <w:rsid w:val="00015FC5"/>
    <w:rsid w:val="00016077"/>
    <w:rsid w:val="00016189"/>
    <w:rsid w:val="000161C4"/>
    <w:rsid w:val="000162EF"/>
    <w:rsid w:val="000163E6"/>
    <w:rsid w:val="000165CD"/>
    <w:rsid w:val="00016791"/>
    <w:rsid w:val="00016982"/>
    <w:rsid w:val="00016A64"/>
    <w:rsid w:val="00016CA1"/>
    <w:rsid w:val="00016EB2"/>
    <w:rsid w:val="00016F0A"/>
    <w:rsid w:val="00016FD7"/>
    <w:rsid w:val="00017020"/>
    <w:rsid w:val="00017051"/>
    <w:rsid w:val="000170C6"/>
    <w:rsid w:val="000170D0"/>
    <w:rsid w:val="00017223"/>
    <w:rsid w:val="00017454"/>
    <w:rsid w:val="000174BB"/>
    <w:rsid w:val="000174BF"/>
    <w:rsid w:val="000174C2"/>
    <w:rsid w:val="000174F3"/>
    <w:rsid w:val="000175A4"/>
    <w:rsid w:val="00017892"/>
    <w:rsid w:val="000178AD"/>
    <w:rsid w:val="00017919"/>
    <w:rsid w:val="00017A16"/>
    <w:rsid w:val="00017D0C"/>
    <w:rsid w:val="00017DB5"/>
    <w:rsid w:val="00020154"/>
    <w:rsid w:val="000202D0"/>
    <w:rsid w:val="000203F0"/>
    <w:rsid w:val="00020461"/>
    <w:rsid w:val="00020477"/>
    <w:rsid w:val="0002051C"/>
    <w:rsid w:val="00020577"/>
    <w:rsid w:val="00020581"/>
    <w:rsid w:val="00020595"/>
    <w:rsid w:val="00020609"/>
    <w:rsid w:val="00020660"/>
    <w:rsid w:val="00020780"/>
    <w:rsid w:val="000207C9"/>
    <w:rsid w:val="000208B9"/>
    <w:rsid w:val="00020A4B"/>
    <w:rsid w:val="00020B18"/>
    <w:rsid w:val="00020D55"/>
    <w:rsid w:val="00020DAC"/>
    <w:rsid w:val="00020EB6"/>
    <w:rsid w:val="00020F22"/>
    <w:rsid w:val="000210B7"/>
    <w:rsid w:val="000210C1"/>
    <w:rsid w:val="000210C5"/>
    <w:rsid w:val="000210DB"/>
    <w:rsid w:val="000212BA"/>
    <w:rsid w:val="00021316"/>
    <w:rsid w:val="00021711"/>
    <w:rsid w:val="000217B2"/>
    <w:rsid w:val="000217B3"/>
    <w:rsid w:val="000217CD"/>
    <w:rsid w:val="000218D3"/>
    <w:rsid w:val="000219F5"/>
    <w:rsid w:val="00021E06"/>
    <w:rsid w:val="00021EB1"/>
    <w:rsid w:val="00022088"/>
    <w:rsid w:val="000221BB"/>
    <w:rsid w:val="0002225F"/>
    <w:rsid w:val="000222C0"/>
    <w:rsid w:val="0002234F"/>
    <w:rsid w:val="00022379"/>
    <w:rsid w:val="00022390"/>
    <w:rsid w:val="000224FC"/>
    <w:rsid w:val="00022725"/>
    <w:rsid w:val="00022A34"/>
    <w:rsid w:val="00022B98"/>
    <w:rsid w:val="00022C1B"/>
    <w:rsid w:val="00022DEB"/>
    <w:rsid w:val="00022F5D"/>
    <w:rsid w:val="00023039"/>
    <w:rsid w:val="00023318"/>
    <w:rsid w:val="00023387"/>
    <w:rsid w:val="000233C5"/>
    <w:rsid w:val="00023704"/>
    <w:rsid w:val="00023763"/>
    <w:rsid w:val="00023826"/>
    <w:rsid w:val="00023A62"/>
    <w:rsid w:val="00023D3A"/>
    <w:rsid w:val="00023D78"/>
    <w:rsid w:val="000240C1"/>
    <w:rsid w:val="0002415B"/>
    <w:rsid w:val="0002418C"/>
    <w:rsid w:val="00024350"/>
    <w:rsid w:val="000243A1"/>
    <w:rsid w:val="0002441A"/>
    <w:rsid w:val="000244B4"/>
    <w:rsid w:val="00024596"/>
    <w:rsid w:val="000245DC"/>
    <w:rsid w:val="00024696"/>
    <w:rsid w:val="00024785"/>
    <w:rsid w:val="0002485E"/>
    <w:rsid w:val="00024A63"/>
    <w:rsid w:val="00024A93"/>
    <w:rsid w:val="00024D0F"/>
    <w:rsid w:val="00024EB5"/>
    <w:rsid w:val="00024F23"/>
    <w:rsid w:val="00024F9F"/>
    <w:rsid w:val="00025175"/>
    <w:rsid w:val="000251B5"/>
    <w:rsid w:val="0002552B"/>
    <w:rsid w:val="00025865"/>
    <w:rsid w:val="00025930"/>
    <w:rsid w:val="00025A27"/>
    <w:rsid w:val="00025B31"/>
    <w:rsid w:val="00025D5F"/>
    <w:rsid w:val="00025DF4"/>
    <w:rsid w:val="00025F4F"/>
    <w:rsid w:val="00026052"/>
    <w:rsid w:val="00026076"/>
    <w:rsid w:val="00026103"/>
    <w:rsid w:val="000261B1"/>
    <w:rsid w:val="000261E9"/>
    <w:rsid w:val="00026312"/>
    <w:rsid w:val="00026469"/>
    <w:rsid w:val="000264B9"/>
    <w:rsid w:val="000265AD"/>
    <w:rsid w:val="00026963"/>
    <w:rsid w:val="00026A43"/>
    <w:rsid w:val="00026B52"/>
    <w:rsid w:val="00026DC1"/>
    <w:rsid w:val="00026E8B"/>
    <w:rsid w:val="00026FD7"/>
    <w:rsid w:val="00027017"/>
    <w:rsid w:val="000270DE"/>
    <w:rsid w:val="0002713B"/>
    <w:rsid w:val="000272D8"/>
    <w:rsid w:val="000272E4"/>
    <w:rsid w:val="000274B8"/>
    <w:rsid w:val="00027708"/>
    <w:rsid w:val="000279F7"/>
    <w:rsid w:val="00027A1B"/>
    <w:rsid w:val="00027DDE"/>
    <w:rsid w:val="00027E4F"/>
    <w:rsid w:val="00027F5D"/>
    <w:rsid w:val="00030120"/>
    <w:rsid w:val="00030223"/>
    <w:rsid w:val="00030401"/>
    <w:rsid w:val="0003043A"/>
    <w:rsid w:val="0003068A"/>
    <w:rsid w:val="000306B7"/>
    <w:rsid w:val="000307C9"/>
    <w:rsid w:val="00030989"/>
    <w:rsid w:val="00030C74"/>
    <w:rsid w:val="00030D86"/>
    <w:rsid w:val="00030ED0"/>
    <w:rsid w:val="00030EFB"/>
    <w:rsid w:val="00030EFF"/>
    <w:rsid w:val="00030FF2"/>
    <w:rsid w:val="00031001"/>
    <w:rsid w:val="000311D9"/>
    <w:rsid w:val="00031315"/>
    <w:rsid w:val="0003141B"/>
    <w:rsid w:val="000314B9"/>
    <w:rsid w:val="000314C6"/>
    <w:rsid w:val="00031593"/>
    <w:rsid w:val="000316AB"/>
    <w:rsid w:val="000316D0"/>
    <w:rsid w:val="000318EB"/>
    <w:rsid w:val="00031A1D"/>
    <w:rsid w:val="00031A45"/>
    <w:rsid w:val="00031B22"/>
    <w:rsid w:val="00031CFA"/>
    <w:rsid w:val="00031D3F"/>
    <w:rsid w:val="00031F2C"/>
    <w:rsid w:val="0003212B"/>
    <w:rsid w:val="0003230B"/>
    <w:rsid w:val="00032486"/>
    <w:rsid w:val="000324ED"/>
    <w:rsid w:val="0003259E"/>
    <w:rsid w:val="00032679"/>
    <w:rsid w:val="000326F2"/>
    <w:rsid w:val="00032706"/>
    <w:rsid w:val="000327D9"/>
    <w:rsid w:val="00032848"/>
    <w:rsid w:val="00032A6F"/>
    <w:rsid w:val="00032B62"/>
    <w:rsid w:val="00032ED4"/>
    <w:rsid w:val="00033032"/>
    <w:rsid w:val="00033134"/>
    <w:rsid w:val="0003327D"/>
    <w:rsid w:val="00033424"/>
    <w:rsid w:val="00033477"/>
    <w:rsid w:val="00033505"/>
    <w:rsid w:val="0003366D"/>
    <w:rsid w:val="00033863"/>
    <w:rsid w:val="000339F6"/>
    <w:rsid w:val="00033BE2"/>
    <w:rsid w:val="00033C50"/>
    <w:rsid w:val="00033CAD"/>
    <w:rsid w:val="00033D94"/>
    <w:rsid w:val="00034247"/>
    <w:rsid w:val="00034408"/>
    <w:rsid w:val="0003448E"/>
    <w:rsid w:val="000344EA"/>
    <w:rsid w:val="000345B1"/>
    <w:rsid w:val="0003469F"/>
    <w:rsid w:val="0003488B"/>
    <w:rsid w:val="00034AA9"/>
    <w:rsid w:val="00034B1A"/>
    <w:rsid w:val="00034B3C"/>
    <w:rsid w:val="00034D02"/>
    <w:rsid w:val="00034DBF"/>
    <w:rsid w:val="00034E9F"/>
    <w:rsid w:val="00034EE0"/>
    <w:rsid w:val="00034F96"/>
    <w:rsid w:val="00034FC7"/>
    <w:rsid w:val="00035033"/>
    <w:rsid w:val="00035434"/>
    <w:rsid w:val="000357C1"/>
    <w:rsid w:val="00035A76"/>
    <w:rsid w:val="00035C76"/>
    <w:rsid w:val="00035DB5"/>
    <w:rsid w:val="00035DC0"/>
    <w:rsid w:val="00035F4D"/>
    <w:rsid w:val="00035F91"/>
    <w:rsid w:val="0003610B"/>
    <w:rsid w:val="00036699"/>
    <w:rsid w:val="00036829"/>
    <w:rsid w:val="00036830"/>
    <w:rsid w:val="00036AC2"/>
    <w:rsid w:val="00036B97"/>
    <w:rsid w:val="00036BB3"/>
    <w:rsid w:val="00036EB0"/>
    <w:rsid w:val="00036EBC"/>
    <w:rsid w:val="00036FD3"/>
    <w:rsid w:val="00037032"/>
    <w:rsid w:val="000370A5"/>
    <w:rsid w:val="000372B1"/>
    <w:rsid w:val="000373A2"/>
    <w:rsid w:val="000374DE"/>
    <w:rsid w:val="0003750F"/>
    <w:rsid w:val="0003764F"/>
    <w:rsid w:val="000379C6"/>
    <w:rsid w:val="00037A26"/>
    <w:rsid w:val="00037F1A"/>
    <w:rsid w:val="00037F2C"/>
    <w:rsid w:val="00040225"/>
    <w:rsid w:val="0004028B"/>
    <w:rsid w:val="00040325"/>
    <w:rsid w:val="00040401"/>
    <w:rsid w:val="00040895"/>
    <w:rsid w:val="00040BCE"/>
    <w:rsid w:val="00040BDA"/>
    <w:rsid w:val="00040C77"/>
    <w:rsid w:val="00040D6F"/>
    <w:rsid w:val="00040E57"/>
    <w:rsid w:val="00040F56"/>
    <w:rsid w:val="0004102B"/>
    <w:rsid w:val="000410A0"/>
    <w:rsid w:val="000410F8"/>
    <w:rsid w:val="000411DA"/>
    <w:rsid w:val="00041213"/>
    <w:rsid w:val="000412FA"/>
    <w:rsid w:val="0004149B"/>
    <w:rsid w:val="000416C0"/>
    <w:rsid w:val="000416D1"/>
    <w:rsid w:val="00041723"/>
    <w:rsid w:val="000418BD"/>
    <w:rsid w:val="00041A3D"/>
    <w:rsid w:val="00041B37"/>
    <w:rsid w:val="00041B55"/>
    <w:rsid w:val="00041BFE"/>
    <w:rsid w:val="00041D10"/>
    <w:rsid w:val="00041EE0"/>
    <w:rsid w:val="00041F22"/>
    <w:rsid w:val="0004208D"/>
    <w:rsid w:val="000422CE"/>
    <w:rsid w:val="000422E6"/>
    <w:rsid w:val="0004281F"/>
    <w:rsid w:val="00042A54"/>
    <w:rsid w:val="00042A89"/>
    <w:rsid w:val="00042A9D"/>
    <w:rsid w:val="00042B73"/>
    <w:rsid w:val="00042CE2"/>
    <w:rsid w:val="00042D8E"/>
    <w:rsid w:val="000430DF"/>
    <w:rsid w:val="00043167"/>
    <w:rsid w:val="00043448"/>
    <w:rsid w:val="000435EE"/>
    <w:rsid w:val="00043686"/>
    <w:rsid w:val="00043850"/>
    <w:rsid w:val="00043A9C"/>
    <w:rsid w:val="00043C37"/>
    <w:rsid w:val="00043C92"/>
    <w:rsid w:val="00043D9A"/>
    <w:rsid w:val="00043DE4"/>
    <w:rsid w:val="00043E57"/>
    <w:rsid w:val="00043E7E"/>
    <w:rsid w:val="00043EA0"/>
    <w:rsid w:val="00044089"/>
    <w:rsid w:val="0004409E"/>
    <w:rsid w:val="00044183"/>
    <w:rsid w:val="000441F1"/>
    <w:rsid w:val="00044639"/>
    <w:rsid w:val="000446C2"/>
    <w:rsid w:val="000447DB"/>
    <w:rsid w:val="000448B6"/>
    <w:rsid w:val="000448DC"/>
    <w:rsid w:val="00044905"/>
    <w:rsid w:val="000449AF"/>
    <w:rsid w:val="00044A90"/>
    <w:rsid w:val="00044B0B"/>
    <w:rsid w:val="00044B73"/>
    <w:rsid w:val="00044CD9"/>
    <w:rsid w:val="00044D03"/>
    <w:rsid w:val="00044D50"/>
    <w:rsid w:val="00044DFF"/>
    <w:rsid w:val="00044E1B"/>
    <w:rsid w:val="00044EC2"/>
    <w:rsid w:val="00045017"/>
    <w:rsid w:val="00045052"/>
    <w:rsid w:val="00045229"/>
    <w:rsid w:val="0004542C"/>
    <w:rsid w:val="0004547E"/>
    <w:rsid w:val="000455E4"/>
    <w:rsid w:val="00045813"/>
    <w:rsid w:val="00045821"/>
    <w:rsid w:val="000459B4"/>
    <w:rsid w:val="000459E7"/>
    <w:rsid w:val="00045A2B"/>
    <w:rsid w:val="00045A9C"/>
    <w:rsid w:val="00045ABE"/>
    <w:rsid w:val="00045B24"/>
    <w:rsid w:val="000460F5"/>
    <w:rsid w:val="000461E8"/>
    <w:rsid w:val="000462F4"/>
    <w:rsid w:val="000462F8"/>
    <w:rsid w:val="000464DC"/>
    <w:rsid w:val="00046548"/>
    <w:rsid w:val="000467AF"/>
    <w:rsid w:val="000468A7"/>
    <w:rsid w:val="000468B6"/>
    <w:rsid w:val="0004698F"/>
    <w:rsid w:val="00046C3C"/>
    <w:rsid w:val="00046C8A"/>
    <w:rsid w:val="00046D64"/>
    <w:rsid w:val="00046E06"/>
    <w:rsid w:val="00046E0D"/>
    <w:rsid w:val="00046E13"/>
    <w:rsid w:val="00046FBE"/>
    <w:rsid w:val="0004704F"/>
    <w:rsid w:val="000472CF"/>
    <w:rsid w:val="00047464"/>
    <w:rsid w:val="000474EE"/>
    <w:rsid w:val="00047523"/>
    <w:rsid w:val="000475A6"/>
    <w:rsid w:val="00047620"/>
    <w:rsid w:val="00047A26"/>
    <w:rsid w:val="00047A71"/>
    <w:rsid w:val="00047B1E"/>
    <w:rsid w:val="00047B85"/>
    <w:rsid w:val="00047E1C"/>
    <w:rsid w:val="00047E67"/>
    <w:rsid w:val="00047E9A"/>
    <w:rsid w:val="00047EF4"/>
    <w:rsid w:val="00047FFE"/>
    <w:rsid w:val="0005008B"/>
    <w:rsid w:val="000500C8"/>
    <w:rsid w:val="00050104"/>
    <w:rsid w:val="000501CC"/>
    <w:rsid w:val="00050220"/>
    <w:rsid w:val="00050423"/>
    <w:rsid w:val="000504EF"/>
    <w:rsid w:val="00050769"/>
    <w:rsid w:val="000507B8"/>
    <w:rsid w:val="000507D5"/>
    <w:rsid w:val="000508C2"/>
    <w:rsid w:val="00050A75"/>
    <w:rsid w:val="00050AB7"/>
    <w:rsid w:val="00050B77"/>
    <w:rsid w:val="00050CB1"/>
    <w:rsid w:val="00050CD6"/>
    <w:rsid w:val="00050DB8"/>
    <w:rsid w:val="00050F82"/>
    <w:rsid w:val="00051017"/>
    <w:rsid w:val="000510D0"/>
    <w:rsid w:val="00051123"/>
    <w:rsid w:val="0005112F"/>
    <w:rsid w:val="000513AD"/>
    <w:rsid w:val="0005167E"/>
    <w:rsid w:val="000518A1"/>
    <w:rsid w:val="00051940"/>
    <w:rsid w:val="00051A9D"/>
    <w:rsid w:val="00051B4C"/>
    <w:rsid w:val="00051D6D"/>
    <w:rsid w:val="00051E09"/>
    <w:rsid w:val="00051F5E"/>
    <w:rsid w:val="00051FB8"/>
    <w:rsid w:val="000520E7"/>
    <w:rsid w:val="000521BF"/>
    <w:rsid w:val="000521DB"/>
    <w:rsid w:val="0005222A"/>
    <w:rsid w:val="000522C2"/>
    <w:rsid w:val="000525DE"/>
    <w:rsid w:val="000525E3"/>
    <w:rsid w:val="00052DE1"/>
    <w:rsid w:val="00052E92"/>
    <w:rsid w:val="00052F54"/>
    <w:rsid w:val="000530EA"/>
    <w:rsid w:val="0005331F"/>
    <w:rsid w:val="0005373C"/>
    <w:rsid w:val="0005385D"/>
    <w:rsid w:val="00053993"/>
    <w:rsid w:val="000539D0"/>
    <w:rsid w:val="00053B2F"/>
    <w:rsid w:val="00053B9A"/>
    <w:rsid w:val="00053D6A"/>
    <w:rsid w:val="00053E2A"/>
    <w:rsid w:val="00053FE1"/>
    <w:rsid w:val="000540F8"/>
    <w:rsid w:val="000545C9"/>
    <w:rsid w:val="00054621"/>
    <w:rsid w:val="0005466A"/>
    <w:rsid w:val="000546D7"/>
    <w:rsid w:val="000548A2"/>
    <w:rsid w:val="000548C5"/>
    <w:rsid w:val="000548FE"/>
    <w:rsid w:val="00054932"/>
    <w:rsid w:val="00054A37"/>
    <w:rsid w:val="00054A7C"/>
    <w:rsid w:val="00054A8D"/>
    <w:rsid w:val="00054A94"/>
    <w:rsid w:val="00054BBE"/>
    <w:rsid w:val="00054C96"/>
    <w:rsid w:val="00054D0C"/>
    <w:rsid w:val="00054EBA"/>
    <w:rsid w:val="00054F31"/>
    <w:rsid w:val="000551FC"/>
    <w:rsid w:val="00055256"/>
    <w:rsid w:val="00055308"/>
    <w:rsid w:val="00055367"/>
    <w:rsid w:val="00055416"/>
    <w:rsid w:val="000557CB"/>
    <w:rsid w:val="0005585E"/>
    <w:rsid w:val="000559C2"/>
    <w:rsid w:val="00055A99"/>
    <w:rsid w:val="00055B42"/>
    <w:rsid w:val="00055CC0"/>
    <w:rsid w:val="00055CD1"/>
    <w:rsid w:val="00056030"/>
    <w:rsid w:val="00056190"/>
    <w:rsid w:val="000561AD"/>
    <w:rsid w:val="00056259"/>
    <w:rsid w:val="0005630C"/>
    <w:rsid w:val="000564FD"/>
    <w:rsid w:val="000565DA"/>
    <w:rsid w:val="00056603"/>
    <w:rsid w:val="00056624"/>
    <w:rsid w:val="00056663"/>
    <w:rsid w:val="00056937"/>
    <w:rsid w:val="00056AB3"/>
    <w:rsid w:val="00056C1C"/>
    <w:rsid w:val="00056ECF"/>
    <w:rsid w:val="00056F09"/>
    <w:rsid w:val="000571C2"/>
    <w:rsid w:val="000573D9"/>
    <w:rsid w:val="00057407"/>
    <w:rsid w:val="00057409"/>
    <w:rsid w:val="00057450"/>
    <w:rsid w:val="0005758F"/>
    <w:rsid w:val="00057604"/>
    <w:rsid w:val="00057620"/>
    <w:rsid w:val="00057624"/>
    <w:rsid w:val="000576BC"/>
    <w:rsid w:val="000576EB"/>
    <w:rsid w:val="000576FB"/>
    <w:rsid w:val="00057847"/>
    <w:rsid w:val="00057A7A"/>
    <w:rsid w:val="00057B8B"/>
    <w:rsid w:val="00057C3F"/>
    <w:rsid w:val="00057D48"/>
    <w:rsid w:val="00057E6A"/>
    <w:rsid w:val="00057EBE"/>
    <w:rsid w:val="00057EDE"/>
    <w:rsid w:val="00057F3C"/>
    <w:rsid w:val="000600E0"/>
    <w:rsid w:val="00060139"/>
    <w:rsid w:val="0006018F"/>
    <w:rsid w:val="00060289"/>
    <w:rsid w:val="0006037A"/>
    <w:rsid w:val="000604DF"/>
    <w:rsid w:val="000605DB"/>
    <w:rsid w:val="0006065E"/>
    <w:rsid w:val="000607B0"/>
    <w:rsid w:val="000607D0"/>
    <w:rsid w:val="00060A07"/>
    <w:rsid w:val="00060B06"/>
    <w:rsid w:val="00060D94"/>
    <w:rsid w:val="00060E1A"/>
    <w:rsid w:val="00060E78"/>
    <w:rsid w:val="00060F0B"/>
    <w:rsid w:val="00060F42"/>
    <w:rsid w:val="000610C6"/>
    <w:rsid w:val="000611CD"/>
    <w:rsid w:val="000611DE"/>
    <w:rsid w:val="00061246"/>
    <w:rsid w:val="000613E7"/>
    <w:rsid w:val="00061490"/>
    <w:rsid w:val="0006169F"/>
    <w:rsid w:val="0006171E"/>
    <w:rsid w:val="00061748"/>
    <w:rsid w:val="00061783"/>
    <w:rsid w:val="0006179A"/>
    <w:rsid w:val="00061822"/>
    <w:rsid w:val="00061A00"/>
    <w:rsid w:val="00061B82"/>
    <w:rsid w:val="00061BE1"/>
    <w:rsid w:val="00061CF4"/>
    <w:rsid w:val="00061DAB"/>
    <w:rsid w:val="00061E71"/>
    <w:rsid w:val="00061E84"/>
    <w:rsid w:val="00061E93"/>
    <w:rsid w:val="00061F87"/>
    <w:rsid w:val="00062268"/>
    <w:rsid w:val="00062324"/>
    <w:rsid w:val="0006236C"/>
    <w:rsid w:val="0006237E"/>
    <w:rsid w:val="000623C3"/>
    <w:rsid w:val="000624D3"/>
    <w:rsid w:val="00062582"/>
    <w:rsid w:val="00062607"/>
    <w:rsid w:val="0006263B"/>
    <w:rsid w:val="0006276A"/>
    <w:rsid w:val="00062861"/>
    <w:rsid w:val="00062A01"/>
    <w:rsid w:val="00062C02"/>
    <w:rsid w:val="00062DCA"/>
    <w:rsid w:val="00062E50"/>
    <w:rsid w:val="00062F84"/>
    <w:rsid w:val="000631AD"/>
    <w:rsid w:val="000631DF"/>
    <w:rsid w:val="00063368"/>
    <w:rsid w:val="00063400"/>
    <w:rsid w:val="0006351F"/>
    <w:rsid w:val="000638F8"/>
    <w:rsid w:val="0006394A"/>
    <w:rsid w:val="000639E6"/>
    <w:rsid w:val="000639F4"/>
    <w:rsid w:val="00063B77"/>
    <w:rsid w:val="00063DC9"/>
    <w:rsid w:val="00063E91"/>
    <w:rsid w:val="00063E98"/>
    <w:rsid w:val="00063EAD"/>
    <w:rsid w:val="000640C7"/>
    <w:rsid w:val="000640FC"/>
    <w:rsid w:val="00064284"/>
    <w:rsid w:val="000643B5"/>
    <w:rsid w:val="000646AD"/>
    <w:rsid w:val="00064859"/>
    <w:rsid w:val="00064875"/>
    <w:rsid w:val="000648F6"/>
    <w:rsid w:val="0006492D"/>
    <w:rsid w:val="000649F7"/>
    <w:rsid w:val="00064A22"/>
    <w:rsid w:val="00064BC2"/>
    <w:rsid w:val="00064C6B"/>
    <w:rsid w:val="00064CF9"/>
    <w:rsid w:val="00064D0E"/>
    <w:rsid w:val="00064D6D"/>
    <w:rsid w:val="00064D97"/>
    <w:rsid w:val="00064EDC"/>
    <w:rsid w:val="00065244"/>
    <w:rsid w:val="0006528D"/>
    <w:rsid w:val="0006532D"/>
    <w:rsid w:val="000653B5"/>
    <w:rsid w:val="0006542E"/>
    <w:rsid w:val="000654DB"/>
    <w:rsid w:val="000657D6"/>
    <w:rsid w:val="00065954"/>
    <w:rsid w:val="000659FD"/>
    <w:rsid w:val="00065A9E"/>
    <w:rsid w:val="00065DDC"/>
    <w:rsid w:val="00065EC0"/>
    <w:rsid w:val="00065FD3"/>
    <w:rsid w:val="00066044"/>
    <w:rsid w:val="000660B2"/>
    <w:rsid w:val="000660D7"/>
    <w:rsid w:val="000660F1"/>
    <w:rsid w:val="0006612A"/>
    <w:rsid w:val="00066360"/>
    <w:rsid w:val="00066557"/>
    <w:rsid w:val="000668DC"/>
    <w:rsid w:val="00066AF8"/>
    <w:rsid w:val="00066CA4"/>
    <w:rsid w:val="00066DF6"/>
    <w:rsid w:val="0006705B"/>
    <w:rsid w:val="00067066"/>
    <w:rsid w:val="000670D6"/>
    <w:rsid w:val="0006717C"/>
    <w:rsid w:val="000672BF"/>
    <w:rsid w:val="000672CA"/>
    <w:rsid w:val="00067345"/>
    <w:rsid w:val="000673DF"/>
    <w:rsid w:val="000675BC"/>
    <w:rsid w:val="00067722"/>
    <w:rsid w:val="0006796D"/>
    <w:rsid w:val="00067B2C"/>
    <w:rsid w:val="00067E0D"/>
    <w:rsid w:val="00067EC8"/>
    <w:rsid w:val="00067EFE"/>
    <w:rsid w:val="0007002C"/>
    <w:rsid w:val="000700C1"/>
    <w:rsid w:val="00070481"/>
    <w:rsid w:val="00070B97"/>
    <w:rsid w:val="00070C73"/>
    <w:rsid w:val="00070DEF"/>
    <w:rsid w:val="00070E1F"/>
    <w:rsid w:val="000710A6"/>
    <w:rsid w:val="00071248"/>
    <w:rsid w:val="0007135E"/>
    <w:rsid w:val="00071688"/>
    <w:rsid w:val="00071887"/>
    <w:rsid w:val="00071981"/>
    <w:rsid w:val="0007199E"/>
    <w:rsid w:val="00071A40"/>
    <w:rsid w:val="00071D4E"/>
    <w:rsid w:val="000720B9"/>
    <w:rsid w:val="000720E4"/>
    <w:rsid w:val="000721FA"/>
    <w:rsid w:val="0007263A"/>
    <w:rsid w:val="00072680"/>
    <w:rsid w:val="00072827"/>
    <w:rsid w:val="000728A8"/>
    <w:rsid w:val="000728B8"/>
    <w:rsid w:val="000728C9"/>
    <w:rsid w:val="00072904"/>
    <w:rsid w:val="00072ABA"/>
    <w:rsid w:val="00072BC0"/>
    <w:rsid w:val="00072BE3"/>
    <w:rsid w:val="00073056"/>
    <w:rsid w:val="000730F1"/>
    <w:rsid w:val="00073269"/>
    <w:rsid w:val="000737F7"/>
    <w:rsid w:val="00073931"/>
    <w:rsid w:val="00073959"/>
    <w:rsid w:val="00073D0A"/>
    <w:rsid w:val="00073DD3"/>
    <w:rsid w:val="00073F03"/>
    <w:rsid w:val="00073F25"/>
    <w:rsid w:val="00073F5B"/>
    <w:rsid w:val="00074178"/>
    <w:rsid w:val="0007419D"/>
    <w:rsid w:val="000742BF"/>
    <w:rsid w:val="00074342"/>
    <w:rsid w:val="00074375"/>
    <w:rsid w:val="0007443D"/>
    <w:rsid w:val="000744CA"/>
    <w:rsid w:val="00074502"/>
    <w:rsid w:val="000747D2"/>
    <w:rsid w:val="0007495E"/>
    <w:rsid w:val="00074B27"/>
    <w:rsid w:val="00074C02"/>
    <w:rsid w:val="00074D10"/>
    <w:rsid w:val="00074D7C"/>
    <w:rsid w:val="00074DA2"/>
    <w:rsid w:val="00074EEB"/>
    <w:rsid w:val="00074F31"/>
    <w:rsid w:val="00074F41"/>
    <w:rsid w:val="00074F61"/>
    <w:rsid w:val="00075024"/>
    <w:rsid w:val="00075031"/>
    <w:rsid w:val="00075088"/>
    <w:rsid w:val="00075137"/>
    <w:rsid w:val="0007517B"/>
    <w:rsid w:val="00075191"/>
    <w:rsid w:val="000751AE"/>
    <w:rsid w:val="000753A6"/>
    <w:rsid w:val="000754D6"/>
    <w:rsid w:val="0007565B"/>
    <w:rsid w:val="00075690"/>
    <w:rsid w:val="000756F4"/>
    <w:rsid w:val="000757F3"/>
    <w:rsid w:val="00075954"/>
    <w:rsid w:val="00075979"/>
    <w:rsid w:val="000759A9"/>
    <w:rsid w:val="00075A9A"/>
    <w:rsid w:val="00075D69"/>
    <w:rsid w:val="00076054"/>
    <w:rsid w:val="00076134"/>
    <w:rsid w:val="0007617F"/>
    <w:rsid w:val="0007620C"/>
    <w:rsid w:val="000764AF"/>
    <w:rsid w:val="0007672F"/>
    <w:rsid w:val="00076B54"/>
    <w:rsid w:val="00076B79"/>
    <w:rsid w:val="00076C89"/>
    <w:rsid w:val="00076D78"/>
    <w:rsid w:val="00076FF3"/>
    <w:rsid w:val="000770A7"/>
    <w:rsid w:val="000770D4"/>
    <w:rsid w:val="000773CA"/>
    <w:rsid w:val="000774F0"/>
    <w:rsid w:val="00077680"/>
    <w:rsid w:val="000776B1"/>
    <w:rsid w:val="00077741"/>
    <w:rsid w:val="0007776D"/>
    <w:rsid w:val="00077791"/>
    <w:rsid w:val="00077A21"/>
    <w:rsid w:val="00077C03"/>
    <w:rsid w:val="00077CF4"/>
    <w:rsid w:val="00077D8E"/>
    <w:rsid w:val="00080008"/>
    <w:rsid w:val="00080162"/>
    <w:rsid w:val="000801AD"/>
    <w:rsid w:val="0008027F"/>
    <w:rsid w:val="000804A7"/>
    <w:rsid w:val="000806CE"/>
    <w:rsid w:val="00080817"/>
    <w:rsid w:val="000808D8"/>
    <w:rsid w:val="00080909"/>
    <w:rsid w:val="000809E1"/>
    <w:rsid w:val="000809F5"/>
    <w:rsid w:val="00080C3C"/>
    <w:rsid w:val="00080CD6"/>
    <w:rsid w:val="00080DA2"/>
    <w:rsid w:val="00080E0E"/>
    <w:rsid w:val="000810CD"/>
    <w:rsid w:val="000812BD"/>
    <w:rsid w:val="000812CA"/>
    <w:rsid w:val="000812ED"/>
    <w:rsid w:val="00081556"/>
    <w:rsid w:val="000819F4"/>
    <w:rsid w:val="00081E63"/>
    <w:rsid w:val="00082017"/>
    <w:rsid w:val="00082278"/>
    <w:rsid w:val="00082438"/>
    <w:rsid w:val="000824C2"/>
    <w:rsid w:val="0008258D"/>
    <w:rsid w:val="000825E1"/>
    <w:rsid w:val="00082633"/>
    <w:rsid w:val="000827A2"/>
    <w:rsid w:val="000828F2"/>
    <w:rsid w:val="000829B0"/>
    <w:rsid w:val="000829E2"/>
    <w:rsid w:val="00082A0C"/>
    <w:rsid w:val="00082A75"/>
    <w:rsid w:val="00082A96"/>
    <w:rsid w:val="00082B7F"/>
    <w:rsid w:val="00082E47"/>
    <w:rsid w:val="00082EEE"/>
    <w:rsid w:val="00082FCE"/>
    <w:rsid w:val="000830AA"/>
    <w:rsid w:val="000830C9"/>
    <w:rsid w:val="000830F7"/>
    <w:rsid w:val="0008331B"/>
    <w:rsid w:val="000833D5"/>
    <w:rsid w:val="000835B6"/>
    <w:rsid w:val="000835DE"/>
    <w:rsid w:val="0008360B"/>
    <w:rsid w:val="00083641"/>
    <w:rsid w:val="000836F3"/>
    <w:rsid w:val="00083732"/>
    <w:rsid w:val="00083985"/>
    <w:rsid w:val="00083A26"/>
    <w:rsid w:val="00083B81"/>
    <w:rsid w:val="00083BF7"/>
    <w:rsid w:val="00083C4C"/>
    <w:rsid w:val="00083D1F"/>
    <w:rsid w:val="00083D5B"/>
    <w:rsid w:val="00083E53"/>
    <w:rsid w:val="00083E99"/>
    <w:rsid w:val="00083FC1"/>
    <w:rsid w:val="0008423B"/>
    <w:rsid w:val="00084386"/>
    <w:rsid w:val="000843EE"/>
    <w:rsid w:val="0008447C"/>
    <w:rsid w:val="00084653"/>
    <w:rsid w:val="00084689"/>
    <w:rsid w:val="000847E4"/>
    <w:rsid w:val="000848DC"/>
    <w:rsid w:val="000849B3"/>
    <w:rsid w:val="000849FF"/>
    <w:rsid w:val="00084A9D"/>
    <w:rsid w:val="00084B8D"/>
    <w:rsid w:val="00084E4F"/>
    <w:rsid w:val="00084FA8"/>
    <w:rsid w:val="0008504A"/>
    <w:rsid w:val="000850CE"/>
    <w:rsid w:val="000850E9"/>
    <w:rsid w:val="00085243"/>
    <w:rsid w:val="00085450"/>
    <w:rsid w:val="00085623"/>
    <w:rsid w:val="000856C5"/>
    <w:rsid w:val="0008579B"/>
    <w:rsid w:val="00085AFB"/>
    <w:rsid w:val="00085C22"/>
    <w:rsid w:val="00085C31"/>
    <w:rsid w:val="00085F94"/>
    <w:rsid w:val="0008605A"/>
    <w:rsid w:val="0008623D"/>
    <w:rsid w:val="00086415"/>
    <w:rsid w:val="0008648E"/>
    <w:rsid w:val="00086658"/>
    <w:rsid w:val="00086A43"/>
    <w:rsid w:val="00086C1C"/>
    <w:rsid w:val="00086C31"/>
    <w:rsid w:val="00086FB9"/>
    <w:rsid w:val="0008726F"/>
    <w:rsid w:val="00087301"/>
    <w:rsid w:val="000875E0"/>
    <w:rsid w:val="000876F2"/>
    <w:rsid w:val="0008774E"/>
    <w:rsid w:val="000877A3"/>
    <w:rsid w:val="000877F3"/>
    <w:rsid w:val="00087B2D"/>
    <w:rsid w:val="00087BF1"/>
    <w:rsid w:val="00087E6E"/>
    <w:rsid w:val="00087E9E"/>
    <w:rsid w:val="00087F2F"/>
    <w:rsid w:val="00090268"/>
    <w:rsid w:val="000902D9"/>
    <w:rsid w:val="00090387"/>
    <w:rsid w:val="000908AD"/>
    <w:rsid w:val="00090BBD"/>
    <w:rsid w:val="00090C30"/>
    <w:rsid w:val="00090C7E"/>
    <w:rsid w:val="00090F93"/>
    <w:rsid w:val="00090FB2"/>
    <w:rsid w:val="00091023"/>
    <w:rsid w:val="000910FC"/>
    <w:rsid w:val="00091166"/>
    <w:rsid w:val="00091169"/>
    <w:rsid w:val="000911AC"/>
    <w:rsid w:val="000913A9"/>
    <w:rsid w:val="000913EA"/>
    <w:rsid w:val="000915A4"/>
    <w:rsid w:val="0009172F"/>
    <w:rsid w:val="00091857"/>
    <w:rsid w:val="00091884"/>
    <w:rsid w:val="0009188E"/>
    <w:rsid w:val="00091A7A"/>
    <w:rsid w:val="00091BDC"/>
    <w:rsid w:val="00091D73"/>
    <w:rsid w:val="00091F07"/>
    <w:rsid w:val="000923FE"/>
    <w:rsid w:val="00092600"/>
    <w:rsid w:val="0009262B"/>
    <w:rsid w:val="0009282C"/>
    <w:rsid w:val="000929F5"/>
    <w:rsid w:val="00092C13"/>
    <w:rsid w:val="00092C34"/>
    <w:rsid w:val="00092D61"/>
    <w:rsid w:val="00092D71"/>
    <w:rsid w:val="00092DE6"/>
    <w:rsid w:val="00092F77"/>
    <w:rsid w:val="00092F9C"/>
    <w:rsid w:val="00092FAE"/>
    <w:rsid w:val="00092FCF"/>
    <w:rsid w:val="00093202"/>
    <w:rsid w:val="000932DD"/>
    <w:rsid w:val="000932F7"/>
    <w:rsid w:val="00093310"/>
    <w:rsid w:val="00093379"/>
    <w:rsid w:val="00093443"/>
    <w:rsid w:val="00093592"/>
    <w:rsid w:val="000939FA"/>
    <w:rsid w:val="00093C00"/>
    <w:rsid w:val="00093C52"/>
    <w:rsid w:val="00093C71"/>
    <w:rsid w:val="00093E28"/>
    <w:rsid w:val="00093FB6"/>
    <w:rsid w:val="00094070"/>
    <w:rsid w:val="00094376"/>
    <w:rsid w:val="0009444E"/>
    <w:rsid w:val="0009445C"/>
    <w:rsid w:val="00094504"/>
    <w:rsid w:val="0009452F"/>
    <w:rsid w:val="0009456F"/>
    <w:rsid w:val="00094592"/>
    <w:rsid w:val="00094802"/>
    <w:rsid w:val="000949CF"/>
    <w:rsid w:val="00094A21"/>
    <w:rsid w:val="00094A5E"/>
    <w:rsid w:val="00094B84"/>
    <w:rsid w:val="00094BEE"/>
    <w:rsid w:val="00094D47"/>
    <w:rsid w:val="00094ED7"/>
    <w:rsid w:val="00094FA1"/>
    <w:rsid w:val="00095083"/>
    <w:rsid w:val="00095124"/>
    <w:rsid w:val="000951F7"/>
    <w:rsid w:val="00095200"/>
    <w:rsid w:val="000956C0"/>
    <w:rsid w:val="000957B6"/>
    <w:rsid w:val="00095834"/>
    <w:rsid w:val="00095848"/>
    <w:rsid w:val="0009587F"/>
    <w:rsid w:val="00095893"/>
    <w:rsid w:val="0009598F"/>
    <w:rsid w:val="00095C31"/>
    <w:rsid w:val="00095C55"/>
    <w:rsid w:val="00095D7E"/>
    <w:rsid w:val="00095F13"/>
    <w:rsid w:val="00095FE5"/>
    <w:rsid w:val="00096113"/>
    <w:rsid w:val="0009615B"/>
    <w:rsid w:val="00096284"/>
    <w:rsid w:val="000963DE"/>
    <w:rsid w:val="00096475"/>
    <w:rsid w:val="00096499"/>
    <w:rsid w:val="00096784"/>
    <w:rsid w:val="0009691F"/>
    <w:rsid w:val="000969AE"/>
    <w:rsid w:val="00096C5E"/>
    <w:rsid w:val="00096CEE"/>
    <w:rsid w:val="00096F30"/>
    <w:rsid w:val="00096FAB"/>
    <w:rsid w:val="00097203"/>
    <w:rsid w:val="00097263"/>
    <w:rsid w:val="00097298"/>
    <w:rsid w:val="000972E6"/>
    <w:rsid w:val="00097326"/>
    <w:rsid w:val="000975D0"/>
    <w:rsid w:val="00097826"/>
    <w:rsid w:val="0009786A"/>
    <w:rsid w:val="0009794F"/>
    <w:rsid w:val="000979BC"/>
    <w:rsid w:val="00097A02"/>
    <w:rsid w:val="00097C6E"/>
    <w:rsid w:val="00097D0F"/>
    <w:rsid w:val="00097D64"/>
    <w:rsid w:val="00097E48"/>
    <w:rsid w:val="00097E97"/>
    <w:rsid w:val="00097EFC"/>
    <w:rsid w:val="00097FA5"/>
    <w:rsid w:val="000A04E4"/>
    <w:rsid w:val="000A052C"/>
    <w:rsid w:val="000A0595"/>
    <w:rsid w:val="000A059B"/>
    <w:rsid w:val="000A05AB"/>
    <w:rsid w:val="000A0816"/>
    <w:rsid w:val="000A08B7"/>
    <w:rsid w:val="000A08DC"/>
    <w:rsid w:val="000A0959"/>
    <w:rsid w:val="000A09D1"/>
    <w:rsid w:val="000A0A0F"/>
    <w:rsid w:val="000A0A7D"/>
    <w:rsid w:val="000A0B07"/>
    <w:rsid w:val="000A0BD0"/>
    <w:rsid w:val="000A0C9D"/>
    <w:rsid w:val="000A0CEA"/>
    <w:rsid w:val="000A0DF3"/>
    <w:rsid w:val="000A0F3A"/>
    <w:rsid w:val="000A1089"/>
    <w:rsid w:val="000A11B4"/>
    <w:rsid w:val="000A1265"/>
    <w:rsid w:val="000A12B0"/>
    <w:rsid w:val="000A12CF"/>
    <w:rsid w:val="000A12EA"/>
    <w:rsid w:val="000A1392"/>
    <w:rsid w:val="000A142B"/>
    <w:rsid w:val="000A14BE"/>
    <w:rsid w:val="000A14FA"/>
    <w:rsid w:val="000A15B4"/>
    <w:rsid w:val="000A168D"/>
    <w:rsid w:val="000A16C0"/>
    <w:rsid w:val="000A16DA"/>
    <w:rsid w:val="000A16FF"/>
    <w:rsid w:val="000A174B"/>
    <w:rsid w:val="000A1766"/>
    <w:rsid w:val="000A17F3"/>
    <w:rsid w:val="000A1A6B"/>
    <w:rsid w:val="000A1BC0"/>
    <w:rsid w:val="000A1C47"/>
    <w:rsid w:val="000A1CC6"/>
    <w:rsid w:val="000A22F2"/>
    <w:rsid w:val="000A234E"/>
    <w:rsid w:val="000A2403"/>
    <w:rsid w:val="000A2516"/>
    <w:rsid w:val="000A255A"/>
    <w:rsid w:val="000A25E4"/>
    <w:rsid w:val="000A2889"/>
    <w:rsid w:val="000A289B"/>
    <w:rsid w:val="000A2995"/>
    <w:rsid w:val="000A29C5"/>
    <w:rsid w:val="000A2A7B"/>
    <w:rsid w:val="000A2AD5"/>
    <w:rsid w:val="000A2CE6"/>
    <w:rsid w:val="000A2D25"/>
    <w:rsid w:val="000A2DD7"/>
    <w:rsid w:val="000A2E3C"/>
    <w:rsid w:val="000A2F9E"/>
    <w:rsid w:val="000A2FBC"/>
    <w:rsid w:val="000A3050"/>
    <w:rsid w:val="000A31D6"/>
    <w:rsid w:val="000A320C"/>
    <w:rsid w:val="000A32AB"/>
    <w:rsid w:val="000A34B9"/>
    <w:rsid w:val="000A3530"/>
    <w:rsid w:val="000A360D"/>
    <w:rsid w:val="000A38CE"/>
    <w:rsid w:val="000A38E8"/>
    <w:rsid w:val="000A3D89"/>
    <w:rsid w:val="000A3E47"/>
    <w:rsid w:val="000A3E54"/>
    <w:rsid w:val="000A3E5C"/>
    <w:rsid w:val="000A405F"/>
    <w:rsid w:val="000A4087"/>
    <w:rsid w:val="000A40BB"/>
    <w:rsid w:val="000A40BD"/>
    <w:rsid w:val="000A4146"/>
    <w:rsid w:val="000A43A3"/>
    <w:rsid w:val="000A445C"/>
    <w:rsid w:val="000A44B1"/>
    <w:rsid w:val="000A4510"/>
    <w:rsid w:val="000A4626"/>
    <w:rsid w:val="000A462A"/>
    <w:rsid w:val="000A47B7"/>
    <w:rsid w:val="000A484C"/>
    <w:rsid w:val="000A4AD7"/>
    <w:rsid w:val="000A4F94"/>
    <w:rsid w:val="000A5076"/>
    <w:rsid w:val="000A513B"/>
    <w:rsid w:val="000A522B"/>
    <w:rsid w:val="000A53DB"/>
    <w:rsid w:val="000A54BA"/>
    <w:rsid w:val="000A5604"/>
    <w:rsid w:val="000A56EE"/>
    <w:rsid w:val="000A591F"/>
    <w:rsid w:val="000A593D"/>
    <w:rsid w:val="000A5B86"/>
    <w:rsid w:val="000A5BE4"/>
    <w:rsid w:val="000A5C95"/>
    <w:rsid w:val="000A6039"/>
    <w:rsid w:val="000A60BD"/>
    <w:rsid w:val="000A6190"/>
    <w:rsid w:val="000A6254"/>
    <w:rsid w:val="000A6411"/>
    <w:rsid w:val="000A654E"/>
    <w:rsid w:val="000A6562"/>
    <w:rsid w:val="000A67A9"/>
    <w:rsid w:val="000A6B29"/>
    <w:rsid w:val="000A6C59"/>
    <w:rsid w:val="000A6E13"/>
    <w:rsid w:val="000A6F67"/>
    <w:rsid w:val="000A704F"/>
    <w:rsid w:val="000A72FB"/>
    <w:rsid w:val="000A73B9"/>
    <w:rsid w:val="000A7453"/>
    <w:rsid w:val="000A77DB"/>
    <w:rsid w:val="000A7943"/>
    <w:rsid w:val="000A79C9"/>
    <w:rsid w:val="000A7B3B"/>
    <w:rsid w:val="000A7C08"/>
    <w:rsid w:val="000A7C99"/>
    <w:rsid w:val="000A7D08"/>
    <w:rsid w:val="000A7D2A"/>
    <w:rsid w:val="000A7D57"/>
    <w:rsid w:val="000A7F21"/>
    <w:rsid w:val="000B007D"/>
    <w:rsid w:val="000B00C4"/>
    <w:rsid w:val="000B0121"/>
    <w:rsid w:val="000B0207"/>
    <w:rsid w:val="000B0306"/>
    <w:rsid w:val="000B0313"/>
    <w:rsid w:val="000B041C"/>
    <w:rsid w:val="000B0668"/>
    <w:rsid w:val="000B0670"/>
    <w:rsid w:val="000B069B"/>
    <w:rsid w:val="000B0A22"/>
    <w:rsid w:val="000B0A9C"/>
    <w:rsid w:val="000B0AA0"/>
    <w:rsid w:val="000B0B61"/>
    <w:rsid w:val="000B0C2F"/>
    <w:rsid w:val="000B0CF5"/>
    <w:rsid w:val="000B0D6D"/>
    <w:rsid w:val="000B0DA2"/>
    <w:rsid w:val="000B0DAB"/>
    <w:rsid w:val="000B0E47"/>
    <w:rsid w:val="000B0E73"/>
    <w:rsid w:val="000B0E75"/>
    <w:rsid w:val="000B0F36"/>
    <w:rsid w:val="000B0FEC"/>
    <w:rsid w:val="000B0FFA"/>
    <w:rsid w:val="000B1084"/>
    <w:rsid w:val="000B1181"/>
    <w:rsid w:val="000B1348"/>
    <w:rsid w:val="000B1359"/>
    <w:rsid w:val="000B1599"/>
    <w:rsid w:val="000B1603"/>
    <w:rsid w:val="000B16BC"/>
    <w:rsid w:val="000B16E3"/>
    <w:rsid w:val="000B173A"/>
    <w:rsid w:val="000B19CE"/>
    <w:rsid w:val="000B19D1"/>
    <w:rsid w:val="000B1A1F"/>
    <w:rsid w:val="000B1A71"/>
    <w:rsid w:val="000B1AF3"/>
    <w:rsid w:val="000B1B4C"/>
    <w:rsid w:val="000B1B5A"/>
    <w:rsid w:val="000B1B75"/>
    <w:rsid w:val="000B1BD7"/>
    <w:rsid w:val="000B1BEB"/>
    <w:rsid w:val="000B1CAA"/>
    <w:rsid w:val="000B1CFE"/>
    <w:rsid w:val="000B1D1B"/>
    <w:rsid w:val="000B1D35"/>
    <w:rsid w:val="000B1D9A"/>
    <w:rsid w:val="000B1E3C"/>
    <w:rsid w:val="000B23E6"/>
    <w:rsid w:val="000B2467"/>
    <w:rsid w:val="000B24B1"/>
    <w:rsid w:val="000B25AB"/>
    <w:rsid w:val="000B2698"/>
    <w:rsid w:val="000B2731"/>
    <w:rsid w:val="000B288D"/>
    <w:rsid w:val="000B2943"/>
    <w:rsid w:val="000B2AC2"/>
    <w:rsid w:val="000B2CC1"/>
    <w:rsid w:val="000B2D35"/>
    <w:rsid w:val="000B2D9D"/>
    <w:rsid w:val="000B2DBA"/>
    <w:rsid w:val="000B2DC0"/>
    <w:rsid w:val="000B2DCB"/>
    <w:rsid w:val="000B2DD7"/>
    <w:rsid w:val="000B2ED0"/>
    <w:rsid w:val="000B30C3"/>
    <w:rsid w:val="000B327A"/>
    <w:rsid w:val="000B32B9"/>
    <w:rsid w:val="000B3422"/>
    <w:rsid w:val="000B349E"/>
    <w:rsid w:val="000B384E"/>
    <w:rsid w:val="000B3A08"/>
    <w:rsid w:val="000B3AC8"/>
    <w:rsid w:val="000B3AEF"/>
    <w:rsid w:val="000B3D10"/>
    <w:rsid w:val="000B3EDE"/>
    <w:rsid w:val="000B3FA5"/>
    <w:rsid w:val="000B402F"/>
    <w:rsid w:val="000B40FB"/>
    <w:rsid w:val="000B420F"/>
    <w:rsid w:val="000B422F"/>
    <w:rsid w:val="000B433D"/>
    <w:rsid w:val="000B4435"/>
    <w:rsid w:val="000B466E"/>
    <w:rsid w:val="000B4935"/>
    <w:rsid w:val="000B49E4"/>
    <w:rsid w:val="000B4ACF"/>
    <w:rsid w:val="000B4BB7"/>
    <w:rsid w:val="000B4D90"/>
    <w:rsid w:val="000B4DF8"/>
    <w:rsid w:val="000B4E6D"/>
    <w:rsid w:val="000B4F66"/>
    <w:rsid w:val="000B507D"/>
    <w:rsid w:val="000B523F"/>
    <w:rsid w:val="000B52A8"/>
    <w:rsid w:val="000B52FF"/>
    <w:rsid w:val="000B5348"/>
    <w:rsid w:val="000B53B2"/>
    <w:rsid w:val="000B5415"/>
    <w:rsid w:val="000B583C"/>
    <w:rsid w:val="000B58F5"/>
    <w:rsid w:val="000B5973"/>
    <w:rsid w:val="000B5AAB"/>
    <w:rsid w:val="000B5B0F"/>
    <w:rsid w:val="000B5CE0"/>
    <w:rsid w:val="000B5E00"/>
    <w:rsid w:val="000B5E0A"/>
    <w:rsid w:val="000B5F3F"/>
    <w:rsid w:val="000B5FD6"/>
    <w:rsid w:val="000B602F"/>
    <w:rsid w:val="000B6054"/>
    <w:rsid w:val="000B6085"/>
    <w:rsid w:val="000B6120"/>
    <w:rsid w:val="000B6399"/>
    <w:rsid w:val="000B6564"/>
    <w:rsid w:val="000B659D"/>
    <w:rsid w:val="000B66DB"/>
    <w:rsid w:val="000B6701"/>
    <w:rsid w:val="000B689C"/>
    <w:rsid w:val="000B6923"/>
    <w:rsid w:val="000B6A28"/>
    <w:rsid w:val="000B6CAC"/>
    <w:rsid w:val="000B6F7A"/>
    <w:rsid w:val="000B6FDE"/>
    <w:rsid w:val="000B7028"/>
    <w:rsid w:val="000B70F4"/>
    <w:rsid w:val="000B729B"/>
    <w:rsid w:val="000B72AC"/>
    <w:rsid w:val="000B73A2"/>
    <w:rsid w:val="000B7612"/>
    <w:rsid w:val="000B762E"/>
    <w:rsid w:val="000B76F0"/>
    <w:rsid w:val="000B775A"/>
    <w:rsid w:val="000B78AE"/>
    <w:rsid w:val="000B793E"/>
    <w:rsid w:val="000B7AEB"/>
    <w:rsid w:val="000B7BE7"/>
    <w:rsid w:val="000B7CE7"/>
    <w:rsid w:val="000B7E24"/>
    <w:rsid w:val="000C0077"/>
    <w:rsid w:val="000C02FF"/>
    <w:rsid w:val="000C0353"/>
    <w:rsid w:val="000C0390"/>
    <w:rsid w:val="000C04A3"/>
    <w:rsid w:val="000C0561"/>
    <w:rsid w:val="000C061D"/>
    <w:rsid w:val="000C06A4"/>
    <w:rsid w:val="000C077E"/>
    <w:rsid w:val="000C0A24"/>
    <w:rsid w:val="000C0E2B"/>
    <w:rsid w:val="000C111A"/>
    <w:rsid w:val="000C11E7"/>
    <w:rsid w:val="000C1210"/>
    <w:rsid w:val="000C1285"/>
    <w:rsid w:val="000C13FC"/>
    <w:rsid w:val="000C1821"/>
    <w:rsid w:val="000C1C80"/>
    <w:rsid w:val="000C1FAF"/>
    <w:rsid w:val="000C2001"/>
    <w:rsid w:val="000C20DC"/>
    <w:rsid w:val="000C22B6"/>
    <w:rsid w:val="000C240D"/>
    <w:rsid w:val="000C257D"/>
    <w:rsid w:val="000C25C2"/>
    <w:rsid w:val="000C29C3"/>
    <w:rsid w:val="000C2AB9"/>
    <w:rsid w:val="000C2B36"/>
    <w:rsid w:val="000C2BB8"/>
    <w:rsid w:val="000C2D07"/>
    <w:rsid w:val="000C2EFE"/>
    <w:rsid w:val="000C33A6"/>
    <w:rsid w:val="000C3402"/>
    <w:rsid w:val="000C3450"/>
    <w:rsid w:val="000C3480"/>
    <w:rsid w:val="000C351F"/>
    <w:rsid w:val="000C3522"/>
    <w:rsid w:val="000C3DF6"/>
    <w:rsid w:val="000C3DF9"/>
    <w:rsid w:val="000C3EC7"/>
    <w:rsid w:val="000C4077"/>
    <w:rsid w:val="000C40E5"/>
    <w:rsid w:val="000C4218"/>
    <w:rsid w:val="000C422E"/>
    <w:rsid w:val="000C4255"/>
    <w:rsid w:val="000C43CB"/>
    <w:rsid w:val="000C441C"/>
    <w:rsid w:val="000C45D5"/>
    <w:rsid w:val="000C45E6"/>
    <w:rsid w:val="000C4783"/>
    <w:rsid w:val="000C487F"/>
    <w:rsid w:val="000C4CF2"/>
    <w:rsid w:val="000C5098"/>
    <w:rsid w:val="000C522B"/>
    <w:rsid w:val="000C52AB"/>
    <w:rsid w:val="000C5306"/>
    <w:rsid w:val="000C5369"/>
    <w:rsid w:val="000C53BC"/>
    <w:rsid w:val="000C54F0"/>
    <w:rsid w:val="000C5697"/>
    <w:rsid w:val="000C5806"/>
    <w:rsid w:val="000C5965"/>
    <w:rsid w:val="000C599B"/>
    <w:rsid w:val="000C5AA6"/>
    <w:rsid w:val="000C5B04"/>
    <w:rsid w:val="000C5C78"/>
    <w:rsid w:val="000C612E"/>
    <w:rsid w:val="000C61C6"/>
    <w:rsid w:val="000C62D7"/>
    <w:rsid w:val="000C62D9"/>
    <w:rsid w:val="000C6414"/>
    <w:rsid w:val="000C646A"/>
    <w:rsid w:val="000C647C"/>
    <w:rsid w:val="000C650D"/>
    <w:rsid w:val="000C6713"/>
    <w:rsid w:val="000C683E"/>
    <w:rsid w:val="000C6B1B"/>
    <w:rsid w:val="000C6C41"/>
    <w:rsid w:val="000C6C6F"/>
    <w:rsid w:val="000C718E"/>
    <w:rsid w:val="000C7203"/>
    <w:rsid w:val="000C7283"/>
    <w:rsid w:val="000C72AF"/>
    <w:rsid w:val="000C7396"/>
    <w:rsid w:val="000C75CC"/>
    <w:rsid w:val="000C75E8"/>
    <w:rsid w:val="000C77C7"/>
    <w:rsid w:val="000C7862"/>
    <w:rsid w:val="000C78EA"/>
    <w:rsid w:val="000C793D"/>
    <w:rsid w:val="000C7C48"/>
    <w:rsid w:val="000C7CA7"/>
    <w:rsid w:val="000C7E69"/>
    <w:rsid w:val="000C7F01"/>
    <w:rsid w:val="000C7FAE"/>
    <w:rsid w:val="000C7FBB"/>
    <w:rsid w:val="000D017B"/>
    <w:rsid w:val="000D0228"/>
    <w:rsid w:val="000D02F3"/>
    <w:rsid w:val="000D0523"/>
    <w:rsid w:val="000D0539"/>
    <w:rsid w:val="000D05B0"/>
    <w:rsid w:val="000D05CB"/>
    <w:rsid w:val="000D072F"/>
    <w:rsid w:val="000D0750"/>
    <w:rsid w:val="000D075C"/>
    <w:rsid w:val="000D0B6F"/>
    <w:rsid w:val="000D0B85"/>
    <w:rsid w:val="000D0BD9"/>
    <w:rsid w:val="000D0C13"/>
    <w:rsid w:val="000D0C17"/>
    <w:rsid w:val="000D0CBF"/>
    <w:rsid w:val="000D0CF6"/>
    <w:rsid w:val="000D0EC8"/>
    <w:rsid w:val="000D0F57"/>
    <w:rsid w:val="000D1098"/>
    <w:rsid w:val="000D12E0"/>
    <w:rsid w:val="000D132B"/>
    <w:rsid w:val="000D1355"/>
    <w:rsid w:val="000D157C"/>
    <w:rsid w:val="000D1702"/>
    <w:rsid w:val="000D1A55"/>
    <w:rsid w:val="000D1BFC"/>
    <w:rsid w:val="000D1D5D"/>
    <w:rsid w:val="000D1D9E"/>
    <w:rsid w:val="000D1E6C"/>
    <w:rsid w:val="000D1E8B"/>
    <w:rsid w:val="000D1FDB"/>
    <w:rsid w:val="000D2056"/>
    <w:rsid w:val="000D214D"/>
    <w:rsid w:val="000D2221"/>
    <w:rsid w:val="000D231A"/>
    <w:rsid w:val="000D2339"/>
    <w:rsid w:val="000D236E"/>
    <w:rsid w:val="000D2370"/>
    <w:rsid w:val="000D251D"/>
    <w:rsid w:val="000D2655"/>
    <w:rsid w:val="000D267A"/>
    <w:rsid w:val="000D281A"/>
    <w:rsid w:val="000D2848"/>
    <w:rsid w:val="000D28D9"/>
    <w:rsid w:val="000D29DB"/>
    <w:rsid w:val="000D2B14"/>
    <w:rsid w:val="000D2B42"/>
    <w:rsid w:val="000D2B45"/>
    <w:rsid w:val="000D2B7F"/>
    <w:rsid w:val="000D2C34"/>
    <w:rsid w:val="000D2DDB"/>
    <w:rsid w:val="000D2F7F"/>
    <w:rsid w:val="000D2FC3"/>
    <w:rsid w:val="000D3085"/>
    <w:rsid w:val="000D3115"/>
    <w:rsid w:val="000D3154"/>
    <w:rsid w:val="000D316C"/>
    <w:rsid w:val="000D321E"/>
    <w:rsid w:val="000D326A"/>
    <w:rsid w:val="000D3443"/>
    <w:rsid w:val="000D348D"/>
    <w:rsid w:val="000D34A5"/>
    <w:rsid w:val="000D3557"/>
    <w:rsid w:val="000D35C2"/>
    <w:rsid w:val="000D3620"/>
    <w:rsid w:val="000D391F"/>
    <w:rsid w:val="000D408D"/>
    <w:rsid w:val="000D409D"/>
    <w:rsid w:val="000D4307"/>
    <w:rsid w:val="000D4330"/>
    <w:rsid w:val="000D44BD"/>
    <w:rsid w:val="000D4556"/>
    <w:rsid w:val="000D45C0"/>
    <w:rsid w:val="000D45EC"/>
    <w:rsid w:val="000D45EF"/>
    <w:rsid w:val="000D461E"/>
    <w:rsid w:val="000D4756"/>
    <w:rsid w:val="000D47B3"/>
    <w:rsid w:val="000D481B"/>
    <w:rsid w:val="000D48AA"/>
    <w:rsid w:val="000D4C48"/>
    <w:rsid w:val="000D4C55"/>
    <w:rsid w:val="000D4E06"/>
    <w:rsid w:val="000D4EB9"/>
    <w:rsid w:val="000D504B"/>
    <w:rsid w:val="000D51C3"/>
    <w:rsid w:val="000D51FB"/>
    <w:rsid w:val="000D52BC"/>
    <w:rsid w:val="000D5381"/>
    <w:rsid w:val="000D543B"/>
    <w:rsid w:val="000D5542"/>
    <w:rsid w:val="000D55D0"/>
    <w:rsid w:val="000D55E7"/>
    <w:rsid w:val="000D5871"/>
    <w:rsid w:val="000D58C7"/>
    <w:rsid w:val="000D5928"/>
    <w:rsid w:val="000D592D"/>
    <w:rsid w:val="000D5A8F"/>
    <w:rsid w:val="000D5C52"/>
    <w:rsid w:val="000D5D68"/>
    <w:rsid w:val="000D5DAE"/>
    <w:rsid w:val="000D6069"/>
    <w:rsid w:val="000D60C8"/>
    <w:rsid w:val="000D61C6"/>
    <w:rsid w:val="000D6223"/>
    <w:rsid w:val="000D6246"/>
    <w:rsid w:val="000D62D3"/>
    <w:rsid w:val="000D6387"/>
    <w:rsid w:val="000D6471"/>
    <w:rsid w:val="000D648D"/>
    <w:rsid w:val="000D64B2"/>
    <w:rsid w:val="000D69C8"/>
    <w:rsid w:val="000D6E81"/>
    <w:rsid w:val="000D702A"/>
    <w:rsid w:val="000D70D2"/>
    <w:rsid w:val="000D70EC"/>
    <w:rsid w:val="000D7138"/>
    <w:rsid w:val="000D71EB"/>
    <w:rsid w:val="000D7305"/>
    <w:rsid w:val="000D7372"/>
    <w:rsid w:val="000D740F"/>
    <w:rsid w:val="000D7577"/>
    <w:rsid w:val="000D7690"/>
    <w:rsid w:val="000D76BB"/>
    <w:rsid w:val="000D77C3"/>
    <w:rsid w:val="000D785A"/>
    <w:rsid w:val="000D7A9B"/>
    <w:rsid w:val="000D7E34"/>
    <w:rsid w:val="000E01DE"/>
    <w:rsid w:val="000E038A"/>
    <w:rsid w:val="000E0640"/>
    <w:rsid w:val="000E069B"/>
    <w:rsid w:val="000E089E"/>
    <w:rsid w:val="000E08B1"/>
    <w:rsid w:val="000E08E7"/>
    <w:rsid w:val="000E09C0"/>
    <w:rsid w:val="000E0EDF"/>
    <w:rsid w:val="000E0EFF"/>
    <w:rsid w:val="000E125F"/>
    <w:rsid w:val="000E1285"/>
    <w:rsid w:val="000E135D"/>
    <w:rsid w:val="000E13F8"/>
    <w:rsid w:val="000E144A"/>
    <w:rsid w:val="000E162D"/>
    <w:rsid w:val="000E1955"/>
    <w:rsid w:val="000E19EA"/>
    <w:rsid w:val="000E1C4E"/>
    <w:rsid w:val="000E1D7B"/>
    <w:rsid w:val="000E1EC7"/>
    <w:rsid w:val="000E2032"/>
    <w:rsid w:val="000E258D"/>
    <w:rsid w:val="000E2606"/>
    <w:rsid w:val="000E2748"/>
    <w:rsid w:val="000E27D0"/>
    <w:rsid w:val="000E2BD5"/>
    <w:rsid w:val="000E2C0F"/>
    <w:rsid w:val="000E2C6D"/>
    <w:rsid w:val="000E2D18"/>
    <w:rsid w:val="000E2E81"/>
    <w:rsid w:val="000E2EA6"/>
    <w:rsid w:val="000E3066"/>
    <w:rsid w:val="000E3089"/>
    <w:rsid w:val="000E330F"/>
    <w:rsid w:val="000E372F"/>
    <w:rsid w:val="000E3791"/>
    <w:rsid w:val="000E386A"/>
    <w:rsid w:val="000E3A7F"/>
    <w:rsid w:val="000E3B15"/>
    <w:rsid w:val="000E3BF7"/>
    <w:rsid w:val="000E3D37"/>
    <w:rsid w:val="000E3DE7"/>
    <w:rsid w:val="000E3F89"/>
    <w:rsid w:val="000E41D5"/>
    <w:rsid w:val="000E44B0"/>
    <w:rsid w:val="000E44F2"/>
    <w:rsid w:val="000E4509"/>
    <w:rsid w:val="000E475A"/>
    <w:rsid w:val="000E480B"/>
    <w:rsid w:val="000E4890"/>
    <w:rsid w:val="000E4BAC"/>
    <w:rsid w:val="000E4D5C"/>
    <w:rsid w:val="000E5111"/>
    <w:rsid w:val="000E51AD"/>
    <w:rsid w:val="000E5265"/>
    <w:rsid w:val="000E543C"/>
    <w:rsid w:val="000E54C0"/>
    <w:rsid w:val="000E55E5"/>
    <w:rsid w:val="000E56F0"/>
    <w:rsid w:val="000E5734"/>
    <w:rsid w:val="000E57FB"/>
    <w:rsid w:val="000E5871"/>
    <w:rsid w:val="000E5938"/>
    <w:rsid w:val="000E5AC7"/>
    <w:rsid w:val="000E5BAC"/>
    <w:rsid w:val="000E5C21"/>
    <w:rsid w:val="000E5C6F"/>
    <w:rsid w:val="000E5DEB"/>
    <w:rsid w:val="000E5EB8"/>
    <w:rsid w:val="000E5EC4"/>
    <w:rsid w:val="000E6019"/>
    <w:rsid w:val="000E6059"/>
    <w:rsid w:val="000E60C3"/>
    <w:rsid w:val="000E620B"/>
    <w:rsid w:val="000E6361"/>
    <w:rsid w:val="000E64FE"/>
    <w:rsid w:val="000E6538"/>
    <w:rsid w:val="000E659E"/>
    <w:rsid w:val="000E66DE"/>
    <w:rsid w:val="000E670A"/>
    <w:rsid w:val="000E6AD0"/>
    <w:rsid w:val="000E6CCB"/>
    <w:rsid w:val="000E6D28"/>
    <w:rsid w:val="000E6D77"/>
    <w:rsid w:val="000E6DB3"/>
    <w:rsid w:val="000E6E4D"/>
    <w:rsid w:val="000E6ED0"/>
    <w:rsid w:val="000E6F80"/>
    <w:rsid w:val="000E6F9A"/>
    <w:rsid w:val="000E7048"/>
    <w:rsid w:val="000E71EA"/>
    <w:rsid w:val="000E730F"/>
    <w:rsid w:val="000E77B6"/>
    <w:rsid w:val="000E787A"/>
    <w:rsid w:val="000E79C6"/>
    <w:rsid w:val="000E7AEC"/>
    <w:rsid w:val="000E7B54"/>
    <w:rsid w:val="000F00BA"/>
    <w:rsid w:val="000F015B"/>
    <w:rsid w:val="000F01B9"/>
    <w:rsid w:val="000F03C7"/>
    <w:rsid w:val="000F060D"/>
    <w:rsid w:val="000F06A4"/>
    <w:rsid w:val="000F0741"/>
    <w:rsid w:val="000F0950"/>
    <w:rsid w:val="000F0B56"/>
    <w:rsid w:val="000F0C5F"/>
    <w:rsid w:val="000F0DBC"/>
    <w:rsid w:val="000F103B"/>
    <w:rsid w:val="000F1144"/>
    <w:rsid w:val="000F14BD"/>
    <w:rsid w:val="000F1603"/>
    <w:rsid w:val="000F1604"/>
    <w:rsid w:val="000F1626"/>
    <w:rsid w:val="000F1663"/>
    <w:rsid w:val="000F17C7"/>
    <w:rsid w:val="000F18AB"/>
    <w:rsid w:val="000F1B91"/>
    <w:rsid w:val="000F1EDA"/>
    <w:rsid w:val="000F1F55"/>
    <w:rsid w:val="000F2005"/>
    <w:rsid w:val="000F2006"/>
    <w:rsid w:val="000F2165"/>
    <w:rsid w:val="000F21BD"/>
    <w:rsid w:val="000F239E"/>
    <w:rsid w:val="000F23AE"/>
    <w:rsid w:val="000F261E"/>
    <w:rsid w:val="000F26AC"/>
    <w:rsid w:val="000F2748"/>
    <w:rsid w:val="000F28C2"/>
    <w:rsid w:val="000F28D6"/>
    <w:rsid w:val="000F29A8"/>
    <w:rsid w:val="000F2C8C"/>
    <w:rsid w:val="000F2DBB"/>
    <w:rsid w:val="000F3050"/>
    <w:rsid w:val="000F316A"/>
    <w:rsid w:val="000F31D1"/>
    <w:rsid w:val="000F32E9"/>
    <w:rsid w:val="000F330E"/>
    <w:rsid w:val="000F3382"/>
    <w:rsid w:val="000F3478"/>
    <w:rsid w:val="000F347E"/>
    <w:rsid w:val="000F3620"/>
    <w:rsid w:val="000F365B"/>
    <w:rsid w:val="000F38DF"/>
    <w:rsid w:val="000F3AE3"/>
    <w:rsid w:val="000F3BAE"/>
    <w:rsid w:val="000F3BB4"/>
    <w:rsid w:val="000F3C74"/>
    <w:rsid w:val="000F3FBB"/>
    <w:rsid w:val="000F406F"/>
    <w:rsid w:val="000F40B8"/>
    <w:rsid w:val="000F4900"/>
    <w:rsid w:val="000F4A89"/>
    <w:rsid w:val="000F4AA2"/>
    <w:rsid w:val="000F4BB8"/>
    <w:rsid w:val="000F4DDB"/>
    <w:rsid w:val="000F4F3A"/>
    <w:rsid w:val="000F4FA9"/>
    <w:rsid w:val="000F5093"/>
    <w:rsid w:val="000F5109"/>
    <w:rsid w:val="000F51F4"/>
    <w:rsid w:val="000F53FB"/>
    <w:rsid w:val="000F5584"/>
    <w:rsid w:val="000F5854"/>
    <w:rsid w:val="000F59A1"/>
    <w:rsid w:val="000F5A44"/>
    <w:rsid w:val="000F5A63"/>
    <w:rsid w:val="000F5DA3"/>
    <w:rsid w:val="000F5DCC"/>
    <w:rsid w:val="000F5E01"/>
    <w:rsid w:val="000F601D"/>
    <w:rsid w:val="000F621B"/>
    <w:rsid w:val="000F6243"/>
    <w:rsid w:val="000F62FE"/>
    <w:rsid w:val="000F6726"/>
    <w:rsid w:val="000F67EC"/>
    <w:rsid w:val="000F6ACA"/>
    <w:rsid w:val="000F6B1E"/>
    <w:rsid w:val="000F6BFE"/>
    <w:rsid w:val="000F6C22"/>
    <w:rsid w:val="000F6ED5"/>
    <w:rsid w:val="000F6EE7"/>
    <w:rsid w:val="000F6F10"/>
    <w:rsid w:val="000F6F93"/>
    <w:rsid w:val="000F7127"/>
    <w:rsid w:val="000F7178"/>
    <w:rsid w:val="000F77AB"/>
    <w:rsid w:val="000F7872"/>
    <w:rsid w:val="000F7906"/>
    <w:rsid w:val="000F7B54"/>
    <w:rsid w:val="000F7C97"/>
    <w:rsid w:val="000F7D52"/>
    <w:rsid w:val="000F7E53"/>
    <w:rsid w:val="000F7E66"/>
    <w:rsid w:val="000F7E9E"/>
    <w:rsid w:val="000F7EFA"/>
    <w:rsid w:val="000F7F61"/>
    <w:rsid w:val="000F7FD2"/>
    <w:rsid w:val="0010008B"/>
    <w:rsid w:val="001000B3"/>
    <w:rsid w:val="0010013F"/>
    <w:rsid w:val="0010035D"/>
    <w:rsid w:val="0010058A"/>
    <w:rsid w:val="001006DD"/>
    <w:rsid w:val="00100787"/>
    <w:rsid w:val="001008B9"/>
    <w:rsid w:val="00100AA8"/>
    <w:rsid w:val="00100B29"/>
    <w:rsid w:val="00100F8A"/>
    <w:rsid w:val="00100FAC"/>
    <w:rsid w:val="00100FB2"/>
    <w:rsid w:val="00101061"/>
    <w:rsid w:val="0010117A"/>
    <w:rsid w:val="00101208"/>
    <w:rsid w:val="00101237"/>
    <w:rsid w:val="001013A8"/>
    <w:rsid w:val="001013D8"/>
    <w:rsid w:val="001015B7"/>
    <w:rsid w:val="001017D2"/>
    <w:rsid w:val="00101804"/>
    <w:rsid w:val="00101C04"/>
    <w:rsid w:val="00101CCE"/>
    <w:rsid w:val="00101F0B"/>
    <w:rsid w:val="00102051"/>
    <w:rsid w:val="0010226B"/>
    <w:rsid w:val="001022AE"/>
    <w:rsid w:val="001024AD"/>
    <w:rsid w:val="00102588"/>
    <w:rsid w:val="0010266A"/>
    <w:rsid w:val="00102B96"/>
    <w:rsid w:val="00102CD5"/>
    <w:rsid w:val="00102D77"/>
    <w:rsid w:val="00102F17"/>
    <w:rsid w:val="00103142"/>
    <w:rsid w:val="00103320"/>
    <w:rsid w:val="00103663"/>
    <w:rsid w:val="0010376B"/>
    <w:rsid w:val="0010382F"/>
    <w:rsid w:val="00103894"/>
    <w:rsid w:val="00103A29"/>
    <w:rsid w:val="00103B37"/>
    <w:rsid w:val="00103DB2"/>
    <w:rsid w:val="00103E0B"/>
    <w:rsid w:val="00103F77"/>
    <w:rsid w:val="00104368"/>
    <w:rsid w:val="0010436F"/>
    <w:rsid w:val="0010452E"/>
    <w:rsid w:val="0010484D"/>
    <w:rsid w:val="001048EB"/>
    <w:rsid w:val="00104A22"/>
    <w:rsid w:val="00104B00"/>
    <w:rsid w:val="00104B84"/>
    <w:rsid w:val="00104BB6"/>
    <w:rsid w:val="00104CF8"/>
    <w:rsid w:val="00104DA5"/>
    <w:rsid w:val="00104E97"/>
    <w:rsid w:val="00104F5B"/>
    <w:rsid w:val="00104F60"/>
    <w:rsid w:val="00104F8D"/>
    <w:rsid w:val="00104FAB"/>
    <w:rsid w:val="00105289"/>
    <w:rsid w:val="0010528C"/>
    <w:rsid w:val="001052BF"/>
    <w:rsid w:val="0010549C"/>
    <w:rsid w:val="00105681"/>
    <w:rsid w:val="001057D0"/>
    <w:rsid w:val="001058AF"/>
    <w:rsid w:val="00105925"/>
    <w:rsid w:val="001059CC"/>
    <w:rsid w:val="00105A03"/>
    <w:rsid w:val="00105AE2"/>
    <w:rsid w:val="00105CF8"/>
    <w:rsid w:val="00105D32"/>
    <w:rsid w:val="00105D81"/>
    <w:rsid w:val="00105E29"/>
    <w:rsid w:val="0010606C"/>
    <w:rsid w:val="001060C6"/>
    <w:rsid w:val="001061B7"/>
    <w:rsid w:val="001061FA"/>
    <w:rsid w:val="0010628E"/>
    <w:rsid w:val="001063CE"/>
    <w:rsid w:val="001066D4"/>
    <w:rsid w:val="00106701"/>
    <w:rsid w:val="001067FE"/>
    <w:rsid w:val="00106B80"/>
    <w:rsid w:val="00106E51"/>
    <w:rsid w:val="00106E7C"/>
    <w:rsid w:val="00106FE1"/>
    <w:rsid w:val="001070B0"/>
    <w:rsid w:val="001070B5"/>
    <w:rsid w:val="001072AE"/>
    <w:rsid w:val="0010747B"/>
    <w:rsid w:val="00107528"/>
    <w:rsid w:val="00107BA4"/>
    <w:rsid w:val="00107D57"/>
    <w:rsid w:val="00107FE2"/>
    <w:rsid w:val="00110052"/>
    <w:rsid w:val="00110060"/>
    <w:rsid w:val="001100FD"/>
    <w:rsid w:val="0011032E"/>
    <w:rsid w:val="001103CF"/>
    <w:rsid w:val="00110552"/>
    <w:rsid w:val="0011060A"/>
    <w:rsid w:val="00110660"/>
    <w:rsid w:val="001107EF"/>
    <w:rsid w:val="0011089E"/>
    <w:rsid w:val="001108F2"/>
    <w:rsid w:val="00110ADD"/>
    <w:rsid w:val="00110B30"/>
    <w:rsid w:val="00110C65"/>
    <w:rsid w:val="00110D1C"/>
    <w:rsid w:val="00110D2E"/>
    <w:rsid w:val="00110D31"/>
    <w:rsid w:val="00110DA1"/>
    <w:rsid w:val="00110DC1"/>
    <w:rsid w:val="00110E05"/>
    <w:rsid w:val="00110E6B"/>
    <w:rsid w:val="00110E8F"/>
    <w:rsid w:val="00110F4C"/>
    <w:rsid w:val="00110FF6"/>
    <w:rsid w:val="0011102B"/>
    <w:rsid w:val="00111123"/>
    <w:rsid w:val="001114BC"/>
    <w:rsid w:val="00111569"/>
    <w:rsid w:val="00111776"/>
    <w:rsid w:val="001119A9"/>
    <w:rsid w:val="00111C1A"/>
    <w:rsid w:val="00111ED2"/>
    <w:rsid w:val="0011216F"/>
    <w:rsid w:val="00112172"/>
    <w:rsid w:val="001121F9"/>
    <w:rsid w:val="00112526"/>
    <w:rsid w:val="00112673"/>
    <w:rsid w:val="00112973"/>
    <w:rsid w:val="00112A28"/>
    <w:rsid w:val="00112D17"/>
    <w:rsid w:val="00112D9C"/>
    <w:rsid w:val="00112F0F"/>
    <w:rsid w:val="00112FE2"/>
    <w:rsid w:val="001130D7"/>
    <w:rsid w:val="001130F5"/>
    <w:rsid w:val="0011321B"/>
    <w:rsid w:val="0011348B"/>
    <w:rsid w:val="00113579"/>
    <w:rsid w:val="001135AB"/>
    <w:rsid w:val="00113607"/>
    <w:rsid w:val="0011361A"/>
    <w:rsid w:val="0011375C"/>
    <w:rsid w:val="00113821"/>
    <w:rsid w:val="00113BFD"/>
    <w:rsid w:val="00113C12"/>
    <w:rsid w:val="00113C22"/>
    <w:rsid w:val="00113F17"/>
    <w:rsid w:val="001142F2"/>
    <w:rsid w:val="00114330"/>
    <w:rsid w:val="00114382"/>
    <w:rsid w:val="001143AE"/>
    <w:rsid w:val="001143D8"/>
    <w:rsid w:val="00114509"/>
    <w:rsid w:val="001145BE"/>
    <w:rsid w:val="001146A5"/>
    <w:rsid w:val="001147B5"/>
    <w:rsid w:val="001147D6"/>
    <w:rsid w:val="00114A75"/>
    <w:rsid w:val="00114B55"/>
    <w:rsid w:val="00114C0F"/>
    <w:rsid w:val="00114D08"/>
    <w:rsid w:val="00114D66"/>
    <w:rsid w:val="00114FCC"/>
    <w:rsid w:val="001151AD"/>
    <w:rsid w:val="00115241"/>
    <w:rsid w:val="0011547A"/>
    <w:rsid w:val="001154B6"/>
    <w:rsid w:val="001156F3"/>
    <w:rsid w:val="0011579C"/>
    <w:rsid w:val="0011579F"/>
    <w:rsid w:val="00115982"/>
    <w:rsid w:val="0011598B"/>
    <w:rsid w:val="001159DF"/>
    <w:rsid w:val="00115AC1"/>
    <w:rsid w:val="00115F16"/>
    <w:rsid w:val="0011627C"/>
    <w:rsid w:val="001162DE"/>
    <w:rsid w:val="001163F3"/>
    <w:rsid w:val="001165BC"/>
    <w:rsid w:val="001165FE"/>
    <w:rsid w:val="001168E2"/>
    <w:rsid w:val="00116933"/>
    <w:rsid w:val="001169B2"/>
    <w:rsid w:val="00116AED"/>
    <w:rsid w:val="00116B0B"/>
    <w:rsid w:val="00116BCB"/>
    <w:rsid w:val="00116C53"/>
    <w:rsid w:val="00116D74"/>
    <w:rsid w:val="00116E13"/>
    <w:rsid w:val="00116E40"/>
    <w:rsid w:val="00116E51"/>
    <w:rsid w:val="00116EC5"/>
    <w:rsid w:val="001170AF"/>
    <w:rsid w:val="001171F4"/>
    <w:rsid w:val="00117314"/>
    <w:rsid w:val="001174F8"/>
    <w:rsid w:val="00117534"/>
    <w:rsid w:val="001175C1"/>
    <w:rsid w:val="001176F0"/>
    <w:rsid w:val="001177AF"/>
    <w:rsid w:val="001177C7"/>
    <w:rsid w:val="001177E2"/>
    <w:rsid w:val="001179F0"/>
    <w:rsid w:val="00117A04"/>
    <w:rsid w:val="00117B7A"/>
    <w:rsid w:val="00117D7C"/>
    <w:rsid w:val="00120400"/>
    <w:rsid w:val="00120438"/>
    <w:rsid w:val="0012055A"/>
    <w:rsid w:val="0012056C"/>
    <w:rsid w:val="0012075A"/>
    <w:rsid w:val="00120DC6"/>
    <w:rsid w:val="00120E5E"/>
    <w:rsid w:val="00120F94"/>
    <w:rsid w:val="0012108B"/>
    <w:rsid w:val="00121382"/>
    <w:rsid w:val="001213D4"/>
    <w:rsid w:val="00121437"/>
    <w:rsid w:val="0012146F"/>
    <w:rsid w:val="001214DD"/>
    <w:rsid w:val="00121510"/>
    <w:rsid w:val="001215D2"/>
    <w:rsid w:val="0012164E"/>
    <w:rsid w:val="00121748"/>
    <w:rsid w:val="00121799"/>
    <w:rsid w:val="00121BEC"/>
    <w:rsid w:val="00121DE8"/>
    <w:rsid w:val="00121ED8"/>
    <w:rsid w:val="00121F6D"/>
    <w:rsid w:val="00121FE2"/>
    <w:rsid w:val="00122030"/>
    <w:rsid w:val="001220A3"/>
    <w:rsid w:val="00122131"/>
    <w:rsid w:val="001222FC"/>
    <w:rsid w:val="00122478"/>
    <w:rsid w:val="00122491"/>
    <w:rsid w:val="00122501"/>
    <w:rsid w:val="001225C6"/>
    <w:rsid w:val="00122772"/>
    <w:rsid w:val="00122A9B"/>
    <w:rsid w:val="00122B1A"/>
    <w:rsid w:val="00122F47"/>
    <w:rsid w:val="00123076"/>
    <w:rsid w:val="00123108"/>
    <w:rsid w:val="00123116"/>
    <w:rsid w:val="001231A0"/>
    <w:rsid w:val="001231D6"/>
    <w:rsid w:val="00123363"/>
    <w:rsid w:val="00123481"/>
    <w:rsid w:val="001235FF"/>
    <w:rsid w:val="00123649"/>
    <w:rsid w:val="001236B6"/>
    <w:rsid w:val="0012378B"/>
    <w:rsid w:val="00123902"/>
    <w:rsid w:val="00123B82"/>
    <w:rsid w:val="00123C64"/>
    <w:rsid w:val="00123D10"/>
    <w:rsid w:val="00123D7E"/>
    <w:rsid w:val="00123F09"/>
    <w:rsid w:val="00123F31"/>
    <w:rsid w:val="00123F5D"/>
    <w:rsid w:val="00123F93"/>
    <w:rsid w:val="001240C4"/>
    <w:rsid w:val="001240F2"/>
    <w:rsid w:val="00124174"/>
    <w:rsid w:val="001241C7"/>
    <w:rsid w:val="001242D3"/>
    <w:rsid w:val="001243D7"/>
    <w:rsid w:val="001243EB"/>
    <w:rsid w:val="00124405"/>
    <w:rsid w:val="001244F7"/>
    <w:rsid w:val="00124A23"/>
    <w:rsid w:val="00124A51"/>
    <w:rsid w:val="00124C52"/>
    <w:rsid w:val="00124EF2"/>
    <w:rsid w:val="001255DA"/>
    <w:rsid w:val="001256D0"/>
    <w:rsid w:val="00125742"/>
    <w:rsid w:val="0012583D"/>
    <w:rsid w:val="00125A82"/>
    <w:rsid w:val="00125AD5"/>
    <w:rsid w:val="00125C76"/>
    <w:rsid w:val="00125CA0"/>
    <w:rsid w:val="00125D71"/>
    <w:rsid w:val="00125DCE"/>
    <w:rsid w:val="00125FC8"/>
    <w:rsid w:val="001260A9"/>
    <w:rsid w:val="00126203"/>
    <w:rsid w:val="0012627B"/>
    <w:rsid w:val="001262EC"/>
    <w:rsid w:val="00126548"/>
    <w:rsid w:val="00126621"/>
    <w:rsid w:val="001266A9"/>
    <w:rsid w:val="0012679B"/>
    <w:rsid w:val="00126B1D"/>
    <w:rsid w:val="00126B85"/>
    <w:rsid w:val="00126BB3"/>
    <w:rsid w:val="00126BC6"/>
    <w:rsid w:val="00126CE7"/>
    <w:rsid w:val="00127163"/>
    <w:rsid w:val="0012729C"/>
    <w:rsid w:val="00127396"/>
    <w:rsid w:val="00127687"/>
    <w:rsid w:val="001277EA"/>
    <w:rsid w:val="0012782A"/>
    <w:rsid w:val="001279F9"/>
    <w:rsid w:val="00127A4E"/>
    <w:rsid w:val="00127CB2"/>
    <w:rsid w:val="00127E40"/>
    <w:rsid w:val="00127F38"/>
    <w:rsid w:val="001300AC"/>
    <w:rsid w:val="001301E9"/>
    <w:rsid w:val="001302E4"/>
    <w:rsid w:val="001305D0"/>
    <w:rsid w:val="0013068F"/>
    <w:rsid w:val="00130753"/>
    <w:rsid w:val="0013085B"/>
    <w:rsid w:val="00130A16"/>
    <w:rsid w:val="00130A89"/>
    <w:rsid w:val="00130AC6"/>
    <w:rsid w:val="00130BBF"/>
    <w:rsid w:val="00130C26"/>
    <w:rsid w:val="00130D55"/>
    <w:rsid w:val="00130D83"/>
    <w:rsid w:val="00131327"/>
    <w:rsid w:val="00131343"/>
    <w:rsid w:val="001315B2"/>
    <w:rsid w:val="00131734"/>
    <w:rsid w:val="0013182F"/>
    <w:rsid w:val="001318A4"/>
    <w:rsid w:val="001318BA"/>
    <w:rsid w:val="00131943"/>
    <w:rsid w:val="00131A90"/>
    <w:rsid w:val="00131ADB"/>
    <w:rsid w:val="00131BCF"/>
    <w:rsid w:val="00131D82"/>
    <w:rsid w:val="00131DCB"/>
    <w:rsid w:val="00131F97"/>
    <w:rsid w:val="0013201E"/>
    <w:rsid w:val="0013205D"/>
    <w:rsid w:val="00132061"/>
    <w:rsid w:val="0013214C"/>
    <w:rsid w:val="0013220A"/>
    <w:rsid w:val="001322C5"/>
    <w:rsid w:val="001322D5"/>
    <w:rsid w:val="0013237B"/>
    <w:rsid w:val="0013250F"/>
    <w:rsid w:val="00132616"/>
    <w:rsid w:val="001326A8"/>
    <w:rsid w:val="0013290C"/>
    <w:rsid w:val="00132AEC"/>
    <w:rsid w:val="00132B22"/>
    <w:rsid w:val="00132B45"/>
    <w:rsid w:val="00132C20"/>
    <w:rsid w:val="00132E06"/>
    <w:rsid w:val="00132E7D"/>
    <w:rsid w:val="00132EB3"/>
    <w:rsid w:val="00133352"/>
    <w:rsid w:val="00133397"/>
    <w:rsid w:val="00133411"/>
    <w:rsid w:val="00133465"/>
    <w:rsid w:val="001334FF"/>
    <w:rsid w:val="001337B1"/>
    <w:rsid w:val="001337C8"/>
    <w:rsid w:val="00133862"/>
    <w:rsid w:val="00133966"/>
    <w:rsid w:val="00133ADF"/>
    <w:rsid w:val="00133D36"/>
    <w:rsid w:val="00133D55"/>
    <w:rsid w:val="00133EF7"/>
    <w:rsid w:val="00133FF0"/>
    <w:rsid w:val="00134077"/>
    <w:rsid w:val="0013407C"/>
    <w:rsid w:val="001340A2"/>
    <w:rsid w:val="001340F9"/>
    <w:rsid w:val="00134238"/>
    <w:rsid w:val="001348E1"/>
    <w:rsid w:val="001348FB"/>
    <w:rsid w:val="00134B4A"/>
    <w:rsid w:val="00134B8E"/>
    <w:rsid w:val="00134F16"/>
    <w:rsid w:val="00134F1C"/>
    <w:rsid w:val="00134F4A"/>
    <w:rsid w:val="00134FDF"/>
    <w:rsid w:val="001351D7"/>
    <w:rsid w:val="00135266"/>
    <w:rsid w:val="00135288"/>
    <w:rsid w:val="00135352"/>
    <w:rsid w:val="001354FA"/>
    <w:rsid w:val="00135534"/>
    <w:rsid w:val="001356AB"/>
    <w:rsid w:val="00135844"/>
    <w:rsid w:val="00135A38"/>
    <w:rsid w:val="00135B69"/>
    <w:rsid w:val="00135D07"/>
    <w:rsid w:val="00135E17"/>
    <w:rsid w:val="00135FFC"/>
    <w:rsid w:val="0013613F"/>
    <w:rsid w:val="001362F4"/>
    <w:rsid w:val="001363E3"/>
    <w:rsid w:val="00136594"/>
    <w:rsid w:val="0013662E"/>
    <w:rsid w:val="0013669D"/>
    <w:rsid w:val="001366D5"/>
    <w:rsid w:val="00136C27"/>
    <w:rsid w:val="00136D54"/>
    <w:rsid w:val="00136DD4"/>
    <w:rsid w:val="001371CC"/>
    <w:rsid w:val="001371F3"/>
    <w:rsid w:val="001373B7"/>
    <w:rsid w:val="001375AE"/>
    <w:rsid w:val="0013762E"/>
    <w:rsid w:val="00137645"/>
    <w:rsid w:val="001376C4"/>
    <w:rsid w:val="00137701"/>
    <w:rsid w:val="00137970"/>
    <w:rsid w:val="00137AE8"/>
    <w:rsid w:val="00137B15"/>
    <w:rsid w:val="00137B82"/>
    <w:rsid w:val="00137BC6"/>
    <w:rsid w:val="00137C9E"/>
    <w:rsid w:val="0014015A"/>
    <w:rsid w:val="001401A8"/>
    <w:rsid w:val="001401B8"/>
    <w:rsid w:val="00140300"/>
    <w:rsid w:val="001404F4"/>
    <w:rsid w:val="0014061C"/>
    <w:rsid w:val="00140627"/>
    <w:rsid w:val="00140648"/>
    <w:rsid w:val="00140793"/>
    <w:rsid w:val="00140800"/>
    <w:rsid w:val="00140913"/>
    <w:rsid w:val="00140E99"/>
    <w:rsid w:val="00140F1F"/>
    <w:rsid w:val="001410B7"/>
    <w:rsid w:val="00141282"/>
    <w:rsid w:val="00141483"/>
    <w:rsid w:val="00141591"/>
    <w:rsid w:val="001416D5"/>
    <w:rsid w:val="001418C2"/>
    <w:rsid w:val="0014194A"/>
    <w:rsid w:val="001419CA"/>
    <w:rsid w:val="001419D4"/>
    <w:rsid w:val="00141F01"/>
    <w:rsid w:val="00142080"/>
    <w:rsid w:val="0014214F"/>
    <w:rsid w:val="00142287"/>
    <w:rsid w:val="001422C8"/>
    <w:rsid w:val="00142714"/>
    <w:rsid w:val="001428E3"/>
    <w:rsid w:val="0014295D"/>
    <w:rsid w:val="00142A3B"/>
    <w:rsid w:val="00142C32"/>
    <w:rsid w:val="00142D20"/>
    <w:rsid w:val="00142D2B"/>
    <w:rsid w:val="00142D2D"/>
    <w:rsid w:val="00142D95"/>
    <w:rsid w:val="001430F9"/>
    <w:rsid w:val="00143186"/>
    <w:rsid w:val="001431D4"/>
    <w:rsid w:val="00143404"/>
    <w:rsid w:val="00143C19"/>
    <w:rsid w:val="00143F67"/>
    <w:rsid w:val="00143FE9"/>
    <w:rsid w:val="0014414B"/>
    <w:rsid w:val="00144186"/>
    <w:rsid w:val="001441D4"/>
    <w:rsid w:val="001443EA"/>
    <w:rsid w:val="00144534"/>
    <w:rsid w:val="00144582"/>
    <w:rsid w:val="0014463C"/>
    <w:rsid w:val="001449FF"/>
    <w:rsid w:val="00144AA4"/>
    <w:rsid w:val="00144C25"/>
    <w:rsid w:val="00144C58"/>
    <w:rsid w:val="00144D9C"/>
    <w:rsid w:val="00144E4E"/>
    <w:rsid w:val="0014503F"/>
    <w:rsid w:val="00145144"/>
    <w:rsid w:val="00145234"/>
    <w:rsid w:val="00145503"/>
    <w:rsid w:val="00145540"/>
    <w:rsid w:val="001455EF"/>
    <w:rsid w:val="001456A1"/>
    <w:rsid w:val="001456B0"/>
    <w:rsid w:val="00145736"/>
    <w:rsid w:val="0014588A"/>
    <w:rsid w:val="00145954"/>
    <w:rsid w:val="001459E8"/>
    <w:rsid w:val="00145DDC"/>
    <w:rsid w:val="0014603C"/>
    <w:rsid w:val="001460EB"/>
    <w:rsid w:val="001462E4"/>
    <w:rsid w:val="00146469"/>
    <w:rsid w:val="001464B9"/>
    <w:rsid w:val="0014654E"/>
    <w:rsid w:val="0014664B"/>
    <w:rsid w:val="00146787"/>
    <w:rsid w:val="00146820"/>
    <w:rsid w:val="001469A4"/>
    <w:rsid w:val="00146A67"/>
    <w:rsid w:val="00146AAF"/>
    <w:rsid w:val="00146B52"/>
    <w:rsid w:val="00146DEB"/>
    <w:rsid w:val="00146F75"/>
    <w:rsid w:val="00146FEF"/>
    <w:rsid w:val="001470AD"/>
    <w:rsid w:val="001472AA"/>
    <w:rsid w:val="00147510"/>
    <w:rsid w:val="00147529"/>
    <w:rsid w:val="00147764"/>
    <w:rsid w:val="00147878"/>
    <w:rsid w:val="0014788F"/>
    <w:rsid w:val="00147CB8"/>
    <w:rsid w:val="00147D38"/>
    <w:rsid w:val="00147D51"/>
    <w:rsid w:val="00147D5C"/>
    <w:rsid w:val="00147E81"/>
    <w:rsid w:val="00150068"/>
    <w:rsid w:val="001500C1"/>
    <w:rsid w:val="0015011F"/>
    <w:rsid w:val="001501DF"/>
    <w:rsid w:val="001503B5"/>
    <w:rsid w:val="00150483"/>
    <w:rsid w:val="0015060A"/>
    <w:rsid w:val="00150670"/>
    <w:rsid w:val="001507A5"/>
    <w:rsid w:val="00150BC5"/>
    <w:rsid w:val="00150BD1"/>
    <w:rsid w:val="00150EC0"/>
    <w:rsid w:val="00150F11"/>
    <w:rsid w:val="00150F65"/>
    <w:rsid w:val="00150FC6"/>
    <w:rsid w:val="001512B8"/>
    <w:rsid w:val="001512EE"/>
    <w:rsid w:val="001513AC"/>
    <w:rsid w:val="0015140D"/>
    <w:rsid w:val="001517E1"/>
    <w:rsid w:val="001518D3"/>
    <w:rsid w:val="001519AB"/>
    <w:rsid w:val="00151BB2"/>
    <w:rsid w:val="00151C6C"/>
    <w:rsid w:val="00151E07"/>
    <w:rsid w:val="00151E0C"/>
    <w:rsid w:val="00151E87"/>
    <w:rsid w:val="00152000"/>
    <w:rsid w:val="001521AE"/>
    <w:rsid w:val="00152215"/>
    <w:rsid w:val="00152233"/>
    <w:rsid w:val="00152271"/>
    <w:rsid w:val="00152375"/>
    <w:rsid w:val="0015252D"/>
    <w:rsid w:val="0015262B"/>
    <w:rsid w:val="0015266B"/>
    <w:rsid w:val="001527C4"/>
    <w:rsid w:val="0015290D"/>
    <w:rsid w:val="00152A2A"/>
    <w:rsid w:val="00152BFC"/>
    <w:rsid w:val="00152CC3"/>
    <w:rsid w:val="00152D6F"/>
    <w:rsid w:val="00152D99"/>
    <w:rsid w:val="00152E3C"/>
    <w:rsid w:val="00152E5A"/>
    <w:rsid w:val="0015316C"/>
    <w:rsid w:val="00153309"/>
    <w:rsid w:val="00153337"/>
    <w:rsid w:val="00153347"/>
    <w:rsid w:val="001533D4"/>
    <w:rsid w:val="0015354D"/>
    <w:rsid w:val="00153565"/>
    <w:rsid w:val="0015366B"/>
    <w:rsid w:val="001538A8"/>
    <w:rsid w:val="00153A6F"/>
    <w:rsid w:val="00153AA6"/>
    <w:rsid w:val="00153AE9"/>
    <w:rsid w:val="00153B54"/>
    <w:rsid w:val="00153B88"/>
    <w:rsid w:val="001542EA"/>
    <w:rsid w:val="001543AA"/>
    <w:rsid w:val="001543DD"/>
    <w:rsid w:val="00154454"/>
    <w:rsid w:val="001544EF"/>
    <w:rsid w:val="00154785"/>
    <w:rsid w:val="001547AB"/>
    <w:rsid w:val="0015488B"/>
    <w:rsid w:val="00154AB3"/>
    <w:rsid w:val="00154B18"/>
    <w:rsid w:val="00154CA6"/>
    <w:rsid w:val="00154D9F"/>
    <w:rsid w:val="00154FA6"/>
    <w:rsid w:val="00154FAB"/>
    <w:rsid w:val="0015535F"/>
    <w:rsid w:val="0015549C"/>
    <w:rsid w:val="001555D6"/>
    <w:rsid w:val="0015576F"/>
    <w:rsid w:val="00155A80"/>
    <w:rsid w:val="00155AB0"/>
    <w:rsid w:val="00155B82"/>
    <w:rsid w:val="00156026"/>
    <w:rsid w:val="0015604E"/>
    <w:rsid w:val="001560A4"/>
    <w:rsid w:val="00156165"/>
    <w:rsid w:val="001561DB"/>
    <w:rsid w:val="0015621E"/>
    <w:rsid w:val="001564F6"/>
    <w:rsid w:val="00156512"/>
    <w:rsid w:val="00156A47"/>
    <w:rsid w:val="00156ACE"/>
    <w:rsid w:val="00156AFB"/>
    <w:rsid w:val="00156B15"/>
    <w:rsid w:val="00156C96"/>
    <w:rsid w:val="00156D3F"/>
    <w:rsid w:val="00156E78"/>
    <w:rsid w:val="00156F8F"/>
    <w:rsid w:val="001570DF"/>
    <w:rsid w:val="00157130"/>
    <w:rsid w:val="0015721E"/>
    <w:rsid w:val="001572F7"/>
    <w:rsid w:val="001572FF"/>
    <w:rsid w:val="00157344"/>
    <w:rsid w:val="00157391"/>
    <w:rsid w:val="001573D7"/>
    <w:rsid w:val="001573EA"/>
    <w:rsid w:val="0015743F"/>
    <w:rsid w:val="001574CF"/>
    <w:rsid w:val="00157561"/>
    <w:rsid w:val="001575B7"/>
    <w:rsid w:val="001576B1"/>
    <w:rsid w:val="001576D4"/>
    <w:rsid w:val="00157921"/>
    <w:rsid w:val="00157951"/>
    <w:rsid w:val="00157956"/>
    <w:rsid w:val="00157A96"/>
    <w:rsid w:val="00157B40"/>
    <w:rsid w:val="00157E80"/>
    <w:rsid w:val="00160018"/>
    <w:rsid w:val="001600EB"/>
    <w:rsid w:val="001601D4"/>
    <w:rsid w:val="00160224"/>
    <w:rsid w:val="00160352"/>
    <w:rsid w:val="00160386"/>
    <w:rsid w:val="00160400"/>
    <w:rsid w:val="0016047B"/>
    <w:rsid w:val="001604FA"/>
    <w:rsid w:val="0016055F"/>
    <w:rsid w:val="001605B7"/>
    <w:rsid w:val="001607AF"/>
    <w:rsid w:val="0016082C"/>
    <w:rsid w:val="001608C5"/>
    <w:rsid w:val="001609C6"/>
    <w:rsid w:val="00160A4C"/>
    <w:rsid w:val="00160BB1"/>
    <w:rsid w:val="0016101E"/>
    <w:rsid w:val="001611B1"/>
    <w:rsid w:val="001611C3"/>
    <w:rsid w:val="001612A0"/>
    <w:rsid w:val="00161405"/>
    <w:rsid w:val="00161469"/>
    <w:rsid w:val="0016146B"/>
    <w:rsid w:val="00161603"/>
    <w:rsid w:val="00161730"/>
    <w:rsid w:val="00161744"/>
    <w:rsid w:val="00161926"/>
    <w:rsid w:val="00161A21"/>
    <w:rsid w:val="00161BE0"/>
    <w:rsid w:val="00161CE9"/>
    <w:rsid w:val="00161D6B"/>
    <w:rsid w:val="00161DF9"/>
    <w:rsid w:val="001620F8"/>
    <w:rsid w:val="0016212B"/>
    <w:rsid w:val="00162279"/>
    <w:rsid w:val="001622C6"/>
    <w:rsid w:val="0016234E"/>
    <w:rsid w:val="001623D6"/>
    <w:rsid w:val="0016243C"/>
    <w:rsid w:val="0016244B"/>
    <w:rsid w:val="00162475"/>
    <w:rsid w:val="00162693"/>
    <w:rsid w:val="0016276E"/>
    <w:rsid w:val="00162913"/>
    <w:rsid w:val="00162AB2"/>
    <w:rsid w:val="00162C11"/>
    <w:rsid w:val="00162C7A"/>
    <w:rsid w:val="00163113"/>
    <w:rsid w:val="00163272"/>
    <w:rsid w:val="0016327B"/>
    <w:rsid w:val="0016346C"/>
    <w:rsid w:val="001635A6"/>
    <w:rsid w:val="001635DB"/>
    <w:rsid w:val="001635E2"/>
    <w:rsid w:val="001635FB"/>
    <w:rsid w:val="001636DE"/>
    <w:rsid w:val="001637EE"/>
    <w:rsid w:val="00163924"/>
    <w:rsid w:val="00163935"/>
    <w:rsid w:val="0016393F"/>
    <w:rsid w:val="0016399B"/>
    <w:rsid w:val="00163B26"/>
    <w:rsid w:val="00163BA0"/>
    <w:rsid w:val="00163C3C"/>
    <w:rsid w:val="00163DB3"/>
    <w:rsid w:val="00163DB5"/>
    <w:rsid w:val="00163E55"/>
    <w:rsid w:val="00163E5C"/>
    <w:rsid w:val="00163EFF"/>
    <w:rsid w:val="00163F66"/>
    <w:rsid w:val="001640F2"/>
    <w:rsid w:val="00164102"/>
    <w:rsid w:val="00164334"/>
    <w:rsid w:val="00164399"/>
    <w:rsid w:val="001643BD"/>
    <w:rsid w:val="00164479"/>
    <w:rsid w:val="0016448E"/>
    <w:rsid w:val="0016478E"/>
    <w:rsid w:val="001648FF"/>
    <w:rsid w:val="00164A9C"/>
    <w:rsid w:val="00164B6C"/>
    <w:rsid w:val="00164CEA"/>
    <w:rsid w:val="00164D93"/>
    <w:rsid w:val="00164F08"/>
    <w:rsid w:val="00164FDE"/>
    <w:rsid w:val="0016503C"/>
    <w:rsid w:val="00165162"/>
    <w:rsid w:val="0016554B"/>
    <w:rsid w:val="00165796"/>
    <w:rsid w:val="0016588E"/>
    <w:rsid w:val="001658F4"/>
    <w:rsid w:val="00165927"/>
    <w:rsid w:val="00165B95"/>
    <w:rsid w:val="00165D61"/>
    <w:rsid w:val="00165EC4"/>
    <w:rsid w:val="001661FB"/>
    <w:rsid w:val="0016659E"/>
    <w:rsid w:val="00166636"/>
    <w:rsid w:val="001666C8"/>
    <w:rsid w:val="00166738"/>
    <w:rsid w:val="001669B1"/>
    <w:rsid w:val="00166A61"/>
    <w:rsid w:val="00166BBC"/>
    <w:rsid w:val="00166C15"/>
    <w:rsid w:val="00166CE6"/>
    <w:rsid w:val="00166D0D"/>
    <w:rsid w:val="00166E99"/>
    <w:rsid w:val="00166F74"/>
    <w:rsid w:val="0016708E"/>
    <w:rsid w:val="001671A0"/>
    <w:rsid w:val="0016735D"/>
    <w:rsid w:val="0016739E"/>
    <w:rsid w:val="0016767F"/>
    <w:rsid w:val="00167714"/>
    <w:rsid w:val="00167797"/>
    <w:rsid w:val="00167894"/>
    <w:rsid w:val="00167A86"/>
    <w:rsid w:val="00167A94"/>
    <w:rsid w:val="00167BD0"/>
    <w:rsid w:val="00167D7B"/>
    <w:rsid w:val="00167DA1"/>
    <w:rsid w:val="00167E0A"/>
    <w:rsid w:val="00167FB3"/>
    <w:rsid w:val="0017029D"/>
    <w:rsid w:val="00170585"/>
    <w:rsid w:val="001705BE"/>
    <w:rsid w:val="00170648"/>
    <w:rsid w:val="001708D9"/>
    <w:rsid w:val="00170925"/>
    <w:rsid w:val="00170A96"/>
    <w:rsid w:val="00170AE1"/>
    <w:rsid w:val="00170D11"/>
    <w:rsid w:val="00170E6D"/>
    <w:rsid w:val="00171492"/>
    <w:rsid w:val="001715EC"/>
    <w:rsid w:val="001716E6"/>
    <w:rsid w:val="00171749"/>
    <w:rsid w:val="001717EA"/>
    <w:rsid w:val="001719A4"/>
    <w:rsid w:val="00171A20"/>
    <w:rsid w:val="00171A5D"/>
    <w:rsid w:val="00171B34"/>
    <w:rsid w:val="00171D59"/>
    <w:rsid w:val="00171DCE"/>
    <w:rsid w:val="00171EFF"/>
    <w:rsid w:val="00171F6C"/>
    <w:rsid w:val="0017210C"/>
    <w:rsid w:val="001721B6"/>
    <w:rsid w:val="00172597"/>
    <w:rsid w:val="00172612"/>
    <w:rsid w:val="00172623"/>
    <w:rsid w:val="0017297E"/>
    <w:rsid w:val="00172AA2"/>
    <w:rsid w:val="00172C94"/>
    <w:rsid w:val="00172D57"/>
    <w:rsid w:val="00172D82"/>
    <w:rsid w:val="001730B2"/>
    <w:rsid w:val="001730F4"/>
    <w:rsid w:val="00173316"/>
    <w:rsid w:val="00173560"/>
    <w:rsid w:val="00173565"/>
    <w:rsid w:val="00173618"/>
    <w:rsid w:val="001737C5"/>
    <w:rsid w:val="00173951"/>
    <w:rsid w:val="00173B07"/>
    <w:rsid w:val="00173BF9"/>
    <w:rsid w:val="00173E33"/>
    <w:rsid w:val="00173F0E"/>
    <w:rsid w:val="00174005"/>
    <w:rsid w:val="001740FB"/>
    <w:rsid w:val="00174318"/>
    <w:rsid w:val="0017433D"/>
    <w:rsid w:val="00174489"/>
    <w:rsid w:val="0017456A"/>
    <w:rsid w:val="0017457A"/>
    <w:rsid w:val="001745AE"/>
    <w:rsid w:val="00174697"/>
    <w:rsid w:val="0017470C"/>
    <w:rsid w:val="001749E2"/>
    <w:rsid w:val="00174D17"/>
    <w:rsid w:val="00174D39"/>
    <w:rsid w:val="00174D7D"/>
    <w:rsid w:val="00174DBA"/>
    <w:rsid w:val="00174E34"/>
    <w:rsid w:val="00174ED5"/>
    <w:rsid w:val="00174F4B"/>
    <w:rsid w:val="00174F67"/>
    <w:rsid w:val="001750BF"/>
    <w:rsid w:val="001751FA"/>
    <w:rsid w:val="001752F6"/>
    <w:rsid w:val="001754D8"/>
    <w:rsid w:val="00175627"/>
    <w:rsid w:val="00175727"/>
    <w:rsid w:val="00175873"/>
    <w:rsid w:val="00175CBC"/>
    <w:rsid w:val="00175E11"/>
    <w:rsid w:val="00175EA5"/>
    <w:rsid w:val="00175F6D"/>
    <w:rsid w:val="001760A3"/>
    <w:rsid w:val="00176143"/>
    <w:rsid w:val="0017619D"/>
    <w:rsid w:val="001761BB"/>
    <w:rsid w:val="001761F1"/>
    <w:rsid w:val="00176209"/>
    <w:rsid w:val="001762FD"/>
    <w:rsid w:val="001763B2"/>
    <w:rsid w:val="00176547"/>
    <w:rsid w:val="0017674C"/>
    <w:rsid w:val="00176BCE"/>
    <w:rsid w:val="00176C29"/>
    <w:rsid w:val="00176C59"/>
    <w:rsid w:val="00176DAB"/>
    <w:rsid w:val="00177096"/>
    <w:rsid w:val="001771AB"/>
    <w:rsid w:val="001771E5"/>
    <w:rsid w:val="001773E0"/>
    <w:rsid w:val="001775B0"/>
    <w:rsid w:val="001778CE"/>
    <w:rsid w:val="001779D1"/>
    <w:rsid w:val="00177B39"/>
    <w:rsid w:val="00177F60"/>
    <w:rsid w:val="00177F85"/>
    <w:rsid w:val="00177FE4"/>
    <w:rsid w:val="00180188"/>
    <w:rsid w:val="001801EA"/>
    <w:rsid w:val="0018036B"/>
    <w:rsid w:val="00180526"/>
    <w:rsid w:val="001805C3"/>
    <w:rsid w:val="00180615"/>
    <w:rsid w:val="00180667"/>
    <w:rsid w:val="001806C4"/>
    <w:rsid w:val="001808C9"/>
    <w:rsid w:val="001809C8"/>
    <w:rsid w:val="00180A4C"/>
    <w:rsid w:val="00180B00"/>
    <w:rsid w:val="00180C23"/>
    <w:rsid w:val="00180CFD"/>
    <w:rsid w:val="0018125B"/>
    <w:rsid w:val="001816B0"/>
    <w:rsid w:val="00181875"/>
    <w:rsid w:val="00181898"/>
    <w:rsid w:val="001819E0"/>
    <w:rsid w:val="00181C10"/>
    <w:rsid w:val="00181CE3"/>
    <w:rsid w:val="00181D8C"/>
    <w:rsid w:val="00181D9C"/>
    <w:rsid w:val="00181EEB"/>
    <w:rsid w:val="00181F04"/>
    <w:rsid w:val="00182198"/>
    <w:rsid w:val="00182205"/>
    <w:rsid w:val="00182390"/>
    <w:rsid w:val="001823DA"/>
    <w:rsid w:val="001824D9"/>
    <w:rsid w:val="0018254F"/>
    <w:rsid w:val="001826A4"/>
    <w:rsid w:val="001826CA"/>
    <w:rsid w:val="0018274D"/>
    <w:rsid w:val="00182785"/>
    <w:rsid w:val="001829A4"/>
    <w:rsid w:val="00182D3E"/>
    <w:rsid w:val="00182E10"/>
    <w:rsid w:val="00183150"/>
    <w:rsid w:val="00183224"/>
    <w:rsid w:val="0018340B"/>
    <w:rsid w:val="00183455"/>
    <w:rsid w:val="00183576"/>
    <w:rsid w:val="001837BA"/>
    <w:rsid w:val="001837FF"/>
    <w:rsid w:val="00183999"/>
    <w:rsid w:val="00183A7F"/>
    <w:rsid w:val="00183AC7"/>
    <w:rsid w:val="00183B31"/>
    <w:rsid w:val="00183C4A"/>
    <w:rsid w:val="00183C95"/>
    <w:rsid w:val="00183EFA"/>
    <w:rsid w:val="00183F27"/>
    <w:rsid w:val="00184040"/>
    <w:rsid w:val="001842DC"/>
    <w:rsid w:val="00184451"/>
    <w:rsid w:val="001844A2"/>
    <w:rsid w:val="001846C1"/>
    <w:rsid w:val="0018492D"/>
    <w:rsid w:val="001849DD"/>
    <w:rsid w:val="00184B0E"/>
    <w:rsid w:val="00184B36"/>
    <w:rsid w:val="00184BD0"/>
    <w:rsid w:val="00184C1B"/>
    <w:rsid w:val="00184D83"/>
    <w:rsid w:val="00184D90"/>
    <w:rsid w:val="00184D91"/>
    <w:rsid w:val="00184EF9"/>
    <w:rsid w:val="00184FB2"/>
    <w:rsid w:val="001851D4"/>
    <w:rsid w:val="0018533B"/>
    <w:rsid w:val="001854E6"/>
    <w:rsid w:val="00185843"/>
    <w:rsid w:val="00185AD8"/>
    <w:rsid w:val="00185B5A"/>
    <w:rsid w:val="00185B7E"/>
    <w:rsid w:val="00185DEA"/>
    <w:rsid w:val="0018610A"/>
    <w:rsid w:val="001861A9"/>
    <w:rsid w:val="00186274"/>
    <w:rsid w:val="001865BF"/>
    <w:rsid w:val="00186650"/>
    <w:rsid w:val="001867DA"/>
    <w:rsid w:val="0018680D"/>
    <w:rsid w:val="0018681D"/>
    <w:rsid w:val="0018687E"/>
    <w:rsid w:val="001868A0"/>
    <w:rsid w:val="00186961"/>
    <w:rsid w:val="00186978"/>
    <w:rsid w:val="00186A41"/>
    <w:rsid w:val="00186A72"/>
    <w:rsid w:val="00186B32"/>
    <w:rsid w:val="00186C43"/>
    <w:rsid w:val="00187160"/>
    <w:rsid w:val="001871A5"/>
    <w:rsid w:val="001871B0"/>
    <w:rsid w:val="001871CE"/>
    <w:rsid w:val="001874E4"/>
    <w:rsid w:val="0018752F"/>
    <w:rsid w:val="00187618"/>
    <w:rsid w:val="0018763C"/>
    <w:rsid w:val="00187854"/>
    <w:rsid w:val="001878D9"/>
    <w:rsid w:val="00187B19"/>
    <w:rsid w:val="00187B92"/>
    <w:rsid w:val="00187E25"/>
    <w:rsid w:val="00187E8E"/>
    <w:rsid w:val="00190069"/>
    <w:rsid w:val="00190470"/>
    <w:rsid w:val="00190562"/>
    <w:rsid w:val="001907E9"/>
    <w:rsid w:val="0019082A"/>
    <w:rsid w:val="001908A6"/>
    <w:rsid w:val="00190A14"/>
    <w:rsid w:val="00190B97"/>
    <w:rsid w:val="00190C3A"/>
    <w:rsid w:val="00190CF5"/>
    <w:rsid w:val="00190DB8"/>
    <w:rsid w:val="00190F37"/>
    <w:rsid w:val="001911E4"/>
    <w:rsid w:val="00191310"/>
    <w:rsid w:val="00191473"/>
    <w:rsid w:val="001915C4"/>
    <w:rsid w:val="00191967"/>
    <w:rsid w:val="00191BC9"/>
    <w:rsid w:val="00191C9D"/>
    <w:rsid w:val="00191E46"/>
    <w:rsid w:val="00191EF7"/>
    <w:rsid w:val="00191F70"/>
    <w:rsid w:val="00191FC9"/>
    <w:rsid w:val="0019204F"/>
    <w:rsid w:val="0019218F"/>
    <w:rsid w:val="001923B7"/>
    <w:rsid w:val="0019242D"/>
    <w:rsid w:val="0019259F"/>
    <w:rsid w:val="001925B9"/>
    <w:rsid w:val="001925D0"/>
    <w:rsid w:val="00192833"/>
    <w:rsid w:val="001929C0"/>
    <w:rsid w:val="00192A19"/>
    <w:rsid w:val="00192B47"/>
    <w:rsid w:val="00192DA4"/>
    <w:rsid w:val="00193254"/>
    <w:rsid w:val="00193285"/>
    <w:rsid w:val="00193561"/>
    <w:rsid w:val="0019358F"/>
    <w:rsid w:val="001935B3"/>
    <w:rsid w:val="001936C3"/>
    <w:rsid w:val="0019381B"/>
    <w:rsid w:val="00193838"/>
    <w:rsid w:val="00193943"/>
    <w:rsid w:val="00193C42"/>
    <w:rsid w:val="00193D14"/>
    <w:rsid w:val="00193D46"/>
    <w:rsid w:val="00194330"/>
    <w:rsid w:val="00194438"/>
    <w:rsid w:val="00194509"/>
    <w:rsid w:val="00194535"/>
    <w:rsid w:val="001945E2"/>
    <w:rsid w:val="00194716"/>
    <w:rsid w:val="00194745"/>
    <w:rsid w:val="00194779"/>
    <w:rsid w:val="001947F3"/>
    <w:rsid w:val="00194984"/>
    <w:rsid w:val="00194AA7"/>
    <w:rsid w:val="00194AD8"/>
    <w:rsid w:val="00194BA0"/>
    <w:rsid w:val="00194BA8"/>
    <w:rsid w:val="00194C94"/>
    <w:rsid w:val="00194DF8"/>
    <w:rsid w:val="00194DFB"/>
    <w:rsid w:val="00194E0C"/>
    <w:rsid w:val="00194EBA"/>
    <w:rsid w:val="00194EFE"/>
    <w:rsid w:val="00194F1D"/>
    <w:rsid w:val="00194FAF"/>
    <w:rsid w:val="00195012"/>
    <w:rsid w:val="0019512A"/>
    <w:rsid w:val="00195222"/>
    <w:rsid w:val="0019544F"/>
    <w:rsid w:val="00195452"/>
    <w:rsid w:val="00195717"/>
    <w:rsid w:val="001957E9"/>
    <w:rsid w:val="0019583B"/>
    <w:rsid w:val="00195877"/>
    <w:rsid w:val="0019587D"/>
    <w:rsid w:val="00195A2B"/>
    <w:rsid w:val="00195CA5"/>
    <w:rsid w:val="00195D7A"/>
    <w:rsid w:val="00196001"/>
    <w:rsid w:val="0019635D"/>
    <w:rsid w:val="0019637F"/>
    <w:rsid w:val="00196A55"/>
    <w:rsid w:val="00196A9F"/>
    <w:rsid w:val="00196D60"/>
    <w:rsid w:val="00196EF5"/>
    <w:rsid w:val="00196FEB"/>
    <w:rsid w:val="0019724A"/>
    <w:rsid w:val="00197497"/>
    <w:rsid w:val="001974FF"/>
    <w:rsid w:val="001975CE"/>
    <w:rsid w:val="001975D8"/>
    <w:rsid w:val="001976FE"/>
    <w:rsid w:val="00197763"/>
    <w:rsid w:val="0019789C"/>
    <w:rsid w:val="001979B7"/>
    <w:rsid w:val="001979CC"/>
    <w:rsid w:val="00197D8E"/>
    <w:rsid w:val="00197DF6"/>
    <w:rsid w:val="00197E48"/>
    <w:rsid w:val="001A00BC"/>
    <w:rsid w:val="001A03A2"/>
    <w:rsid w:val="001A048D"/>
    <w:rsid w:val="001A04B2"/>
    <w:rsid w:val="001A056D"/>
    <w:rsid w:val="001A075C"/>
    <w:rsid w:val="001A0772"/>
    <w:rsid w:val="001A08CA"/>
    <w:rsid w:val="001A0A03"/>
    <w:rsid w:val="001A0AE6"/>
    <w:rsid w:val="001A0B22"/>
    <w:rsid w:val="001A0D9B"/>
    <w:rsid w:val="001A0DD1"/>
    <w:rsid w:val="001A0EA7"/>
    <w:rsid w:val="001A0F2D"/>
    <w:rsid w:val="001A1455"/>
    <w:rsid w:val="001A178E"/>
    <w:rsid w:val="001A1848"/>
    <w:rsid w:val="001A18DB"/>
    <w:rsid w:val="001A1B4E"/>
    <w:rsid w:val="001A1C54"/>
    <w:rsid w:val="001A1C6B"/>
    <w:rsid w:val="001A1E86"/>
    <w:rsid w:val="001A1FBA"/>
    <w:rsid w:val="001A21FB"/>
    <w:rsid w:val="001A24F4"/>
    <w:rsid w:val="001A25AB"/>
    <w:rsid w:val="001A25CE"/>
    <w:rsid w:val="001A26BB"/>
    <w:rsid w:val="001A26C7"/>
    <w:rsid w:val="001A285E"/>
    <w:rsid w:val="001A29CC"/>
    <w:rsid w:val="001A2A97"/>
    <w:rsid w:val="001A2ACA"/>
    <w:rsid w:val="001A2DB8"/>
    <w:rsid w:val="001A2F3D"/>
    <w:rsid w:val="001A2FDB"/>
    <w:rsid w:val="001A3049"/>
    <w:rsid w:val="001A3178"/>
    <w:rsid w:val="001A3288"/>
    <w:rsid w:val="001A3677"/>
    <w:rsid w:val="001A36D0"/>
    <w:rsid w:val="001A3928"/>
    <w:rsid w:val="001A3B8E"/>
    <w:rsid w:val="001A3E13"/>
    <w:rsid w:val="001A3ECE"/>
    <w:rsid w:val="001A3F56"/>
    <w:rsid w:val="001A4045"/>
    <w:rsid w:val="001A42FB"/>
    <w:rsid w:val="001A43FA"/>
    <w:rsid w:val="001A47C5"/>
    <w:rsid w:val="001A49F9"/>
    <w:rsid w:val="001A4A6E"/>
    <w:rsid w:val="001A4DD0"/>
    <w:rsid w:val="001A5040"/>
    <w:rsid w:val="001A511F"/>
    <w:rsid w:val="001A515F"/>
    <w:rsid w:val="001A5233"/>
    <w:rsid w:val="001A5299"/>
    <w:rsid w:val="001A55FE"/>
    <w:rsid w:val="001A56B4"/>
    <w:rsid w:val="001A56C2"/>
    <w:rsid w:val="001A575C"/>
    <w:rsid w:val="001A57B1"/>
    <w:rsid w:val="001A59FB"/>
    <w:rsid w:val="001A5A50"/>
    <w:rsid w:val="001A5B8B"/>
    <w:rsid w:val="001A5C05"/>
    <w:rsid w:val="001A5CCA"/>
    <w:rsid w:val="001A5DBA"/>
    <w:rsid w:val="001A5E73"/>
    <w:rsid w:val="001A5E9E"/>
    <w:rsid w:val="001A5EBC"/>
    <w:rsid w:val="001A600A"/>
    <w:rsid w:val="001A6135"/>
    <w:rsid w:val="001A6155"/>
    <w:rsid w:val="001A616B"/>
    <w:rsid w:val="001A6354"/>
    <w:rsid w:val="001A6366"/>
    <w:rsid w:val="001A640D"/>
    <w:rsid w:val="001A657E"/>
    <w:rsid w:val="001A65DD"/>
    <w:rsid w:val="001A67FB"/>
    <w:rsid w:val="001A68D0"/>
    <w:rsid w:val="001A69DE"/>
    <w:rsid w:val="001A6BE0"/>
    <w:rsid w:val="001A6C6A"/>
    <w:rsid w:val="001A6CAD"/>
    <w:rsid w:val="001A6DF2"/>
    <w:rsid w:val="001A6EBE"/>
    <w:rsid w:val="001A6FCE"/>
    <w:rsid w:val="001A712B"/>
    <w:rsid w:val="001A7132"/>
    <w:rsid w:val="001A7249"/>
    <w:rsid w:val="001A739A"/>
    <w:rsid w:val="001A7795"/>
    <w:rsid w:val="001A77F2"/>
    <w:rsid w:val="001A7971"/>
    <w:rsid w:val="001A7978"/>
    <w:rsid w:val="001A79A2"/>
    <w:rsid w:val="001A7A20"/>
    <w:rsid w:val="001A7A46"/>
    <w:rsid w:val="001A7AE8"/>
    <w:rsid w:val="001A7B15"/>
    <w:rsid w:val="001A7C40"/>
    <w:rsid w:val="001A7CF0"/>
    <w:rsid w:val="001A7D13"/>
    <w:rsid w:val="001A7DF7"/>
    <w:rsid w:val="001A7E2B"/>
    <w:rsid w:val="001A7F26"/>
    <w:rsid w:val="001B02ED"/>
    <w:rsid w:val="001B031B"/>
    <w:rsid w:val="001B04D0"/>
    <w:rsid w:val="001B0514"/>
    <w:rsid w:val="001B05AC"/>
    <w:rsid w:val="001B0C9D"/>
    <w:rsid w:val="001B0D0C"/>
    <w:rsid w:val="001B0D1E"/>
    <w:rsid w:val="001B1134"/>
    <w:rsid w:val="001B1422"/>
    <w:rsid w:val="001B15F4"/>
    <w:rsid w:val="001B18A9"/>
    <w:rsid w:val="001B1972"/>
    <w:rsid w:val="001B1B0F"/>
    <w:rsid w:val="001B204E"/>
    <w:rsid w:val="001B20BE"/>
    <w:rsid w:val="001B22BB"/>
    <w:rsid w:val="001B2372"/>
    <w:rsid w:val="001B290A"/>
    <w:rsid w:val="001B2B02"/>
    <w:rsid w:val="001B2D99"/>
    <w:rsid w:val="001B2F07"/>
    <w:rsid w:val="001B3326"/>
    <w:rsid w:val="001B3379"/>
    <w:rsid w:val="001B33AB"/>
    <w:rsid w:val="001B33EC"/>
    <w:rsid w:val="001B3443"/>
    <w:rsid w:val="001B38A9"/>
    <w:rsid w:val="001B3988"/>
    <w:rsid w:val="001B3AC7"/>
    <w:rsid w:val="001B3BF9"/>
    <w:rsid w:val="001B3D15"/>
    <w:rsid w:val="001B3E33"/>
    <w:rsid w:val="001B3F34"/>
    <w:rsid w:val="001B42CE"/>
    <w:rsid w:val="001B4353"/>
    <w:rsid w:val="001B4607"/>
    <w:rsid w:val="001B464B"/>
    <w:rsid w:val="001B46A5"/>
    <w:rsid w:val="001B470A"/>
    <w:rsid w:val="001B48AA"/>
    <w:rsid w:val="001B48AF"/>
    <w:rsid w:val="001B4907"/>
    <w:rsid w:val="001B4C44"/>
    <w:rsid w:val="001B4D20"/>
    <w:rsid w:val="001B4E5A"/>
    <w:rsid w:val="001B4F2B"/>
    <w:rsid w:val="001B4FCA"/>
    <w:rsid w:val="001B502E"/>
    <w:rsid w:val="001B5323"/>
    <w:rsid w:val="001B59B8"/>
    <w:rsid w:val="001B5A89"/>
    <w:rsid w:val="001B5ACD"/>
    <w:rsid w:val="001B5CF2"/>
    <w:rsid w:val="001B5D26"/>
    <w:rsid w:val="001B5D5F"/>
    <w:rsid w:val="001B5F0D"/>
    <w:rsid w:val="001B60DD"/>
    <w:rsid w:val="001B631A"/>
    <w:rsid w:val="001B666F"/>
    <w:rsid w:val="001B6704"/>
    <w:rsid w:val="001B6718"/>
    <w:rsid w:val="001B6898"/>
    <w:rsid w:val="001B6900"/>
    <w:rsid w:val="001B6AEF"/>
    <w:rsid w:val="001B6C23"/>
    <w:rsid w:val="001B6C99"/>
    <w:rsid w:val="001B6F52"/>
    <w:rsid w:val="001B7024"/>
    <w:rsid w:val="001B718D"/>
    <w:rsid w:val="001B728B"/>
    <w:rsid w:val="001B735C"/>
    <w:rsid w:val="001B73B9"/>
    <w:rsid w:val="001B7560"/>
    <w:rsid w:val="001B7599"/>
    <w:rsid w:val="001B770D"/>
    <w:rsid w:val="001B781B"/>
    <w:rsid w:val="001B781D"/>
    <w:rsid w:val="001B785C"/>
    <w:rsid w:val="001B78E2"/>
    <w:rsid w:val="001B7A9B"/>
    <w:rsid w:val="001B7AEF"/>
    <w:rsid w:val="001B7B12"/>
    <w:rsid w:val="001B7C00"/>
    <w:rsid w:val="001B7CF7"/>
    <w:rsid w:val="001B7D6C"/>
    <w:rsid w:val="001B7D8B"/>
    <w:rsid w:val="001B7E77"/>
    <w:rsid w:val="001B7EB1"/>
    <w:rsid w:val="001B7F84"/>
    <w:rsid w:val="001C004F"/>
    <w:rsid w:val="001C0258"/>
    <w:rsid w:val="001C0298"/>
    <w:rsid w:val="001C0722"/>
    <w:rsid w:val="001C074B"/>
    <w:rsid w:val="001C089C"/>
    <w:rsid w:val="001C08E3"/>
    <w:rsid w:val="001C0B8D"/>
    <w:rsid w:val="001C0C8B"/>
    <w:rsid w:val="001C0CDD"/>
    <w:rsid w:val="001C0DDF"/>
    <w:rsid w:val="001C11BD"/>
    <w:rsid w:val="001C14BC"/>
    <w:rsid w:val="001C1660"/>
    <w:rsid w:val="001C1721"/>
    <w:rsid w:val="001C1859"/>
    <w:rsid w:val="001C1B10"/>
    <w:rsid w:val="001C1C03"/>
    <w:rsid w:val="001C1DB2"/>
    <w:rsid w:val="001C1F10"/>
    <w:rsid w:val="001C1F1C"/>
    <w:rsid w:val="001C2161"/>
    <w:rsid w:val="001C217D"/>
    <w:rsid w:val="001C220A"/>
    <w:rsid w:val="001C22F8"/>
    <w:rsid w:val="001C22FD"/>
    <w:rsid w:val="001C233B"/>
    <w:rsid w:val="001C23B3"/>
    <w:rsid w:val="001C23D4"/>
    <w:rsid w:val="001C2657"/>
    <w:rsid w:val="001C276E"/>
    <w:rsid w:val="001C279B"/>
    <w:rsid w:val="001C28FC"/>
    <w:rsid w:val="001C29C3"/>
    <w:rsid w:val="001C29D0"/>
    <w:rsid w:val="001C2A9B"/>
    <w:rsid w:val="001C2AA5"/>
    <w:rsid w:val="001C2B3C"/>
    <w:rsid w:val="001C30F2"/>
    <w:rsid w:val="001C3123"/>
    <w:rsid w:val="001C32C0"/>
    <w:rsid w:val="001C32F1"/>
    <w:rsid w:val="001C34DF"/>
    <w:rsid w:val="001C3514"/>
    <w:rsid w:val="001C38B3"/>
    <w:rsid w:val="001C3A77"/>
    <w:rsid w:val="001C3AA5"/>
    <w:rsid w:val="001C3AE9"/>
    <w:rsid w:val="001C3B32"/>
    <w:rsid w:val="001C3BA4"/>
    <w:rsid w:val="001C3C9B"/>
    <w:rsid w:val="001C3D04"/>
    <w:rsid w:val="001C3DD6"/>
    <w:rsid w:val="001C3F1F"/>
    <w:rsid w:val="001C4133"/>
    <w:rsid w:val="001C4138"/>
    <w:rsid w:val="001C41F5"/>
    <w:rsid w:val="001C4299"/>
    <w:rsid w:val="001C4391"/>
    <w:rsid w:val="001C47C5"/>
    <w:rsid w:val="001C483D"/>
    <w:rsid w:val="001C4874"/>
    <w:rsid w:val="001C48AE"/>
    <w:rsid w:val="001C54A5"/>
    <w:rsid w:val="001C55BD"/>
    <w:rsid w:val="001C56EC"/>
    <w:rsid w:val="001C5890"/>
    <w:rsid w:val="001C58C9"/>
    <w:rsid w:val="001C58D6"/>
    <w:rsid w:val="001C5C12"/>
    <w:rsid w:val="001C5D66"/>
    <w:rsid w:val="001C5F94"/>
    <w:rsid w:val="001C607B"/>
    <w:rsid w:val="001C6163"/>
    <w:rsid w:val="001C61FC"/>
    <w:rsid w:val="001C6377"/>
    <w:rsid w:val="001C63C9"/>
    <w:rsid w:val="001C6400"/>
    <w:rsid w:val="001C67A2"/>
    <w:rsid w:val="001C683F"/>
    <w:rsid w:val="001C6AA9"/>
    <w:rsid w:val="001C6B08"/>
    <w:rsid w:val="001C6C09"/>
    <w:rsid w:val="001C6E66"/>
    <w:rsid w:val="001C6EDC"/>
    <w:rsid w:val="001C6EE9"/>
    <w:rsid w:val="001C6FD9"/>
    <w:rsid w:val="001C7398"/>
    <w:rsid w:val="001C73A8"/>
    <w:rsid w:val="001C7563"/>
    <w:rsid w:val="001C7801"/>
    <w:rsid w:val="001C79FC"/>
    <w:rsid w:val="001C7B72"/>
    <w:rsid w:val="001C7D15"/>
    <w:rsid w:val="001C7F1C"/>
    <w:rsid w:val="001D006D"/>
    <w:rsid w:val="001D00EA"/>
    <w:rsid w:val="001D0187"/>
    <w:rsid w:val="001D0275"/>
    <w:rsid w:val="001D0278"/>
    <w:rsid w:val="001D0385"/>
    <w:rsid w:val="001D0625"/>
    <w:rsid w:val="001D06D9"/>
    <w:rsid w:val="001D0795"/>
    <w:rsid w:val="001D0891"/>
    <w:rsid w:val="001D09A3"/>
    <w:rsid w:val="001D0A2D"/>
    <w:rsid w:val="001D0BBE"/>
    <w:rsid w:val="001D0D00"/>
    <w:rsid w:val="001D0ED0"/>
    <w:rsid w:val="001D0ED9"/>
    <w:rsid w:val="001D0F6E"/>
    <w:rsid w:val="001D1031"/>
    <w:rsid w:val="001D1100"/>
    <w:rsid w:val="001D12EC"/>
    <w:rsid w:val="001D1391"/>
    <w:rsid w:val="001D13DA"/>
    <w:rsid w:val="001D13E6"/>
    <w:rsid w:val="001D15C7"/>
    <w:rsid w:val="001D1674"/>
    <w:rsid w:val="001D1728"/>
    <w:rsid w:val="001D17E5"/>
    <w:rsid w:val="001D1863"/>
    <w:rsid w:val="001D1899"/>
    <w:rsid w:val="001D1A28"/>
    <w:rsid w:val="001D1A3C"/>
    <w:rsid w:val="001D1BC3"/>
    <w:rsid w:val="001D1BFB"/>
    <w:rsid w:val="001D1C0D"/>
    <w:rsid w:val="001D1CBB"/>
    <w:rsid w:val="001D1F1B"/>
    <w:rsid w:val="001D1FCE"/>
    <w:rsid w:val="001D2029"/>
    <w:rsid w:val="001D2068"/>
    <w:rsid w:val="001D20CD"/>
    <w:rsid w:val="001D22E2"/>
    <w:rsid w:val="001D23FB"/>
    <w:rsid w:val="001D248F"/>
    <w:rsid w:val="001D25D7"/>
    <w:rsid w:val="001D274A"/>
    <w:rsid w:val="001D27B3"/>
    <w:rsid w:val="001D2874"/>
    <w:rsid w:val="001D2B15"/>
    <w:rsid w:val="001D2B81"/>
    <w:rsid w:val="001D2C03"/>
    <w:rsid w:val="001D2CEA"/>
    <w:rsid w:val="001D2E61"/>
    <w:rsid w:val="001D3058"/>
    <w:rsid w:val="001D3066"/>
    <w:rsid w:val="001D30A0"/>
    <w:rsid w:val="001D3193"/>
    <w:rsid w:val="001D326A"/>
    <w:rsid w:val="001D32F0"/>
    <w:rsid w:val="001D3492"/>
    <w:rsid w:val="001D35C4"/>
    <w:rsid w:val="001D3983"/>
    <w:rsid w:val="001D3A0E"/>
    <w:rsid w:val="001D3A8C"/>
    <w:rsid w:val="001D3AD5"/>
    <w:rsid w:val="001D3B6B"/>
    <w:rsid w:val="001D3DD9"/>
    <w:rsid w:val="001D3DEC"/>
    <w:rsid w:val="001D3EA3"/>
    <w:rsid w:val="001D3FC2"/>
    <w:rsid w:val="001D4260"/>
    <w:rsid w:val="001D42F6"/>
    <w:rsid w:val="001D4357"/>
    <w:rsid w:val="001D45C8"/>
    <w:rsid w:val="001D46CB"/>
    <w:rsid w:val="001D4733"/>
    <w:rsid w:val="001D489C"/>
    <w:rsid w:val="001D48D1"/>
    <w:rsid w:val="001D49DC"/>
    <w:rsid w:val="001D4A92"/>
    <w:rsid w:val="001D4B80"/>
    <w:rsid w:val="001D4E13"/>
    <w:rsid w:val="001D4FAE"/>
    <w:rsid w:val="001D50B2"/>
    <w:rsid w:val="001D521F"/>
    <w:rsid w:val="001D5387"/>
    <w:rsid w:val="001D5390"/>
    <w:rsid w:val="001D5589"/>
    <w:rsid w:val="001D5A37"/>
    <w:rsid w:val="001D5C4F"/>
    <w:rsid w:val="001D5C94"/>
    <w:rsid w:val="001D5F19"/>
    <w:rsid w:val="001D5FFE"/>
    <w:rsid w:val="001D6099"/>
    <w:rsid w:val="001D60F7"/>
    <w:rsid w:val="001D653F"/>
    <w:rsid w:val="001D6545"/>
    <w:rsid w:val="001D6559"/>
    <w:rsid w:val="001D6887"/>
    <w:rsid w:val="001D69CC"/>
    <w:rsid w:val="001D6BC7"/>
    <w:rsid w:val="001D6FF7"/>
    <w:rsid w:val="001D71F4"/>
    <w:rsid w:val="001D7464"/>
    <w:rsid w:val="001D762A"/>
    <w:rsid w:val="001D7645"/>
    <w:rsid w:val="001D7746"/>
    <w:rsid w:val="001D7753"/>
    <w:rsid w:val="001D7754"/>
    <w:rsid w:val="001D77BE"/>
    <w:rsid w:val="001D7879"/>
    <w:rsid w:val="001D78B9"/>
    <w:rsid w:val="001D7A41"/>
    <w:rsid w:val="001D7BF2"/>
    <w:rsid w:val="001D7C3F"/>
    <w:rsid w:val="001D7E38"/>
    <w:rsid w:val="001D7E56"/>
    <w:rsid w:val="001D7E7B"/>
    <w:rsid w:val="001E0049"/>
    <w:rsid w:val="001E0082"/>
    <w:rsid w:val="001E01F1"/>
    <w:rsid w:val="001E0341"/>
    <w:rsid w:val="001E05C5"/>
    <w:rsid w:val="001E0647"/>
    <w:rsid w:val="001E0697"/>
    <w:rsid w:val="001E0773"/>
    <w:rsid w:val="001E088B"/>
    <w:rsid w:val="001E0CDC"/>
    <w:rsid w:val="001E0DB2"/>
    <w:rsid w:val="001E109D"/>
    <w:rsid w:val="001E11B4"/>
    <w:rsid w:val="001E134C"/>
    <w:rsid w:val="001E13E1"/>
    <w:rsid w:val="001E1448"/>
    <w:rsid w:val="001E15CA"/>
    <w:rsid w:val="001E15F7"/>
    <w:rsid w:val="001E1628"/>
    <w:rsid w:val="001E16DE"/>
    <w:rsid w:val="001E18FD"/>
    <w:rsid w:val="001E1917"/>
    <w:rsid w:val="001E19B8"/>
    <w:rsid w:val="001E1C53"/>
    <w:rsid w:val="001E1E86"/>
    <w:rsid w:val="001E1F4B"/>
    <w:rsid w:val="001E21CA"/>
    <w:rsid w:val="001E238E"/>
    <w:rsid w:val="001E2483"/>
    <w:rsid w:val="001E25E6"/>
    <w:rsid w:val="001E295E"/>
    <w:rsid w:val="001E2B1E"/>
    <w:rsid w:val="001E2B54"/>
    <w:rsid w:val="001E2B8C"/>
    <w:rsid w:val="001E2CFF"/>
    <w:rsid w:val="001E2D24"/>
    <w:rsid w:val="001E2E81"/>
    <w:rsid w:val="001E2ED7"/>
    <w:rsid w:val="001E2F24"/>
    <w:rsid w:val="001E2F37"/>
    <w:rsid w:val="001E30D4"/>
    <w:rsid w:val="001E3248"/>
    <w:rsid w:val="001E3270"/>
    <w:rsid w:val="001E336C"/>
    <w:rsid w:val="001E345C"/>
    <w:rsid w:val="001E34A2"/>
    <w:rsid w:val="001E34B9"/>
    <w:rsid w:val="001E34D7"/>
    <w:rsid w:val="001E34DF"/>
    <w:rsid w:val="001E3551"/>
    <w:rsid w:val="001E3699"/>
    <w:rsid w:val="001E3736"/>
    <w:rsid w:val="001E3985"/>
    <w:rsid w:val="001E3CD5"/>
    <w:rsid w:val="001E3DB5"/>
    <w:rsid w:val="001E3F1C"/>
    <w:rsid w:val="001E40A6"/>
    <w:rsid w:val="001E40EE"/>
    <w:rsid w:val="001E4162"/>
    <w:rsid w:val="001E41D1"/>
    <w:rsid w:val="001E4463"/>
    <w:rsid w:val="001E44F5"/>
    <w:rsid w:val="001E45B0"/>
    <w:rsid w:val="001E4671"/>
    <w:rsid w:val="001E47D0"/>
    <w:rsid w:val="001E48A8"/>
    <w:rsid w:val="001E4912"/>
    <w:rsid w:val="001E4BD3"/>
    <w:rsid w:val="001E4ECC"/>
    <w:rsid w:val="001E4F43"/>
    <w:rsid w:val="001E4F68"/>
    <w:rsid w:val="001E514E"/>
    <w:rsid w:val="001E5192"/>
    <w:rsid w:val="001E51E9"/>
    <w:rsid w:val="001E52EB"/>
    <w:rsid w:val="001E56C9"/>
    <w:rsid w:val="001E5837"/>
    <w:rsid w:val="001E58B7"/>
    <w:rsid w:val="001E59B5"/>
    <w:rsid w:val="001E5A5E"/>
    <w:rsid w:val="001E5A7A"/>
    <w:rsid w:val="001E5BF7"/>
    <w:rsid w:val="001E5D96"/>
    <w:rsid w:val="001E5E53"/>
    <w:rsid w:val="001E5E9E"/>
    <w:rsid w:val="001E5EA9"/>
    <w:rsid w:val="001E5EE2"/>
    <w:rsid w:val="001E5F58"/>
    <w:rsid w:val="001E5F60"/>
    <w:rsid w:val="001E603B"/>
    <w:rsid w:val="001E6143"/>
    <w:rsid w:val="001E61D2"/>
    <w:rsid w:val="001E6419"/>
    <w:rsid w:val="001E64DC"/>
    <w:rsid w:val="001E669D"/>
    <w:rsid w:val="001E6789"/>
    <w:rsid w:val="001E6878"/>
    <w:rsid w:val="001E689E"/>
    <w:rsid w:val="001E69D4"/>
    <w:rsid w:val="001E6A26"/>
    <w:rsid w:val="001E6A39"/>
    <w:rsid w:val="001E6A64"/>
    <w:rsid w:val="001E6C73"/>
    <w:rsid w:val="001E6D62"/>
    <w:rsid w:val="001E6E15"/>
    <w:rsid w:val="001E6E4E"/>
    <w:rsid w:val="001E6E5C"/>
    <w:rsid w:val="001E6F0D"/>
    <w:rsid w:val="001E740C"/>
    <w:rsid w:val="001E75A7"/>
    <w:rsid w:val="001E7662"/>
    <w:rsid w:val="001E773F"/>
    <w:rsid w:val="001E7907"/>
    <w:rsid w:val="001E7BD0"/>
    <w:rsid w:val="001E7C2E"/>
    <w:rsid w:val="001E7C6A"/>
    <w:rsid w:val="001E7E73"/>
    <w:rsid w:val="001E7EE2"/>
    <w:rsid w:val="001E7F36"/>
    <w:rsid w:val="001E7FC3"/>
    <w:rsid w:val="001F0356"/>
    <w:rsid w:val="001F063E"/>
    <w:rsid w:val="001F06EE"/>
    <w:rsid w:val="001F0714"/>
    <w:rsid w:val="001F0946"/>
    <w:rsid w:val="001F0A6E"/>
    <w:rsid w:val="001F0E8C"/>
    <w:rsid w:val="001F0ED6"/>
    <w:rsid w:val="001F1235"/>
    <w:rsid w:val="001F13FE"/>
    <w:rsid w:val="001F18AC"/>
    <w:rsid w:val="001F19AC"/>
    <w:rsid w:val="001F19DA"/>
    <w:rsid w:val="001F1B12"/>
    <w:rsid w:val="001F1B2E"/>
    <w:rsid w:val="001F1C0D"/>
    <w:rsid w:val="001F1CB2"/>
    <w:rsid w:val="001F1CB3"/>
    <w:rsid w:val="001F1D4F"/>
    <w:rsid w:val="001F1DD7"/>
    <w:rsid w:val="001F1F88"/>
    <w:rsid w:val="001F23C0"/>
    <w:rsid w:val="001F23DE"/>
    <w:rsid w:val="001F26A1"/>
    <w:rsid w:val="001F26D3"/>
    <w:rsid w:val="001F2939"/>
    <w:rsid w:val="001F2B67"/>
    <w:rsid w:val="001F2E1F"/>
    <w:rsid w:val="001F2ED4"/>
    <w:rsid w:val="001F2EE8"/>
    <w:rsid w:val="001F3008"/>
    <w:rsid w:val="001F30B9"/>
    <w:rsid w:val="001F3479"/>
    <w:rsid w:val="001F3840"/>
    <w:rsid w:val="001F38B5"/>
    <w:rsid w:val="001F39AD"/>
    <w:rsid w:val="001F39E8"/>
    <w:rsid w:val="001F3B80"/>
    <w:rsid w:val="001F3D3F"/>
    <w:rsid w:val="001F3D4A"/>
    <w:rsid w:val="001F3DBE"/>
    <w:rsid w:val="001F3DC8"/>
    <w:rsid w:val="001F4081"/>
    <w:rsid w:val="001F416B"/>
    <w:rsid w:val="001F4219"/>
    <w:rsid w:val="001F427C"/>
    <w:rsid w:val="001F42D5"/>
    <w:rsid w:val="001F4465"/>
    <w:rsid w:val="001F463D"/>
    <w:rsid w:val="001F474F"/>
    <w:rsid w:val="001F4852"/>
    <w:rsid w:val="001F49B2"/>
    <w:rsid w:val="001F49C7"/>
    <w:rsid w:val="001F4AA6"/>
    <w:rsid w:val="001F4B88"/>
    <w:rsid w:val="001F5008"/>
    <w:rsid w:val="001F50ED"/>
    <w:rsid w:val="001F511B"/>
    <w:rsid w:val="001F51E9"/>
    <w:rsid w:val="001F5442"/>
    <w:rsid w:val="001F5560"/>
    <w:rsid w:val="001F55C1"/>
    <w:rsid w:val="001F5790"/>
    <w:rsid w:val="001F5963"/>
    <w:rsid w:val="001F5DE2"/>
    <w:rsid w:val="001F5DE4"/>
    <w:rsid w:val="001F5EAF"/>
    <w:rsid w:val="001F6105"/>
    <w:rsid w:val="001F6A01"/>
    <w:rsid w:val="001F6BC1"/>
    <w:rsid w:val="001F6D3B"/>
    <w:rsid w:val="001F6EC1"/>
    <w:rsid w:val="001F6F2A"/>
    <w:rsid w:val="001F6FFB"/>
    <w:rsid w:val="001F7027"/>
    <w:rsid w:val="001F7116"/>
    <w:rsid w:val="001F7148"/>
    <w:rsid w:val="001F7361"/>
    <w:rsid w:val="001F73F8"/>
    <w:rsid w:val="001F7663"/>
    <w:rsid w:val="001F7780"/>
    <w:rsid w:val="002000DE"/>
    <w:rsid w:val="00200156"/>
    <w:rsid w:val="0020023B"/>
    <w:rsid w:val="00200293"/>
    <w:rsid w:val="002003EE"/>
    <w:rsid w:val="00200916"/>
    <w:rsid w:val="00200ABA"/>
    <w:rsid w:val="00200B67"/>
    <w:rsid w:val="00200C61"/>
    <w:rsid w:val="00200C7A"/>
    <w:rsid w:val="002011B0"/>
    <w:rsid w:val="002011D4"/>
    <w:rsid w:val="002012B1"/>
    <w:rsid w:val="00201372"/>
    <w:rsid w:val="0020142D"/>
    <w:rsid w:val="0020143D"/>
    <w:rsid w:val="00201624"/>
    <w:rsid w:val="002017AE"/>
    <w:rsid w:val="0020191D"/>
    <w:rsid w:val="00201B33"/>
    <w:rsid w:val="00201B65"/>
    <w:rsid w:val="00201B9F"/>
    <w:rsid w:val="00201C1C"/>
    <w:rsid w:val="00201DDD"/>
    <w:rsid w:val="00201EA8"/>
    <w:rsid w:val="00201EB8"/>
    <w:rsid w:val="00201FB4"/>
    <w:rsid w:val="00201FE6"/>
    <w:rsid w:val="0020211A"/>
    <w:rsid w:val="002021BA"/>
    <w:rsid w:val="002024C1"/>
    <w:rsid w:val="002029E7"/>
    <w:rsid w:val="00202B36"/>
    <w:rsid w:val="00202D06"/>
    <w:rsid w:val="00202D0B"/>
    <w:rsid w:val="00202D92"/>
    <w:rsid w:val="00202DB0"/>
    <w:rsid w:val="00202E0A"/>
    <w:rsid w:val="002030E1"/>
    <w:rsid w:val="00203146"/>
    <w:rsid w:val="00203181"/>
    <w:rsid w:val="002031C3"/>
    <w:rsid w:val="002034ED"/>
    <w:rsid w:val="002035D5"/>
    <w:rsid w:val="00203611"/>
    <w:rsid w:val="002036E8"/>
    <w:rsid w:val="002036F4"/>
    <w:rsid w:val="00203783"/>
    <w:rsid w:val="00203805"/>
    <w:rsid w:val="0020384E"/>
    <w:rsid w:val="0020385F"/>
    <w:rsid w:val="00203925"/>
    <w:rsid w:val="002039A3"/>
    <w:rsid w:val="00203A44"/>
    <w:rsid w:val="00203C86"/>
    <w:rsid w:val="00203D7A"/>
    <w:rsid w:val="00203DDE"/>
    <w:rsid w:val="00203FBB"/>
    <w:rsid w:val="0020404E"/>
    <w:rsid w:val="002040F3"/>
    <w:rsid w:val="002040F9"/>
    <w:rsid w:val="002041AB"/>
    <w:rsid w:val="00204278"/>
    <w:rsid w:val="00204481"/>
    <w:rsid w:val="00204520"/>
    <w:rsid w:val="002045CC"/>
    <w:rsid w:val="002046B4"/>
    <w:rsid w:val="002046DA"/>
    <w:rsid w:val="00204838"/>
    <w:rsid w:val="00204842"/>
    <w:rsid w:val="00204854"/>
    <w:rsid w:val="0020493C"/>
    <w:rsid w:val="00204A9D"/>
    <w:rsid w:val="00204B34"/>
    <w:rsid w:val="00204B7B"/>
    <w:rsid w:val="00204FEA"/>
    <w:rsid w:val="00205163"/>
    <w:rsid w:val="0020518D"/>
    <w:rsid w:val="002052F2"/>
    <w:rsid w:val="00205325"/>
    <w:rsid w:val="00205423"/>
    <w:rsid w:val="002054AF"/>
    <w:rsid w:val="0020570B"/>
    <w:rsid w:val="002057F0"/>
    <w:rsid w:val="0020596E"/>
    <w:rsid w:val="00205ABB"/>
    <w:rsid w:val="00205DFF"/>
    <w:rsid w:val="00206046"/>
    <w:rsid w:val="002060D7"/>
    <w:rsid w:val="00206302"/>
    <w:rsid w:val="00206362"/>
    <w:rsid w:val="0020639C"/>
    <w:rsid w:val="00206632"/>
    <w:rsid w:val="0020663E"/>
    <w:rsid w:val="002068A0"/>
    <w:rsid w:val="002068AA"/>
    <w:rsid w:val="00206928"/>
    <w:rsid w:val="00206958"/>
    <w:rsid w:val="0020696A"/>
    <w:rsid w:val="00206AA4"/>
    <w:rsid w:val="00206F41"/>
    <w:rsid w:val="00207021"/>
    <w:rsid w:val="00207038"/>
    <w:rsid w:val="0020713C"/>
    <w:rsid w:val="0020724F"/>
    <w:rsid w:val="0020732F"/>
    <w:rsid w:val="00207509"/>
    <w:rsid w:val="00207647"/>
    <w:rsid w:val="002077F7"/>
    <w:rsid w:val="00207C49"/>
    <w:rsid w:val="00207D00"/>
    <w:rsid w:val="00207D1C"/>
    <w:rsid w:val="00207D81"/>
    <w:rsid w:val="00207E18"/>
    <w:rsid w:val="00207E41"/>
    <w:rsid w:val="00207F2C"/>
    <w:rsid w:val="0021022A"/>
    <w:rsid w:val="00210307"/>
    <w:rsid w:val="002103A4"/>
    <w:rsid w:val="00210550"/>
    <w:rsid w:val="002105B0"/>
    <w:rsid w:val="002105C1"/>
    <w:rsid w:val="00210664"/>
    <w:rsid w:val="00210699"/>
    <w:rsid w:val="002106DA"/>
    <w:rsid w:val="0021074B"/>
    <w:rsid w:val="00210759"/>
    <w:rsid w:val="002109C0"/>
    <w:rsid w:val="00210A28"/>
    <w:rsid w:val="00210ABC"/>
    <w:rsid w:val="00210B00"/>
    <w:rsid w:val="00210BCF"/>
    <w:rsid w:val="00210E1F"/>
    <w:rsid w:val="00210E73"/>
    <w:rsid w:val="0021103C"/>
    <w:rsid w:val="0021116E"/>
    <w:rsid w:val="00211190"/>
    <w:rsid w:val="00211252"/>
    <w:rsid w:val="00211581"/>
    <w:rsid w:val="00211685"/>
    <w:rsid w:val="002116FD"/>
    <w:rsid w:val="00211726"/>
    <w:rsid w:val="00211797"/>
    <w:rsid w:val="0021182A"/>
    <w:rsid w:val="002118C7"/>
    <w:rsid w:val="00211AE0"/>
    <w:rsid w:val="00211BA6"/>
    <w:rsid w:val="00211BC0"/>
    <w:rsid w:val="00211C92"/>
    <w:rsid w:val="00211F25"/>
    <w:rsid w:val="00212023"/>
    <w:rsid w:val="00212095"/>
    <w:rsid w:val="002120D7"/>
    <w:rsid w:val="00212130"/>
    <w:rsid w:val="00212266"/>
    <w:rsid w:val="00212432"/>
    <w:rsid w:val="00212517"/>
    <w:rsid w:val="0021287B"/>
    <w:rsid w:val="00212A31"/>
    <w:rsid w:val="00212A49"/>
    <w:rsid w:val="00212A51"/>
    <w:rsid w:val="00212A78"/>
    <w:rsid w:val="00212D3A"/>
    <w:rsid w:val="00212E92"/>
    <w:rsid w:val="0021303E"/>
    <w:rsid w:val="00213119"/>
    <w:rsid w:val="0021320F"/>
    <w:rsid w:val="00213265"/>
    <w:rsid w:val="00213495"/>
    <w:rsid w:val="002135FA"/>
    <w:rsid w:val="00213850"/>
    <w:rsid w:val="002139B0"/>
    <w:rsid w:val="00213ABB"/>
    <w:rsid w:val="00213AFD"/>
    <w:rsid w:val="00213BBE"/>
    <w:rsid w:val="00213D68"/>
    <w:rsid w:val="00213E13"/>
    <w:rsid w:val="00213EF5"/>
    <w:rsid w:val="00213FA4"/>
    <w:rsid w:val="00214009"/>
    <w:rsid w:val="00214077"/>
    <w:rsid w:val="002141A9"/>
    <w:rsid w:val="00214319"/>
    <w:rsid w:val="00214380"/>
    <w:rsid w:val="00214506"/>
    <w:rsid w:val="002145B3"/>
    <w:rsid w:val="002146B3"/>
    <w:rsid w:val="002146BC"/>
    <w:rsid w:val="00214762"/>
    <w:rsid w:val="00214846"/>
    <w:rsid w:val="002148C7"/>
    <w:rsid w:val="00214A6A"/>
    <w:rsid w:val="00214CDF"/>
    <w:rsid w:val="00214ED3"/>
    <w:rsid w:val="00214EE6"/>
    <w:rsid w:val="00214EF2"/>
    <w:rsid w:val="00214F08"/>
    <w:rsid w:val="00214F85"/>
    <w:rsid w:val="0021521C"/>
    <w:rsid w:val="00215264"/>
    <w:rsid w:val="0021531F"/>
    <w:rsid w:val="00215408"/>
    <w:rsid w:val="0021542F"/>
    <w:rsid w:val="002154E0"/>
    <w:rsid w:val="00215606"/>
    <w:rsid w:val="0021575B"/>
    <w:rsid w:val="00215936"/>
    <w:rsid w:val="002159AB"/>
    <w:rsid w:val="00215F69"/>
    <w:rsid w:val="0021600B"/>
    <w:rsid w:val="002160D4"/>
    <w:rsid w:val="002161B8"/>
    <w:rsid w:val="00216333"/>
    <w:rsid w:val="002164A7"/>
    <w:rsid w:val="002164FD"/>
    <w:rsid w:val="0021659B"/>
    <w:rsid w:val="002165C9"/>
    <w:rsid w:val="00216722"/>
    <w:rsid w:val="002167B5"/>
    <w:rsid w:val="00216A4B"/>
    <w:rsid w:val="00216BF5"/>
    <w:rsid w:val="00216E93"/>
    <w:rsid w:val="00216EB7"/>
    <w:rsid w:val="002170E7"/>
    <w:rsid w:val="002171BC"/>
    <w:rsid w:val="002172FC"/>
    <w:rsid w:val="002175A2"/>
    <w:rsid w:val="00217708"/>
    <w:rsid w:val="00217738"/>
    <w:rsid w:val="0021779A"/>
    <w:rsid w:val="0021793D"/>
    <w:rsid w:val="00217960"/>
    <w:rsid w:val="00217966"/>
    <w:rsid w:val="002179E1"/>
    <w:rsid w:val="00217A2C"/>
    <w:rsid w:val="00217E06"/>
    <w:rsid w:val="0022006E"/>
    <w:rsid w:val="00220202"/>
    <w:rsid w:val="00220317"/>
    <w:rsid w:val="00220498"/>
    <w:rsid w:val="002208D6"/>
    <w:rsid w:val="00220BE2"/>
    <w:rsid w:val="00220C04"/>
    <w:rsid w:val="00220C74"/>
    <w:rsid w:val="00220DF7"/>
    <w:rsid w:val="00220F66"/>
    <w:rsid w:val="0022116E"/>
    <w:rsid w:val="002212A2"/>
    <w:rsid w:val="0022134E"/>
    <w:rsid w:val="002213C0"/>
    <w:rsid w:val="002214F3"/>
    <w:rsid w:val="0022153A"/>
    <w:rsid w:val="00221575"/>
    <w:rsid w:val="002216A5"/>
    <w:rsid w:val="002217EB"/>
    <w:rsid w:val="00221800"/>
    <w:rsid w:val="0022185F"/>
    <w:rsid w:val="00221BF5"/>
    <w:rsid w:val="00221D6D"/>
    <w:rsid w:val="00221F27"/>
    <w:rsid w:val="00222030"/>
    <w:rsid w:val="00222084"/>
    <w:rsid w:val="0022213D"/>
    <w:rsid w:val="0022227A"/>
    <w:rsid w:val="002222B3"/>
    <w:rsid w:val="00222384"/>
    <w:rsid w:val="00222533"/>
    <w:rsid w:val="002225BF"/>
    <w:rsid w:val="002226AF"/>
    <w:rsid w:val="002226BF"/>
    <w:rsid w:val="00222817"/>
    <w:rsid w:val="00222A9B"/>
    <w:rsid w:val="00222C8F"/>
    <w:rsid w:val="00222DE0"/>
    <w:rsid w:val="00222DF8"/>
    <w:rsid w:val="00222E3C"/>
    <w:rsid w:val="00222E57"/>
    <w:rsid w:val="00222E9B"/>
    <w:rsid w:val="00222F19"/>
    <w:rsid w:val="00222F3B"/>
    <w:rsid w:val="0022323B"/>
    <w:rsid w:val="00223334"/>
    <w:rsid w:val="00223379"/>
    <w:rsid w:val="00223526"/>
    <w:rsid w:val="002236C1"/>
    <w:rsid w:val="00223845"/>
    <w:rsid w:val="00223A29"/>
    <w:rsid w:val="00223A6D"/>
    <w:rsid w:val="00223B49"/>
    <w:rsid w:val="00223D35"/>
    <w:rsid w:val="00223D45"/>
    <w:rsid w:val="00223D5A"/>
    <w:rsid w:val="00223FD9"/>
    <w:rsid w:val="0022417A"/>
    <w:rsid w:val="002241B5"/>
    <w:rsid w:val="00224374"/>
    <w:rsid w:val="0022458C"/>
    <w:rsid w:val="002245F6"/>
    <w:rsid w:val="00224828"/>
    <w:rsid w:val="0022492F"/>
    <w:rsid w:val="00224A0B"/>
    <w:rsid w:val="00224BB5"/>
    <w:rsid w:val="00224CFF"/>
    <w:rsid w:val="00224DAC"/>
    <w:rsid w:val="00224DD4"/>
    <w:rsid w:val="00224E30"/>
    <w:rsid w:val="00224F5C"/>
    <w:rsid w:val="0022500C"/>
    <w:rsid w:val="002251BC"/>
    <w:rsid w:val="00225271"/>
    <w:rsid w:val="00225371"/>
    <w:rsid w:val="00225560"/>
    <w:rsid w:val="002255A7"/>
    <w:rsid w:val="00225A5A"/>
    <w:rsid w:val="00225B54"/>
    <w:rsid w:val="00225E28"/>
    <w:rsid w:val="00225E50"/>
    <w:rsid w:val="002260AA"/>
    <w:rsid w:val="0022627A"/>
    <w:rsid w:val="002263DA"/>
    <w:rsid w:val="00226467"/>
    <w:rsid w:val="002264B0"/>
    <w:rsid w:val="002264C7"/>
    <w:rsid w:val="00226558"/>
    <w:rsid w:val="0022676F"/>
    <w:rsid w:val="002267A7"/>
    <w:rsid w:val="0022691C"/>
    <w:rsid w:val="00226942"/>
    <w:rsid w:val="00226A02"/>
    <w:rsid w:val="00226CA5"/>
    <w:rsid w:val="00226D11"/>
    <w:rsid w:val="00226E00"/>
    <w:rsid w:val="00226ED1"/>
    <w:rsid w:val="002270CE"/>
    <w:rsid w:val="0022715B"/>
    <w:rsid w:val="002273F6"/>
    <w:rsid w:val="002275EF"/>
    <w:rsid w:val="0022774C"/>
    <w:rsid w:val="002278A0"/>
    <w:rsid w:val="00227907"/>
    <w:rsid w:val="002279BB"/>
    <w:rsid w:val="00227A3A"/>
    <w:rsid w:val="00227AB8"/>
    <w:rsid w:val="00227D11"/>
    <w:rsid w:val="002300A5"/>
    <w:rsid w:val="002301BE"/>
    <w:rsid w:val="00230390"/>
    <w:rsid w:val="00230748"/>
    <w:rsid w:val="002307DE"/>
    <w:rsid w:val="00230975"/>
    <w:rsid w:val="002309CC"/>
    <w:rsid w:val="00230A33"/>
    <w:rsid w:val="00230A86"/>
    <w:rsid w:val="00230B07"/>
    <w:rsid w:val="00230C40"/>
    <w:rsid w:val="00230C91"/>
    <w:rsid w:val="00230FBA"/>
    <w:rsid w:val="00231013"/>
    <w:rsid w:val="00231430"/>
    <w:rsid w:val="00231461"/>
    <w:rsid w:val="0023156F"/>
    <w:rsid w:val="00231770"/>
    <w:rsid w:val="002317F6"/>
    <w:rsid w:val="00231891"/>
    <w:rsid w:val="002318C0"/>
    <w:rsid w:val="002318FD"/>
    <w:rsid w:val="00231BA9"/>
    <w:rsid w:val="00231BB4"/>
    <w:rsid w:val="00231CD6"/>
    <w:rsid w:val="00231D35"/>
    <w:rsid w:val="00231DB1"/>
    <w:rsid w:val="00231E00"/>
    <w:rsid w:val="00231EF4"/>
    <w:rsid w:val="00231FC4"/>
    <w:rsid w:val="0023203A"/>
    <w:rsid w:val="0023209F"/>
    <w:rsid w:val="002320A0"/>
    <w:rsid w:val="0023224C"/>
    <w:rsid w:val="00232342"/>
    <w:rsid w:val="0023242F"/>
    <w:rsid w:val="00232789"/>
    <w:rsid w:val="002328A3"/>
    <w:rsid w:val="00232A77"/>
    <w:rsid w:val="00232A7C"/>
    <w:rsid w:val="00232B92"/>
    <w:rsid w:val="00232C69"/>
    <w:rsid w:val="00232EA3"/>
    <w:rsid w:val="00232EEA"/>
    <w:rsid w:val="00232FA0"/>
    <w:rsid w:val="00232FC2"/>
    <w:rsid w:val="002331A6"/>
    <w:rsid w:val="00233489"/>
    <w:rsid w:val="00233633"/>
    <w:rsid w:val="0023387D"/>
    <w:rsid w:val="002339A5"/>
    <w:rsid w:val="00233A9A"/>
    <w:rsid w:val="00233B27"/>
    <w:rsid w:val="00233B6E"/>
    <w:rsid w:val="00233BC8"/>
    <w:rsid w:val="00233C01"/>
    <w:rsid w:val="00233C1F"/>
    <w:rsid w:val="0023401F"/>
    <w:rsid w:val="0023413C"/>
    <w:rsid w:val="00234212"/>
    <w:rsid w:val="002345B0"/>
    <w:rsid w:val="002346F0"/>
    <w:rsid w:val="00234933"/>
    <w:rsid w:val="00234943"/>
    <w:rsid w:val="002349C6"/>
    <w:rsid w:val="00234A98"/>
    <w:rsid w:val="00234EA9"/>
    <w:rsid w:val="002350E9"/>
    <w:rsid w:val="002351F1"/>
    <w:rsid w:val="0023539C"/>
    <w:rsid w:val="002353BA"/>
    <w:rsid w:val="002353F0"/>
    <w:rsid w:val="00235490"/>
    <w:rsid w:val="0023551E"/>
    <w:rsid w:val="002355AD"/>
    <w:rsid w:val="00235899"/>
    <w:rsid w:val="00235979"/>
    <w:rsid w:val="00235A84"/>
    <w:rsid w:val="00235BCD"/>
    <w:rsid w:val="00235C63"/>
    <w:rsid w:val="00235C6D"/>
    <w:rsid w:val="00235D6D"/>
    <w:rsid w:val="002361A1"/>
    <w:rsid w:val="00236236"/>
    <w:rsid w:val="0023629D"/>
    <w:rsid w:val="002362FF"/>
    <w:rsid w:val="00236670"/>
    <w:rsid w:val="00236941"/>
    <w:rsid w:val="002369DB"/>
    <w:rsid w:val="00236A2F"/>
    <w:rsid w:val="00236BBF"/>
    <w:rsid w:val="00237079"/>
    <w:rsid w:val="002370C9"/>
    <w:rsid w:val="002371C3"/>
    <w:rsid w:val="00237255"/>
    <w:rsid w:val="00237322"/>
    <w:rsid w:val="00237606"/>
    <w:rsid w:val="00237923"/>
    <w:rsid w:val="002379CA"/>
    <w:rsid w:val="00237AA8"/>
    <w:rsid w:val="00237B2A"/>
    <w:rsid w:val="00237BDC"/>
    <w:rsid w:val="00237C54"/>
    <w:rsid w:val="00237D40"/>
    <w:rsid w:val="00240006"/>
    <w:rsid w:val="00240091"/>
    <w:rsid w:val="00240113"/>
    <w:rsid w:val="0024013F"/>
    <w:rsid w:val="002401DB"/>
    <w:rsid w:val="002402DD"/>
    <w:rsid w:val="002409AC"/>
    <w:rsid w:val="00240AFF"/>
    <w:rsid w:val="00240BD8"/>
    <w:rsid w:val="00240D61"/>
    <w:rsid w:val="00240D62"/>
    <w:rsid w:val="00240E92"/>
    <w:rsid w:val="0024106B"/>
    <w:rsid w:val="00241283"/>
    <w:rsid w:val="002412EA"/>
    <w:rsid w:val="0024153F"/>
    <w:rsid w:val="002415A8"/>
    <w:rsid w:val="002415C7"/>
    <w:rsid w:val="002416CB"/>
    <w:rsid w:val="0024181E"/>
    <w:rsid w:val="0024195C"/>
    <w:rsid w:val="0024198B"/>
    <w:rsid w:val="00241A88"/>
    <w:rsid w:val="00241B1E"/>
    <w:rsid w:val="00241D8D"/>
    <w:rsid w:val="00242012"/>
    <w:rsid w:val="00242218"/>
    <w:rsid w:val="002422D0"/>
    <w:rsid w:val="0024231C"/>
    <w:rsid w:val="002424AF"/>
    <w:rsid w:val="002424B6"/>
    <w:rsid w:val="002424E7"/>
    <w:rsid w:val="002424FF"/>
    <w:rsid w:val="0024269B"/>
    <w:rsid w:val="002428D5"/>
    <w:rsid w:val="00242924"/>
    <w:rsid w:val="0024295A"/>
    <w:rsid w:val="00242B16"/>
    <w:rsid w:val="00242CFB"/>
    <w:rsid w:val="00242F78"/>
    <w:rsid w:val="002432D9"/>
    <w:rsid w:val="00243517"/>
    <w:rsid w:val="00243540"/>
    <w:rsid w:val="002438BD"/>
    <w:rsid w:val="002439DC"/>
    <w:rsid w:val="002439FB"/>
    <w:rsid w:val="00243B06"/>
    <w:rsid w:val="00243BF1"/>
    <w:rsid w:val="00243C44"/>
    <w:rsid w:val="00243CFC"/>
    <w:rsid w:val="00243E5A"/>
    <w:rsid w:val="00243E61"/>
    <w:rsid w:val="00243EF7"/>
    <w:rsid w:val="00243F99"/>
    <w:rsid w:val="00244052"/>
    <w:rsid w:val="002441D2"/>
    <w:rsid w:val="002443C4"/>
    <w:rsid w:val="00244444"/>
    <w:rsid w:val="0024468B"/>
    <w:rsid w:val="00244A4E"/>
    <w:rsid w:val="00244B3F"/>
    <w:rsid w:val="00244BA0"/>
    <w:rsid w:val="00244D9E"/>
    <w:rsid w:val="00244DC8"/>
    <w:rsid w:val="00244F53"/>
    <w:rsid w:val="00245015"/>
    <w:rsid w:val="002451C8"/>
    <w:rsid w:val="002454CD"/>
    <w:rsid w:val="00245551"/>
    <w:rsid w:val="002457FE"/>
    <w:rsid w:val="002458BA"/>
    <w:rsid w:val="00245A1C"/>
    <w:rsid w:val="00245CD1"/>
    <w:rsid w:val="00245CDD"/>
    <w:rsid w:val="00245CE9"/>
    <w:rsid w:val="002461D3"/>
    <w:rsid w:val="002462C1"/>
    <w:rsid w:val="0024636C"/>
    <w:rsid w:val="0024659A"/>
    <w:rsid w:val="0024663B"/>
    <w:rsid w:val="002467D3"/>
    <w:rsid w:val="002468C4"/>
    <w:rsid w:val="00246975"/>
    <w:rsid w:val="002469B5"/>
    <w:rsid w:val="00246A35"/>
    <w:rsid w:val="00246B52"/>
    <w:rsid w:val="00246CB2"/>
    <w:rsid w:val="00246E42"/>
    <w:rsid w:val="00246F68"/>
    <w:rsid w:val="002470A9"/>
    <w:rsid w:val="002470D6"/>
    <w:rsid w:val="00247207"/>
    <w:rsid w:val="00247259"/>
    <w:rsid w:val="002475E5"/>
    <w:rsid w:val="002476B2"/>
    <w:rsid w:val="0024781D"/>
    <w:rsid w:val="00247925"/>
    <w:rsid w:val="00247959"/>
    <w:rsid w:val="0024795C"/>
    <w:rsid w:val="002479F1"/>
    <w:rsid w:val="00247D1F"/>
    <w:rsid w:val="002501AF"/>
    <w:rsid w:val="00250366"/>
    <w:rsid w:val="0025055D"/>
    <w:rsid w:val="00250653"/>
    <w:rsid w:val="00250915"/>
    <w:rsid w:val="00250B49"/>
    <w:rsid w:val="00250BCB"/>
    <w:rsid w:val="00250BD0"/>
    <w:rsid w:val="00250C91"/>
    <w:rsid w:val="00250E9E"/>
    <w:rsid w:val="00250F82"/>
    <w:rsid w:val="00250FA8"/>
    <w:rsid w:val="00250FD3"/>
    <w:rsid w:val="00251006"/>
    <w:rsid w:val="00251196"/>
    <w:rsid w:val="00251236"/>
    <w:rsid w:val="0025130A"/>
    <w:rsid w:val="00251322"/>
    <w:rsid w:val="00251356"/>
    <w:rsid w:val="002514C7"/>
    <w:rsid w:val="0025155F"/>
    <w:rsid w:val="002516B4"/>
    <w:rsid w:val="002517E0"/>
    <w:rsid w:val="002518A7"/>
    <w:rsid w:val="002518F5"/>
    <w:rsid w:val="00251D3B"/>
    <w:rsid w:val="00251DB0"/>
    <w:rsid w:val="00251E76"/>
    <w:rsid w:val="00251F23"/>
    <w:rsid w:val="00252119"/>
    <w:rsid w:val="0025221C"/>
    <w:rsid w:val="00252370"/>
    <w:rsid w:val="00252399"/>
    <w:rsid w:val="0025243F"/>
    <w:rsid w:val="002524D5"/>
    <w:rsid w:val="002524EA"/>
    <w:rsid w:val="0025279A"/>
    <w:rsid w:val="00252871"/>
    <w:rsid w:val="0025289A"/>
    <w:rsid w:val="00252A73"/>
    <w:rsid w:val="00252A8F"/>
    <w:rsid w:val="00252BFF"/>
    <w:rsid w:val="00252C2B"/>
    <w:rsid w:val="0025312C"/>
    <w:rsid w:val="00253139"/>
    <w:rsid w:val="00253467"/>
    <w:rsid w:val="002534E9"/>
    <w:rsid w:val="002534F6"/>
    <w:rsid w:val="0025362D"/>
    <w:rsid w:val="00253885"/>
    <w:rsid w:val="00253A03"/>
    <w:rsid w:val="00253B1D"/>
    <w:rsid w:val="00253B40"/>
    <w:rsid w:val="00253D5D"/>
    <w:rsid w:val="00253E56"/>
    <w:rsid w:val="00253EFC"/>
    <w:rsid w:val="00254242"/>
    <w:rsid w:val="0025440D"/>
    <w:rsid w:val="002545F8"/>
    <w:rsid w:val="0025483D"/>
    <w:rsid w:val="00254B04"/>
    <w:rsid w:val="00254B79"/>
    <w:rsid w:val="00254C47"/>
    <w:rsid w:val="00254DCF"/>
    <w:rsid w:val="00254F54"/>
    <w:rsid w:val="002551F0"/>
    <w:rsid w:val="0025534B"/>
    <w:rsid w:val="00255362"/>
    <w:rsid w:val="0025551A"/>
    <w:rsid w:val="00255592"/>
    <w:rsid w:val="002555BB"/>
    <w:rsid w:val="00255610"/>
    <w:rsid w:val="0025582B"/>
    <w:rsid w:val="002558A0"/>
    <w:rsid w:val="002558BC"/>
    <w:rsid w:val="00255AEC"/>
    <w:rsid w:val="00255B2B"/>
    <w:rsid w:val="00255BB7"/>
    <w:rsid w:val="00255E12"/>
    <w:rsid w:val="00255E66"/>
    <w:rsid w:val="002561E7"/>
    <w:rsid w:val="0025628B"/>
    <w:rsid w:val="002562CA"/>
    <w:rsid w:val="00256328"/>
    <w:rsid w:val="002564A5"/>
    <w:rsid w:val="002564E0"/>
    <w:rsid w:val="002565B2"/>
    <w:rsid w:val="0025665C"/>
    <w:rsid w:val="00256698"/>
    <w:rsid w:val="002566BA"/>
    <w:rsid w:val="002567C4"/>
    <w:rsid w:val="002567EA"/>
    <w:rsid w:val="00256933"/>
    <w:rsid w:val="00256945"/>
    <w:rsid w:val="00256DDE"/>
    <w:rsid w:val="00256E69"/>
    <w:rsid w:val="00256E84"/>
    <w:rsid w:val="00256FE5"/>
    <w:rsid w:val="002571C3"/>
    <w:rsid w:val="002573F8"/>
    <w:rsid w:val="002574D8"/>
    <w:rsid w:val="00257541"/>
    <w:rsid w:val="00257630"/>
    <w:rsid w:val="00257785"/>
    <w:rsid w:val="002578C3"/>
    <w:rsid w:val="00257A37"/>
    <w:rsid w:val="00257A39"/>
    <w:rsid w:val="00257A4C"/>
    <w:rsid w:val="00257AC4"/>
    <w:rsid w:val="00257BBE"/>
    <w:rsid w:val="00257BD5"/>
    <w:rsid w:val="00257C48"/>
    <w:rsid w:val="00257D49"/>
    <w:rsid w:val="00257E96"/>
    <w:rsid w:val="00257EFB"/>
    <w:rsid w:val="00260168"/>
    <w:rsid w:val="0026018C"/>
    <w:rsid w:val="002605EA"/>
    <w:rsid w:val="00260634"/>
    <w:rsid w:val="002608CA"/>
    <w:rsid w:val="00260B20"/>
    <w:rsid w:val="00260D61"/>
    <w:rsid w:val="00260E28"/>
    <w:rsid w:val="00260F75"/>
    <w:rsid w:val="00260FBE"/>
    <w:rsid w:val="002610EA"/>
    <w:rsid w:val="002611F3"/>
    <w:rsid w:val="0026177C"/>
    <w:rsid w:val="0026185A"/>
    <w:rsid w:val="00261A1C"/>
    <w:rsid w:val="00261A79"/>
    <w:rsid w:val="00261B6F"/>
    <w:rsid w:val="00261BC3"/>
    <w:rsid w:val="00261BEE"/>
    <w:rsid w:val="00261BF4"/>
    <w:rsid w:val="00261C3A"/>
    <w:rsid w:val="00261EAC"/>
    <w:rsid w:val="00261EBD"/>
    <w:rsid w:val="00261EEF"/>
    <w:rsid w:val="00261F5B"/>
    <w:rsid w:val="002620AA"/>
    <w:rsid w:val="002620F5"/>
    <w:rsid w:val="0026245E"/>
    <w:rsid w:val="00262482"/>
    <w:rsid w:val="00262518"/>
    <w:rsid w:val="00262741"/>
    <w:rsid w:val="00262848"/>
    <w:rsid w:val="00262A1A"/>
    <w:rsid w:val="00262A87"/>
    <w:rsid w:val="00262BD2"/>
    <w:rsid w:val="00262C88"/>
    <w:rsid w:val="00262D0D"/>
    <w:rsid w:val="00262E1F"/>
    <w:rsid w:val="00262E84"/>
    <w:rsid w:val="00262FCF"/>
    <w:rsid w:val="002630EC"/>
    <w:rsid w:val="00263275"/>
    <w:rsid w:val="0026329D"/>
    <w:rsid w:val="002632F8"/>
    <w:rsid w:val="00263488"/>
    <w:rsid w:val="002635C6"/>
    <w:rsid w:val="0026372E"/>
    <w:rsid w:val="002637BC"/>
    <w:rsid w:val="00263AD2"/>
    <w:rsid w:val="00263B93"/>
    <w:rsid w:val="00263DF0"/>
    <w:rsid w:val="002640C5"/>
    <w:rsid w:val="00264159"/>
    <w:rsid w:val="00264219"/>
    <w:rsid w:val="002642D3"/>
    <w:rsid w:val="0026467E"/>
    <w:rsid w:val="00264787"/>
    <w:rsid w:val="002648B4"/>
    <w:rsid w:val="00264A96"/>
    <w:rsid w:val="00264B57"/>
    <w:rsid w:val="00264B82"/>
    <w:rsid w:val="00264B8C"/>
    <w:rsid w:val="00264D26"/>
    <w:rsid w:val="00264D8D"/>
    <w:rsid w:val="00264DDE"/>
    <w:rsid w:val="00265043"/>
    <w:rsid w:val="002651E6"/>
    <w:rsid w:val="0026520A"/>
    <w:rsid w:val="00265248"/>
    <w:rsid w:val="002652C4"/>
    <w:rsid w:val="00265440"/>
    <w:rsid w:val="00265547"/>
    <w:rsid w:val="00265658"/>
    <w:rsid w:val="002657B4"/>
    <w:rsid w:val="00265808"/>
    <w:rsid w:val="00265865"/>
    <w:rsid w:val="0026593B"/>
    <w:rsid w:val="002659A8"/>
    <w:rsid w:val="002659C0"/>
    <w:rsid w:val="002659D2"/>
    <w:rsid w:val="00265B58"/>
    <w:rsid w:val="00265BB2"/>
    <w:rsid w:val="00265D74"/>
    <w:rsid w:val="00265DB1"/>
    <w:rsid w:val="00265EE1"/>
    <w:rsid w:val="00265F1F"/>
    <w:rsid w:val="00265F6B"/>
    <w:rsid w:val="00265FE2"/>
    <w:rsid w:val="0026600A"/>
    <w:rsid w:val="002660A3"/>
    <w:rsid w:val="002660AF"/>
    <w:rsid w:val="002660CC"/>
    <w:rsid w:val="00266101"/>
    <w:rsid w:val="0026616E"/>
    <w:rsid w:val="0026632D"/>
    <w:rsid w:val="00266394"/>
    <w:rsid w:val="00266463"/>
    <w:rsid w:val="00266584"/>
    <w:rsid w:val="002665F4"/>
    <w:rsid w:val="002667E4"/>
    <w:rsid w:val="00266935"/>
    <w:rsid w:val="00266B5D"/>
    <w:rsid w:val="00266F20"/>
    <w:rsid w:val="00267103"/>
    <w:rsid w:val="002671EC"/>
    <w:rsid w:val="00267264"/>
    <w:rsid w:val="002672DE"/>
    <w:rsid w:val="00267344"/>
    <w:rsid w:val="0026735D"/>
    <w:rsid w:val="002675A0"/>
    <w:rsid w:val="00267642"/>
    <w:rsid w:val="00267747"/>
    <w:rsid w:val="00267753"/>
    <w:rsid w:val="00267795"/>
    <w:rsid w:val="0026780F"/>
    <w:rsid w:val="00267903"/>
    <w:rsid w:val="002679D0"/>
    <w:rsid w:val="00267A56"/>
    <w:rsid w:val="00267AA0"/>
    <w:rsid w:val="00267AEA"/>
    <w:rsid w:val="00267BA0"/>
    <w:rsid w:val="00267BEF"/>
    <w:rsid w:val="00267E9C"/>
    <w:rsid w:val="002700E6"/>
    <w:rsid w:val="0027018B"/>
    <w:rsid w:val="002701A3"/>
    <w:rsid w:val="002704D1"/>
    <w:rsid w:val="002709B4"/>
    <w:rsid w:val="002709B7"/>
    <w:rsid w:val="002709D9"/>
    <w:rsid w:val="002709FC"/>
    <w:rsid w:val="00270A64"/>
    <w:rsid w:val="00270A90"/>
    <w:rsid w:val="00270F1F"/>
    <w:rsid w:val="00271177"/>
    <w:rsid w:val="00271196"/>
    <w:rsid w:val="002712D8"/>
    <w:rsid w:val="002716A3"/>
    <w:rsid w:val="00271D4E"/>
    <w:rsid w:val="00271E00"/>
    <w:rsid w:val="0027207A"/>
    <w:rsid w:val="00272135"/>
    <w:rsid w:val="00272318"/>
    <w:rsid w:val="0027269A"/>
    <w:rsid w:val="002726FB"/>
    <w:rsid w:val="0027270B"/>
    <w:rsid w:val="0027294B"/>
    <w:rsid w:val="0027294F"/>
    <w:rsid w:val="00272BF1"/>
    <w:rsid w:val="00272CC6"/>
    <w:rsid w:val="00272D5A"/>
    <w:rsid w:val="00272E25"/>
    <w:rsid w:val="00272EB7"/>
    <w:rsid w:val="002730C6"/>
    <w:rsid w:val="0027310C"/>
    <w:rsid w:val="00273128"/>
    <w:rsid w:val="00273215"/>
    <w:rsid w:val="002733B8"/>
    <w:rsid w:val="0027352E"/>
    <w:rsid w:val="0027357B"/>
    <w:rsid w:val="002735B0"/>
    <w:rsid w:val="00273674"/>
    <w:rsid w:val="002737E1"/>
    <w:rsid w:val="0027393E"/>
    <w:rsid w:val="00273BEC"/>
    <w:rsid w:val="00273D6B"/>
    <w:rsid w:val="00273EB4"/>
    <w:rsid w:val="00273EB7"/>
    <w:rsid w:val="00274157"/>
    <w:rsid w:val="002741B9"/>
    <w:rsid w:val="0027431F"/>
    <w:rsid w:val="0027452B"/>
    <w:rsid w:val="00274585"/>
    <w:rsid w:val="00274682"/>
    <w:rsid w:val="00274722"/>
    <w:rsid w:val="00274A06"/>
    <w:rsid w:val="00274A95"/>
    <w:rsid w:val="00274E32"/>
    <w:rsid w:val="00274ECD"/>
    <w:rsid w:val="00275158"/>
    <w:rsid w:val="00275270"/>
    <w:rsid w:val="002752F1"/>
    <w:rsid w:val="00275411"/>
    <w:rsid w:val="0027543C"/>
    <w:rsid w:val="00275453"/>
    <w:rsid w:val="002754D5"/>
    <w:rsid w:val="00275866"/>
    <w:rsid w:val="002758C2"/>
    <w:rsid w:val="002759D4"/>
    <w:rsid w:val="00275B76"/>
    <w:rsid w:val="00275C5A"/>
    <w:rsid w:val="00275E79"/>
    <w:rsid w:val="0027642C"/>
    <w:rsid w:val="00276433"/>
    <w:rsid w:val="002764C6"/>
    <w:rsid w:val="002766B7"/>
    <w:rsid w:val="002766BC"/>
    <w:rsid w:val="0027678B"/>
    <w:rsid w:val="002767C7"/>
    <w:rsid w:val="00276A35"/>
    <w:rsid w:val="00276B1F"/>
    <w:rsid w:val="00276B83"/>
    <w:rsid w:val="00276CFF"/>
    <w:rsid w:val="00276D6D"/>
    <w:rsid w:val="00276DC7"/>
    <w:rsid w:val="00276E29"/>
    <w:rsid w:val="00276F17"/>
    <w:rsid w:val="00276F35"/>
    <w:rsid w:val="00276F9E"/>
    <w:rsid w:val="00277066"/>
    <w:rsid w:val="002774DC"/>
    <w:rsid w:val="00277544"/>
    <w:rsid w:val="0027766D"/>
    <w:rsid w:val="0027776F"/>
    <w:rsid w:val="002777F7"/>
    <w:rsid w:val="00277ABE"/>
    <w:rsid w:val="00277D6A"/>
    <w:rsid w:val="00277D89"/>
    <w:rsid w:val="00277E6C"/>
    <w:rsid w:val="00277EB3"/>
    <w:rsid w:val="00280312"/>
    <w:rsid w:val="00280574"/>
    <w:rsid w:val="002806DA"/>
    <w:rsid w:val="00280ADF"/>
    <w:rsid w:val="00280C27"/>
    <w:rsid w:val="00280F2A"/>
    <w:rsid w:val="00281014"/>
    <w:rsid w:val="0028104F"/>
    <w:rsid w:val="00281255"/>
    <w:rsid w:val="0028131F"/>
    <w:rsid w:val="002814A9"/>
    <w:rsid w:val="002815DF"/>
    <w:rsid w:val="00281643"/>
    <w:rsid w:val="00281648"/>
    <w:rsid w:val="002817DA"/>
    <w:rsid w:val="00281915"/>
    <w:rsid w:val="002819D2"/>
    <w:rsid w:val="00281A80"/>
    <w:rsid w:val="00281B2A"/>
    <w:rsid w:val="00281C7B"/>
    <w:rsid w:val="00281DD3"/>
    <w:rsid w:val="00282042"/>
    <w:rsid w:val="00282145"/>
    <w:rsid w:val="0028214A"/>
    <w:rsid w:val="0028250B"/>
    <w:rsid w:val="00282582"/>
    <w:rsid w:val="00282726"/>
    <w:rsid w:val="00282858"/>
    <w:rsid w:val="0028298F"/>
    <w:rsid w:val="002829D6"/>
    <w:rsid w:val="00282B54"/>
    <w:rsid w:val="00282DEC"/>
    <w:rsid w:val="00282ED8"/>
    <w:rsid w:val="00282FBC"/>
    <w:rsid w:val="0028310D"/>
    <w:rsid w:val="00283121"/>
    <w:rsid w:val="00283289"/>
    <w:rsid w:val="002836CD"/>
    <w:rsid w:val="002836EF"/>
    <w:rsid w:val="002837DA"/>
    <w:rsid w:val="002838FA"/>
    <w:rsid w:val="0028391B"/>
    <w:rsid w:val="00283B8E"/>
    <w:rsid w:val="00283BDA"/>
    <w:rsid w:val="00283C5E"/>
    <w:rsid w:val="00283DD5"/>
    <w:rsid w:val="0028408D"/>
    <w:rsid w:val="002840FB"/>
    <w:rsid w:val="002841D4"/>
    <w:rsid w:val="0028422C"/>
    <w:rsid w:val="00284358"/>
    <w:rsid w:val="0028442E"/>
    <w:rsid w:val="00284799"/>
    <w:rsid w:val="0028489B"/>
    <w:rsid w:val="002849D5"/>
    <w:rsid w:val="00284A2C"/>
    <w:rsid w:val="00284B81"/>
    <w:rsid w:val="00284F60"/>
    <w:rsid w:val="00285567"/>
    <w:rsid w:val="00285626"/>
    <w:rsid w:val="00285645"/>
    <w:rsid w:val="002856AB"/>
    <w:rsid w:val="002859E6"/>
    <w:rsid w:val="00285A78"/>
    <w:rsid w:val="00285B46"/>
    <w:rsid w:val="00285BCE"/>
    <w:rsid w:val="00285ECC"/>
    <w:rsid w:val="00285F28"/>
    <w:rsid w:val="00285FB7"/>
    <w:rsid w:val="002861DF"/>
    <w:rsid w:val="00286464"/>
    <w:rsid w:val="002864B2"/>
    <w:rsid w:val="0028659D"/>
    <w:rsid w:val="00286647"/>
    <w:rsid w:val="0028665D"/>
    <w:rsid w:val="002866A7"/>
    <w:rsid w:val="002867F8"/>
    <w:rsid w:val="0028688F"/>
    <w:rsid w:val="00286A6F"/>
    <w:rsid w:val="00286B84"/>
    <w:rsid w:val="00286DD9"/>
    <w:rsid w:val="00286EB8"/>
    <w:rsid w:val="00287000"/>
    <w:rsid w:val="002873D9"/>
    <w:rsid w:val="0028750A"/>
    <w:rsid w:val="00287858"/>
    <w:rsid w:val="00287D24"/>
    <w:rsid w:val="00287DEE"/>
    <w:rsid w:val="00287E78"/>
    <w:rsid w:val="00287E7F"/>
    <w:rsid w:val="00287F25"/>
    <w:rsid w:val="00287F90"/>
    <w:rsid w:val="00287FDA"/>
    <w:rsid w:val="00290320"/>
    <w:rsid w:val="00290445"/>
    <w:rsid w:val="0029050A"/>
    <w:rsid w:val="002905FA"/>
    <w:rsid w:val="002907A5"/>
    <w:rsid w:val="00290881"/>
    <w:rsid w:val="00290969"/>
    <w:rsid w:val="00290AA0"/>
    <w:rsid w:val="00290B5F"/>
    <w:rsid w:val="00290BA4"/>
    <w:rsid w:val="00290DD7"/>
    <w:rsid w:val="00290E94"/>
    <w:rsid w:val="00291277"/>
    <w:rsid w:val="002912F7"/>
    <w:rsid w:val="0029132F"/>
    <w:rsid w:val="00291355"/>
    <w:rsid w:val="0029140E"/>
    <w:rsid w:val="002914C0"/>
    <w:rsid w:val="002915EF"/>
    <w:rsid w:val="0029181C"/>
    <w:rsid w:val="002919D0"/>
    <w:rsid w:val="00291A7F"/>
    <w:rsid w:val="00291B57"/>
    <w:rsid w:val="00291BD4"/>
    <w:rsid w:val="00292026"/>
    <w:rsid w:val="0029215D"/>
    <w:rsid w:val="00292260"/>
    <w:rsid w:val="00292268"/>
    <w:rsid w:val="00292298"/>
    <w:rsid w:val="002923B2"/>
    <w:rsid w:val="00292463"/>
    <w:rsid w:val="002924F9"/>
    <w:rsid w:val="0029252E"/>
    <w:rsid w:val="00292691"/>
    <w:rsid w:val="002926E5"/>
    <w:rsid w:val="002926EA"/>
    <w:rsid w:val="00292B0A"/>
    <w:rsid w:val="00292C04"/>
    <w:rsid w:val="00292C80"/>
    <w:rsid w:val="00292CC3"/>
    <w:rsid w:val="00292F18"/>
    <w:rsid w:val="00292FA7"/>
    <w:rsid w:val="0029302F"/>
    <w:rsid w:val="00293095"/>
    <w:rsid w:val="00293129"/>
    <w:rsid w:val="00293139"/>
    <w:rsid w:val="002932C4"/>
    <w:rsid w:val="0029336B"/>
    <w:rsid w:val="00293595"/>
    <w:rsid w:val="002936D5"/>
    <w:rsid w:val="002936F0"/>
    <w:rsid w:val="0029374A"/>
    <w:rsid w:val="002939A8"/>
    <w:rsid w:val="00293BEC"/>
    <w:rsid w:val="00293C19"/>
    <w:rsid w:val="00293E67"/>
    <w:rsid w:val="00293EEC"/>
    <w:rsid w:val="00293F67"/>
    <w:rsid w:val="00293F80"/>
    <w:rsid w:val="00293F9C"/>
    <w:rsid w:val="00294025"/>
    <w:rsid w:val="0029408E"/>
    <w:rsid w:val="002940ED"/>
    <w:rsid w:val="002943A8"/>
    <w:rsid w:val="0029444E"/>
    <w:rsid w:val="00294653"/>
    <w:rsid w:val="00294916"/>
    <w:rsid w:val="00294964"/>
    <w:rsid w:val="00294B44"/>
    <w:rsid w:val="00294D0B"/>
    <w:rsid w:val="00294DB0"/>
    <w:rsid w:val="00294E12"/>
    <w:rsid w:val="00294E24"/>
    <w:rsid w:val="00294FDC"/>
    <w:rsid w:val="00295196"/>
    <w:rsid w:val="0029520E"/>
    <w:rsid w:val="002952E7"/>
    <w:rsid w:val="0029549B"/>
    <w:rsid w:val="002954C4"/>
    <w:rsid w:val="00295567"/>
    <w:rsid w:val="0029582F"/>
    <w:rsid w:val="002959B4"/>
    <w:rsid w:val="00295A44"/>
    <w:rsid w:val="00295A82"/>
    <w:rsid w:val="00295AEF"/>
    <w:rsid w:val="00295B85"/>
    <w:rsid w:val="00295BE1"/>
    <w:rsid w:val="00295C65"/>
    <w:rsid w:val="00295C90"/>
    <w:rsid w:val="00295C94"/>
    <w:rsid w:val="00295DB6"/>
    <w:rsid w:val="00295DC5"/>
    <w:rsid w:val="00295E56"/>
    <w:rsid w:val="0029615E"/>
    <w:rsid w:val="0029620A"/>
    <w:rsid w:val="002962E6"/>
    <w:rsid w:val="0029678C"/>
    <w:rsid w:val="00296871"/>
    <w:rsid w:val="00296A80"/>
    <w:rsid w:val="00296BC5"/>
    <w:rsid w:val="002972CB"/>
    <w:rsid w:val="00297444"/>
    <w:rsid w:val="00297496"/>
    <w:rsid w:val="002974B9"/>
    <w:rsid w:val="0029754D"/>
    <w:rsid w:val="002976D0"/>
    <w:rsid w:val="00297892"/>
    <w:rsid w:val="002978FE"/>
    <w:rsid w:val="00297A1E"/>
    <w:rsid w:val="00297BE8"/>
    <w:rsid w:val="00297E7A"/>
    <w:rsid w:val="002A0095"/>
    <w:rsid w:val="002A03E2"/>
    <w:rsid w:val="002A0451"/>
    <w:rsid w:val="002A04AA"/>
    <w:rsid w:val="002A04C1"/>
    <w:rsid w:val="002A0580"/>
    <w:rsid w:val="002A05CE"/>
    <w:rsid w:val="002A0881"/>
    <w:rsid w:val="002A0A5D"/>
    <w:rsid w:val="002A0CCC"/>
    <w:rsid w:val="002A0E91"/>
    <w:rsid w:val="002A113A"/>
    <w:rsid w:val="002A115D"/>
    <w:rsid w:val="002A123D"/>
    <w:rsid w:val="002A12E5"/>
    <w:rsid w:val="002A14AB"/>
    <w:rsid w:val="002A1590"/>
    <w:rsid w:val="002A1826"/>
    <w:rsid w:val="002A1ABF"/>
    <w:rsid w:val="002A1C3F"/>
    <w:rsid w:val="002A1C6A"/>
    <w:rsid w:val="002A1CEE"/>
    <w:rsid w:val="002A1D6F"/>
    <w:rsid w:val="002A1DC1"/>
    <w:rsid w:val="002A2021"/>
    <w:rsid w:val="002A215F"/>
    <w:rsid w:val="002A216D"/>
    <w:rsid w:val="002A230D"/>
    <w:rsid w:val="002A238E"/>
    <w:rsid w:val="002A23B8"/>
    <w:rsid w:val="002A2667"/>
    <w:rsid w:val="002A29C3"/>
    <w:rsid w:val="002A29D8"/>
    <w:rsid w:val="002A2ADE"/>
    <w:rsid w:val="002A2C73"/>
    <w:rsid w:val="002A2E39"/>
    <w:rsid w:val="002A2EFF"/>
    <w:rsid w:val="002A2F50"/>
    <w:rsid w:val="002A302E"/>
    <w:rsid w:val="002A3133"/>
    <w:rsid w:val="002A333D"/>
    <w:rsid w:val="002A333F"/>
    <w:rsid w:val="002A361D"/>
    <w:rsid w:val="002A3821"/>
    <w:rsid w:val="002A38E2"/>
    <w:rsid w:val="002A3C4B"/>
    <w:rsid w:val="002A3C56"/>
    <w:rsid w:val="002A3CF2"/>
    <w:rsid w:val="002A3D10"/>
    <w:rsid w:val="002A3E25"/>
    <w:rsid w:val="002A409C"/>
    <w:rsid w:val="002A43C1"/>
    <w:rsid w:val="002A444F"/>
    <w:rsid w:val="002A4533"/>
    <w:rsid w:val="002A4656"/>
    <w:rsid w:val="002A48B7"/>
    <w:rsid w:val="002A49C1"/>
    <w:rsid w:val="002A4BD8"/>
    <w:rsid w:val="002A4C04"/>
    <w:rsid w:val="002A4CBE"/>
    <w:rsid w:val="002A4E3D"/>
    <w:rsid w:val="002A511F"/>
    <w:rsid w:val="002A5262"/>
    <w:rsid w:val="002A52EE"/>
    <w:rsid w:val="002A552E"/>
    <w:rsid w:val="002A56A3"/>
    <w:rsid w:val="002A5708"/>
    <w:rsid w:val="002A59B6"/>
    <w:rsid w:val="002A5B44"/>
    <w:rsid w:val="002A5C3C"/>
    <w:rsid w:val="002A5C57"/>
    <w:rsid w:val="002A5D61"/>
    <w:rsid w:val="002A5D79"/>
    <w:rsid w:val="002A600C"/>
    <w:rsid w:val="002A611E"/>
    <w:rsid w:val="002A625E"/>
    <w:rsid w:val="002A6600"/>
    <w:rsid w:val="002A665C"/>
    <w:rsid w:val="002A66FC"/>
    <w:rsid w:val="002A6A7A"/>
    <w:rsid w:val="002A6AC6"/>
    <w:rsid w:val="002A6B49"/>
    <w:rsid w:val="002A6D7F"/>
    <w:rsid w:val="002A7057"/>
    <w:rsid w:val="002A70F4"/>
    <w:rsid w:val="002A725F"/>
    <w:rsid w:val="002A7311"/>
    <w:rsid w:val="002A7366"/>
    <w:rsid w:val="002A7385"/>
    <w:rsid w:val="002A73EF"/>
    <w:rsid w:val="002A74DC"/>
    <w:rsid w:val="002A76E1"/>
    <w:rsid w:val="002A76F4"/>
    <w:rsid w:val="002A7910"/>
    <w:rsid w:val="002A7943"/>
    <w:rsid w:val="002A79BE"/>
    <w:rsid w:val="002A7C88"/>
    <w:rsid w:val="002B024B"/>
    <w:rsid w:val="002B05A1"/>
    <w:rsid w:val="002B0658"/>
    <w:rsid w:val="002B069A"/>
    <w:rsid w:val="002B07A7"/>
    <w:rsid w:val="002B0849"/>
    <w:rsid w:val="002B0968"/>
    <w:rsid w:val="002B09A4"/>
    <w:rsid w:val="002B0A55"/>
    <w:rsid w:val="002B0A75"/>
    <w:rsid w:val="002B0A84"/>
    <w:rsid w:val="002B0AF4"/>
    <w:rsid w:val="002B0C0F"/>
    <w:rsid w:val="002B0C73"/>
    <w:rsid w:val="002B0D16"/>
    <w:rsid w:val="002B0D26"/>
    <w:rsid w:val="002B0D32"/>
    <w:rsid w:val="002B0D53"/>
    <w:rsid w:val="002B0EE6"/>
    <w:rsid w:val="002B0EEE"/>
    <w:rsid w:val="002B13BA"/>
    <w:rsid w:val="002B15BA"/>
    <w:rsid w:val="002B163D"/>
    <w:rsid w:val="002B195C"/>
    <w:rsid w:val="002B1B21"/>
    <w:rsid w:val="002B1C1F"/>
    <w:rsid w:val="002B1CDD"/>
    <w:rsid w:val="002B1CE5"/>
    <w:rsid w:val="002B1F6E"/>
    <w:rsid w:val="002B21AD"/>
    <w:rsid w:val="002B21C0"/>
    <w:rsid w:val="002B2414"/>
    <w:rsid w:val="002B2426"/>
    <w:rsid w:val="002B2630"/>
    <w:rsid w:val="002B2775"/>
    <w:rsid w:val="002B27D8"/>
    <w:rsid w:val="002B2BEF"/>
    <w:rsid w:val="002B2DC2"/>
    <w:rsid w:val="002B2FDB"/>
    <w:rsid w:val="002B302C"/>
    <w:rsid w:val="002B3102"/>
    <w:rsid w:val="002B3168"/>
    <w:rsid w:val="002B3304"/>
    <w:rsid w:val="002B3364"/>
    <w:rsid w:val="002B35BE"/>
    <w:rsid w:val="002B35CC"/>
    <w:rsid w:val="002B386E"/>
    <w:rsid w:val="002B38F1"/>
    <w:rsid w:val="002B39A0"/>
    <w:rsid w:val="002B3ABF"/>
    <w:rsid w:val="002B3B33"/>
    <w:rsid w:val="002B3EF6"/>
    <w:rsid w:val="002B3F4D"/>
    <w:rsid w:val="002B400B"/>
    <w:rsid w:val="002B40B4"/>
    <w:rsid w:val="002B40D2"/>
    <w:rsid w:val="002B4200"/>
    <w:rsid w:val="002B422F"/>
    <w:rsid w:val="002B424F"/>
    <w:rsid w:val="002B432F"/>
    <w:rsid w:val="002B4512"/>
    <w:rsid w:val="002B4588"/>
    <w:rsid w:val="002B47F3"/>
    <w:rsid w:val="002B4882"/>
    <w:rsid w:val="002B4A27"/>
    <w:rsid w:val="002B4A74"/>
    <w:rsid w:val="002B4A79"/>
    <w:rsid w:val="002B4ACE"/>
    <w:rsid w:val="002B4D29"/>
    <w:rsid w:val="002B4DF3"/>
    <w:rsid w:val="002B4FAE"/>
    <w:rsid w:val="002B4FB7"/>
    <w:rsid w:val="002B5151"/>
    <w:rsid w:val="002B541D"/>
    <w:rsid w:val="002B562E"/>
    <w:rsid w:val="002B5670"/>
    <w:rsid w:val="002B5D12"/>
    <w:rsid w:val="002B5EAF"/>
    <w:rsid w:val="002B5EB0"/>
    <w:rsid w:val="002B5ED4"/>
    <w:rsid w:val="002B5F88"/>
    <w:rsid w:val="002B5FDF"/>
    <w:rsid w:val="002B600B"/>
    <w:rsid w:val="002B603E"/>
    <w:rsid w:val="002B60BB"/>
    <w:rsid w:val="002B62B3"/>
    <w:rsid w:val="002B6500"/>
    <w:rsid w:val="002B6545"/>
    <w:rsid w:val="002B6672"/>
    <w:rsid w:val="002B6705"/>
    <w:rsid w:val="002B6754"/>
    <w:rsid w:val="002B69D0"/>
    <w:rsid w:val="002B6ADB"/>
    <w:rsid w:val="002B6B48"/>
    <w:rsid w:val="002B6B84"/>
    <w:rsid w:val="002B6BCC"/>
    <w:rsid w:val="002B6C3B"/>
    <w:rsid w:val="002B6CCE"/>
    <w:rsid w:val="002B6E60"/>
    <w:rsid w:val="002B6F54"/>
    <w:rsid w:val="002B70E7"/>
    <w:rsid w:val="002B71CB"/>
    <w:rsid w:val="002B74A7"/>
    <w:rsid w:val="002B7717"/>
    <w:rsid w:val="002B77E4"/>
    <w:rsid w:val="002B78AE"/>
    <w:rsid w:val="002B78FD"/>
    <w:rsid w:val="002B7B1D"/>
    <w:rsid w:val="002B7BA4"/>
    <w:rsid w:val="002B7CB1"/>
    <w:rsid w:val="002B7E4D"/>
    <w:rsid w:val="002B7F10"/>
    <w:rsid w:val="002B7F93"/>
    <w:rsid w:val="002C006B"/>
    <w:rsid w:val="002C01F4"/>
    <w:rsid w:val="002C027B"/>
    <w:rsid w:val="002C043E"/>
    <w:rsid w:val="002C044E"/>
    <w:rsid w:val="002C077C"/>
    <w:rsid w:val="002C0866"/>
    <w:rsid w:val="002C08C1"/>
    <w:rsid w:val="002C08FD"/>
    <w:rsid w:val="002C098F"/>
    <w:rsid w:val="002C09F5"/>
    <w:rsid w:val="002C0B32"/>
    <w:rsid w:val="002C0B4E"/>
    <w:rsid w:val="002C0BDD"/>
    <w:rsid w:val="002C0E14"/>
    <w:rsid w:val="002C0E55"/>
    <w:rsid w:val="002C1099"/>
    <w:rsid w:val="002C10C3"/>
    <w:rsid w:val="002C1120"/>
    <w:rsid w:val="002C127E"/>
    <w:rsid w:val="002C15C9"/>
    <w:rsid w:val="002C1912"/>
    <w:rsid w:val="002C199C"/>
    <w:rsid w:val="002C1A88"/>
    <w:rsid w:val="002C1CDD"/>
    <w:rsid w:val="002C1D4E"/>
    <w:rsid w:val="002C1F5E"/>
    <w:rsid w:val="002C1F8F"/>
    <w:rsid w:val="002C1FD8"/>
    <w:rsid w:val="002C2137"/>
    <w:rsid w:val="002C2322"/>
    <w:rsid w:val="002C23C2"/>
    <w:rsid w:val="002C244E"/>
    <w:rsid w:val="002C24D9"/>
    <w:rsid w:val="002C2510"/>
    <w:rsid w:val="002C2775"/>
    <w:rsid w:val="002C27C1"/>
    <w:rsid w:val="002C29B3"/>
    <w:rsid w:val="002C2A48"/>
    <w:rsid w:val="002C2CED"/>
    <w:rsid w:val="002C2E2C"/>
    <w:rsid w:val="002C2E58"/>
    <w:rsid w:val="002C2E6B"/>
    <w:rsid w:val="002C2EE4"/>
    <w:rsid w:val="002C2F0A"/>
    <w:rsid w:val="002C2FD6"/>
    <w:rsid w:val="002C329B"/>
    <w:rsid w:val="002C3572"/>
    <w:rsid w:val="002C36E3"/>
    <w:rsid w:val="002C391B"/>
    <w:rsid w:val="002C39C1"/>
    <w:rsid w:val="002C39DD"/>
    <w:rsid w:val="002C3BCD"/>
    <w:rsid w:val="002C43D5"/>
    <w:rsid w:val="002C4613"/>
    <w:rsid w:val="002C4938"/>
    <w:rsid w:val="002C4A9E"/>
    <w:rsid w:val="002C5099"/>
    <w:rsid w:val="002C50A2"/>
    <w:rsid w:val="002C5154"/>
    <w:rsid w:val="002C517B"/>
    <w:rsid w:val="002C52E9"/>
    <w:rsid w:val="002C5376"/>
    <w:rsid w:val="002C54E2"/>
    <w:rsid w:val="002C576A"/>
    <w:rsid w:val="002C57DB"/>
    <w:rsid w:val="002C5889"/>
    <w:rsid w:val="002C595F"/>
    <w:rsid w:val="002C5BEC"/>
    <w:rsid w:val="002C5D98"/>
    <w:rsid w:val="002C5DCA"/>
    <w:rsid w:val="002C5FE6"/>
    <w:rsid w:val="002C6044"/>
    <w:rsid w:val="002C6072"/>
    <w:rsid w:val="002C607E"/>
    <w:rsid w:val="002C6135"/>
    <w:rsid w:val="002C6179"/>
    <w:rsid w:val="002C61D9"/>
    <w:rsid w:val="002C622F"/>
    <w:rsid w:val="002C63DC"/>
    <w:rsid w:val="002C6534"/>
    <w:rsid w:val="002C667A"/>
    <w:rsid w:val="002C6AB7"/>
    <w:rsid w:val="002C6AED"/>
    <w:rsid w:val="002C6C0B"/>
    <w:rsid w:val="002C6CDB"/>
    <w:rsid w:val="002C6D5D"/>
    <w:rsid w:val="002C6E6C"/>
    <w:rsid w:val="002C6F09"/>
    <w:rsid w:val="002C7040"/>
    <w:rsid w:val="002C716D"/>
    <w:rsid w:val="002C71CE"/>
    <w:rsid w:val="002C728C"/>
    <w:rsid w:val="002C72A7"/>
    <w:rsid w:val="002C7410"/>
    <w:rsid w:val="002C7566"/>
    <w:rsid w:val="002C76FF"/>
    <w:rsid w:val="002C7767"/>
    <w:rsid w:val="002C78E1"/>
    <w:rsid w:val="002C796A"/>
    <w:rsid w:val="002C79C7"/>
    <w:rsid w:val="002C7AC9"/>
    <w:rsid w:val="002C7AE5"/>
    <w:rsid w:val="002C7CF1"/>
    <w:rsid w:val="002D00B6"/>
    <w:rsid w:val="002D01E8"/>
    <w:rsid w:val="002D0427"/>
    <w:rsid w:val="002D042F"/>
    <w:rsid w:val="002D0543"/>
    <w:rsid w:val="002D06A3"/>
    <w:rsid w:val="002D0742"/>
    <w:rsid w:val="002D0861"/>
    <w:rsid w:val="002D08F8"/>
    <w:rsid w:val="002D0948"/>
    <w:rsid w:val="002D0964"/>
    <w:rsid w:val="002D0B47"/>
    <w:rsid w:val="002D0C99"/>
    <w:rsid w:val="002D0E1C"/>
    <w:rsid w:val="002D0E82"/>
    <w:rsid w:val="002D0EE0"/>
    <w:rsid w:val="002D0EEC"/>
    <w:rsid w:val="002D1160"/>
    <w:rsid w:val="002D123A"/>
    <w:rsid w:val="002D1358"/>
    <w:rsid w:val="002D1458"/>
    <w:rsid w:val="002D155D"/>
    <w:rsid w:val="002D1A68"/>
    <w:rsid w:val="002D1A9C"/>
    <w:rsid w:val="002D1E4C"/>
    <w:rsid w:val="002D1EFA"/>
    <w:rsid w:val="002D2004"/>
    <w:rsid w:val="002D20A2"/>
    <w:rsid w:val="002D20A4"/>
    <w:rsid w:val="002D21A3"/>
    <w:rsid w:val="002D2250"/>
    <w:rsid w:val="002D22CD"/>
    <w:rsid w:val="002D23B4"/>
    <w:rsid w:val="002D23EF"/>
    <w:rsid w:val="002D25EE"/>
    <w:rsid w:val="002D2630"/>
    <w:rsid w:val="002D26E5"/>
    <w:rsid w:val="002D2767"/>
    <w:rsid w:val="002D27A2"/>
    <w:rsid w:val="002D285C"/>
    <w:rsid w:val="002D28FA"/>
    <w:rsid w:val="002D2A64"/>
    <w:rsid w:val="002D2C20"/>
    <w:rsid w:val="002D2C8B"/>
    <w:rsid w:val="002D2F96"/>
    <w:rsid w:val="002D3069"/>
    <w:rsid w:val="002D321F"/>
    <w:rsid w:val="002D3316"/>
    <w:rsid w:val="002D352E"/>
    <w:rsid w:val="002D36F3"/>
    <w:rsid w:val="002D3751"/>
    <w:rsid w:val="002D394A"/>
    <w:rsid w:val="002D3BA0"/>
    <w:rsid w:val="002D3DD7"/>
    <w:rsid w:val="002D3E1D"/>
    <w:rsid w:val="002D3ECF"/>
    <w:rsid w:val="002D3F29"/>
    <w:rsid w:val="002D40A9"/>
    <w:rsid w:val="002D4125"/>
    <w:rsid w:val="002D4269"/>
    <w:rsid w:val="002D4367"/>
    <w:rsid w:val="002D4450"/>
    <w:rsid w:val="002D44D9"/>
    <w:rsid w:val="002D45BB"/>
    <w:rsid w:val="002D4606"/>
    <w:rsid w:val="002D46C8"/>
    <w:rsid w:val="002D4911"/>
    <w:rsid w:val="002D491D"/>
    <w:rsid w:val="002D49ED"/>
    <w:rsid w:val="002D4A34"/>
    <w:rsid w:val="002D4A81"/>
    <w:rsid w:val="002D4CEB"/>
    <w:rsid w:val="002D4CF7"/>
    <w:rsid w:val="002D4E64"/>
    <w:rsid w:val="002D4EA1"/>
    <w:rsid w:val="002D5314"/>
    <w:rsid w:val="002D53D8"/>
    <w:rsid w:val="002D5512"/>
    <w:rsid w:val="002D553A"/>
    <w:rsid w:val="002D559D"/>
    <w:rsid w:val="002D577C"/>
    <w:rsid w:val="002D579D"/>
    <w:rsid w:val="002D586B"/>
    <w:rsid w:val="002D58FA"/>
    <w:rsid w:val="002D597F"/>
    <w:rsid w:val="002D59CB"/>
    <w:rsid w:val="002D5D1B"/>
    <w:rsid w:val="002D5D5E"/>
    <w:rsid w:val="002D5DED"/>
    <w:rsid w:val="002D5EC5"/>
    <w:rsid w:val="002D5F09"/>
    <w:rsid w:val="002D5F4D"/>
    <w:rsid w:val="002D5FAC"/>
    <w:rsid w:val="002D6183"/>
    <w:rsid w:val="002D62D7"/>
    <w:rsid w:val="002D6340"/>
    <w:rsid w:val="002D6403"/>
    <w:rsid w:val="002D6679"/>
    <w:rsid w:val="002D67DE"/>
    <w:rsid w:val="002D6AFD"/>
    <w:rsid w:val="002D6C9F"/>
    <w:rsid w:val="002D6CBF"/>
    <w:rsid w:val="002D6CD1"/>
    <w:rsid w:val="002D6DF5"/>
    <w:rsid w:val="002D6E3F"/>
    <w:rsid w:val="002D6FD4"/>
    <w:rsid w:val="002D701D"/>
    <w:rsid w:val="002D70E1"/>
    <w:rsid w:val="002D73F3"/>
    <w:rsid w:val="002D7406"/>
    <w:rsid w:val="002D7608"/>
    <w:rsid w:val="002D76FC"/>
    <w:rsid w:val="002D7743"/>
    <w:rsid w:val="002D7832"/>
    <w:rsid w:val="002D7858"/>
    <w:rsid w:val="002D78B4"/>
    <w:rsid w:val="002D79D3"/>
    <w:rsid w:val="002D7BC3"/>
    <w:rsid w:val="002D7BD3"/>
    <w:rsid w:val="002D7E75"/>
    <w:rsid w:val="002D7FA2"/>
    <w:rsid w:val="002E01F0"/>
    <w:rsid w:val="002E03AA"/>
    <w:rsid w:val="002E0691"/>
    <w:rsid w:val="002E07CB"/>
    <w:rsid w:val="002E09BD"/>
    <w:rsid w:val="002E0A77"/>
    <w:rsid w:val="002E0A97"/>
    <w:rsid w:val="002E0AC0"/>
    <w:rsid w:val="002E0BC8"/>
    <w:rsid w:val="002E0CB3"/>
    <w:rsid w:val="002E0D8E"/>
    <w:rsid w:val="002E0E90"/>
    <w:rsid w:val="002E1071"/>
    <w:rsid w:val="002E1101"/>
    <w:rsid w:val="002E117D"/>
    <w:rsid w:val="002E12AE"/>
    <w:rsid w:val="002E1354"/>
    <w:rsid w:val="002E139E"/>
    <w:rsid w:val="002E13EC"/>
    <w:rsid w:val="002E143E"/>
    <w:rsid w:val="002E1511"/>
    <w:rsid w:val="002E1589"/>
    <w:rsid w:val="002E158C"/>
    <w:rsid w:val="002E15B9"/>
    <w:rsid w:val="002E16F8"/>
    <w:rsid w:val="002E172A"/>
    <w:rsid w:val="002E175E"/>
    <w:rsid w:val="002E181B"/>
    <w:rsid w:val="002E1907"/>
    <w:rsid w:val="002E190B"/>
    <w:rsid w:val="002E193D"/>
    <w:rsid w:val="002E1B4D"/>
    <w:rsid w:val="002E1C0D"/>
    <w:rsid w:val="002E1D4A"/>
    <w:rsid w:val="002E1F6C"/>
    <w:rsid w:val="002E1FE6"/>
    <w:rsid w:val="002E2158"/>
    <w:rsid w:val="002E21B7"/>
    <w:rsid w:val="002E21F2"/>
    <w:rsid w:val="002E2391"/>
    <w:rsid w:val="002E23BB"/>
    <w:rsid w:val="002E23DB"/>
    <w:rsid w:val="002E2443"/>
    <w:rsid w:val="002E24BB"/>
    <w:rsid w:val="002E25AE"/>
    <w:rsid w:val="002E2622"/>
    <w:rsid w:val="002E2678"/>
    <w:rsid w:val="002E29C7"/>
    <w:rsid w:val="002E2A97"/>
    <w:rsid w:val="002E2F41"/>
    <w:rsid w:val="002E2F4D"/>
    <w:rsid w:val="002E3024"/>
    <w:rsid w:val="002E30EE"/>
    <w:rsid w:val="002E316A"/>
    <w:rsid w:val="002E37A9"/>
    <w:rsid w:val="002E3C75"/>
    <w:rsid w:val="002E3DB7"/>
    <w:rsid w:val="002E3E25"/>
    <w:rsid w:val="002E4031"/>
    <w:rsid w:val="002E4386"/>
    <w:rsid w:val="002E44E9"/>
    <w:rsid w:val="002E4511"/>
    <w:rsid w:val="002E4796"/>
    <w:rsid w:val="002E4871"/>
    <w:rsid w:val="002E48AE"/>
    <w:rsid w:val="002E4A77"/>
    <w:rsid w:val="002E4B07"/>
    <w:rsid w:val="002E4B28"/>
    <w:rsid w:val="002E4C9B"/>
    <w:rsid w:val="002E4F02"/>
    <w:rsid w:val="002E4F97"/>
    <w:rsid w:val="002E5045"/>
    <w:rsid w:val="002E508B"/>
    <w:rsid w:val="002E5145"/>
    <w:rsid w:val="002E5280"/>
    <w:rsid w:val="002E52CA"/>
    <w:rsid w:val="002E530C"/>
    <w:rsid w:val="002E53CD"/>
    <w:rsid w:val="002E5411"/>
    <w:rsid w:val="002E5538"/>
    <w:rsid w:val="002E559D"/>
    <w:rsid w:val="002E584B"/>
    <w:rsid w:val="002E5A56"/>
    <w:rsid w:val="002E5BE6"/>
    <w:rsid w:val="002E5D36"/>
    <w:rsid w:val="002E5E2C"/>
    <w:rsid w:val="002E60B7"/>
    <w:rsid w:val="002E61A5"/>
    <w:rsid w:val="002E61CE"/>
    <w:rsid w:val="002E6318"/>
    <w:rsid w:val="002E63F8"/>
    <w:rsid w:val="002E6451"/>
    <w:rsid w:val="002E64C6"/>
    <w:rsid w:val="002E6636"/>
    <w:rsid w:val="002E679E"/>
    <w:rsid w:val="002E67FC"/>
    <w:rsid w:val="002E68E6"/>
    <w:rsid w:val="002E6A1D"/>
    <w:rsid w:val="002E6C2A"/>
    <w:rsid w:val="002E6DB5"/>
    <w:rsid w:val="002E6DCE"/>
    <w:rsid w:val="002E6DD5"/>
    <w:rsid w:val="002E6F0E"/>
    <w:rsid w:val="002E71D9"/>
    <w:rsid w:val="002E758D"/>
    <w:rsid w:val="002E76F1"/>
    <w:rsid w:val="002E7722"/>
    <w:rsid w:val="002E775E"/>
    <w:rsid w:val="002E77D4"/>
    <w:rsid w:val="002E7878"/>
    <w:rsid w:val="002E7A02"/>
    <w:rsid w:val="002E7CA7"/>
    <w:rsid w:val="002E7D93"/>
    <w:rsid w:val="002E7DB1"/>
    <w:rsid w:val="002E7DEE"/>
    <w:rsid w:val="002E7E45"/>
    <w:rsid w:val="002F0297"/>
    <w:rsid w:val="002F02EB"/>
    <w:rsid w:val="002F0400"/>
    <w:rsid w:val="002F0506"/>
    <w:rsid w:val="002F058E"/>
    <w:rsid w:val="002F07BA"/>
    <w:rsid w:val="002F08FE"/>
    <w:rsid w:val="002F0AE4"/>
    <w:rsid w:val="002F0C67"/>
    <w:rsid w:val="002F0DA9"/>
    <w:rsid w:val="002F1014"/>
    <w:rsid w:val="002F1048"/>
    <w:rsid w:val="002F1192"/>
    <w:rsid w:val="002F134B"/>
    <w:rsid w:val="002F1367"/>
    <w:rsid w:val="002F1672"/>
    <w:rsid w:val="002F17F3"/>
    <w:rsid w:val="002F17F4"/>
    <w:rsid w:val="002F1821"/>
    <w:rsid w:val="002F1974"/>
    <w:rsid w:val="002F1992"/>
    <w:rsid w:val="002F1A4A"/>
    <w:rsid w:val="002F1A7E"/>
    <w:rsid w:val="002F1A7F"/>
    <w:rsid w:val="002F1B4E"/>
    <w:rsid w:val="002F1E3B"/>
    <w:rsid w:val="002F1FC2"/>
    <w:rsid w:val="002F2413"/>
    <w:rsid w:val="002F25B5"/>
    <w:rsid w:val="002F2653"/>
    <w:rsid w:val="002F268F"/>
    <w:rsid w:val="002F2704"/>
    <w:rsid w:val="002F2788"/>
    <w:rsid w:val="002F298A"/>
    <w:rsid w:val="002F29C9"/>
    <w:rsid w:val="002F2B46"/>
    <w:rsid w:val="002F2D95"/>
    <w:rsid w:val="002F3067"/>
    <w:rsid w:val="002F30AC"/>
    <w:rsid w:val="002F3247"/>
    <w:rsid w:val="002F32EE"/>
    <w:rsid w:val="002F33B1"/>
    <w:rsid w:val="002F33E1"/>
    <w:rsid w:val="002F34CD"/>
    <w:rsid w:val="002F3596"/>
    <w:rsid w:val="002F3667"/>
    <w:rsid w:val="002F3789"/>
    <w:rsid w:val="002F3871"/>
    <w:rsid w:val="002F3941"/>
    <w:rsid w:val="002F3B64"/>
    <w:rsid w:val="002F3BCB"/>
    <w:rsid w:val="002F3C3B"/>
    <w:rsid w:val="002F3C9D"/>
    <w:rsid w:val="002F3E28"/>
    <w:rsid w:val="002F3F02"/>
    <w:rsid w:val="002F3F34"/>
    <w:rsid w:val="002F3FC8"/>
    <w:rsid w:val="002F408F"/>
    <w:rsid w:val="002F42AD"/>
    <w:rsid w:val="002F4423"/>
    <w:rsid w:val="002F4433"/>
    <w:rsid w:val="002F458C"/>
    <w:rsid w:val="002F466D"/>
    <w:rsid w:val="002F46DA"/>
    <w:rsid w:val="002F496E"/>
    <w:rsid w:val="002F49F8"/>
    <w:rsid w:val="002F4D0D"/>
    <w:rsid w:val="002F4D8B"/>
    <w:rsid w:val="002F4F34"/>
    <w:rsid w:val="002F508A"/>
    <w:rsid w:val="002F52CD"/>
    <w:rsid w:val="002F52D0"/>
    <w:rsid w:val="002F5300"/>
    <w:rsid w:val="002F5375"/>
    <w:rsid w:val="002F54A1"/>
    <w:rsid w:val="002F54EE"/>
    <w:rsid w:val="002F55DE"/>
    <w:rsid w:val="002F55F1"/>
    <w:rsid w:val="002F5652"/>
    <w:rsid w:val="002F5747"/>
    <w:rsid w:val="002F5DDC"/>
    <w:rsid w:val="002F601D"/>
    <w:rsid w:val="002F604A"/>
    <w:rsid w:val="002F6088"/>
    <w:rsid w:val="002F60AC"/>
    <w:rsid w:val="002F625D"/>
    <w:rsid w:val="002F62F2"/>
    <w:rsid w:val="002F63AA"/>
    <w:rsid w:val="002F643C"/>
    <w:rsid w:val="002F64BC"/>
    <w:rsid w:val="002F6898"/>
    <w:rsid w:val="002F6C23"/>
    <w:rsid w:val="002F6C25"/>
    <w:rsid w:val="002F6C40"/>
    <w:rsid w:val="002F6D42"/>
    <w:rsid w:val="002F6DB1"/>
    <w:rsid w:val="002F6F5F"/>
    <w:rsid w:val="002F6FD1"/>
    <w:rsid w:val="002F70E0"/>
    <w:rsid w:val="002F7184"/>
    <w:rsid w:val="002F71C0"/>
    <w:rsid w:val="002F71F6"/>
    <w:rsid w:val="002F72D0"/>
    <w:rsid w:val="002F74F1"/>
    <w:rsid w:val="002F755B"/>
    <w:rsid w:val="002F7644"/>
    <w:rsid w:val="002F76A8"/>
    <w:rsid w:val="002F78D5"/>
    <w:rsid w:val="002F7CF7"/>
    <w:rsid w:val="002F7D04"/>
    <w:rsid w:val="002F7E0F"/>
    <w:rsid w:val="002F7F8B"/>
    <w:rsid w:val="002F7FC7"/>
    <w:rsid w:val="0030002C"/>
    <w:rsid w:val="003002D7"/>
    <w:rsid w:val="00300439"/>
    <w:rsid w:val="003005A4"/>
    <w:rsid w:val="00300623"/>
    <w:rsid w:val="0030064C"/>
    <w:rsid w:val="003008A1"/>
    <w:rsid w:val="003008B0"/>
    <w:rsid w:val="003009F3"/>
    <w:rsid w:val="00300A20"/>
    <w:rsid w:val="00300AC3"/>
    <w:rsid w:val="00300BEE"/>
    <w:rsid w:val="00300ED6"/>
    <w:rsid w:val="00300F91"/>
    <w:rsid w:val="00300FD6"/>
    <w:rsid w:val="00300FEB"/>
    <w:rsid w:val="00301017"/>
    <w:rsid w:val="00301167"/>
    <w:rsid w:val="0030118C"/>
    <w:rsid w:val="003011DC"/>
    <w:rsid w:val="003011E2"/>
    <w:rsid w:val="00301495"/>
    <w:rsid w:val="0030155F"/>
    <w:rsid w:val="0030162B"/>
    <w:rsid w:val="00301695"/>
    <w:rsid w:val="00301733"/>
    <w:rsid w:val="003017FA"/>
    <w:rsid w:val="003019D9"/>
    <w:rsid w:val="003019FD"/>
    <w:rsid w:val="00301F5B"/>
    <w:rsid w:val="0030203E"/>
    <w:rsid w:val="003021A1"/>
    <w:rsid w:val="003021F2"/>
    <w:rsid w:val="00302373"/>
    <w:rsid w:val="003023B9"/>
    <w:rsid w:val="003024AC"/>
    <w:rsid w:val="00302526"/>
    <w:rsid w:val="00302616"/>
    <w:rsid w:val="003026AB"/>
    <w:rsid w:val="00302724"/>
    <w:rsid w:val="0030278D"/>
    <w:rsid w:val="003029F8"/>
    <w:rsid w:val="00302A13"/>
    <w:rsid w:val="00302A6A"/>
    <w:rsid w:val="00302C6F"/>
    <w:rsid w:val="00302DF8"/>
    <w:rsid w:val="003031AB"/>
    <w:rsid w:val="0030325F"/>
    <w:rsid w:val="003032B8"/>
    <w:rsid w:val="003033BA"/>
    <w:rsid w:val="00303533"/>
    <w:rsid w:val="0030360C"/>
    <w:rsid w:val="0030378D"/>
    <w:rsid w:val="0030392E"/>
    <w:rsid w:val="003039A9"/>
    <w:rsid w:val="00303B4F"/>
    <w:rsid w:val="00303BFA"/>
    <w:rsid w:val="00303EBD"/>
    <w:rsid w:val="0030420B"/>
    <w:rsid w:val="003046FB"/>
    <w:rsid w:val="003047B5"/>
    <w:rsid w:val="003048F9"/>
    <w:rsid w:val="00304C50"/>
    <w:rsid w:val="00304D5F"/>
    <w:rsid w:val="00304D78"/>
    <w:rsid w:val="00305334"/>
    <w:rsid w:val="003054A3"/>
    <w:rsid w:val="0030555C"/>
    <w:rsid w:val="003056BE"/>
    <w:rsid w:val="00305705"/>
    <w:rsid w:val="0030582B"/>
    <w:rsid w:val="0030587B"/>
    <w:rsid w:val="00305C21"/>
    <w:rsid w:val="00305DC1"/>
    <w:rsid w:val="00305DD0"/>
    <w:rsid w:val="003062DC"/>
    <w:rsid w:val="00306483"/>
    <w:rsid w:val="003064D0"/>
    <w:rsid w:val="003065D0"/>
    <w:rsid w:val="00306717"/>
    <w:rsid w:val="00306A00"/>
    <w:rsid w:val="00306A34"/>
    <w:rsid w:val="00306BAB"/>
    <w:rsid w:val="00306BBB"/>
    <w:rsid w:val="00306D98"/>
    <w:rsid w:val="00306DAD"/>
    <w:rsid w:val="00306DC9"/>
    <w:rsid w:val="00306E7E"/>
    <w:rsid w:val="00306EDA"/>
    <w:rsid w:val="00306F1E"/>
    <w:rsid w:val="00306FD0"/>
    <w:rsid w:val="00307061"/>
    <w:rsid w:val="0030708F"/>
    <w:rsid w:val="003070CC"/>
    <w:rsid w:val="003071A6"/>
    <w:rsid w:val="003075B5"/>
    <w:rsid w:val="00307624"/>
    <w:rsid w:val="0030777C"/>
    <w:rsid w:val="0030786C"/>
    <w:rsid w:val="00307B13"/>
    <w:rsid w:val="00307B85"/>
    <w:rsid w:val="00307BAA"/>
    <w:rsid w:val="00307D23"/>
    <w:rsid w:val="00307D34"/>
    <w:rsid w:val="00307DD3"/>
    <w:rsid w:val="00307F95"/>
    <w:rsid w:val="00310092"/>
    <w:rsid w:val="003101CB"/>
    <w:rsid w:val="00310251"/>
    <w:rsid w:val="0031031A"/>
    <w:rsid w:val="0031045B"/>
    <w:rsid w:val="00310511"/>
    <w:rsid w:val="00310813"/>
    <w:rsid w:val="00310916"/>
    <w:rsid w:val="00310981"/>
    <w:rsid w:val="00310A13"/>
    <w:rsid w:val="00310A78"/>
    <w:rsid w:val="00310AC6"/>
    <w:rsid w:val="00310AD0"/>
    <w:rsid w:val="00310B03"/>
    <w:rsid w:val="00310C93"/>
    <w:rsid w:val="00310CD0"/>
    <w:rsid w:val="00310CF4"/>
    <w:rsid w:val="00311085"/>
    <w:rsid w:val="0031129A"/>
    <w:rsid w:val="003113A3"/>
    <w:rsid w:val="003114CE"/>
    <w:rsid w:val="0031170F"/>
    <w:rsid w:val="00311780"/>
    <w:rsid w:val="003117A8"/>
    <w:rsid w:val="003118A3"/>
    <w:rsid w:val="003118BA"/>
    <w:rsid w:val="003118EC"/>
    <w:rsid w:val="003118F6"/>
    <w:rsid w:val="00311987"/>
    <w:rsid w:val="003119FE"/>
    <w:rsid w:val="00311D9B"/>
    <w:rsid w:val="00311FBE"/>
    <w:rsid w:val="00311FE6"/>
    <w:rsid w:val="0031209C"/>
    <w:rsid w:val="00312119"/>
    <w:rsid w:val="003122D5"/>
    <w:rsid w:val="003124D9"/>
    <w:rsid w:val="0031251A"/>
    <w:rsid w:val="00312521"/>
    <w:rsid w:val="00312565"/>
    <w:rsid w:val="00312594"/>
    <w:rsid w:val="003126D8"/>
    <w:rsid w:val="00312810"/>
    <w:rsid w:val="00312A6F"/>
    <w:rsid w:val="00312B0E"/>
    <w:rsid w:val="00312B65"/>
    <w:rsid w:val="00312DAA"/>
    <w:rsid w:val="00312EA8"/>
    <w:rsid w:val="003132A2"/>
    <w:rsid w:val="00313341"/>
    <w:rsid w:val="003133C6"/>
    <w:rsid w:val="003133CE"/>
    <w:rsid w:val="00313465"/>
    <w:rsid w:val="003136AE"/>
    <w:rsid w:val="00313904"/>
    <w:rsid w:val="00313A05"/>
    <w:rsid w:val="00313A75"/>
    <w:rsid w:val="00313A80"/>
    <w:rsid w:val="00313B0F"/>
    <w:rsid w:val="00313DFD"/>
    <w:rsid w:val="00313F8E"/>
    <w:rsid w:val="00314016"/>
    <w:rsid w:val="0031456E"/>
    <w:rsid w:val="003145A0"/>
    <w:rsid w:val="003146B4"/>
    <w:rsid w:val="00314705"/>
    <w:rsid w:val="003147F1"/>
    <w:rsid w:val="00314A8A"/>
    <w:rsid w:val="00314A90"/>
    <w:rsid w:val="00314D52"/>
    <w:rsid w:val="00314DC1"/>
    <w:rsid w:val="00314E7A"/>
    <w:rsid w:val="003151E0"/>
    <w:rsid w:val="00315498"/>
    <w:rsid w:val="0031561F"/>
    <w:rsid w:val="00315AB2"/>
    <w:rsid w:val="00315C12"/>
    <w:rsid w:val="00315C1D"/>
    <w:rsid w:val="00315C70"/>
    <w:rsid w:val="00315D0E"/>
    <w:rsid w:val="00315EA4"/>
    <w:rsid w:val="00316474"/>
    <w:rsid w:val="00316526"/>
    <w:rsid w:val="003167C8"/>
    <w:rsid w:val="00316C27"/>
    <w:rsid w:val="00316DB6"/>
    <w:rsid w:val="00316DE7"/>
    <w:rsid w:val="00317333"/>
    <w:rsid w:val="00317472"/>
    <w:rsid w:val="003176BA"/>
    <w:rsid w:val="00317AD6"/>
    <w:rsid w:val="00317D61"/>
    <w:rsid w:val="003200F3"/>
    <w:rsid w:val="00320245"/>
    <w:rsid w:val="003202CB"/>
    <w:rsid w:val="003202F5"/>
    <w:rsid w:val="00320376"/>
    <w:rsid w:val="003203B5"/>
    <w:rsid w:val="00320448"/>
    <w:rsid w:val="00320466"/>
    <w:rsid w:val="0032076B"/>
    <w:rsid w:val="0032078C"/>
    <w:rsid w:val="00320844"/>
    <w:rsid w:val="00320970"/>
    <w:rsid w:val="003209B9"/>
    <w:rsid w:val="00320E22"/>
    <w:rsid w:val="00320E2A"/>
    <w:rsid w:val="00320EDE"/>
    <w:rsid w:val="00321005"/>
    <w:rsid w:val="00321039"/>
    <w:rsid w:val="00321105"/>
    <w:rsid w:val="003211CC"/>
    <w:rsid w:val="003212DC"/>
    <w:rsid w:val="00321305"/>
    <w:rsid w:val="0032134D"/>
    <w:rsid w:val="003214EF"/>
    <w:rsid w:val="003215EE"/>
    <w:rsid w:val="00321625"/>
    <w:rsid w:val="00321916"/>
    <w:rsid w:val="00321A6A"/>
    <w:rsid w:val="00321AC7"/>
    <w:rsid w:val="00321BD0"/>
    <w:rsid w:val="00321BE0"/>
    <w:rsid w:val="00321D79"/>
    <w:rsid w:val="003220B1"/>
    <w:rsid w:val="00322102"/>
    <w:rsid w:val="00322107"/>
    <w:rsid w:val="00322179"/>
    <w:rsid w:val="00322252"/>
    <w:rsid w:val="0032232A"/>
    <w:rsid w:val="00322355"/>
    <w:rsid w:val="003223E8"/>
    <w:rsid w:val="0032251C"/>
    <w:rsid w:val="0032259E"/>
    <w:rsid w:val="00322635"/>
    <w:rsid w:val="00322642"/>
    <w:rsid w:val="003226AF"/>
    <w:rsid w:val="00322766"/>
    <w:rsid w:val="00322846"/>
    <w:rsid w:val="00322915"/>
    <w:rsid w:val="003229EE"/>
    <w:rsid w:val="00322B5B"/>
    <w:rsid w:val="00322B67"/>
    <w:rsid w:val="00322C76"/>
    <w:rsid w:val="00322F5F"/>
    <w:rsid w:val="00323081"/>
    <w:rsid w:val="0032313A"/>
    <w:rsid w:val="003231DB"/>
    <w:rsid w:val="0032321F"/>
    <w:rsid w:val="0032333B"/>
    <w:rsid w:val="0032333F"/>
    <w:rsid w:val="00323415"/>
    <w:rsid w:val="00323476"/>
    <w:rsid w:val="00323560"/>
    <w:rsid w:val="0032367B"/>
    <w:rsid w:val="003236AE"/>
    <w:rsid w:val="0032388B"/>
    <w:rsid w:val="003238A1"/>
    <w:rsid w:val="00323D28"/>
    <w:rsid w:val="00323D69"/>
    <w:rsid w:val="00323EF8"/>
    <w:rsid w:val="003240EF"/>
    <w:rsid w:val="00324192"/>
    <w:rsid w:val="0032436E"/>
    <w:rsid w:val="00324443"/>
    <w:rsid w:val="003248F1"/>
    <w:rsid w:val="0032496A"/>
    <w:rsid w:val="00324B21"/>
    <w:rsid w:val="00324B92"/>
    <w:rsid w:val="00324C2F"/>
    <w:rsid w:val="00324CD1"/>
    <w:rsid w:val="00324CDA"/>
    <w:rsid w:val="00324F8B"/>
    <w:rsid w:val="003252B8"/>
    <w:rsid w:val="0032553E"/>
    <w:rsid w:val="003257CE"/>
    <w:rsid w:val="00325A23"/>
    <w:rsid w:val="00325CCB"/>
    <w:rsid w:val="00325D45"/>
    <w:rsid w:val="00325F9A"/>
    <w:rsid w:val="0032613A"/>
    <w:rsid w:val="003261C6"/>
    <w:rsid w:val="003261FD"/>
    <w:rsid w:val="00326317"/>
    <w:rsid w:val="003263E4"/>
    <w:rsid w:val="003263ED"/>
    <w:rsid w:val="0032640F"/>
    <w:rsid w:val="00326956"/>
    <w:rsid w:val="00326A45"/>
    <w:rsid w:val="00326B71"/>
    <w:rsid w:val="00326D1E"/>
    <w:rsid w:val="00326DA7"/>
    <w:rsid w:val="00326E69"/>
    <w:rsid w:val="00326F26"/>
    <w:rsid w:val="00326FE5"/>
    <w:rsid w:val="00327036"/>
    <w:rsid w:val="003270E4"/>
    <w:rsid w:val="00327162"/>
    <w:rsid w:val="003271AA"/>
    <w:rsid w:val="003271BE"/>
    <w:rsid w:val="003272B5"/>
    <w:rsid w:val="0032738B"/>
    <w:rsid w:val="0032742D"/>
    <w:rsid w:val="0032746F"/>
    <w:rsid w:val="003277A1"/>
    <w:rsid w:val="0032787E"/>
    <w:rsid w:val="003279C3"/>
    <w:rsid w:val="00327A0B"/>
    <w:rsid w:val="00327A7A"/>
    <w:rsid w:val="00327B8B"/>
    <w:rsid w:val="00327BF1"/>
    <w:rsid w:val="00327C72"/>
    <w:rsid w:val="00327EDD"/>
    <w:rsid w:val="00327EF4"/>
    <w:rsid w:val="0033007E"/>
    <w:rsid w:val="00330217"/>
    <w:rsid w:val="00330398"/>
    <w:rsid w:val="003304B1"/>
    <w:rsid w:val="003305FB"/>
    <w:rsid w:val="0033075F"/>
    <w:rsid w:val="0033089E"/>
    <w:rsid w:val="00330A57"/>
    <w:rsid w:val="00330D82"/>
    <w:rsid w:val="00330DAA"/>
    <w:rsid w:val="00330DB7"/>
    <w:rsid w:val="00330E8B"/>
    <w:rsid w:val="00330F5C"/>
    <w:rsid w:val="00330F8E"/>
    <w:rsid w:val="003311CF"/>
    <w:rsid w:val="00331335"/>
    <w:rsid w:val="00331483"/>
    <w:rsid w:val="00331567"/>
    <w:rsid w:val="00331590"/>
    <w:rsid w:val="0033188E"/>
    <w:rsid w:val="0033197F"/>
    <w:rsid w:val="0033199E"/>
    <w:rsid w:val="00331A9A"/>
    <w:rsid w:val="00331C28"/>
    <w:rsid w:val="00331ECC"/>
    <w:rsid w:val="003322AA"/>
    <w:rsid w:val="0033231B"/>
    <w:rsid w:val="00332343"/>
    <w:rsid w:val="00332344"/>
    <w:rsid w:val="003324C5"/>
    <w:rsid w:val="00332538"/>
    <w:rsid w:val="00332702"/>
    <w:rsid w:val="00332892"/>
    <w:rsid w:val="003328E0"/>
    <w:rsid w:val="0033293D"/>
    <w:rsid w:val="0033298B"/>
    <w:rsid w:val="00332B74"/>
    <w:rsid w:val="00332C09"/>
    <w:rsid w:val="00332C47"/>
    <w:rsid w:val="00332E61"/>
    <w:rsid w:val="00332EC1"/>
    <w:rsid w:val="00332EE8"/>
    <w:rsid w:val="00332FC1"/>
    <w:rsid w:val="003331A6"/>
    <w:rsid w:val="003334FB"/>
    <w:rsid w:val="003335F8"/>
    <w:rsid w:val="003337FA"/>
    <w:rsid w:val="0033381F"/>
    <w:rsid w:val="00333868"/>
    <w:rsid w:val="003338B2"/>
    <w:rsid w:val="00333B18"/>
    <w:rsid w:val="00333C0D"/>
    <w:rsid w:val="00333C48"/>
    <w:rsid w:val="00333CB9"/>
    <w:rsid w:val="00333CBE"/>
    <w:rsid w:val="00333F5D"/>
    <w:rsid w:val="00333FF9"/>
    <w:rsid w:val="00334080"/>
    <w:rsid w:val="003341B7"/>
    <w:rsid w:val="003341E1"/>
    <w:rsid w:val="003342C2"/>
    <w:rsid w:val="0033431B"/>
    <w:rsid w:val="003343BC"/>
    <w:rsid w:val="00334620"/>
    <w:rsid w:val="00334630"/>
    <w:rsid w:val="0033466F"/>
    <w:rsid w:val="003346FA"/>
    <w:rsid w:val="003347C7"/>
    <w:rsid w:val="0033483E"/>
    <w:rsid w:val="0033483F"/>
    <w:rsid w:val="00334AE1"/>
    <w:rsid w:val="00334CBB"/>
    <w:rsid w:val="00334D06"/>
    <w:rsid w:val="00334D5E"/>
    <w:rsid w:val="00334DFD"/>
    <w:rsid w:val="00334EA9"/>
    <w:rsid w:val="00334F71"/>
    <w:rsid w:val="003350A3"/>
    <w:rsid w:val="00335160"/>
    <w:rsid w:val="0033518C"/>
    <w:rsid w:val="003353A1"/>
    <w:rsid w:val="003353DF"/>
    <w:rsid w:val="003354AD"/>
    <w:rsid w:val="00335533"/>
    <w:rsid w:val="0033575E"/>
    <w:rsid w:val="003358EA"/>
    <w:rsid w:val="00335996"/>
    <w:rsid w:val="00335D13"/>
    <w:rsid w:val="00335E49"/>
    <w:rsid w:val="00335E50"/>
    <w:rsid w:val="00335F66"/>
    <w:rsid w:val="00336144"/>
    <w:rsid w:val="003361E2"/>
    <w:rsid w:val="003363B5"/>
    <w:rsid w:val="00336538"/>
    <w:rsid w:val="0033669A"/>
    <w:rsid w:val="003366C9"/>
    <w:rsid w:val="00336712"/>
    <w:rsid w:val="0033687B"/>
    <w:rsid w:val="0033687C"/>
    <w:rsid w:val="003368A0"/>
    <w:rsid w:val="00336A4C"/>
    <w:rsid w:val="00336CD9"/>
    <w:rsid w:val="00336DDE"/>
    <w:rsid w:val="00336FAF"/>
    <w:rsid w:val="0033705D"/>
    <w:rsid w:val="003371B0"/>
    <w:rsid w:val="0033723D"/>
    <w:rsid w:val="00337496"/>
    <w:rsid w:val="003374BC"/>
    <w:rsid w:val="003374C9"/>
    <w:rsid w:val="003375AD"/>
    <w:rsid w:val="00337691"/>
    <w:rsid w:val="003376BD"/>
    <w:rsid w:val="00337701"/>
    <w:rsid w:val="00337885"/>
    <w:rsid w:val="003378C7"/>
    <w:rsid w:val="003378FC"/>
    <w:rsid w:val="00337911"/>
    <w:rsid w:val="00337BD4"/>
    <w:rsid w:val="00337C13"/>
    <w:rsid w:val="00337E02"/>
    <w:rsid w:val="00337ED6"/>
    <w:rsid w:val="0034021F"/>
    <w:rsid w:val="00340249"/>
    <w:rsid w:val="00340282"/>
    <w:rsid w:val="0034049F"/>
    <w:rsid w:val="00340580"/>
    <w:rsid w:val="00340819"/>
    <w:rsid w:val="00340882"/>
    <w:rsid w:val="00340907"/>
    <w:rsid w:val="00340B30"/>
    <w:rsid w:val="00340B75"/>
    <w:rsid w:val="00340CF3"/>
    <w:rsid w:val="00340DF1"/>
    <w:rsid w:val="00340F36"/>
    <w:rsid w:val="00340F65"/>
    <w:rsid w:val="0034106B"/>
    <w:rsid w:val="00341151"/>
    <w:rsid w:val="00341251"/>
    <w:rsid w:val="00341430"/>
    <w:rsid w:val="00341604"/>
    <w:rsid w:val="003418B2"/>
    <w:rsid w:val="003419CD"/>
    <w:rsid w:val="003419E5"/>
    <w:rsid w:val="00341A31"/>
    <w:rsid w:val="00341AA7"/>
    <w:rsid w:val="00341B51"/>
    <w:rsid w:val="00341B6F"/>
    <w:rsid w:val="00341BC5"/>
    <w:rsid w:val="00341BF2"/>
    <w:rsid w:val="00341C4A"/>
    <w:rsid w:val="00342105"/>
    <w:rsid w:val="0034221E"/>
    <w:rsid w:val="0034234F"/>
    <w:rsid w:val="00342368"/>
    <w:rsid w:val="003424D6"/>
    <w:rsid w:val="003424D7"/>
    <w:rsid w:val="003426C8"/>
    <w:rsid w:val="00342775"/>
    <w:rsid w:val="00342815"/>
    <w:rsid w:val="00342939"/>
    <w:rsid w:val="00342AAD"/>
    <w:rsid w:val="00342B34"/>
    <w:rsid w:val="00342CE9"/>
    <w:rsid w:val="00342D57"/>
    <w:rsid w:val="00342ED5"/>
    <w:rsid w:val="00343003"/>
    <w:rsid w:val="003434D8"/>
    <w:rsid w:val="0034379E"/>
    <w:rsid w:val="00343898"/>
    <w:rsid w:val="003438D7"/>
    <w:rsid w:val="003439B8"/>
    <w:rsid w:val="00343C51"/>
    <w:rsid w:val="00343D93"/>
    <w:rsid w:val="00343EF2"/>
    <w:rsid w:val="003441C8"/>
    <w:rsid w:val="0034425A"/>
    <w:rsid w:val="0034429C"/>
    <w:rsid w:val="0034456F"/>
    <w:rsid w:val="0034461C"/>
    <w:rsid w:val="0034464C"/>
    <w:rsid w:val="0034467E"/>
    <w:rsid w:val="003447F8"/>
    <w:rsid w:val="003448D7"/>
    <w:rsid w:val="0034499E"/>
    <w:rsid w:val="00344A55"/>
    <w:rsid w:val="00344A99"/>
    <w:rsid w:val="00344B62"/>
    <w:rsid w:val="00344BAE"/>
    <w:rsid w:val="00344DF9"/>
    <w:rsid w:val="0034502F"/>
    <w:rsid w:val="003450BA"/>
    <w:rsid w:val="003451EE"/>
    <w:rsid w:val="00345235"/>
    <w:rsid w:val="00345393"/>
    <w:rsid w:val="003453A3"/>
    <w:rsid w:val="003454B6"/>
    <w:rsid w:val="0034555B"/>
    <w:rsid w:val="00345599"/>
    <w:rsid w:val="00345909"/>
    <w:rsid w:val="00345917"/>
    <w:rsid w:val="0034599A"/>
    <w:rsid w:val="00345AA9"/>
    <w:rsid w:val="00345AC2"/>
    <w:rsid w:val="00345BDE"/>
    <w:rsid w:val="00345D5E"/>
    <w:rsid w:val="00345D6E"/>
    <w:rsid w:val="00346116"/>
    <w:rsid w:val="00346120"/>
    <w:rsid w:val="003461D1"/>
    <w:rsid w:val="00346237"/>
    <w:rsid w:val="0034644A"/>
    <w:rsid w:val="0034646A"/>
    <w:rsid w:val="00346578"/>
    <w:rsid w:val="003465BC"/>
    <w:rsid w:val="003468A4"/>
    <w:rsid w:val="003468B9"/>
    <w:rsid w:val="003468F1"/>
    <w:rsid w:val="003469D3"/>
    <w:rsid w:val="00346A66"/>
    <w:rsid w:val="00346A83"/>
    <w:rsid w:val="00346C59"/>
    <w:rsid w:val="00346C6B"/>
    <w:rsid w:val="00346FFA"/>
    <w:rsid w:val="003470AF"/>
    <w:rsid w:val="0034721F"/>
    <w:rsid w:val="003474F1"/>
    <w:rsid w:val="00347745"/>
    <w:rsid w:val="003477D3"/>
    <w:rsid w:val="00347830"/>
    <w:rsid w:val="0034796D"/>
    <w:rsid w:val="00347AB2"/>
    <w:rsid w:val="00347B63"/>
    <w:rsid w:val="00347FE3"/>
    <w:rsid w:val="003501AC"/>
    <w:rsid w:val="0035060A"/>
    <w:rsid w:val="0035061C"/>
    <w:rsid w:val="003507D6"/>
    <w:rsid w:val="0035082D"/>
    <w:rsid w:val="00350852"/>
    <w:rsid w:val="00350A27"/>
    <w:rsid w:val="00350B85"/>
    <w:rsid w:val="00350BDE"/>
    <w:rsid w:val="00350BFC"/>
    <w:rsid w:val="00350D3A"/>
    <w:rsid w:val="00350DBA"/>
    <w:rsid w:val="00350DDE"/>
    <w:rsid w:val="00351023"/>
    <w:rsid w:val="00351098"/>
    <w:rsid w:val="0035111F"/>
    <w:rsid w:val="003511E4"/>
    <w:rsid w:val="0035121C"/>
    <w:rsid w:val="003513A0"/>
    <w:rsid w:val="00351581"/>
    <w:rsid w:val="00351672"/>
    <w:rsid w:val="00351694"/>
    <w:rsid w:val="003517F9"/>
    <w:rsid w:val="00351843"/>
    <w:rsid w:val="0035186C"/>
    <w:rsid w:val="00351878"/>
    <w:rsid w:val="003519C5"/>
    <w:rsid w:val="00351B3A"/>
    <w:rsid w:val="00351BA9"/>
    <w:rsid w:val="0035249B"/>
    <w:rsid w:val="0035263B"/>
    <w:rsid w:val="003526AD"/>
    <w:rsid w:val="00352900"/>
    <w:rsid w:val="003529A8"/>
    <w:rsid w:val="003529D3"/>
    <w:rsid w:val="003529F0"/>
    <w:rsid w:val="003529F9"/>
    <w:rsid w:val="00352AAA"/>
    <w:rsid w:val="00352ABB"/>
    <w:rsid w:val="00352B78"/>
    <w:rsid w:val="00352C0D"/>
    <w:rsid w:val="00352FD1"/>
    <w:rsid w:val="003530D1"/>
    <w:rsid w:val="0035318F"/>
    <w:rsid w:val="003531A7"/>
    <w:rsid w:val="0035321C"/>
    <w:rsid w:val="003532AD"/>
    <w:rsid w:val="003532B9"/>
    <w:rsid w:val="003535C5"/>
    <w:rsid w:val="003536C5"/>
    <w:rsid w:val="00353731"/>
    <w:rsid w:val="00353773"/>
    <w:rsid w:val="00353787"/>
    <w:rsid w:val="003537C2"/>
    <w:rsid w:val="00353A58"/>
    <w:rsid w:val="00353B7D"/>
    <w:rsid w:val="00353F2E"/>
    <w:rsid w:val="00354032"/>
    <w:rsid w:val="003541FF"/>
    <w:rsid w:val="00354359"/>
    <w:rsid w:val="00354616"/>
    <w:rsid w:val="00354B64"/>
    <w:rsid w:val="00354C58"/>
    <w:rsid w:val="00354D95"/>
    <w:rsid w:val="00354DE4"/>
    <w:rsid w:val="00354EBA"/>
    <w:rsid w:val="00354EED"/>
    <w:rsid w:val="00354F64"/>
    <w:rsid w:val="0035504A"/>
    <w:rsid w:val="0035515E"/>
    <w:rsid w:val="00355284"/>
    <w:rsid w:val="0035549F"/>
    <w:rsid w:val="003554FC"/>
    <w:rsid w:val="00355645"/>
    <w:rsid w:val="003556E3"/>
    <w:rsid w:val="003557F7"/>
    <w:rsid w:val="00355909"/>
    <w:rsid w:val="003559DA"/>
    <w:rsid w:val="00355B2C"/>
    <w:rsid w:val="00355D3E"/>
    <w:rsid w:val="00355E55"/>
    <w:rsid w:val="00355F74"/>
    <w:rsid w:val="00356201"/>
    <w:rsid w:val="0035620E"/>
    <w:rsid w:val="00356238"/>
    <w:rsid w:val="0035631A"/>
    <w:rsid w:val="00356482"/>
    <w:rsid w:val="00356640"/>
    <w:rsid w:val="003566C8"/>
    <w:rsid w:val="0035671D"/>
    <w:rsid w:val="0035699B"/>
    <w:rsid w:val="003569F6"/>
    <w:rsid w:val="003569F7"/>
    <w:rsid w:val="00356AC5"/>
    <w:rsid w:val="00356AE0"/>
    <w:rsid w:val="00356B33"/>
    <w:rsid w:val="00356CA5"/>
    <w:rsid w:val="00356CFA"/>
    <w:rsid w:val="00356D1E"/>
    <w:rsid w:val="00356DBC"/>
    <w:rsid w:val="003572DD"/>
    <w:rsid w:val="00357348"/>
    <w:rsid w:val="003573E7"/>
    <w:rsid w:val="003575BD"/>
    <w:rsid w:val="003575BE"/>
    <w:rsid w:val="00357825"/>
    <w:rsid w:val="00357949"/>
    <w:rsid w:val="00357A1D"/>
    <w:rsid w:val="00357AAC"/>
    <w:rsid w:val="00357DBD"/>
    <w:rsid w:val="00357DDC"/>
    <w:rsid w:val="00357E07"/>
    <w:rsid w:val="00357FA5"/>
    <w:rsid w:val="003600FD"/>
    <w:rsid w:val="0036032E"/>
    <w:rsid w:val="00360345"/>
    <w:rsid w:val="00360369"/>
    <w:rsid w:val="003603E8"/>
    <w:rsid w:val="00360426"/>
    <w:rsid w:val="003605D8"/>
    <w:rsid w:val="00360693"/>
    <w:rsid w:val="00360939"/>
    <w:rsid w:val="00360AF2"/>
    <w:rsid w:val="00360CAA"/>
    <w:rsid w:val="00360D73"/>
    <w:rsid w:val="00360DD4"/>
    <w:rsid w:val="00360E46"/>
    <w:rsid w:val="00360FF1"/>
    <w:rsid w:val="003610F9"/>
    <w:rsid w:val="00361135"/>
    <w:rsid w:val="00361321"/>
    <w:rsid w:val="00361343"/>
    <w:rsid w:val="003613E7"/>
    <w:rsid w:val="003614D5"/>
    <w:rsid w:val="003615C2"/>
    <w:rsid w:val="0036169A"/>
    <w:rsid w:val="00361819"/>
    <w:rsid w:val="003619E9"/>
    <w:rsid w:val="00361A05"/>
    <w:rsid w:val="00361C08"/>
    <w:rsid w:val="00361CCD"/>
    <w:rsid w:val="00361D58"/>
    <w:rsid w:val="00361E31"/>
    <w:rsid w:val="00361E38"/>
    <w:rsid w:val="00361F2D"/>
    <w:rsid w:val="00361F67"/>
    <w:rsid w:val="00362147"/>
    <w:rsid w:val="003624C4"/>
    <w:rsid w:val="003628E1"/>
    <w:rsid w:val="003628EB"/>
    <w:rsid w:val="00362B61"/>
    <w:rsid w:val="00362B6B"/>
    <w:rsid w:val="00362DCF"/>
    <w:rsid w:val="00362EFA"/>
    <w:rsid w:val="00362FE7"/>
    <w:rsid w:val="003630B1"/>
    <w:rsid w:val="00363245"/>
    <w:rsid w:val="00363254"/>
    <w:rsid w:val="0036329F"/>
    <w:rsid w:val="0036330A"/>
    <w:rsid w:val="00363456"/>
    <w:rsid w:val="003635FD"/>
    <w:rsid w:val="003639F0"/>
    <w:rsid w:val="00363A18"/>
    <w:rsid w:val="00363AE8"/>
    <w:rsid w:val="00363B00"/>
    <w:rsid w:val="00363CDB"/>
    <w:rsid w:val="00363E0E"/>
    <w:rsid w:val="00363ECB"/>
    <w:rsid w:val="003641F1"/>
    <w:rsid w:val="00364282"/>
    <w:rsid w:val="00364299"/>
    <w:rsid w:val="00364302"/>
    <w:rsid w:val="00364353"/>
    <w:rsid w:val="003643FB"/>
    <w:rsid w:val="00364422"/>
    <w:rsid w:val="00364546"/>
    <w:rsid w:val="00364648"/>
    <w:rsid w:val="003646D8"/>
    <w:rsid w:val="003647DF"/>
    <w:rsid w:val="00364830"/>
    <w:rsid w:val="00364922"/>
    <w:rsid w:val="003649EA"/>
    <w:rsid w:val="00364A5C"/>
    <w:rsid w:val="00364B32"/>
    <w:rsid w:val="00364C61"/>
    <w:rsid w:val="00364C9A"/>
    <w:rsid w:val="00364D65"/>
    <w:rsid w:val="00364EE0"/>
    <w:rsid w:val="0036508E"/>
    <w:rsid w:val="003650BA"/>
    <w:rsid w:val="003653EF"/>
    <w:rsid w:val="0036546D"/>
    <w:rsid w:val="003654AC"/>
    <w:rsid w:val="003654B7"/>
    <w:rsid w:val="003654B8"/>
    <w:rsid w:val="00365616"/>
    <w:rsid w:val="003656DF"/>
    <w:rsid w:val="00365743"/>
    <w:rsid w:val="00365868"/>
    <w:rsid w:val="0036586E"/>
    <w:rsid w:val="00365881"/>
    <w:rsid w:val="00365B5E"/>
    <w:rsid w:val="00365B72"/>
    <w:rsid w:val="00365C8E"/>
    <w:rsid w:val="00365CD8"/>
    <w:rsid w:val="00365DAA"/>
    <w:rsid w:val="00365F7A"/>
    <w:rsid w:val="00366018"/>
    <w:rsid w:val="0036604F"/>
    <w:rsid w:val="00366061"/>
    <w:rsid w:val="0036613A"/>
    <w:rsid w:val="00366162"/>
    <w:rsid w:val="0036621C"/>
    <w:rsid w:val="00366228"/>
    <w:rsid w:val="00366315"/>
    <w:rsid w:val="00366329"/>
    <w:rsid w:val="00366371"/>
    <w:rsid w:val="00366442"/>
    <w:rsid w:val="0036664F"/>
    <w:rsid w:val="003668A3"/>
    <w:rsid w:val="003668DA"/>
    <w:rsid w:val="0036690E"/>
    <w:rsid w:val="00366A14"/>
    <w:rsid w:val="00366B24"/>
    <w:rsid w:val="00366D64"/>
    <w:rsid w:val="00367000"/>
    <w:rsid w:val="003670AC"/>
    <w:rsid w:val="0036747F"/>
    <w:rsid w:val="00367522"/>
    <w:rsid w:val="003677EE"/>
    <w:rsid w:val="00367921"/>
    <w:rsid w:val="00367A27"/>
    <w:rsid w:val="00367ACC"/>
    <w:rsid w:val="00367C3B"/>
    <w:rsid w:val="00367E4F"/>
    <w:rsid w:val="00367EEF"/>
    <w:rsid w:val="00367FBF"/>
    <w:rsid w:val="0037004B"/>
    <w:rsid w:val="00370140"/>
    <w:rsid w:val="003701AF"/>
    <w:rsid w:val="003701C5"/>
    <w:rsid w:val="00370517"/>
    <w:rsid w:val="0037054D"/>
    <w:rsid w:val="0037089F"/>
    <w:rsid w:val="0037092D"/>
    <w:rsid w:val="00370930"/>
    <w:rsid w:val="00370944"/>
    <w:rsid w:val="00370A37"/>
    <w:rsid w:val="00370B99"/>
    <w:rsid w:val="00370E99"/>
    <w:rsid w:val="00370EA5"/>
    <w:rsid w:val="00370ECA"/>
    <w:rsid w:val="00370FB5"/>
    <w:rsid w:val="003710CF"/>
    <w:rsid w:val="00371136"/>
    <w:rsid w:val="00371181"/>
    <w:rsid w:val="003712F6"/>
    <w:rsid w:val="003716B3"/>
    <w:rsid w:val="00371778"/>
    <w:rsid w:val="00371A7C"/>
    <w:rsid w:val="00371D1D"/>
    <w:rsid w:val="00371D3C"/>
    <w:rsid w:val="00371E2F"/>
    <w:rsid w:val="00371E79"/>
    <w:rsid w:val="00371F25"/>
    <w:rsid w:val="00372082"/>
    <w:rsid w:val="00372261"/>
    <w:rsid w:val="0037235E"/>
    <w:rsid w:val="003723CE"/>
    <w:rsid w:val="003724DF"/>
    <w:rsid w:val="003725AD"/>
    <w:rsid w:val="003725DE"/>
    <w:rsid w:val="00372705"/>
    <w:rsid w:val="00372771"/>
    <w:rsid w:val="00372A46"/>
    <w:rsid w:val="00372E1B"/>
    <w:rsid w:val="00372EFA"/>
    <w:rsid w:val="00372F5E"/>
    <w:rsid w:val="00372FE6"/>
    <w:rsid w:val="00373046"/>
    <w:rsid w:val="00373143"/>
    <w:rsid w:val="0037327A"/>
    <w:rsid w:val="0037358A"/>
    <w:rsid w:val="003737F1"/>
    <w:rsid w:val="003738C0"/>
    <w:rsid w:val="003738F3"/>
    <w:rsid w:val="003739A4"/>
    <w:rsid w:val="003739F9"/>
    <w:rsid w:val="00373B7C"/>
    <w:rsid w:val="00373C9B"/>
    <w:rsid w:val="00373DCB"/>
    <w:rsid w:val="00373E0C"/>
    <w:rsid w:val="00373FB4"/>
    <w:rsid w:val="003740C6"/>
    <w:rsid w:val="0037411E"/>
    <w:rsid w:val="00374131"/>
    <w:rsid w:val="0037418F"/>
    <w:rsid w:val="0037419F"/>
    <w:rsid w:val="00374349"/>
    <w:rsid w:val="0037458C"/>
    <w:rsid w:val="003745C1"/>
    <w:rsid w:val="003745C7"/>
    <w:rsid w:val="0037462C"/>
    <w:rsid w:val="00374634"/>
    <w:rsid w:val="0037488F"/>
    <w:rsid w:val="003748A7"/>
    <w:rsid w:val="003748D2"/>
    <w:rsid w:val="00374CCE"/>
    <w:rsid w:val="00374CDE"/>
    <w:rsid w:val="00374D23"/>
    <w:rsid w:val="00374F75"/>
    <w:rsid w:val="00374FAF"/>
    <w:rsid w:val="003750F6"/>
    <w:rsid w:val="003752A3"/>
    <w:rsid w:val="00375545"/>
    <w:rsid w:val="00375629"/>
    <w:rsid w:val="00375807"/>
    <w:rsid w:val="00375922"/>
    <w:rsid w:val="00375948"/>
    <w:rsid w:val="00375C51"/>
    <w:rsid w:val="00375CB0"/>
    <w:rsid w:val="00375EDE"/>
    <w:rsid w:val="00376076"/>
    <w:rsid w:val="00376087"/>
    <w:rsid w:val="003760FC"/>
    <w:rsid w:val="0037614C"/>
    <w:rsid w:val="003761FA"/>
    <w:rsid w:val="003763DE"/>
    <w:rsid w:val="00376530"/>
    <w:rsid w:val="00376715"/>
    <w:rsid w:val="00376787"/>
    <w:rsid w:val="0037690C"/>
    <w:rsid w:val="0037695F"/>
    <w:rsid w:val="00376BE5"/>
    <w:rsid w:val="00376BEE"/>
    <w:rsid w:val="00376DF3"/>
    <w:rsid w:val="00376E97"/>
    <w:rsid w:val="00376F84"/>
    <w:rsid w:val="00377096"/>
    <w:rsid w:val="00377288"/>
    <w:rsid w:val="003772DD"/>
    <w:rsid w:val="0037747F"/>
    <w:rsid w:val="0037748C"/>
    <w:rsid w:val="003774C0"/>
    <w:rsid w:val="003776DF"/>
    <w:rsid w:val="00377755"/>
    <w:rsid w:val="003778E9"/>
    <w:rsid w:val="00377A79"/>
    <w:rsid w:val="00377B2C"/>
    <w:rsid w:val="00377BC1"/>
    <w:rsid w:val="00377E35"/>
    <w:rsid w:val="0038020E"/>
    <w:rsid w:val="003802C4"/>
    <w:rsid w:val="0038041F"/>
    <w:rsid w:val="0038058A"/>
    <w:rsid w:val="0038093F"/>
    <w:rsid w:val="003809C8"/>
    <w:rsid w:val="003809DE"/>
    <w:rsid w:val="00380A53"/>
    <w:rsid w:val="00380A76"/>
    <w:rsid w:val="00380EC5"/>
    <w:rsid w:val="00380F06"/>
    <w:rsid w:val="003810F3"/>
    <w:rsid w:val="003811F5"/>
    <w:rsid w:val="00381213"/>
    <w:rsid w:val="003813AD"/>
    <w:rsid w:val="00381418"/>
    <w:rsid w:val="00381429"/>
    <w:rsid w:val="003814BE"/>
    <w:rsid w:val="0038150C"/>
    <w:rsid w:val="00381587"/>
    <w:rsid w:val="00381D66"/>
    <w:rsid w:val="00381E33"/>
    <w:rsid w:val="00381EEC"/>
    <w:rsid w:val="00381FD8"/>
    <w:rsid w:val="003820DA"/>
    <w:rsid w:val="0038214C"/>
    <w:rsid w:val="00382277"/>
    <w:rsid w:val="003822F5"/>
    <w:rsid w:val="0038244A"/>
    <w:rsid w:val="00382694"/>
    <w:rsid w:val="003826C7"/>
    <w:rsid w:val="0038276A"/>
    <w:rsid w:val="00382B23"/>
    <w:rsid w:val="00382B46"/>
    <w:rsid w:val="00382B7F"/>
    <w:rsid w:val="00382BFA"/>
    <w:rsid w:val="00382C97"/>
    <w:rsid w:val="00382E19"/>
    <w:rsid w:val="00382E5C"/>
    <w:rsid w:val="00382F24"/>
    <w:rsid w:val="00383331"/>
    <w:rsid w:val="0038355C"/>
    <w:rsid w:val="0038365C"/>
    <w:rsid w:val="0038369B"/>
    <w:rsid w:val="00383800"/>
    <w:rsid w:val="00383806"/>
    <w:rsid w:val="00383826"/>
    <w:rsid w:val="003839A6"/>
    <w:rsid w:val="00383A86"/>
    <w:rsid w:val="00383AEB"/>
    <w:rsid w:val="00383B73"/>
    <w:rsid w:val="00383B78"/>
    <w:rsid w:val="00383D6D"/>
    <w:rsid w:val="00383E32"/>
    <w:rsid w:val="00383E76"/>
    <w:rsid w:val="00383F34"/>
    <w:rsid w:val="00383F75"/>
    <w:rsid w:val="00383F94"/>
    <w:rsid w:val="003840A1"/>
    <w:rsid w:val="0038410F"/>
    <w:rsid w:val="003841D0"/>
    <w:rsid w:val="003843CA"/>
    <w:rsid w:val="0038452A"/>
    <w:rsid w:val="00384881"/>
    <w:rsid w:val="003848CF"/>
    <w:rsid w:val="003849C4"/>
    <w:rsid w:val="003849CB"/>
    <w:rsid w:val="00384CBC"/>
    <w:rsid w:val="00384E50"/>
    <w:rsid w:val="00384E77"/>
    <w:rsid w:val="00384EB4"/>
    <w:rsid w:val="00384F09"/>
    <w:rsid w:val="003850B7"/>
    <w:rsid w:val="003851CA"/>
    <w:rsid w:val="0038525E"/>
    <w:rsid w:val="00385397"/>
    <w:rsid w:val="003853F5"/>
    <w:rsid w:val="00385571"/>
    <w:rsid w:val="00385768"/>
    <w:rsid w:val="003858E3"/>
    <w:rsid w:val="00385955"/>
    <w:rsid w:val="00385968"/>
    <w:rsid w:val="0038599D"/>
    <w:rsid w:val="00385A42"/>
    <w:rsid w:val="00385A9D"/>
    <w:rsid w:val="00385C56"/>
    <w:rsid w:val="00385FFC"/>
    <w:rsid w:val="0038614F"/>
    <w:rsid w:val="0038618B"/>
    <w:rsid w:val="00386357"/>
    <w:rsid w:val="00386385"/>
    <w:rsid w:val="003863C0"/>
    <w:rsid w:val="003863C4"/>
    <w:rsid w:val="003866BE"/>
    <w:rsid w:val="0038671D"/>
    <w:rsid w:val="00386741"/>
    <w:rsid w:val="0038697B"/>
    <w:rsid w:val="00386B6D"/>
    <w:rsid w:val="00386BC9"/>
    <w:rsid w:val="00386BE0"/>
    <w:rsid w:val="00386CEC"/>
    <w:rsid w:val="00386D0E"/>
    <w:rsid w:val="00386EBD"/>
    <w:rsid w:val="00386F63"/>
    <w:rsid w:val="00387121"/>
    <w:rsid w:val="0038715C"/>
    <w:rsid w:val="00387343"/>
    <w:rsid w:val="0038745A"/>
    <w:rsid w:val="0038755F"/>
    <w:rsid w:val="003875AF"/>
    <w:rsid w:val="0038765E"/>
    <w:rsid w:val="00387715"/>
    <w:rsid w:val="003877B9"/>
    <w:rsid w:val="0038783C"/>
    <w:rsid w:val="00387916"/>
    <w:rsid w:val="00387987"/>
    <w:rsid w:val="00387A69"/>
    <w:rsid w:val="00387B04"/>
    <w:rsid w:val="00387B6A"/>
    <w:rsid w:val="00387FF9"/>
    <w:rsid w:val="00390079"/>
    <w:rsid w:val="003900BF"/>
    <w:rsid w:val="003902A9"/>
    <w:rsid w:val="003902B1"/>
    <w:rsid w:val="003903B2"/>
    <w:rsid w:val="003903B8"/>
    <w:rsid w:val="00390518"/>
    <w:rsid w:val="0039051D"/>
    <w:rsid w:val="00390593"/>
    <w:rsid w:val="003907F8"/>
    <w:rsid w:val="003908E7"/>
    <w:rsid w:val="0039093A"/>
    <w:rsid w:val="00390A92"/>
    <w:rsid w:val="00390B30"/>
    <w:rsid w:val="00390B7D"/>
    <w:rsid w:val="00390D54"/>
    <w:rsid w:val="00390D59"/>
    <w:rsid w:val="003910C8"/>
    <w:rsid w:val="0039127D"/>
    <w:rsid w:val="00391442"/>
    <w:rsid w:val="003916ED"/>
    <w:rsid w:val="0039179C"/>
    <w:rsid w:val="003918F5"/>
    <w:rsid w:val="003919D3"/>
    <w:rsid w:val="00391AC1"/>
    <w:rsid w:val="00391C22"/>
    <w:rsid w:val="00391F16"/>
    <w:rsid w:val="00392083"/>
    <w:rsid w:val="0039211C"/>
    <w:rsid w:val="0039216C"/>
    <w:rsid w:val="0039217F"/>
    <w:rsid w:val="003921E5"/>
    <w:rsid w:val="0039234C"/>
    <w:rsid w:val="00392483"/>
    <w:rsid w:val="003925DB"/>
    <w:rsid w:val="0039267F"/>
    <w:rsid w:val="0039271D"/>
    <w:rsid w:val="00392BBA"/>
    <w:rsid w:val="00392C2A"/>
    <w:rsid w:val="00392CF2"/>
    <w:rsid w:val="00392DA6"/>
    <w:rsid w:val="00392DB8"/>
    <w:rsid w:val="00392DCF"/>
    <w:rsid w:val="00392E34"/>
    <w:rsid w:val="00392EC8"/>
    <w:rsid w:val="00392FC5"/>
    <w:rsid w:val="0039322F"/>
    <w:rsid w:val="00393422"/>
    <w:rsid w:val="00393625"/>
    <w:rsid w:val="00393660"/>
    <w:rsid w:val="003939FA"/>
    <w:rsid w:val="00393B25"/>
    <w:rsid w:val="00393B39"/>
    <w:rsid w:val="00393B43"/>
    <w:rsid w:val="00393B47"/>
    <w:rsid w:val="00393DE7"/>
    <w:rsid w:val="003940B7"/>
    <w:rsid w:val="0039430F"/>
    <w:rsid w:val="003943A9"/>
    <w:rsid w:val="003943F3"/>
    <w:rsid w:val="0039450A"/>
    <w:rsid w:val="00394570"/>
    <w:rsid w:val="003946CB"/>
    <w:rsid w:val="003947AA"/>
    <w:rsid w:val="0039496C"/>
    <w:rsid w:val="00394995"/>
    <w:rsid w:val="003949FD"/>
    <w:rsid w:val="00394A90"/>
    <w:rsid w:val="00394B1E"/>
    <w:rsid w:val="00394B55"/>
    <w:rsid w:val="00394BC0"/>
    <w:rsid w:val="00394CD6"/>
    <w:rsid w:val="00394DB7"/>
    <w:rsid w:val="00394DD1"/>
    <w:rsid w:val="00394F09"/>
    <w:rsid w:val="00394FF9"/>
    <w:rsid w:val="003950F6"/>
    <w:rsid w:val="00395108"/>
    <w:rsid w:val="0039514F"/>
    <w:rsid w:val="00395184"/>
    <w:rsid w:val="0039520E"/>
    <w:rsid w:val="00395683"/>
    <w:rsid w:val="00395696"/>
    <w:rsid w:val="003956DE"/>
    <w:rsid w:val="00395843"/>
    <w:rsid w:val="00395935"/>
    <w:rsid w:val="00395B14"/>
    <w:rsid w:val="00395B5A"/>
    <w:rsid w:val="00395BEB"/>
    <w:rsid w:val="00395D7E"/>
    <w:rsid w:val="00395DC9"/>
    <w:rsid w:val="003960CD"/>
    <w:rsid w:val="0039648E"/>
    <w:rsid w:val="003965CC"/>
    <w:rsid w:val="003965FD"/>
    <w:rsid w:val="003967E7"/>
    <w:rsid w:val="00396896"/>
    <w:rsid w:val="003968AC"/>
    <w:rsid w:val="003968F1"/>
    <w:rsid w:val="00396CD6"/>
    <w:rsid w:val="00396E01"/>
    <w:rsid w:val="00396EF4"/>
    <w:rsid w:val="00396FD0"/>
    <w:rsid w:val="00397047"/>
    <w:rsid w:val="0039708B"/>
    <w:rsid w:val="003971E2"/>
    <w:rsid w:val="003973E8"/>
    <w:rsid w:val="00397426"/>
    <w:rsid w:val="0039759D"/>
    <w:rsid w:val="003977C4"/>
    <w:rsid w:val="003978E2"/>
    <w:rsid w:val="00397946"/>
    <w:rsid w:val="00397C84"/>
    <w:rsid w:val="00397F1B"/>
    <w:rsid w:val="003A0061"/>
    <w:rsid w:val="003A0394"/>
    <w:rsid w:val="003A0BD0"/>
    <w:rsid w:val="003A0D58"/>
    <w:rsid w:val="003A0D6C"/>
    <w:rsid w:val="003A0E41"/>
    <w:rsid w:val="003A0EC5"/>
    <w:rsid w:val="003A0F97"/>
    <w:rsid w:val="003A0FD0"/>
    <w:rsid w:val="003A11AB"/>
    <w:rsid w:val="003A12DC"/>
    <w:rsid w:val="003A140B"/>
    <w:rsid w:val="003A1428"/>
    <w:rsid w:val="003A180C"/>
    <w:rsid w:val="003A1828"/>
    <w:rsid w:val="003A1A7A"/>
    <w:rsid w:val="003A1AAC"/>
    <w:rsid w:val="003A1ADF"/>
    <w:rsid w:val="003A1BC1"/>
    <w:rsid w:val="003A20FE"/>
    <w:rsid w:val="003A21A4"/>
    <w:rsid w:val="003A22F1"/>
    <w:rsid w:val="003A2326"/>
    <w:rsid w:val="003A2392"/>
    <w:rsid w:val="003A249F"/>
    <w:rsid w:val="003A24EF"/>
    <w:rsid w:val="003A250B"/>
    <w:rsid w:val="003A27AD"/>
    <w:rsid w:val="003A2831"/>
    <w:rsid w:val="003A287D"/>
    <w:rsid w:val="003A297B"/>
    <w:rsid w:val="003A29B3"/>
    <w:rsid w:val="003A29E2"/>
    <w:rsid w:val="003A2A1E"/>
    <w:rsid w:val="003A2A76"/>
    <w:rsid w:val="003A2B84"/>
    <w:rsid w:val="003A2C32"/>
    <w:rsid w:val="003A2C85"/>
    <w:rsid w:val="003A2D71"/>
    <w:rsid w:val="003A2DC1"/>
    <w:rsid w:val="003A2E78"/>
    <w:rsid w:val="003A30CD"/>
    <w:rsid w:val="003A31E9"/>
    <w:rsid w:val="003A3234"/>
    <w:rsid w:val="003A3244"/>
    <w:rsid w:val="003A324A"/>
    <w:rsid w:val="003A32E7"/>
    <w:rsid w:val="003A33B2"/>
    <w:rsid w:val="003A346A"/>
    <w:rsid w:val="003A350C"/>
    <w:rsid w:val="003A36DB"/>
    <w:rsid w:val="003A3806"/>
    <w:rsid w:val="003A3A30"/>
    <w:rsid w:val="003A3A5B"/>
    <w:rsid w:val="003A3ADE"/>
    <w:rsid w:val="003A3C68"/>
    <w:rsid w:val="003A3CB6"/>
    <w:rsid w:val="003A3ED1"/>
    <w:rsid w:val="003A3EF0"/>
    <w:rsid w:val="003A419A"/>
    <w:rsid w:val="003A41D8"/>
    <w:rsid w:val="003A41E1"/>
    <w:rsid w:val="003A44DB"/>
    <w:rsid w:val="003A456B"/>
    <w:rsid w:val="003A477E"/>
    <w:rsid w:val="003A49C4"/>
    <w:rsid w:val="003A4B08"/>
    <w:rsid w:val="003A4BC2"/>
    <w:rsid w:val="003A4BCE"/>
    <w:rsid w:val="003A4C14"/>
    <w:rsid w:val="003A4C4E"/>
    <w:rsid w:val="003A4E3C"/>
    <w:rsid w:val="003A4F2C"/>
    <w:rsid w:val="003A4FD2"/>
    <w:rsid w:val="003A502C"/>
    <w:rsid w:val="003A5474"/>
    <w:rsid w:val="003A5499"/>
    <w:rsid w:val="003A54F7"/>
    <w:rsid w:val="003A550F"/>
    <w:rsid w:val="003A5AB9"/>
    <w:rsid w:val="003A5AEA"/>
    <w:rsid w:val="003A5B93"/>
    <w:rsid w:val="003A5C8F"/>
    <w:rsid w:val="003A5CCC"/>
    <w:rsid w:val="003A5E19"/>
    <w:rsid w:val="003A5EBB"/>
    <w:rsid w:val="003A5ECF"/>
    <w:rsid w:val="003A605A"/>
    <w:rsid w:val="003A6181"/>
    <w:rsid w:val="003A6281"/>
    <w:rsid w:val="003A6322"/>
    <w:rsid w:val="003A6768"/>
    <w:rsid w:val="003A67F5"/>
    <w:rsid w:val="003A686F"/>
    <w:rsid w:val="003A694D"/>
    <w:rsid w:val="003A6B25"/>
    <w:rsid w:val="003A6B3F"/>
    <w:rsid w:val="003A6D06"/>
    <w:rsid w:val="003A6D0C"/>
    <w:rsid w:val="003A6D1A"/>
    <w:rsid w:val="003A70E3"/>
    <w:rsid w:val="003A72A7"/>
    <w:rsid w:val="003A72F7"/>
    <w:rsid w:val="003A7322"/>
    <w:rsid w:val="003A73B6"/>
    <w:rsid w:val="003A7595"/>
    <w:rsid w:val="003A76A4"/>
    <w:rsid w:val="003A772B"/>
    <w:rsid w:val="003A7742"/>
    <w:rsid w:val="003A78EA"/>
    <w:rsid w:val="003A7908"/>
    <w:rsid w:val="003A7D23"/>
    <w:rsid w:val="003A7EAF"/>
    <w:rsid w:val="003A7FD9"/>
    <w:rsid w:val="003B0044"/>
    <w:rsid w:val="003B0123"/>
    <w:rsid w:val="003B0152"/>
    <w:rsid w:val="003B0211"/>
    <w:rsid w:val="003B0301"/>
    <w:rsid w:val="003B0337"/>
    <w:rsid w:val="003B0694"/>
    <w:rsid w:val="003B0874"/>
    <w:rsid w:val="003B0B5D"/>
    <w:rsid w:val="003B0D31"/>
    <w:rsid w:val="003B0F36"/>
    <w:rsid w:val="003B0F85"/>
    <w:rsid w:val="003B11EB"/>
    <w:rsid w:val="003B122E"/>
    <w:rsid w:val="003B1599"/>
    <w:rsid w:val="003B1658"/>
    <w:rsid w:val="003B1751"/>
    <w:rsid w:val="003B1758"/>
    <w:rsid w:val="003B1829"/>
    <w:rsid w:val="003B198B"/>
    <w:rsid w:val="003B198E"/>
    <w:rsid w:val="003B1A93"/>
    <w:rsid w:val="003B1E0E"/>
    <w:rsid w:val="003B2109"/>
    <w:rsid w:val="003B210B"/>
    <w:rsid w:val="003B2126"/>
    <w:rsid w:val="003B21CB"/>
    <w:rsid w:val="003B22CB"/>
    <w:rsid w:val="003B23A4"/>
    <w:rsid w:val="003B24AF"/>
    <w:rsid w:val="003B2680"/>
    <w:rsid w:val="003B26E0"/>
    <w:rsid w:val="003B283B"/>
    <w:rsid w:val="003B2858"/>
    <w:rsid w:val="003B2A84"/>
    <w:rsid w:val="003B2E3D"/>
    <w:rsid w:val="003B3071"/>
    <w:rsid w:val="003B3097"/>
    <w:rsid w:val="003B32FE"/>
    <w:rsid w:val="003B3658"/>
    <w:rsid w:val="003B381B"/>
    <w:rsid w:val="003B3971"/>
    <w:rsid w:val="003B3BE7"/>
    <w:rsid w:val="003B3F96"/>
    <w:rsid w:val="003B4090"/>
    <w:rsid w:val="003B44B9"/>
    <w:rsid w:val="003B4679"/>
    <w:rsid w:val="003B46EC"/>
    <w:rsid w:val="003B48CD"/>
    <w:rsid w:val="003B490E"/>
    <w:rsid w:val="003B4A8D"/>
    <w:rsid w:val="003B4AA6"/>
    <w:rsid w:val="003B4B86"/>
    <w:rsid w:val="003B4D18"/>
    <w:rsid w:val="003B4E23"/>
    <w:rsid w:val="003B4E6B"/>
    <w:rsid w:val="003B51D5"/>
    <w:rsid w:val="003B5361"/>
    <w:rsid w:val="003B5421"/>
    <w:rsid w:val="003B5502"/>
    <w:rsid w:val="003B55D1"/>
    <w:rsid w:val="003B55D4"/>
    <w:rsid w:val="003B55D8"/>
    <w:rsid w:val="003B56B8"/>
    <w:rsid w:val="003B5778"/>
    <w:rsid w:val="003B57FE"/>
    <w:rsid w:val="003B5A34"/>
    <w:rsid w:val="003B5A85"/>
    <w:rsid w:val="003B5B61"/>
    <w:rsid w:val="003B5DF5"/>
    <w:rsid w:val="003B60BE"/>
    <w:rsid w:val="003B60C7"/>
    <w:rsid w:val="003B6111"/>
    <w:rsid w:val="003B6138"/>
    <w:rsid w:val="003B613E"/>
    <w:rsid w:val="003B623C"/>
    <w:rsid w:val="003B629C"/>
    <w:rsid w:val="003B62C2"/>
    <w:rsid w:val="003B6442"/>
    <w:rsid w:val="003B66E0"/>
    <w:rsid w:val="003B6710"/>
    <w:rsid w:val="003B68D0"/>
    <w:rsid w:val="003B69EB"/>
    <w:rsid w:val="003B6A38"/>
    <w:rsid w:val="003B6B6D"/>
    <w:rsid w:val="003B6BA7"/>
    <w:rsid w:val="003B6F83"/>
    <w:rsid w:val="003B6F87"/>
    <w:rsid w:val="003B6F8B"/>
    <w:rsid w:val="003B7072"/>
    <w:rsid w:val="003B736F"/>
    <w:rsid w:val="003B74FA"/>
    <w:rsid w:val="003B7550"/>
    <w:rsid w:val="003B756B"/>
    <w:rsid w:val="003B76DF"/>
    <w:rsid w:val="003B7871"/>
    <w:rsid w:val="003B7992"/>
    <w:rsid w:val="003B7A6E"/>
    <w:rsid w:val="003B7B4B"/>
    <w:rsid w:val="003B7D32"/>
    <w:rsid w:val="003B7D69"/>
    <w:rsid w:val="003B7E0F"/>
    <w:rsid w:val="003B7E18"/>
    <w:rsid w:val="003C04D8"/>
    <w:rsid w:val="003C05BE"/>
    <w:rsid w:val="003C094D"/>
    <w:rsid w:val="003C0B3D"/>
    <w:rsid w:val="003C0B91"/>
    <w:rsid w:val="003C0CED"/>
    <w:rsid w:val="003C0D43"/>
    <w:rsid w:val="003C0E4D"/>
    <w:rsid w:val="003C0F6D"/>
    <w:rsid w:val="003C109C"/>
    <w:rsid w:val="003C10CB"/>
    <w:rsid w:val="003C1177"/>
    <w:rsid w:val="003C11BF"/>
    <w:rsid w:val="003C12F9"/>
    <w:rsid w:val="003C14D0"/>
    <w:rsid w:val="003C1654"/>
    <w:rsid w:val="003C19B0"/>
    <w:rsid w:val="003C1A90"/>
    <w:rsid w:val="003C1BAF"/>
    <w:rsid w:val="003C1BEA"/>
    <w:rsid w:val="003C1F90"/>
    <w:rsid w:val="003C2028"/>
    <w:rsid w:val="003C2340"/>
    <w:rsid w:val="003C2392"/>
    <w:rsid w:val="003C2428"/>
    <w:rsid w:val="003C2882"/>
    <w:rsid w:val="003C28B8"/>
    <w:rsid w:val="003C2AB3"/>
    <w:rsid w:val="003C2C41"/>
    <w:rsid w:val="003C2CCD"/>
    <w:rsid w:val="003C2EBE"/>
    <w:rsid w:val="003C2F5C"/>
    <w:rsid w:val="003C2F94"/>
    <w:rsid w:val="003C2FAD"/>
    <w:rsid w:val="003C2FCA"/>
    <w:rsid w:val="003C3384"/>
    <w:rsid w:val="003C34A6"/>
    <w:rsid w:val="003C35A5"/>
    <w:rsid w:val="003C3742"/>
    <w:rsid w:val="003C3802"/>
    <w:rsid w:val="003C3894"/>
    <w:rsid w:val="003C3994"/>
    <w:rsid w:val="003C3C26"/>
    <w:rsid w:val="003C3D5D"/>
    <w:rsid w:val="003C3F7D"/>
    <w:rsid w:val="003C4006"/>
    <w:rsid w:val="003C427F"/>
    <w:rsid w:val="003C4433"/>
    <w:rsid w:val="003C4508"/>
    <w:rsid w:val="003C466A"/>
    <w:rsid w:val="003C474F"/>
    <w:rsid w:val="003C479B"/>
    <w:rsid w:val="003C47AA"/>
    <w:rsid w:val="003C499A"/>
    <w:rsid w:val="003C4E2D"/>
    <w:rsid w:val="003C4FF7"/>
    <w:rsid w:val="003C5246"/>
    <w:rsid w:val="003C527A"/>
    <w:rsid w:val="003C5349"/>
    <w:rsid w:val="003C53AC"/>
    <w:rsid w:val="003C53D9"/>
    <w:rsid w:val="003C5496"/>
    <w:rsid w:val="003C5497"/>
    <w:rsid w:val="003C5516"/>
    <w:rsid w:val="003C5527"/>
    <w:rsid w:val="003C5542"/>
    <w:rsid w:val="003C5985"/>
    <w:rsid w:val="003C59FB"/>
    <w:rsid w:val="003C5AC0"/>
    <w:rsid w:val="003C5C57"/>
    <w:rsid w:val="003C5C7F"/>
    <w:rsid w:val="003C5CA0"/>
    <w:rsid w:val="003C5D77"/>
    <w:rsid w:val="003C5E73"/>
    <w:rsid w:val="003C60F3"/>
    <w:rsid w:val="003C62B3"/>
    <w:rsid w:val="003C662F"/>
    <w:rsid w:val="003C67FE"/>
    <w:rsid w:val="003C6915"/>
    <w:rsid w:val="003C699C"/>
    <w:rsid w:val="003C69E9"/>
    <w:rsid w:val="003C6AE9"/>
    <w:rsid w:val="003C6CA2"/>
    <w:rsid w:val="003C6E2B"/>
    <w:rsid w:val="003C6E62"/>
    <w:rsid w:val="003C6EEB"/>
    <w:rsid w:val="003C6EEF"/>
    <w:rsid w:val="003C7276"/>
    <w:rsid w:val="003C73D4"/>
    <w:rsid w:val="003C7444"/>
    <w:rsid w:val="003C75B4"/>
    <w:rsid w:val="003C75C4"/>
    <w:rsid w:val="003C779E"/>
    <w:rsid w:val="003C7833"/>
    <w:rsid w:val="003C7866"/>
    <w:rsid w:val="003C79AB"/>
    <w:rsid w:val="003C7AAB"/>
    <w:rsid w:val="003C7BD0"/>
    <w:rsid w:val="003C7BD7"/>
    <w:rsid w:val="003C7C15"/>
    <w:rsid w:val="003C7C5E"/>
    <w:rsid w:val="003C7D19"/>
    <w:rsid w:val="003C7D2F"/>
    <w:rsid w:val="003C7DEF"/>
    <w:rsid w:val="003C7E99"/>
    <w:rsid w:val="003C7EF1"/>
    <w:rsid w:val="003C7FF6"/>
    <w:rsid w:val="003C7FFB"/>
    <w:rsid w:val="003D021A"/>
    <w:rsid w:val="003D029C"/>
    <w:rsid w:val="003D038B"/>
    <w:rsid w:val="003D041E"/>
    <w:rsid w:val="003D0435"/>
    <w:rsid w:val="003D0986"/>
    <w:rsid w:val="003D0BC2"/>
    <w:rsid w:val="003D0C5A"/>
    <w:rsid w:val="003D0C7F"/>
    <w:rsid w:val="003D0F7C"/>
    <w:rsid w:val="003D1021"/>
    <w:rsid w:val="003D1039"/>
    <w:rsid w:val="003D12F6"/>
    <w:rsid w:val="003D13CF"/>
    <w:rsid w:val="003D1427"/>
    <w:rsid w:val="003D15F7"/>
    <w:rsid w:val="003D16B3"/>
    <w:rsid w:val="003D174A"/>
    <w:rsid w:val="003D1828"/>
    <w:rsid w:val="003D1929"/>
    <w:rsid w:val="003D1BA8"/>
    <w:rsid w:val="003D1C09"/>
    <w:rsid w:val="003D1DE4"/>
    <w:rsid w:val="003D1DF9"/>
    <w:rsid w:val="003D1E9A"/>
    <w:rsid w:val="003D1F1A"/>
    <w:rsid w:val="003D2021"/>
    <w:rsid w:val="003D2123"/>
    <w:rsid w:val="003D215A"/>
    <w:rsid w:val="003D2190"/>
    <w:rsid w:val="003D23B7"/>
    <w:rsid w:val="003D23B9"/>
    <w:rsid w:val="003D2422"/>
    <w:rsid w:val="003D2525"/>
    <w:rsid w:val="003D2C40"/>
    <w:rsid w:val="003D2C64"/>
    <w:rsid w:val="003D2F52"/>
    <w:rsid w:val="003D310B"/>
    <w:rsid w:val="003D3361"/>
    <w:rsid w:val="003D3500"/>
    <w:rsid w:val="003D36B1"/>
    <w:rsid w:val="003D3724"/>
    <w:rsid w:val="003D39A1"/>
    <w:rsid w:val="003D3B04"/>
    <w:rsid w:val="003D3BDE"/>
    <w:rsid w:val="003D3C27"/>
    <w:rsid w:val="003D3D3F"/>
    <w:rsid w:val="003D3EED"/>
    <w:rsid w:val="003D3F44"/>
    <w:rsid w:val="003D3FBF"/>
    <w:rsid w:val="003D3FC7"/>
    <w:rsid w:val="003D40D9"/>
    <w:rsid w:val="003D4107"/>
    <w:rsid w:val="003D41AA"/>
    <w:rsid w:val="003D4257"/>
    <w:rsid w:val="003D4297"/>
    <w:rsid w:val="003D42D3"/>
    <w:rsid w:val="003D4509"/>
    <w:rsid w:val="003D4998"/>
    <w:rsid w:val="003D49FD"/>
    <w:rsid w:val="003D4A28"/>
    <w:rsid w:val="003D4A30"/>
    <w:rsid w:val="003D4D10"/>
    <w:rsid w:val="003D4FF7"/>
    <w:rsid w:val="003D505D"/>
    <w:rsid w:val="003D508F"/>
    <w:rsid w:val="003D50AF"/>
    <w:rsid w:val="003D5156"/>
    <w:rsid w:val="003D5200"/>
    <w:rsid w:val="003D5403"/>
    <w:rsid w:val="003D541D"/>
    <w:rsid w:val="003D5452"/>
    <w:rsid w:val="003D54B1"/>
    <w:rsid w:val="003D54FD"/>
    <w:rsid w:val="003D5548"/>
    <w:rsid w:val="003D56C0"/>
    <w:rsid w:val="003D584A"/>
    <w:rsid w:val="003D5B1C"/>
    <w:rsid w:val="003D5B34"/>
    <w:rsid w:val="003D5C24"/>
    <w:rsid w:val="003D5CEE"/>
    <w:rsid w:val="003D5D99"/>
    <w:rsid w:val="003D5DF0"/>
    <w:rsid w:val="003D5EEF"/>
    <w:rsid w:val="003D6042"/>
    <w:rsid w:val="003D606D"/>
    <w:rsid w:val="003D62C1"/>
    <w:rsid w:val="003D6351"/>
    <w:rsid w:val="003D63A5"/>
    <w:rsid w:val="003D654A"/>
    <w:rsid w:val="003D664B"/>
    <w:rsid w:val="003D6651"/>
    <w:rsid w:val="003D6A12"/>
    <w:rsid w:val="003D6A2D"/>
    <w:rsid w:val="003D6CD6"/>
    <w:rsid w:val="003D703E"/>
    <w:rsid w:val="003D7262"/>
    <w:rsid w:val="003D735F"/>
    <w:rsid w:val="003D7452"/>
    <w:rsid w:val="003D74A9"/>
    <w:rsid w:val="003D74AD"/>
    <w:rsid w:val="003D7549"/>
    <w:rsid w:val="003D75F8"/>
    <w:rsid w:val="003D77BA"/>
    <w:rsid w:val="003D783C"/>
    <w:rsid w:val="003D79BB"/>
    <w:rsid w:val="003D7B97"/>
    <w:rsid w:val="003D7BCA"/>
    <w:rsid w:val="003D7C98"/>
    <w:rsid w:val="003D7D9D"/>
    <w:rsid w:val="003D7EAC"/>
    <w:rsid w:val="003D7FC1"/>
    <w:rsid w:val="003D7FD9"/>
    <w:rsid w:val="003E0070"/>
    <w:rsid w:val="003E0123"/>
    <w:rsid w:val="003E0348"/>
    <w:rsid w:val="003E0353"/>
    <w:rsid w:val="003E0543"/>
    <w:rsid w:val="003E0702"/>
    <w:rsid w:val="003E0754"/>
    <w:rsid w:val="003E08C0"/>
    <w:rsid w:val="003E0917"/>
    <w:rsid w:val="003E0A3F"/>
    <w:rsid w:val="003E0B63"/>
    <w:rsid w:val="003E0BE2"/>
    <w:rsid w:val="003E0C7B"/>
    <w:rsid w:val="003E0D5A"/>
    <w:rsid w:val="003E0DF0"/>
    <w:rsid w:val="003E0F48"/>
    <w:rsid w:val="003E100E"/>
    <w:rsid w:val="003E10CC"/>
    <w:rsid w:val="003E113D"/>
    <w:rsid w:val="003E114D"/>
    <w:rsid w:val="003E12FC"/>
    <w:rsid w:val="003E1596"/>
    <w:rsid w:val="003E159E"/>
    <w:rsid w:val="003E1713"/>
    <w:rsid w:val="003E1782"/>
    <w:rsid w:val="003E180F"/>
    <w:rsid w:val="003E1816"/>
    <w:rsid w:val="003E1824"/>
    <w:rsid w:val="003E19A1"/>
    <w:rsid w:val="003E19FB"/>
    <w:rsid w:val="003E1A4A"/>
    <w:rsid w:val="003E1AA3"/>
    <w:rsid w:val="003E1BE0"/>
    <w:rsid w:val="003E1DE1"/>
    <w:rsid w:val="003E1E32"/>
    <w:rsid w:val="003E1E46"/>
    <w:rsid w:val="003E1E8F"/>
    <w:rsid w:val="003E1EE3"/>
    <w:rsid w:val="003E2006"/>
    <w:rsid w:val="003E20E8"/>
    <w:rsid w:val="003E24EB"/>
    <w:rsid w:val="003E250F"/>
    <w:rsid w:val="003E2616"/>
    <w:rsid w:val="003E265F"/>
    <w:rsid w:val="003E271D"/>
    <w:rsid w:val="003E27E0"/>
    <w:rsid w:val="003E2C42"/>
    <w:rsid w:val="003E2CB9"/>
    <w:rsid w:val="003E2DE0"/>
    <w:rsid w:val="003E2F9B"/>
    <w:rsid w:val="003E2FD5"/>
    <w:rsid w:val="003E34C8"/>
    <w:rsid w:val="003E35F2"/>
    <w:rsid w:val="003E35F7"/>
    <w:rsid w:val="003E361A"/>
    <w:rsid w:val="003E36CA"/>
    <w:rsid w:val="003E36DA"/>
    <w:rsid w:val="003E3719"/>
    <w:rsid w:val="003E37CE"/>
    <w:rsid w:val="003E3BD5"/>
    <w:rsid w:val="003E3C52"/>
    <w:rsid w:val="003E3DEF"/>
    <w:rsid w:val="003E3F79"/>
    <w:rsid w:val="003E4046"/>
    <w:rsid w:val="003E411B"/>
    <w:rsid w:val="003E41DF"/>
    <w:rsid w:val="003E4211"/>
    <w:rsid w:val="003E45D1"/>
    <w:rsid w:val="003E4692"/>
    <w:rsid w:val="003E46AF"/>
    <w:rsid w:val="003E474B"/>
    <w:rsid w:val="003E4994"/>
    <w:rsid w:val="003E4B3F"/>
    <w:rsid w:val="003E4FBA"/>
    <w:rsid w:val="003E50B4"/>
    <w:rsid w:val="003E50E8"/>
    <w:rsid w:val="003E5140"/>
    <w:rsid w:val="003E522D"/>
    <w:rsid w:val="003E529D"/>
    <w:rsid w:val="003E52C5"/>
    <w:rsid w:val="003E52D8"/>
    <w:rsid w:val="003E536E"/>
    <w:rsid w:val="003E539C"/>
    <w:rsid w:val="003E54A6"/>
    <w:rsid w:val="003E5603"/>
    <w:rsid w:val="003E56F4"/>
    <w:rsid w:val="003E5919"/>
    <w:rsid w:val="003E59EE"/>
    <w:rsid w:val="003E5A81"/>
    <w:rsid w:val="003E5C51"/>
    <w:rsid w:val="003E5D58"/>
    <w:rsid w:val="003E5E65"/>
    <w:rsid w:val="003E6165"/>
    <w:rsid w:val="003E6181"/>
    <w:rsid w:val="003E61D5"/>
    <w:rsid w:val="003E628E"/>
    <w:rsid w:val="003E6612"/>
    <w:rsid w:val="003E66FA"/>
    <w:rsid w:val="003E670D"/>
    <w:rsid w:val="003E6985"/>
    <w:rsid w:val="003E6D17"/>
    <w:rsid w:val="003E6D3F"/>
    <w:rsid w:val="003E6DBF"/>
    <w:rsid w:val="003E6DE1"/>
    <w:rsid w:val="003E6F42"/>
    <w:rsid w:val="003E6F4F"/>
    <w:rsid w:val="003E717D"/>
    <w:rsid w:val="003E7306"/>
    <w:rsid w:val="003E749E"/>
    <w:rsid w:val="003E74E5"/>
    <w:rsid w:val="003E75B3"/>
    <w:rsid w:val="003E7719"/>
    <w:rsid w:val="003E77AC"/>
    <w:rsid w:val="003E7824"/>
    <w:rsid w:val="003E7894"/>
    <w:rsid w:val="003E78E7"/>
    <w:rsid w:val="003E7F2F"/>
    <w:rsid w:val="003F0019"/>
    <w:rsid w:val="003F0205"/>
    <w:rsid w:val="003F0262"/>
    <w:rsid w:val="003F029A"/>
    <w:rsid w:val="003F02C1"/>
    <w:rsid w:val="003F0479"/>
    <w:rsid w:val="003F0637"/>
    <w:rsid w:val="003F0699"/>
    <w:rsid w:val="003F081F"/>
    <w:rsid w:val="003F095D"/>
    <w:rsid w:val="003F0972"/>
    <w:rsid w:val="003F09A1"/>
    <w:rsid w:val="003F0A20"/>
    <w:rsid w:val="003F0B5A"/>
    <w:rsid w:val="003F0BC1"/>
    <w:rsid w:val="003F0BC5"/>
    <w:rsid w:val="003F0C86"/>
    <w:rsid w:val="003F0E01"/>
    <w:rsid w:val="003F0F9B"/>
    <w:rsid w:val="003F1430"/>
    <w:rsid w:val="003F1885"/>
    <w:rsid w:val="003F1904"/>
    <w:rsid w:val="003F194E"/>
    <w:rsid w:val="003F19F7"/>
    <w:rsid w:val="003F1A00"/>
    <w:rsid w:val="003F1B38"/>
    <w:rsid w:val="003F1C0B"/>
    <w:rsid w:val="003F1FB9"/>
    <w:rsid w:val="003F203C"/>
    <w:rsid w:val="003F2098"/>
    <w:rsid w:val="003F20DD"/>
    <w:rsid w:val="003F2425"/>
    <w:rsid w:val="003F243B"/>
    <w:rsid w:val="003F25FE"/>
    <w:rsid w:val="003F264E"/>
    <w:rsid w:val="003F27CE"/>
    <w:rsid w:val="003F28E7"/>
    <w:rsid w:val="003F2BB2"/>
    <w:rsid w:val="003F2D6B"/>
    <w:rsid w:val="003F2EDA"/>
    <w:rsid w:val="003F2F7E"/>
    <w:rsid w:val="003F30AA"/>
    <w:rsid w:val="003F326D"/>
    <w:rsid w:val="003F35B8"/>
    <w:rsid w:val="003F36CF"/>
    <w:rsid w:val="003F3824"/>
    <w:rsid w:val="003F3A5A"/>
    <w:rsid w:val="003F3B14"/>
    <w:rsid w:val="003F3CF1"/>
    <w:rsid w:val="003F3EDA"/>
    <w:rsid w:val="003F40A2"/>
    <w:rsid w:val="003F4156"/>
    <w:rsid w:val="003F42F8"/>
    <w:rsid w:val="003F4357"/>
    <w:rsid w:val="003F43CC"/>
    <w:rsid w:val="003F492A"/>
    <w:rsid w:val="003F4BB6"/>
    <w:rsid w:val="003F4BFB"/>
    <w:rsid w:val="003F4CE0"/>
    <w:rsid w:val="003F4F9D"/>
    <w:rsid w:val="003F4FB1"/>
    <w:rsid w:val="003F526E"/>
    <w:rsid w:val="003F5315"/>
    <w:rsid w:val="003F5485"/>
    <w:rsid w:val="003F554D"/>
    <w:rsid w:val="003F559B"/>
    <w:rsid w:val="003F56CA"/>
    <w:rsid w:val="003F5774"/>
    <w:rsid w:val="003F57A7"/>
    <w:rsid w:val="003F57DD"/>
    <w:rsid w:val="003F5915"/>
    <w:rsid w:val="003F598E"/>
    <w:rsid w:val="003F5ADF"/>
    <w:rsid w:val="003F5BCB"/>
    <w:rsid w:val="003F5D16"/>
    <w:rsid w:val="003F5DA6"/>
    <w:rsid w:val="003F5F54"/>
    <w:rsid w:val="003F5F6B"/>
    <w:rsid w:val="003F6116"/>
    <w:rsid w:val="003F6165"/>
    <w:rsid w:val="003F635C"/>
    <w:rsid w:val="003F63C4"/>
    <w:rsid w:val="003F6453"/>
    <w:rsid w:val="003F64AC"/>
    <w:rsid w:val="003F6862"/>
    <w:rsid w:val="003F6A5F"/>
    <w:rsid w:val="003F6A9E"/>
    <w:rsid w:val="003F6DE7"/>
    <w:rsid w:val="003F6E4C"/>
    <w:rsid w:val="003F6EFD"/>
    <w:rsid w:val="003F6F87"/>
    <w:rsid w:val="003F6FC1"/>
    <w:rsid w:val="003F70B9"/>
    <w:rsid w:val="003F71B2"/>
    <w:rsid w:val="003F71E1"/>
    <w:rsid w:val="003F723A"/>
    <w:rsid w:val="003F73DA"/>
    <w:rsid w:val="003F7458"/>
    <w:rsid w:val="003F786E"/>
    <w:rsid w:val="003F7AFC"/>
    <w:rsid w:val="003F7BE9"/>
    <w:rsid w:val="003F7CE0"/>
    <w:rsid w:val="003F7F1E"/>
    <w:rsid w:val="0040007E"/>
    <w:rsid w:val="00400092"/>
    <w:rsid w:val="004000F3"/>
    <w:rsid w:val="0040011B"/>
    <w:rsid w:val="00400429"/>
    <w:rsid w:val="00400436"/>
    <w:rsid w:val="00400457"/>
    <w:rsid w:val="0040053D"/>
    <w:rsid w:val="004005F0"/>
    <w:rsid w:val="004007EA"/>
    <w:rsid w:val="004008DF"/>
    <w:rsid w:val="00400B08"/>
    <w:rsid w:val="00400B29"/>
    <w:rsid w:val="00400B49"/>
    <w:rsid w:val="00400C06"/>
    <w:rsid w:val="00400C6A"/>
    <w:rsid w:val="00400F1A"/>
    <w:rsid w:val="0040112A"/>
    <w:rsid w:val="00401287"/>
    <w:rsid w:val="004012AA"/>
    <w:rsid w:val="004012C6"/>
    <w:rsid w:val="004013C6"/>
    <w:rsid w:val="0040156F"/>
    <w:rsid w:val="00401597"/>
    <w:rsid w:val="00401816"/>
    <w:rsid w:val="00401AE9"/>
    <w:rsid w:val="00401C48"/>
    <w:rsid w:val="00401D84"/>
    <w:rsid w:val="00401F47"/>
    <w:rsid w:val="004020B5"/>
    <w:rsid w:val="0040214D"/>
    <w:rsid w:val="004021F7"/>
    <w:rsid w:val="0040234B"/>
    <w:rsid w:val="00402427"/>
    <w:rsid w:val="0040259C"/>
    <w:rsid w:val="00402603"/>
    <w:rsid w:val="004026E7"/>
    <w:rsid w:val="00402812"/>
    <w:rsid w:val="0040284B"/>
    <w:rsid w:val="00402909"/>
    <w:rsid w:val="00402966"/>
    <w:rsid w:val="00402B6B"/>
    <w:rsid w:val="00402C84"/>
    <w:rsid w:val="00402D1B"/>
    <w:rsid w:val="00402EEA"/>
    <w:rsid w:val="00402FB2"/>
    <w:rsid w:val="0040330B"/>
    <w:rsid w:val="00403382"/>
    <w:rsid w:val="00403469"/>
    <w:rsid w:val="00403646"/>
    <w:rsid w:val="00403834"/>
    <w:rsid w:val="00403886"/>
    <w:rsid w:val="00403A93"/>
    <w:rsid w:val="00403FEC"/>
    <w:rsid w:val="00404207"/>
    <w:rsid w:val="004042A9"/>
    <w:rsid w:val="004043FB"/>
    <w:rsid w:val="0040446E"/>
    <w:rsid w:val="0040456F"/>
    <w:rsid w:val="004046E2"/>
    <w:rsid w:val="00404715"/>
    <w:rsid w:val="004048C9"/>
    <w:rsid w:val="004048CD"/>
    <w:rsid w:val="0040496D"/>
    <w:rsid w:val="00404987"/>
    <w:rsid w:val="00404A10"/>
    <w:rsid w:val="00404BB8"/>
    <w:rsid w:val="00404C1E"/>
    <w:rsid w:val="00404DDC"/>
    <w:rsid w:val="00404F83"/>
    <w:rsid w:val="0040503B"/>
    <w:rsid w:val="0040504B"/>
    <w:rsid w:val="00405366"/>
    <w:rsid w:val="00405524"/>
    <w:rsid w:val="0040557B"/>
    <w:rsid w:val="004059F4"/>
    <w:rsid w:val="00405AB0"/>
    <w:rsid w:val="00405B4B"/>
    <w:rsid w:val="00405D98"/>
    <w:rsid w:val="00405DAD"/>
    <w:rsid w:val="00406053"/>
    <w:rsid w:val="00406214"/>
    <w:rsid w:val="004066CF"/>
    <w:rsid w:val="00406757"/>
    <w:rsid w:val="0040676D"/>
    <w:rsid w:val="00406797"/>
    <w:rsid w:val="004068BC"/>
    <w:rsid w:val="0040697F"/>
    <w:rsid w:val="00406A1D"/>
    <w:rsid w:val="00406CC2"/>
    <w:rsid w:val="00406DDF"/>
    <w:rsid w:val="00406E29"/>
    <w:rsid w:val="00407055"/>
    <w:rsid w:val="004070D0"/>
    <w:rsid w:val="00407165"/>
    <w:rsid w:val="00407316"/>
    <w:rsid w:val="004074AD"/>
    <w:rsid w:val="004075C3"/>
    <w:rsid w:val="00407640"/>
    <w:rsid w:val="00407788"/>
    <w:rsid w:val="00407944"/>
    <w:rsid w:val="004079AD"/>
    <w:rsid w:val="00407A10"/>
    <w:rsid w:val="00407C03"/>
    <w:rsid w:val="00407DAB"/>
    <w:rsid w:val="00407E36"/>
    <w:rsid w:val="00407EAB"/>
    <w:rsid w:val="00407FD2"/>
    <w:rsid w:val="00407FE5"/>
    <w:rsid w:val="00410010"/>
    <w:rsid w:val="00410023"/>
    <w:rsid w:val="0041002B"/>
    <w:rsid w:val="004101B0"/>
    <w:rsid w:val="004101EC"/>
    <w:rsid w:val="00410326"/>
    <w:rsid w:val="0041038B"/>
    <w:rsid w:val="00410708"/>
    <w:rsid w:val="0041081A"/>
    <w:rsid w:val="00410824"/>
    <w:rsid w:val="004109D7"/>
    <w:rsid w:val="00410B8E"/>
    <w:rsid w:val="00410BA1"/>
    <w:rsid w:val="00410EC7"/>
    <w:rsid w:val="00411156"/>
    <w:rsid w:val="004112D2"/>
    <w:rsid w:val="004112F4"/>
    <w:rsid w:val="00411305"/>
    <w:rsid w:val="0041150C"/>
    <w:rsid w:val="00411724"/>
    <w:rsid w:val="004118B6"/>
    <w:rsid w:val="00411B39"/>
    <w:rsid w:val="00411B5D"/>
    <w:rsid w:val="00411BDB"/>
    <w:rsid w:val="00411CC1"/>
    <w:rsid w:val="00412139"/>
    <w:rsid w:val="004127A7"/>
    <w:rsid w:val="0041286C"/>
    <w:rsid w:val="00412C73"/>
    <w:rsid w:val="00412DC0"/>
    <w:rsid w:val="00412F08"/>
    <w:rsid w:val="004130C4"/>
    <w:rsid w:val="0041337F"/>
    <w:rsid w:val="004134B9"/>
    <w:rsid w:val="004136F6"/>
    <w:rsid w:val="00413803"/>
    <w:rsid w:val="00413A0B"/>
    <w:rsid w:val="00413A1E"/>
    <w:rsid w:val="00413B17"/>
    <w:rsid w:val="00413B8C"/>
    <w:rsid w:val="00413DC0"/>
    <w:rsid w:val="00413DE8"/>
    <w:rsid w:val="00413F78"/>
    <w:rsid w:val="00414069"/>
    <w:rsid w:val="00414092"/>
    <w:rsid w:val="0041428D"/>
    <w:rsid w:val="00414476"/>
    <w:rsid w:val="004144A4"/>
    <w:rsid w:val="004147C5"/>
    <w:rsid w:val="004147EC"/>
    <w:rsid w:val="004148A9"/>
    <w:rsid w:val="00414A5B"/>
    <w:rsid w:val="00414A87"/>
    <w:rsid w:val="00414C2E"/>
    <w:rsid w:val="00414C84"/>
    <w:rsid w:val="00414D79"/>
    <w:rsid w:val="00414E76"/>
    <w:rsid w:val="00414F42"/>
    <w:rsid w:val="00415178"/>
    <w:rsid w:val="004151CF"/>
    <w:rsid w:val="00415248"/>
    <w:rsid w:val="00415273"/>
    <w:rsid w:val="0041529E"/>
    <w:rsid w:val="004159C1"/>
    <w:rsid w:val="00415A4A"/>
    <w:rsid w:val="00415BE0"/>
    <w:rsid w:val="00415C95"/>
    <w:rsid w:val="00415D94"/>
    <w:rsid w:val="00415ED4"/>
    <w:rsid w:val="00416162"/>
    <w:rsid w:val="0041625C"/>
    <w:rsid w:val="00416300"/>
    <w:rsid w:val="00416322"/>
    <w:rsid w:val="00416364"/>
    <w:rsid w:val="004163BA"/>
    <w:rsid w:val="004167BD"/>
    <w:rsid w:val="0041699D"/>
    <w:rsid w:val="00416A5C"/>
    <w:rsid w:val="00416B58"/>
    <w:rsid w:val="00416C23"/>
    <w:rsid w:val="00416FFC"/>
    <w:rsid w:val="00417040"/>
    <w:rsid w:val="004172B3"/>
    <w:rsid w:val="004173AB"/>
    <w:rsid w:val="004179B3"/>
    <w:rsid w:val="00417AC9"/>
    <w:rsid w:val="00417B65"/>
    <w:rsid w:val="00417BED"/>
    <w:rsid w:val="00417C2C"/>
    <w:rsid w:val="00417CD4"/>
    <w:rsid w:val="00417CFD"/>
    <w:rsid w:val="00417D45"/>
    <w:rsid w:val="00417EE0"/>
    <w:rsid w:val="00417F20"/>
    <w:rsid w:val="00417FFA"/>
    <w:rsid w:val="00420021"/>
    <w:rsid w:val="004201FE"/>
    <w:rsid w:val="004203A4"/>
    <w:rsid w:val="0042047F"/>
    <w:rsid w:val="004204EF"/>
    <w:rsid w:val="00420946"/>
    <w:rsid w:val="00420973"/>
    <w:rsid w:val="004209B3"/>
    <w:rsid w:val="00420AA6"/>
    <w:rsid w:val="00420B1A"/>
    <w:rsid w:val="00420B9B"/>
    <w:rsid w:val="00420B9F"/>
    <w:rsid w:val="00420E5E"/>
    <w:rsid w:val="00420E92"/>
    <w:rsid w:val="00420FDD"/>
    <w:rsid w:val="00421253"/>
    <w:rsid w:val="0042136A"/>
    <w:rsid w:val="004213ED"/>
    <w:rsid w:val="004214A0"/>
    <w:rsid w:val="0042162F"/>
    <w:rsid w:val="0042163B"/>
    <w:rsid w:val="0042192C"/>
    <w:rsid w:val="00421AC3"/>
    <w:rsid w:val="00421B55"/>
    <w:rsid w:val="004220AB"/>
    <w:rsid w:val="00422260"/>
    <w:rsid w:val="004222CC"/>
    <w:rsid w:val="0042231D"/>
    <w:rsid w:val="004223A2"/>
    <w:rsid w:val="004224D2"/>
    <w:rsid w:val="00422675"/>
    <w:rsid w:val="004226D8"/>
    <w:rsid w:val="004226FF"/>
    <w:rsid w:val="004227B1"/>
    <w:rsid w:val="004227C0"/>
    <w:rsid w:val="00422986"/>
    <w:rsid w:val="00422D25"/>
    <w:rsid w:val="00422DFD"/>
    <w:rsid w:val="00423296"/>
    <w:rsid w:val="004232E4"/>
    <w:rsid w:val="004232FC"/>
    <w:rsid w:val="00423411"/>
    <w:rsid w:val="004236D2"/>
    <w:rsid w:val="00423886"/>
    <w:rsid w:val="00423938"/>
    <w:rsid w:val="00423B50"/>
    <w:rsid w:val="004240A7"/>
    <w:rsid w:val="0042413F"/>
    <w:rsid w:val="004241FB"/>
    <w:rsid w:val="00424263"/>
    <w:rsid w:val="00424277"/>
    <w:rsid w:val="0042451B"/>
    <w:rsid w:val="004245AC"/>
    <w:rsid w:val="004245B8"/>
    <w:rsid w:val="004245F0"/>
    <w:rsid w:val="004246A3"/>
    <w:rsid w:val="00424726"/>
    <w:rsid w:val="00424856"/>
    <w:rsid w:val="004248C6"/>
    <w:rsid w:val="00424907"/>
    <w:rsid w:val="00424A88"/>
    <w:rsid w:val="00424B5E"/>
    <w:rsid w:val="00424BEF"/>
    <w:rsid w:val="00424CFA"/>
    <w:rsid w:val="00424E80"/>
    <w:rsid w:val="00424E9F"/>
    <w:rsid w:val="00424F15"/>
    <w:rsid w:val="00425186"/>
    <w:rsid w:val="0042525B"/>
    <w:rsid w:val="004252CA"/>
    <w:rsid w:val="00425330"/>
    <w:rsid w:val="00425355"/>
    <w:rsid w:val="0042548B"/>
    <w:rsid w:val="00425667"/>
    <w:rsid w:val="004256F5"/>
    <w:rsid w:val="004259F9"/>
    <w:rsid w:val="00425B72"/>
    <w:rsid w:val="00425B91"/>
    <w:rsid w:val="00425D73"/>
    <w:rsid w:val="00425D74"/>
    <w:rsid w:val="00425F8D"/>
    <w:rsid w:val="00425F98"/>
    <w:rsid w:val="00426045"/>
    <w:rsid w:val="004261C4"/>
    <w:rsid w:val="004262A3"/>
    <w:rsid w:val="00426368"/>
    <w:rsid w:val="004264A2"/>
    <w:rsid w:val="00426527"/>
    <w:rsid w:val="0042677C"/>
    <w:rsid w:val="0042686B"/>
    <w:rsid w:val="00426A8C"/>
    <w:rsid w:val="00426BF6"/>
    <w:rsid w:val="00426C49"/>
    <w:rsid w:val="00426C9A"/>
    <w:rsid w:val="0042703D"/>
    <w:rsid w:val="004271EF"/>
    <w:rsid w:val="0042733B"/>
    <w:rsid w:val="004273E8"/>
    <w:rsid w:val="0042758B"/>
    <w:rsid w:val="00427600"/>
    <w:rsid w:val="00427663"/>
    <w:rsid w:val="00427706"/>
    <w:rsid w:val="00427748"/>
    <w:rsid w:val="00427B35"/>
    <w:rsid w:val="00427B5E"/>
    <w:rsid w:val="00427BD0"/>
    <w:rsid w:val="00427C75"/>
    <w:rsid w:val="00427E10"/>
    <w:rsid w:val="00430129"/>
    <w:rsid w:val="00430264"/>
    <w:rsid w:val="00430267"/>
    <w:rsid w:val="004303B7"/>
    <w:rsid w:val="004303CD"/>
    <w:rsid w:val="00430520"/>
    <w:rsid w:val="004306A9"/>
    <w:rsid w:val="00430759"/>
    <w:rsid w:val="0043091D"/>
    <w:rsid w:val="0043093C"/>
    <w:rsid w:val="004309D7"/>
    <w:rsid w:val="00430A1D"/>
    <w:rsid w:val="00430A42"/>
    <w:rsid w:val="00430B9A"/>
    <w:rsid w:val="00431110"/>
    <w:rsid w:val="0043115F"/>
    <w:rsid w:val="00431214"/>
    <w:rsid w:val="004313DC"/>
    <w:rsid w:val="00431559"/>
    <w:rsid w:val="0043167C"/>
    <w:rsid w:val="004316C9"/>
    <w:rsid w:val="0043175E"/>
    <w:rsid w:val="00431795"/>
    <w:rsid w:val="00431834"/>
    <w:rsid w:val="00431843"/>
    <w:rsid w:val="004318E9"/>
    <w:rsid w:val="00431926"/>
    <w:rsid w:val="00431934"/>
    <w:rsid w:val="004319F8"/>
    <w:rsid w:val="00431BC6"/>
    <w:rsid w:val="00431E55"/>
    <w:rsid w:val="00431EAD"/>
    <w:rsid w:val="00431FAB"/>
    <w:rsid w:val="004320BA"/>
    <w:rsid w:val="0043216F"/>
    <w:rsid w:val="004321F6"/>
    <w:rsid w:val="0043234C"/>
    <w:rsid w:val="0043238E"/>
    <w:rsid w:val="00432394"/>
    <w:rsid w:val="004323C7"/>
    <w:rsid w:val="0043249C"/>
    <w:rsid w:val="00432702"/>
    <w:rsid w:val="0043271D"/>
    <w:rsid w:val="00432768"/>
    <w:rsid w:val="004327DB"/>
    <w:rsid w:val="004327F0"/>
    <w:rsid w:val="00432975"/>
    <w:rsid w:val="00432D84"/>
    <w:rsid w:val="00433044"/>
    <w:rsid w:val="004331CC"/>
    <w:rsid w:val="0043332F"/>
    <w:rsid w:val="004334D2"/>
    <w:rsid w:val="00433607"/>
    <w:rsid w:val="00433630"/>
    <w:rsid w:val="00433764"/>
    <w:rsid w:val="0043377C"/>
    <w:rsid w:val="004339A4"/>
    <w:rsid w:val="00433B70"/>
    <w:rsid w:val="00433BC7"/>
    <w:rsid w:val="00433C25"/>
    <w:rsid w:val="00433D32"/>
    <w:rsid w:val="00433D78"/>
    <w:rsid w:val="00434088"/>
    <w:rsid w:val="004340F4"/>
    <w:rsid w:val="00434230"/>
    <w:rsid w:val="0043433F"/>
    <w:rsid w:val="004344BE"/>
    <w:rsid w:val="004345F8"/>
    <w:rsid w:val="004348FC"/>
    <w:rsid w:val="00434AEA"/>
    <w:rsid w:val="00434D37"/>
    <w:rsid w:val="00434E36"/>
    <w:rsid w:val="0043514F"/>
    <w:rsid w:val="004351D5"/>
    <w:rsid w:val="0043520E"/>
    <w:rsid w:val="00435309"/>
    <w:rsid w:val="00435AEF"/>
    <w:rsid w:val="00435C89"/>
    <w:rsid w:val="00435CB7"/>
    <w:rsid w:val="00435D7F"/>
    <w:rsid w:val="00435D8D"/>
    <w:rsid w:val="00435ED7"/>
    <w:rsid w:val="004362A1"/>
    <w:rsid w:val="004362B2"/>
    <w:rsid w:val="0043637B"/>
    <w:rsid w:val="004364E4"/>
    <w:rsid w:val="004365BB"/>
    <w:rsid w:val="004366A4"/>
    <w:rsid w:val="00436874"/>
    <w:rsid w:val="0043694C"/>
    <w:rsid w:val="004369CC"/>
    <w:rsid w:val="00436B25"/>
    <w:rsid w:val="00436BBA"/>
    <w:rsid w:val="00436BCA"/>
    <w:rsid w:val="00436E07"/>
    <w:rsid w:val="00437123"/>
    <w:rsid w:val="00437124"/>
    <w:rsid w:val="0043724A"/>
    <w:rsid w:val="004374AE"/>
    <w:rsid w:val="004375B9"/>
    <w:rsid w:val="00437985"/>
    <w:rsid w:val="00437A9B"/>
    <w:rsid w:val="00437B5B"/>
    <w:rsid w:val="00437D24"/>
    <w:rsid w:val="00437EFB"/>
    <w:rsid w:val="00437EFD"/>
    <w:rsid w:val="00437F34"/>
    <w:rsid w:val="0044009D"/>
    <w:rsid w:val="004400C9"/>
    <w:rsid w:val="00440207"/>
    <w:rsid w:val="0044028A"/>
    <w:rsid w:val="0044035B"/>
    <w:rsid w:val="004403F3"/>
    <w:rsid w:val="00440450"/>
    <w:rsid w:val="0044050C"/>
    <w:rsid w:val="00440882"/>
    <w:rsid w:val="00440D46"/>
    <w:rsid w:val="004410B2"/>
    <w:rsid w:val="004411C3"/>
    <w:rsid w:val="004414A7"/>
    <w:rsid w:val="004416E2"/>
    <w:rsid w:val="00441766"/>
    <w:rsid w:val="004417CF"/>
    <w:rsid w:val="004418D0"/>
    <w:rsid w:val="0044193B"/>
    <w:rsid w:val="00441B21"/>
    <w:rsid w:val="00441B90"/>
    <w:rsid w:val="00441C15"/>
    <w:rsid w:val="00441CEA"/>
    <w:rsid w:val="00441DED"/>
    <w:rsid w:val="00441E05"/>
    <w:rsid w:val="00441E15"/>
    <w:rsid w:val="00441E4A"/>
    <w:rsid w:val="00442000"/>
    <w:rsid w:val="004421BD"/>
    <w:rsid w:val="00442424"/>
    <w:rsid w:val="0044255D"/>
    <w:rsid w:val="0044260A"/>
    <w:rsid w:val="004428D0"/>
    <w:rsid w:val="00442A93"/>
    <w:rsid w:val="00442D9D"/>
    <w:rsid w:val="00442FA1"/>
    <w:rsid w:val="00443088"/>
    <w:rsid w:val="004431AC"/>
    <w:rsid w:val="004431DF"/>
    <w:rsid w:val="0044333B"/>
    <w:rsid w:val="0044352E"/>
    <w:rsid w:val="0044353A"/>
    <w:rsid w:val="00443628"/>
    <w:rsid w:val="00443632"/>
    <w:rsid w:val="00443797"/>
    <w:rsid w:val="004438EF"/>
    <w:rsid w:val="00443960"/>
    <w:rsid w:val="00443B12"/>
    <w:rsid w:val="00443D0E"/>
    <w:rsid w:val="00443D3E"/>
    <w:rsid w:val="00443D62"/>
    <w:rsid w:val="00443E05"/>
    <w:rsid w:val="004440BE"/>
    <w:rsid w:val="004440FE"/>
    <w:rsid w:val="00444185"/>
    <w:rsid w:val="00444188"/>
    <w:rsid w:val="004443A7"/>
    <w:rsid w:val="0044442C"/>
    <w:rsid w:val="00444631"/>
    <w:rsid w:val="00444A11"/>
    <w:rsid w:val="00444A8C"/>
    <w:rsid w:val="00444AEE"/>
    <w:rsid w:val="00444B9F"/>
    <w:rsid w:val="00444BE6"/>
    <w:rsid w:val="00444D95"/>
    <w:rsid w:val="00444F19"/>
    <w:rsid w:val="00444FC8"/>
    <w:rsid w:val="00445339"/>
    <w:rsid w:val="004453A7"/>
    <w:rsid w:val="00445941"/>
    <w:rsid w:val="00445D87"/>
    <w:rsid w:val="0044609B"/>
    <w:rsid w:val="004460AD"/>
    <w:rsid w:val="004460FB"/>
    <w:rsid w:val="004462FC"/>
    <w:rsid w:val="004463F9"/>
    <w:rsid w:val="004464EB"/>
    <w:rsid w:val="004465BB"/>
    <w:rsid w:val="0044660B"/>
    <w:rsid w:val="00446615"/>
    <w:rsid w:val="0044664D"/>
    <w:rsid w:val="004466BA"/>
    <w:rsid w:val="0044679E"/>
    <w:rsid w:val="00446873"/>
    <w:rsid w:val="00446BD5"/>
    <w:rsid w:val="00446C1D"/>
    <w:rsid w:val="00446EE5"/>
    <w:rsid w:val="00446FEF"/>
    <w:rsid w:val="0044736F"/>
    <w:rsid w:val="00447542"/>
    <w:rsid w:val="00447606"/>
    <w:rsid w:val="0044779C"/>
    <w:rsid w:val="00447B99"/>
    <w:rsid w:val="00447D02"/>
    <w:rsid w:val="00447D26"/>
    <w:rsid w:val="00447DFC"/>
    <w:rsid w:val="00447ED0"/>
    <w:rsid w:val="00447F2A"/>
    <w:rsid w:val="00450047"/>
    <w:rsid w:val="00450070"/>
    <w:rsid w:val="0045010B"/>
    <w:rsid w:val="00450379"/>
    <w:rsid w:val="0045048D"/>
    <w:rsid w:val="004504B6"/>
    <w:rsid w:val="00450DD5"/>
    <w:rsid w:val="00450F71"/>
    <w:rsid w:val="0045119C"/>
    <w:rsid w:val="004511B8"/>
    <w:rsid w:val="0045129B"/>
    <w:rsid w:val="004516FB"/>
    <w:rsid w:val="00451A7D"/>
    <w:rsid w:val="00451B01"/>
    <w:rsid w:val="00451CBA"/>
    <w:rsid w:val="00451E80"/>
    <w:rsid w:val="00451FFA"/>
    <w:rsid w:val="00452026"/>
    <w:rsid w:val="004521E8"/>
    <w:rsid w:val="00452259"/>
    <w:rsid w:val="004522B1"/>
    <w:rsid w:val="00452461"/>
    <w:rsid w:val="004525C3"/>
    <w:rsid w:val="004525C5"/>
    <w:rsid w:val="00452886"/>
    <w:rsid w:val="00452929"/>
    <w:rsid w:val="004529CB"/>
    <w:rsid w:val="004529D3"/>
    <w:rsid w:val="00452A02"/>
    <w:rsid w:val="00452A28"/>
    <w:rsid w:val="00452D55"/>
    <w:rsid w:val="00452EDB"/>
    <w:rsid w:val="00452F88"/>
    <w:rsid w:val="004530A8"/>
    <w:rsid w:val="004530DE"/>
    <w:rsid w:val="0045317A"/>
    <w:rsid w:val="004531BF"/>
    <w:rsid w:val="0045345A"/>
    <w:rsid w:val="00453679"/>
    <w:rsid w:val="004537BF"/>
    <w:rsid w:val="00453857"/>
    <w:rsid w:val="00453ACE"/>
    <w:rsid w:val="00453BE0"/>
    <w:rsid w:val="00453BEA"/>
    <w:rsid w:val="00453C9F"/>
    <w:rsid w:val="00453FC1"/>
    <w:rsid w:val="00454045"/>
    <w:rsid w:val="00454194"/>
    <w:rsid w:val="004541EA"/>
    <w:rsid w:val="004542FF"/>
    <w:rsid w:val="00454585"/>
    <w:rsid w:val="0045476C"/>
    <w:rsid w:val="00454879"/>
    <w:rsid w:val="00454B1C"/>
    <w:rsid w:val="00454B79"/>
    <w:rsid w:val="00454D60"/>
    <w:rsid w:val="00454E3E"/>
    <w:rsid w:val="00454E90"/>
    <w:rsid w:val="00454EB3"/>
    <w:rsid w:val="00454F21"/>
    <w:rsid w:val="00454F2D"/>
    <w:rsid w:val="00455157"/>
    <w:rsid w:val="0045515F"/>
    <w:rsid w:val="0045518F"/>
    <w:rsid w:val="0045535D"/>
    <w:rsid w:val="0045537F"/>
    <w:rsid w:val="0045547D"/>
    <w:rsid w:val="00455522"/>
    <w:rsid w:val="0045582F"/>
    <w:rsid w:val="00455929"/>
    <w:rsid w:val="004559D8"/>
    <w:rsid w:val="00455C20"/>
    <w:rsid w:val="00455D45"/>
    <w:rsid w:val="00455F31"/>
    <w:rsid w:val="00455F46"/>
    <w:rsid w:val="00456889"/>
    <w:rsid w:val="00456A4A"/>
    <w:rsid w:val="00456C20"/>
    <w:rsid w:val="00456C4D"/>
    <w:rsid w:val="00456DC0"/>
    <w:rsid w:val="00456E50"/>
    <w:rsid w:val="00456E53"/>
    <w:rsid w:val="00456EFC"/>
    <w:rsid w:val="00456F0B"/>
    <w:rsid w:val="00457069"/>
    <w:rsid w:val="004570F2"/>
    <w:rsid w:val="004571FA"/>
    <w:rsid w:val="00457228"/>
    <w:rsid w:val="00457288"/>
    <w:rsid w:val="0045738E"/>
    <w:rsid w:val="00457455"/>
    <w:rsid w:val="004574D7"/>
    <w:rsid w:val="00457A73"/>
    <w:rsid w:val="00457A80"/>
    <w:rsid w:val="00457B07"/>
    <w:rsid w:val="0046003F"/>
    <w:rsid w:val="00460041"/>
    <w:rsid w:val="00460099"/>
    <w:rsid w:val="004600AC"/>
    <w:rsid w:val="0046021F"/>
    <w:rsid w:val="004604A5"/>
    <w:rsid w:val="00460530"/>
    <w:rsid w:val="00460540"/>
    <w:rsid w:val="004605D9"/>
    <w:rsid w:val="00460618"/>
    <w:rsid w:val="004607E4"/>
    <w:rsid w:val="004608C1"/>
    <w:rsid w:val="004608E8"/>
    <w:rsid w:val="00460A6A"/>
    <w:rsid w:val="00460B2B"/>
    <w:rsid w:val="00460B98"/>
    <w:rsid w:val="00460E38"/>
    <w:rsid w:val="00460F7D"/>
    <w:rsid w:val="004611A6"/>
    <w:rsid w:val="0046124E"/>
    <w:rsid w:val="0046142D"/>
    <w:rsid w:val="00461706"/>
    <w:rsid w:val="00461793"/>
    <w:rsid w:val="004617ED"/>
    <w:rsid w:val="00461839"/>
    <w:rsid w:val="004619E2"/>
    <w:rsid w:val="00461A0E"/>
    <w:rsid w:val="00461A69"/>
    <w:rsid w:val="00461A83"/>
    <w:rsid w:val="00461A8D"/>
    <w:rsid w:val="00461B68"/>
    <w:rsid w:val="00461C34"/>
    <w:rsid w:val="00461E57"/>
    <w:rsid w:val="00461F08"/>
    <w:rsid w:val="0046215F"/>
    <w:rsid w:val="004624FC"/>
    <w:rsid w:val="00462532"/>
    <w:rsid w:val="00462603"/>
    <w:rsid w:val="004626AA"/>
    <w:rsid w:val="00462744"/>
    <w:rsid w:val="00462765"/>
    <w:rsid w:val="00462904"/>
    <w:rsid w:val="00462980"/>
    <w:rsid w:val="00462982"/>
    <w:rsid w:val="00462A2C"/>
    <w:rsid w:val="00462B11"/>
    <w:rsid w:val="00462C4C"/>
    <w:rsid w:val="00462CA7"/>
    <w:rsid w:val="00462ECA"/>
    <w:rsid w:val="0046307B"/>
    <w:rsid w:val="0046310C"/>
    <w:rsid w:val="004631DE"/>
    <w:rsid w:val="004632F9"/>
    <w:rsid w:val="00463359"/>
    <w:rsid w:val="00463416"/>
    <w:rsid w:val="00463442"/>
    <w:rsid w:val="00463729"/>
    <w:rsid w:val="00463852"/>
    <w:rsid w:val="004638E4"/>
    <w:rsid w:val="0046392C"/>
    <w:rsid w:val="00463936"/>
    <w:rsid w:val="004639A5"/>
    <w:rsid w:val="004639B4"/>
    <w:rsid w:val="00463BBE"/>
    <w:rsid w:val="00463C9C"/>
    <w:rsid w:val="00463DDB"/>
    <w:rsid w:val="00463E17"/>
    <w:rsid w:val="00463E99"/>
    <w:rsid w:val="00464104"/>
    <w:rsid w:val="00464465"/>
    <w:rsid w:val="00464595"/>
    <w:rsid w:val="00464616"/>
    <w:rsid w:val="004648B1"/>
    <w:rsid w:val="00464A11"/>
    <w:rsid w:val="00464A62"/>
    <w:rsid w:val="00464DB0"/>
    <w:rsid w:val="00464E88"/>
    <w:rsid w:val="00464E9D"/>
    <w:rsid w:val="00464ED6"/>
    <w:rsid w:val="00464F85"/>
    <w:rsid w:val="004651E2"/>
    <w:rsid w:val="004652DB"/>
    <w:rsid w:val="0046547D"/>
    <w:rsid w:val="004655DF"/>
    <w:rsid w:val="00465677"/>
    <w:rsid w:val="004657DF"/>
    <w:rsid w:val="004658B5"/>
    <w:rsid w:val="004658FF"/>
    <w:rsid w:val="00465918"/>
    <w:rsid w:val="0046597B"/>
    <w:rsid w:val="00465D95"/>
    <w:rsid w:val="00465DF4"/>
    <w:rsid w:val="00465E28"/>
    <w:rsid w:val="00465FA7"/>
    <w:rsid w:val="00466361"/>
    <w:rsid w:val="004664C0"/>
    <w:rsid w:val="00466602"/>
    <w:rsid w:val="004666D6"/>
    <w:rsid w:val="00466880"/>
    <w:rsid w:val="00466988"/>
    <w:rsid w:val="00466A50"/>
    <w:rsid w:val="00466B4E"/>
    <w:rsid w:val="00466C11"/>
    <w:rsid w:val="00466D4C"/>
    <w:rsid w:val="00467035"/>
    <w:rsid w:val="004671BF"/>
    <w:rsid w:val="004673B2"/>
    <w:rsid w:val="004674FF"/>
    <w:rsid w:val="0046753D"/>
    <w:rsid w:val="00467618"/>
    <w:rsid w:val="004677FD"/>
    <w:rsid w:val="00467807"/>
    <w:rsid w:val="00467869"/>
    <w:rsid w:val="004678DE"/>
    <w:rsid w:val="004678E6"/>
    <w:rsid w:val="00467936"/>
    <w:rsid w:val="00467A5E"/>
    <w:rsid w:val="00467A8B"/>
    <w:rsid w:val="00467C17"/>
    <w:rsid w:val="00467D59"/>
    <w:rsid w:val="00467D8E"/>
    <w:rsid w:val="00467E62"/>
    <w:rsid w:val="00467F70"/>
    <w:rsid w:val="00467FAD"/>
    <w:rsid w:val="0047007B"/>
    <w:rsid w:val="004700F9"/>
    <w:rsid w:val="004701A4"/>
    <w:rsid w:val="00470214"/>
    <w:rsid w:val="00470335"/>
    <w:rsid w:val="0047064E"/>
    <w:rsid w:val="00470778"/>
    <w:rsid w:val="00470B47"/>
    <w:rsid w:val="00470D47"/>
    <w:rsid w:val="00470D5E"/>
    <w:rsid w:val="00471004"/>
    <w:rsid w:val="0047102F"/>
    <w:rsid w:val="00471047"/>
    <w:rsid w:val="004710E8"/>
    <w:rsid w:val="00471327"/>
    <w:rsid w:val="004713B1"/>
    <w:rsid w:val="0047160C"/>
    <w:rsid w:val="0047165D"/>
    <w:rsid w:val="0047174A"/>
    <w:rsid w:val="004717C6"/>
    <w:rsid w:val="00471ACC"/>
    <w:rsid w:val="00471B11"/>
    <w:rsid w:val="00471CCF"/>
    <w:rsid w:val="00471EA5"/>
    <w:rsid w:val="00471FE5"/>
    <w:rsid w:val="004721A5"/>
    <w:rsid w:val="00472224"/>
    <w:rsid w:val="00472295"/>
    <w:rsid w:val="004722A2"/>
    <w:rsid w:val="004722A5"/>
    <w:rsid w:val="004723FD"/>
    <w:rsid w:val="00472434"/>
    <w:rsid w:val="004724B7"/>
    <w:rsid w:val="004724EB"/>
    <w:rsid w:val="00472755"/>
    <w:rsid w:val="0047289E"/>
    <w:rsid w:val="00472945"/>
    <w:rsid w:val="00472A79"/>
    <w:rsid w:val="00472B18"/>
    <w:rsid w:val="00472BAA"/>
    <w:rsid w:val="00472D88"/>
    <w:rsid w:val="00472DBD"/>
    <w:rsid w:val="00472F55"/>
    <w:rsid w:val="00472F6E"/>
    <w:rsid w:val="004730A3"/>
    <w:rsid w:val="004730CF"/>
    <w:rsid w:val="00473171"/>
    <w:rsid w:val="004731E5"/>
    <w:rsid w:val="004731FA"/>
    <w:rsid w:val="00473209"/>
    <w:rsid w:val="004732C8"/>
    <w:rsid w:val="00473406"/>
    <w:rsid w:val="00473542"/>
    <w:rsid w:val="00473588"/>
    <w:rsid w:val="004736EF"/>
    <w:rsid w:val="00473A4F"/>
    <w:rsid w:val="00473C6F"/>
    <w:rsid w:val="00473C7D"/>
    <w:rsid w:val="00473CCC"/>
    <w:rsid w:val="00473D41"/>
    <w:rsid w:val="00473DBD"/>
    <w:rsid w:val="00473E46"/>
    <w:rsid w:val="00473E8B"/>
    <w:rsid w:val="00473F19"/>
    <w:rsid w:val="00474117"/>
    <w:rsid w:val="00474172"/>
    <w:rsid w:val="00474240"/>
    <w:rsid w:val="0047426B"/>
    <w:rsid w:val="004742D0"/>
    <w:rsid w:val="004743C9"/>
    <w:rsid w:val="00474487"/>
    <w:rsid w:val="004744A7"/>
    <w:rsid w:val="004746C0"/>
    <w:rsid w:val="004747D8"/>
    <w:rsid w:val="00474892"/>
    <w:rsid w:val="004749EF"/>
    <w:rsid w:val="00474A4F"/>
    <w:rsid w:val="00474AD9"/>
    <w:rsid w:val="00474E92"/>
    <w:rsid w:val="00474E9D"/>
    <w:rsid w:val="00474EA4"/>
    <w:rsid w:val="004750AE"/>
    <w:rsid w:val="004750FF"/>
    <w:rsid w:val="00475125"/>
    <w:rsid w:val="00475534"/>
    <w:rsid w:val="00475562"/>
    <w:rsid w:val="00475582"/>
    <w:rsid w:val="004756A2"/>
    <w:rsid w:val="00475864"/>
    <w:rsid w:val="004758A6"/>
    <w:rsid w:val="004759BE"/>
    <w:rsid w:val="00475CB3"/>
    <w:rsid w:val="00475D4D"/>
    <w:rsid w:val="00475E22"/>
    <w:rsid w:val="00475EF6"/>
    <w:rsid w:val="00475F7F"/>
    <w:rsid w:val="00476213"/>
    <w:rsid w:val="004762C3"/>
    <w:rsid w:val="00476336"/>
    <w:rsid w:val="00476384"/>
    <w:rsid w:val="00476473"/>
    <w:rsid w:val="00476542"/>
    <w:rsid w:val="00476651"/>
    <w:rsid w:val="004767C1"/>
    <w:rsid w:val="00476847"/>
    <w:rsid w:val="004768C7"/>
    <w:rsid w:val="00476901"/>
    <w:rsid w:val="00476F4B"/>
    <w:rsid w:val="00476FD0"/>
    <w:rsid w:val="00477114"/>
    <w:rsid w:val="00477227"/>
    <w:rsid w:val="00477228"/>
    <w:rsid w:val="00477234"/>
    <w:rsid w:val="0047726A"/>
    <w:rsid w:val="004774B3"/>
    <w:rsid w:val="004776A4"/>
    <w:rsid w:val="00477862"/>
    <w:rsid w:val="0047792C"/>
    <w:rsid w:val="004779F6"/>
    <w:rsid w:val="00477B09"/>
    <w:rsid w:val="00477BB8"/>
    <w:rsid w:val="00477CC7"/>
    <w:rsid w:val="0048007A"/>
    <w:rsid w:val="004800E6"/>
    <w:rsid w:val="00480274"/>
    <w:rsid w:val="00480299"/>
    <w:rsid w:val="0048032C"/>
    <w:rsid w:val="0048046E"/>
    <w:rsid w:val="004804FC"/>
    <w:rsid w:val="004805A6"/>
    <w:rsid w:val="004806C7"/>
    <w:rsid w:val="00480726"/>
    <w:rsid w:val="0048088E"/>
    <w:rsid w:val="00480898"/>
    <w:rsid w:val="00480B8A"/>
    <w:rsid w:val="00480F2B"/>
    <w:rsid w:val="004811AF"/>
    <w:rsid w:val="00481242"/>
    <w:rsid w:val="0048128F"/>
    <w:rsid w:val="00481561"/>
    <w:rsid w:val="0048161C"/>
    <w:rsid w:val="004816A4"/>
    <w:rsid w:val="004816AF"/>
    <w:rsid w:val="004816E2"/>
    <w:rsid w:val="00481807"/>
    <w:rsid w:val="0048180B"/>
    <w:rsid w:val="00481820"/>
    <w:rsid w:val="004818F5"/>
    <w:rsid w:val="00481AF3"/>
    <w:rsid w:val="00481C1F"/>
    <w:rsid w:val="00481C4B"/>
    <w:rsid w:val="00481E49"/>
    <w:rsid w:val="00481EDB"/>
    <w:rsid w:val="00481FD8"/>
    <w:rsid w:val="00482434"/>
    <w:rsid w:val="0048246D"/>
    <w:rsid w:val="00482720"/>
    <w:rsid w:val="0048275E"/>
    <w:rsid w:val="0048277E"/>
    <w:rsid w:val="004828C2"/>
    <w:rsid w:val="004829C2"/>
    <w:rsid w:val="00482AA8"/>
    <w:rsid w:val="00482BDE"/>
    <w:rsid w:val="00482CC6"/>
    <w:rsid w:val="00482D60"/>
    <w:rsid w:val="00482DD0"/>
    <w:rsid w:val="004831B5"/>
    <w:rsid w:val="00483287"/>
    <w:rsid w:val="0048344B"/>
    <w:rsid w:val="004835E7"/>
    <w:rsid w:val="004836D9"/>
    <w:rsid w:val="004837BF"/>
    <w:rsid w:val="00483A2C"/>
    <w:rsid w:val="00483D1A"/>
    <w:rsid w:val="00483FFC"/>
    <w:rsid w:val="0048404D"/>
    <w:rsid w:val="0048407B"/>
    <w:rsid w:val="00484228"/>
    <w:rsid w:val="00484237"/>
    <w:rsid w:val="00484706"/>
    <w:rsid w:val="004847D8"/>
    <w:rsid w:val="00484802"/>
    <w:rsid w:val="004848DA"/>
    <w:rsid w:val="0048490A"/>
    <w:rsid w:val="00484A7E"/>
    <w:rsid w:val="00484B82"/>
    <w:rsid w:val="00484C77"/>
    <w:rsid w:val="00484D0E"/>
    <w:rsid w:val="004850C4"/>
    <w:rsid w:val="00485243"/>
    <w:rsid w:val="004853F7"/>
    <w:rsid w:val="00485557"/>
    <w:rsid w:val="00485923"/>
    <w:rsid w:val="004859A6"/>
    <w:rsid w:val="004859E1"/>
    <w:rsid w:val="00485A08"/>
    <w:rsid w:val="00485A5D"/>
    <w:rsid w:val="00485AF2"/>
    <w:rsid w:val="00485D21"/>
    <w:rsid w:val="00485DC7"/>
    <w:rsid w:val="004860ED"/>
    <w:rsid w:val="0048613B"/>
    <w:rsid w:val="0048620D"/>
    <w:rsid w:val="0048648F"/>
    <w:rsid w:val="00486653"/>
    <w:rsid w:val="00486715"/>
    <w:rsid w:val="004867C0"/>
    <w:rsid w:val="004867E2"/>
    <w:rsid w:val="004867E5"/>
    <w:rsid w:val="004868EF"/>
    <w:rsid w:val="00486B15"/>
    <w:rsid w:val="00486B4A"/>
    <w:rsid w:val="00486CFB"/>
    <w:rsid w:val="00486DF0"/>
    <w:rsid w:val="00486E04"/>
    <w:rsid w:val="00486F75"/>
    <w:rsid w:val="004873E9"/>
    <w:rsid w:val="004873FD"/>
    <w:rsid w:val="004874E8"/>
    <w:rsid w:val="00487558"/>
    <w:rsid w:val="00487638"/>
    <w:rsid w:val="0048778D"/>
    <w:rsid w:val="004877E4"/>
    <w:rsid w:val="0048780C"/>
    <w:rsid w:val="00487816"/>
    <w:rsid w:val="00487952"/>
    <w:rsid w:val="00487AD9"/>
    <w:rsid w:val="004904B1"/>
    <w:rsid w:val="0049052B"/>
    <w:rsid w:val="00490611"/>
    <w:rsid w:val="00490715"/>
    <w:rsid w:val="00490A4C"/>
    <w:rsid w:val="00490B17"/>
    <w:rsid w:val="00490B36"/>
    <w:rsid w:val="00490B92"/>
    <w:rsid w:val="00490C2C"/>
    <w:rsid w:val="00490D0B"/>
    <w:rsid w:val="00490E02"/>
    <w:rsid w:val="004911B5"/>
    <w:rsid w:val="00491294"/>
    <w:rsid w:val="00491472"/>
    <w:rsid w:val="004914D8"/>
    <w:rsid w:val="004916AE"/>
    <w:rsid w:val="00491B3A"/>
    <w:rsid w:val="00491C79"/>
    <w:rsid w:val="00491ECE"/>
    <w:rsid w:val="00491F34"/>
    <w:rsid w:val="00491F57"/>
    <w:rsid w:val="00491FF3"/>
    <w:rsid w:val="004920BC"/>
    <w:rsid w:val="004921E9"/>
    <w:rsid w:val="004922F3"/>
    <w:rsid w:val="004926AD"/>
    <w:rsid w:val="00492741"/>
    <w:rsid w:val="0049280A"/>
    <w:rsid w:val="00492CCF"/>
    <w:rsid w:val="00492CFD"/>
    <w:rsid w:val="00492D0A"/>
    <w:rsid w:val="00492D2F"/>
    <w:rsid w:val="00492F3F"/>
    <w:rsid w:val="0049306C"/>
    <w:rsid w:val="004930DD"/>
    <w:rsid w:val="004931FF"/>
    <w:rsid w:val="00493311"/>
    <w:rsid w:val="004935D0"/>
    <w:rsid w:val="00493731"/>
    <w:rsid w:val="004939C1"/>
    <w:rsid w:val="00493A68"/>
    <w:rsid w:val="00493ADA"/>
    <w:rsid w:val="00493CB2"/>
    <w:rsid w:val="00493CC6"/>
    <w:rsid w:val="00493E8C"/>
    <w:rsid w:val="0049405A"/>
    <w:rsid w:val="00494172"/>
    <w:rsid w:val="00494207"/>
    <w:rsid w:val="0049420B"/>
    <w:rsid w:val="0049447F"/>
    <w:rsid w:val="00494538"/>
    <w:rsid w:val="004945A5"/>
    <w:rsid w:val="004946A4"/>
    <w:rsid w:val="004947D9"/>
    <w:rsid w:val="00494889"/>
    <w:rsid w:val="004948FF"/>
    <w:rsid w:val="00494D83"/>
    <w:rsid w:val="00494DD5"/>
    <w:rsid w:val="00494F59"/>
    <w:rsid w:val="00494F64"/>
    <w:rsid w:val="0049506F"/>
    <w:rsid w:val="00495139"/>
    <w:rsid w:val="0049518C"/>
    <w:rsid w:val="0049538F"/>
    <w:rsid w:val="004953D2"/>
    <w:rsid w:val="0049546D"/>
    <w:rsid w:val="004954C0"/>
    <w:rsid w:val="004955B4"/>
    <w:rsid w:val="004957CA"/>
    <w:rsid w:val="004958CF"/>
    <w:rsid w:val="004958E1"/>
    <w:rsid w:val="004958F4"/>
    <w:rsid w:val="00495992"/>
    <w:rsid w:val="00495A59"/>
    <w:rsid w:val="00495AEE"/>
    <w:rsid w:val="00495B99"/>
    <w:rsid w:val="00495BFB"/>
    <w:rsid w:val="00495D65"/>
    <w:rsid w:val="00495DAA"/>
    <w:rsid w:val="00495E05"/>
    <w:rsid w:val="00495E30"/>
    <w:rsid w:val="0049627D"/>
    <w:rsid w:val="004962D2"/>
    <w:rsid w:val="004964E4"/>
    <w:rsid w:val="004966CD"/>
    <w:rsid w:val="0049698A"/>
    <w:rsid w:val="0049699E"/>
    <w:rsid w:val="004969A1"/>
    <w:rsid w:val="00496A2D"/>
    <w:rsid w:val="00496AF0"/>
    <w:rsid w:val="00496B36"/>
    <w:rsid w:val="00496C60"/>
    <w:rsid w:val="00496D22"/>
    <w:rsid w:val="00496D5A"/>
    <w:rsid w:val="00496D70"/>
    <w:rsid w:val="00497055"/>
    <w:rsid w:val="004970FB"/>
    <w:rsid w:val="004971B6"/>
    <w:rsid w:val="0049731D"/>
    <w:rsid w:val="00497592"/>
    <w:rsid w:val="004975A3"/>
    <w:rsid w:val="0049762A"/>
    <w:rsid w:val="00497701"/>
    <w:rsid w:val="004979D9"/>
    <w:rsid w:val="00497A0B"/>
    <w:rsid w:val="00497D82"/>
    <w:rsid w:val="00497F55"/>
    <w:rsid w:val="00497FCA"/>
    <w:rsid w:val="004A0135"/>
    <w:rsid w:val="004A02CF"/>
    <w:rsid w:val="004A03E8"/>
    <w:rsid w:val="004A0523"/>
    <w:rsid w:val="004A0995"/>
    <w:rsid w:val="004A0AF4"/>
    <w:rsid w:val="004A0C3D"/>
    <w:rsid w:val="004A0CE8"/>
    <w:rsid w:val="004A0DA1"/>
    <w:rsid w:val="004A0DC0"/>
    <w:rsid w:val="004A10DE"/>
    <w:rsid w:val="004A1187"/>
    <w:rsid w:val="004A126C"/>
    <w:rsid w:val="004A1336"/>
    <w:rsid w:val="004A13D6"/>
    <w:rsid w:val="004A13DB"/>
    <w:rsid w:val="004A16AF"/>
    <w:rsid w:val="004A16C1"/>
    <w:rsid w:val="004A16D9"/>
    <w:rsid w:val="004A178E"/>
    <w:rsid w:val="004A18E4"/>
    <w:rsid w:val="004A19A7"/>
    <w:rsid w:val="004A1B8B"/>
    <w:rsid w:val="004A1C20"/>
    <w:rsid w:val="004A1C8C"/>
    <w:rsid w:val="004A20C9"/>
    <w:rsid w:val="004A2169"/>
    <w:rsid w:val="004A24F9"/>
    <w:rsid w:val="004A290A"/>
    <w:rsid w:val="004A291D"/>
    <w:rsid w:val="004A292B"/>
    <w:rsid w:val="004A2A36"/>
    <w:rsid w:val="004A2B8E"/>
    <w:rsid w:val="004A2E1B"/>
    <w:rsid w:val="004A2E94"/>
    <w:rsid w:val="004A2F98"/>
    <w:rsid w:val="004A315C"/>
    <w:rsid w:val="004A3366"/>
    <w:rsid w:val="004A3392"/>
    <w:rsid w:val="004A346B"/>
    <w:rsid w:val="004A34B7"/>
    <w:rsid w:val="004A3705"/>
    <w:rsid w:val="004A394E"/>
    <w:rsid w:val="004A3960"/>
    <w:rsid w:val="004A3999"/>
    <w:rsid w:val="004A39AA"/>
    <w:rsid w:val="004A39BC"/>
    <w:rsid w:val="004A3D2A"/>
    <w:rsid w:val="004A3E65"/>
    <w:rsid w:val="004A3F08"/>
    <w:rsid w:val="004A3F5B"/>
    <w:rsid w:val="004A40D7"/>
    <w:rsid w:val="004A4286"/>
    <w:rsid w:val="004A452A"/>
    <w:rsid w:val="004A4645"/>
    <w:rsid w:val="004A465A"/>
    <w:rsid w:val="004A4723"/>
    <w:rsid w:val="004A479E"/>
    <w:rsid w:val="004A494F"/>
    <w:rsid w:val="004A4A09"/>
    <w:rsid w:val="004A4AA4"/>
    <w:rsid w:val="004A4AD0"/>
    <w:rsid w:val="004A4C79"/>
    <w:rsid w:val="004A4F75"/>
    <w:rsid w:val="004A512F"/>
    <w:rsid w:val="004A520F"/>
    <w:rsid w:val="004A52E9"/>
    <w:rsid w:val="004A5504"/>
    <w:rsid w:val="004A55A2"/>
    <w:rsid w:val="004A5657"/>
    <w:rsid w:val="004A566A"/>
    <w:rsid w:val="004A59A2"/>
    <w:rsid w:val="004A59D6"/>
    <w:rsid w:val="004A59EA"/>
    <w:rsid w:val="004A5A5A"/>
    <w:rsid w:val="004A5A77"/>
    <w:rsid w:val="004A5C6F"/>
    <w:rsid w:val="004A5EAA"/>
    <w:rsid w:val="004A6040"/>
    <w:rsid w:val="004A6111"/>
    <w:rsid w:val="004A651F"/>
    <w:rsid w:val="004A654F"/>
    <w:rsid w:val="004A6597"/>
    <w:rsid w:val="004A6676"/>
    <w:rsid w:val="004A66A3"/>
    <w:rsid w:val="004A6852"/>
    <w:rsid w:val="004A699E"/>
    <w:rsid w:val="004A69F7"/>
    <w:rsid w:val="004A6D58"/>
    <w:rsid w:val="004A6D71"/>
    <w:rsid w:val="004A6DC4"/>
    <w:rsid w:val="004A6E72"/>
    <w:rsid w:val="004A70D4"/>
    <w:rsid w:val="004A71BD"/>
    <w:rsid w:val="004A727D"/>
    <w:rsid w:val="004A7356"/>
    <w:rsid w:val="004A7462"/>
    <w:rsid w:val="004A7848"/>
    <w:rsid w:val="004A793B"/>
    <w:rsid w:val="004A7971"/>
    <w:rsid w:val="004A7AC9"/>
    <w:rsid w:val="004A7CB2"/>
    <w:rsid w:val="004A7EF9"/>
    <w:rsid w:val="004A7FFA"/>
    <w:rsid w:val="004B0059"/>
    <w:rsid w:val="004B00A9"/>
    <w:rsid w:val="004B00D8"/>
    <w:rsid w:val="004B010C"/>
    <w:rsid w:val="004B019A"/>
    <w:rsid w:val="004B0258"/>
    <w:rsid w:val="004B0310"/>
    <w:rsid w:val="004B0378"/>
    <w:rsid w:val="004B0509"/>
    <w:rsid w:val="004B0694"/>
    <w:rsid w:val="004B06CA"/>
    <w:rsid w:val="004B0742"/>
    <w:rsid w:val="004B07A4"/>
    <w:rsid w:val="004B08E4"/>
    <w:rsid w:val="004B08FA"/>
    <w:rsid w:val="004B094B"/>
    <w:rsid w:val="004B0A25"/>
    <w:rsid w:val="004B0B0B"/>
    <w:rsid w:val="004B0BBD"/>
    <w:rsid w:val="004B0C7D"/>
    <w:rsid w:val="004B0D10"/>
    <w:rsid w:val="004B0DF1"/>
    <w:rsid w:val="004B10D4"/>
    <w:rsid w:val="004B126C"/>
    <w:rsid w:val="004B13D3"/>
    <w:rsid w:val="004B1591"/>
    <w:rsid w:val="004B16B0"/>
    <w:rsid w:val="004B1A54"/>
    <w:rsid w:val="004B1A58"/>
    <w:rsid w:val="004B1ADE"/>
    <w:rsid w:val="004B1B3C"/>
    <w:rsid w:val="004B1C15"/>
    <w:rsid w:val="004B1CB4"/>
    <w:rsid w:val="004B1CBB"/>
    <w:rsid w:val="004B1D04"/>
    <w:rsid w:val="004B1FDF"/>
    <w:rsid w:val="004B208C"/>
    <w:rsid w:val="004B2169"/>
    <w:rsid w:val="004B217F"/>
    <w:rsid w:val="004B2224"/>
    <w:rsid w:val="004B2436"/>
    <w:rsid w:val="004B26B3"/>
    <w:rsid w:val="004B2764"/>
    <w:rsid w:val="004B2AB4"/>
    <w:rsid w:val="004B2CFB"/>
    <w:rsid w:val="004B2F18"/>
    <w:rsid w:val="004B3209"/>
    <w:rsid w:val="004B3377"/>
    <w:rsid w:val="004B33AD"/>
    <w:rsid w:val="004B352D"/>
    <w:rsid w:val="004B35C8"/>
    <w:rsid w:val="004B378C"/>
    <w:rsid w:val="004B37C0"/>
    <w:rsid w:val="004B39BD"/>
    <w:rsid w:val="004B3D42"/>
    <w:rsid w:val="004B3DDB"/>
    <w:rsid w:val="004B4115"/>
    <w:rsid w:val="004B4206"/>
    <w:rsid w:val="004B4243"/>
    <w:rsid w:val="004B438C"/>
    <w:rsid w:val="004B44FD"/>
    <w:rsid w:val="004B45AC"/>
    <w:rsid w:val="004B46F5"/>
    <w:rsid w:val="004B49BF"/>
    <w:rsid w:val="004B4B21"/>
    <w:rsid w:val="004B4B3A"/>
    <w:rsid w:val="004B4C26"/>
    <w:rsid w:val="004B4F12"/>
    <w:rsid w:val="004B518F"/>
    <w:rsid w:val="004B528A"/>
    <w:rsid w:val="004B534A"/>
    <w:rsid w:val="004B53CD"/>
    <w:rsid w:val="004B549C"/>
    <w:rsid w:val="004B5657"/>
    <w:rsid w:val="004B5852"/>
    <w:rsid w:val="004B5972"/>
    <w:rsid w:val="004B5B56"/>
    <w:rsid w:val="004B5CFC"/>
    <w:rsid w:val="004B5E35"/>
    <w:rsid w:val="004B6021"/>
    <w:rsid w:val="004B602E"/>
    <w:rsid w:val="004B609D"/>
    <w:rsid w:val="004B60F3"/>
    <w:rsid w:val="004B6239"/>
    <w:rsid w:val="004B633C"/>
    <w:rsid w:val="004B64CC"/>
    <w:rsid w:val="004B64D8"/>
    <w:rsid w:val="004B65D2"/>
    <w:rsid w:val="004B65ED"/>
    <w:rsid w:val="004B660A"/>
    <w:rsid w:val="004B66F8"/>
    <w:rsid w:val="004B67EA"/>
    <w:rsid w:val="004B68F7"/>
    <w:rsid w:val="004B6925"/>
    <w:rsid w:val="004B6B30"/>
    <w:rsid w:val="004B6BE3"/>
    <w:rsid w:val="004B6DE1"/>
    <w:rsid w:val="004B6F79"/>
    <w:rsid w:val="004B7052"/>
    <w:rsid w:val="004B70F5"/>
    <w:rsid w:val="004B719D"/>
    <w:rsid w:val="004B71F3"/>
    <w:rsid w:val="004B727D"/>
    <w:rsid w:val="004B7286"/>
    <w:rsid w:val="004B763B"/>
    <w:rsid w:val="004B76E0"/>
    <w:rsid w:val="004B774D"/>
    <w:rsid w:val="004B7752"/>
    <w:rsid w:val="004B77CB"/>
    <w:rsid w:val="004B7A21"/>
    <w:rsid w:val="004B7A32"/>
    <w:rsid w:val="004B7A71"/>
    <w:rsid w:val="004B7C80"/>
    <w:rsid w:val="004B7D65"/>
    <w:rsid w:val="004B7D8B"/>
    <w:rsid w:val="004B7EBA"/>
    <w:rsid w:val="004B7F26"/>
    <w:rsid w:val="004B7F67"/>
    <w:rsid w:val="004C02A1"/>
    <w:rsid w:val="004C03B4"/>
    <w:rsid w:val="004C04BA"/>
    <w:rsid w:val="004C04BB"/>
    <w:rsid w:val="004C073F"/>
    <w:rsid w:val="004C0790"/>
    <w:rsid w:val="004C07B4"/>
    <w:rsid w:val="004C08F6"/>
    <w:rsid w:val="004C0920"/>
    <w:rsid w:val="004C0B99"/>
    <w:rsid w:val="004C0BC7"/>
    <w:rsid w:val="004C0C2C"/>
    <w:rsid w:val="004C0C8D"/>
    <w:rsid w:val="004C0EBD"/>
    <w:rsid w:val="004C139B"/>
    <w:rsid w:val="004C1485"/>
    <w:rsid w:val="004C14DA"/>
    <w:rsid w:val="004C14EA"/>
    <w:rsid w:val="004C152E"/>
    <w:rsid w:val="004C17ED"/>
    <w:rsid w:val="004C180F"/>
    <w:rsid w:val="004C183F"/>
    <w:rsid w:val="004C1AE1"/>
    <w:rsid w:val="004C1B9C"/>
    <w:rsid w:val="004C1FFF"/>
    <w:rsid w:val="004C2012"/>
    <w:rsid w:val="004C2050"/>
    <w:rsid w:val="004C20F1"/>
    <w:rsid w:val="004C22EC"/>
    <w:rsid w:val="004C2479"/>
    <w:rsid w:val="004C24F9"/>
    <w:rsid w:val="004C253A"/>
    <w:rsid w:val="004C2A5D"/>
    <w:rsid w:val="004C2A95"/>
    <w:rsid w:val="004C2AC2"/>
    <w:rsid w:val="004C2BC0"/>
    <w:rsid w:val="004C2EC4"/>
    <w:rsid w:val="004C327F"/>
    <w:rsid w:val="004C3395"/>
    <w:rsid w:val="004C344D"/>
    <w:rsid w:val="004C34CC"/>
    <w:rsid w:val="004C359D"/>
    <w:rsid w:val="004C3646"/>
    <w:rsid w:val="004C389A"/>
    <w:rsid w:val="004C3944"/>
    <w:rsid w:val="004C3B02"/>
    <w:rsid w:val="004C3CDE"/>
    <w:rsid w:val="004C4007"/>
    <w:rsid w:val="004C4008"/>
    <w:rsid w:val="004C41AB"/>
    <w:rsid w:val="004C4231"/>
    <w:rsid w:val="004C42C8"/>
    <w:rsid w:val="004C4351"/>
    <w:rsid w:val="004C4460"/>
    <w:rsid w:val="004C4643"/>
    <w:rsid w:val="004C46C9"/>
    <w:rsid w:val="004C46D2"/>
    <w:rsid w:val="004C48B0"/>
    <w:rsid w:val="004C499A"/>
    <w:rsid w:val="004C4AED"/>
    <w:rsid w:val="004C4BD7"/>
    <w:rsid w:val="004C4D81"/>
    <w:rsid w:val="004C4DFF"/>
    <w:rsid w:val="004C4EC9"/>
    <w:rsid w:val="004C5157"/>
    <w:rsid w:val="004C5345"/>
    <w:rsid w:val="004C5605"/>
    <w:rsid w:val="004C56A9"/>
    <w:rsid w:val="004C56F4"/>
    <w:rsid w:val="004C5962"/>
    <w:rsid w:val="004C5B54"/>
    <w:rsid w:val="004C5C8C"/>
    <w:rsid w:val="004C5CEB"/>
    <w:rsid w:val="004C5D79"/>
    <w:rsid w:val="004C5E08"/>
    <w:rsid w:val="004C5E60"/>
    <w:rsid w:val="004C5FDF"/>
    <w:rsid w:val="004C60A0"/>
    <w:rsid w:val="004C60E8"/>
    <w:rsid w:val="004C618B"/>
    <w:rsid w:val="004C61BF"/>
    <w:rsid w:val="004C63C7"/>
    <w:rsid w:val="004C6519"/>
    <w:rsid w:val="004C657C"/>
    <w:rsid w:val="004C6866"/>
    <w:rsid w:val="004C6994"/>
    <w:rsid w:val="004C6B90"/>
    <w:rsid w:val="004C6BAC"/>
    <w:rsid w:val="004C6C6B"/>
    <w:rsid w:val="004C6D41"/>
    <w:rsid w:val="004C6F29"/>
    <w:rsid w:val="004C7145"/>
    <w:rsid w:val="004C732F"/>
    <w:rsid w:val="004C7480"/>
    <w:rsid w:val="004C78B4"/>
    <w:rsid w:val="004C7966"/>
    <w:rsid w:val="004C7D75"/>
    <w:rsid w:val="004C7F14"/>
    <w:rsid w:val="004D00CD"/>
    <w:rsid w:val="004D0153"/>
    <w:rsid w:val="004D01BE"/>
    <w:rsid w:val="004D01E3"/>
    <w:rsid w:val="004D026E"/>
    <w:rsid w:val="004D02B7"/>
    <w:rsid w:val="004D0456"/>
    <w:rsid w:val="004D0526"/>
    <w:rsid w:val="004D081E"/>
    <w:rsid w:val="004D090C"/>
    <w:rsid w:val="004D0929"/>
    <w:rsid w:val="004D0AAB"/>
    <w:rsid w:val="004D0AD3"/>
    <w:rsid w:val="004D0BB5"/>
    <w:rsid w:val="004D0D09"/>
    <w:rsid w:val="004D10A9"/>
    <w:rsid w:val="004D129D"/>
    <w:rsid w:val="004D1500"/>
    <w:rsid w:val="004D158D"/>
    <w:rsid w:val="004D15AB"/>
    <w:rsid w:val="004D1664"/>
    <w:rsid w:val="004D19DD"/>
    <w:rsid w:val="004D1BB1"/>
    <w:rsid w:val="004D2078"/>
    <w:rsid w:val="004D2082"/>
    <w:rsid w:val="004D21B5"/>
    <w:rsid w:val="004D2205"/>
    <w:rsid w:val="004D2239"/>
    <w:rsid w:val="004D237A"/>
    <w:rsid w:val="004D271D"/>
    <w:rsid w:val="004D27E4"/>
    <w:rsid w:val="004D2864"/>
    <w:rsid w:val="004D286C"/>
    <w:rsid w:val="004D2970"/>
    <w:rsid w:val="004D2C2D"/>
    <w:rsid w:val="004D2D9A"/>
    <w:rsid w:val="004D2EAA"/>
    <w:rsid w:val="004D2EE0"/>
    <w:rsid w:val="004D2FE6"/>
    <w:rsid w:val="004D326B"/>
    <w:rsid w:val="004D3447"/>
    <w:rsid w:val="004D34F6"/>
    <w:rsid w:val="004D35B7"/>
    <w:rsid w:val="004D37FA"/>
    <w:rsid w:val="004D381D"/>
    <w:rsid w:val="004D3A63"/>
    <w:rsid w:val="004D3A7E"/>
    <w:rsid w:val="004D3B2C"/>
    <w:rsid w:val="004D3BAF"/>
    <w:rsid w:val="004D3BE1"/>
    <w:rsid w:val="004D3F11"/>
    <w:rsid w:val="004D40A0"/>
    <w:rsid w:val="004D435C"/>
    <w:rsid w:val="004D44A6"/>
    <w:rsid w:val="004D45AD"/>
    <w:rsid w:val="004D4635"/>
    <w:rsid w:val="004D48D1"/>
    <w:rsid w:val="004D49BB"/>
    <w:rsid w:val="004D4B37"/>
    <w:rsid w:val="004D4CE5"/>
    <w:rsid w:val="004D4EB6"/>
    <w:rsid w:val="004D4F08"/>
    <w:rsid w:val="004D4F82"/>
    <w:rsid w:val="004D4FB6"/>
    <w:rsid w:val="004D5006"/>
    <w:rsid w:val="004D5064"/>
    <w:rsid w:val="004D511A"/>
    <w:rsid w:val="004D5691"/>
    <w:rsid w:val="004D5794"/>
    <w:rsid w:val="004D57E4"/>
    <w:rsid w:val="004D5A09"/>
    <w:rsid w:val="004D5A8C"/>
    <w:rsid w:val="004D5C02"/>
    <w:rsid w:val="004D5F0F"/>
    <w:rsid w:val="004D617C"/>
    <w:rsid w:val="004D61BC"/>
    <w:rsid w:val="004D6219"/>
    <w:rsid w:val="004D6329"/>
    <w:rsid w:val="004D63A5"/>
    <w:rsid w:val="004D63F3"/>
    <w:rsid w:val="004D6582"/>
    <w:rsid w:val="004D667B"/>
    <w:rsid w:val="004D6735"/>
    <w:rsid w:val="004D69B5"/>
    <w:rsid w:val="004D6BFE"/>
    <w:rsid w:val="004D6C90"/>
    <w:rsid w:val="004D6F2E"/>
    <w:rsid w:val="004D70A1"/>
    <w:rsid w:val="004D7227"/>
    <w:rsid w:val="004D72D9"/>
    <w:rsid w:val="004D73BC"/>
    <w:rsid w:val="004D74A8"/>
    <w:rsid w:val="004D7705"/>
    <w:rsid w:val="004D7A11"/>
    <w:rsid w:val="004D7B5E"/>
    <w:rsid w:val="004D7D2C"/>
    <w:rsid w:val="004D7E67"/>
    <w:rsid w:val="004E0081"/>
    <w:rsid w:val="004E00BA"/>
    <w:rsid w:val="004E012B"/>
    <w:rsid w:val="004E035F"/>
    <w:rsid w:val="004E04F1"/>
    <w:rsid w:val="004E0522"/>
    <w:rsid w:val="004E073F"/>
    <w:rsid w:val="004E0CE0"/>
    <w:rsid w:val="004E0E7F"/>
    <w:rsid w:val="004E0EB8"/>
    <w:rsid w:val="004E0EDD"/>
    <w:rsid w:val="004E0F72"/>
    <w:rsid w:val="004E107D"/>
    <w:rsid w:val="004E11C4"/>
    <w:rsid w:val="004E12DD"/>
    <w:rsid w:val="004E14CE"/>
    <w:rsid w:val="004E15C7"/>
    <w:rsid w:val="004E15D9"/>
    <w:rsid w:val="004E1659"/>
    <w:rsid w:val="004E1740"/>
    <w:rsid w:val="004E1864"/>
    <w:rsid w:val="004E18E7"/>
    <w:rsid w:val="004E18E9"/>
    <w:rsid w:val="004E1962"/>
    <w:rsid w:val="004E197E"/>
    <w:rsid w:val="004E1B05"/>
    <w:rsid w:val="004E1B19"/>
    <w:rsid w:val="004E1B23"/>
    <w:rsid w:val="004E1B76"/>
    <w:rsid w:val="004E1BA2"/>
    <w:rsid w:val="004E1D7E"/>
    <w:rsid w:val="004E1E02"/>
    <w:rsid w:val="004E1EA6"/>
    <w:rsid w:val="004E1F4B"/>
    <w:rsid w:val="004E2177"/>
    <w:rsid w:val="004E225B"/>
    <w:rsid w:val="004E228C"/>
    <w:rsid w:val="004E22AF"/>
    <w:rsid w:val="004E235F"/>
    <w:rsid w:val="004E245C"/>
    <w:rsid w:val="004E27D8"/>
    <w:rsid w:val="004E289B"/>
    <w:rsid w:val="004E2ADC"/>
    <w:rsid w:val="004E2B21"/>
    <w:rsid w:val="004E2C3B"/>
    <w:rsid w:val="004E2CA4"/>
    <w:rsid w:val="004E2E46"/>
    <w:rsid w:val="004E3181"/>
    <w:rsid w:val="004E3241"/>
    <w:rsid w:val="004E32D1"/>
    <w:rsid w:val="004E332C"/>
    <w:rsid w:val="004E3558"/>
    <w:rsid w:val="004E35B3"/>
    <w:rsid w:val="004E35D4"/>
    <w:rsid w:val="004E3641"/>
    <w:rsid w:val="004E3872"/>
    <w:rsid w:val="004E38A6"/>
    <w:rsid w:val="004E3978"/>
    <w:rsid w:val="004E3BBC"/>
    <w:rsid w:val="004E3BBE"/>
    <w:rsid w:val="004E3ECE"/>
    <w:rsid w:val="004E3F19"/>
    <w:rsid w:val="004E4112"/>
    <w:rsid w:val="004E422C"/>
    <w:rsid w:val="004E4290"/>
    <w:rsid w:val="004E42BF"/>
    <w:rsid w:val="004E43B2"/>
    <w:rsid w:val="004E43F8"/>
    <w:rsid w:val="004E45FF"/>
    <w:rsid w:val="004E489A"/>
    <w:rsid w:val="004E4A9D"/>
    <w:rsid w:val="004E4BA0"/>
    <w:rsid w:val="004E4C30"/>
    <w:rsid w:val="004E4CF5"/>
    <w:rsid w:val="004E4D66"/>
    <w:rsid w:val="004E4EA3"/>
    <w:rsid w:val="004E4FA4"/>
    <w:rsid w:val="004E508F"/>
    <w:rsid w:val="004E5134"/>
    <w:rsid w:val="004E5364"/>
    <w:rsid w:val="004E537B"/>
    <w:rsid w:val="004E5384"/>
    <w:rsid w:val="004E549B"/>
    <w:rsid w:val="004E5572"/>
    <w:rsid w:val="004E5650"/>
    <w:rsid w:val="004E56C9"/>
    <w:rsid w:val="004E56E4"/>
    <w:rsid w:val="004E5742"/>
    <w:rsid w:val="004E5822"/>
    <w:rsid w:val="004E5A4F"/>
    <w:rsid w:val="004E5B3D"/>
    <w:rsid w:val="004E5E54"/>
    <w:rsid w:val="004E5FB1"/>
    <w:rsid w:val="004E60C9"/>
    <w:rsid w:val="004E6144"/>
    <w:rsid w:val="004E6164"/>
    <w:rsid w:val="004E62E7"/>
    <w:rsid w:val="004E6407"/>
    <w:rsid w:val="004E665A"/>
    <w:rsid w:val="004E66D1"/>
    <w:rsid w:val="004E66DE"/>
    <w:rsid w:val="004E6817"/>
    <w:rsid w:val="004E69D2"/>
    <w:rsid w:val="004E6B06"/>
    <w:rsid w:val="004E6B77"/>
    <w:rsid w:val="004E6BA5"/>
    <w:rsid w:val="004E6C5B"/>
    <w:rsid w:val="004E6EBA"/>
    <w:rsid w:val="004E7074"/>
    <w:rsid w:val="004E70FC"/>
    <w:rsid w:val="004E7397"/>
    <w:rsid w:val="004E73C7"/>
    <w:rsid w:val="004E7467"/>
    <w:rsid w:val="004E7952"/>
    <w:rsid w:val="004E7953"/>
    <w:rsid w:val="004E7A15"/>
    <w:rsid w:val="004E7B57"/>
    <w:rsid w:val="004E7BF5"/>
    <w:rsid w:val="004E7C8F"/>
    <w:rsid w:val="004E7CC8"/>
    <w:rsid w:val="004E7F04"/>
    <w:rsid w:val="004E7F63"/>
    <w:rsid w:val="004E7FB8"/>
    <w:rsid w:val="004F01B6"/>
    <w:rsid w:val="004F0441"/>
    <w:rsid w:val="004F0496"/>
    <w:rsid w:val="004F04F5"/>
    <w:rsid w:val="004F0505"/>
    <w:rsid w:val="004F0609"/>
    <w:rsid w:val="004F08AC"/>
    <w:rsid w:val="004F0A62"/>
    <w:rsid w:val="004F0B08"/>
    <w:rsid w:val="004F0C32"/>
    <w:rsid w:val="004F0C52"/>
    <w:rsid w:val="004F0CE4"/>
    <w:rsid w:val="004F0F58"/>
    <w:rsid w:val="004F1257"/>
    <w:rsid w:val="004F1375"/>
    <w:rsid w:val="004F174B"/>
    <w:rsid w:val="004F189B"/>
    <w:rsid w:val="004F1A38"/>
    <w:rsid w:val="004F1C4F"/>
    <w:rsid w:val="004F1D02"/>
    <w:rsid w:val="004F1D1A"/>
    <w:rsid w:val="004F1E19"/>
    <w:rsid w:val="004F1E1F"/>
    <w:rsid w:val="004F1EF2"/>
    <w:rsid w:val="004F20F2"/>
    <w:rsid w:val="004F2275"/>
    <w:rsid w:val="004F23B7"/>
    <w:rsid w:val="004F2473"/>
    <w:rsid w:val="004F2486"/>
    <w:rsid w:val="004F25B4"/>
    <w:rsid w:val="004F2679"/>
    <w:rsid w:val="004F26BE"/>
    <w:rsid w:val="004F287C"/>
    <w:rsid w:val="004F29A6"/>
    <w:rsid w:val="004F29DF"/>
    <w:rsid w:val="004F2A33"/>
    <w:rsid w:val="004F2C97"/>
    <w:rsid w:val="004F2CC0"/>
    <w:rsid w:val="004F2F21"/>
    <w:rsid w:val="004F2F4A"/>
    <w:rsid w:val="004F2F4C"/>
    <w:rsid w:val="004F306A"/>
    <w:rsid w:val="004F321F"/>
    <w:rsid w:val="004F328E"/>
    <w:rsid w:val="004F338E"/>
    <w:rsid w:val="004F33A1"/>
    <w:rsid w:val="004F347E"/>
    <w:rsid w:val="004F348B"/>
    <w:rsid w:val="004F35BF"/>
    <w:rsid w:val="004F37D3"/>
    <w:rsid w:val="004F3830"/>
    <w:rsid w:val="004F3B29"/>
    <w:rsid w:val="004F3C20"/>
    <w:rsid w:val="004F3DE5"/>
    <w:rsid w:val="004F3EC5"/>
    <w:rsid w:val="004F3ED7"/>
    <w:rsid w:val="004F3FEE"/>
    <w:rsid w:val="004F4036"/>
    <w:rsid w:val="004F4080"/>
    <w:rsid w:val="004F4195"/>
    <w:rsid w:val="004F4289"/>
    <w:rsid w:val="004F44E8"/>
    <w:rsid w:val="004F4548"/>
    <w:rsid w:val="004F45BE"/>
    <w:rsid w:val="004F46E4"/>
    <w:rsid w:val="004F4723"/>
    <w:rsid w:val="004F490B"/>
    <w:rsid w:val="004F4926"/>
    <w:rsid w:val="004F4B05"/>
    <w:rsid w:val="004F4B67"/>
    <w:rsid w:val="004F4BED"/>
    <w:rsid w:val="004F4C0E"/>
    <w:rsid w:val="004F4CBF"/>
    <w:rsid w:val="004F4D26"/>
    <w:rsid w:val="004F4D76"/>
    <w:rsid w:val="004F4F55"/>
    <w:rsid w:val="004F511F"/>
    <w:rsid w:val="004F5354"/>
    <w:rsid w:val="004F5374"/>
    <w:rsid w:val="004F54B4"/>
    <w:rsid w:val="004F595B"/>
    <w:rsid w:val="004F5977"/>
    <w:rsid w:val="004F5A09"/>
    <w:rsid w:val="004F5B2E"/>
    <w:rsid w:val="004F5B69"/>
    <w:rsid w:val="004F5DE3"/>
    <w:rsid w:val="004F609C"/>
    <w:rsid w:val="004F6262"/>
    <w:rsid w:val="004F650A"/>
    <w:rsid w:val="004F6580"/>
    <w:rsid w:val="004F65BA"/>
    <w:rsid w:val="004F66A6"/>
    <w:rsid w:val="004F673B"/>
    <w:rsid w:val="004F6913"/>
    <w:rsid w:val="004F6B40"/>
    <w:rsid w:val="004F6B59"/>
    <w:rsid w:val="004F6B77"/>
    <w:rsid w:val="004F6C1D"/>
    <w:rsid w:val="004F6CAF"/>
    <w:rsid w:val="004F7053"/>
    <w:rsid w:val="004F71A2"/>
    <w:rsid w:val="004F71DC"/>
    <w:rsid w:val="004F7364"/>
    <w:rsid w:val="004F73AE"/>
    <w:rsid w:val="004F7460"/>
    <w:rsid w:val="004F7865"/>
    <w:rsid w:val="004F78E7"/>
    <w:rsid w:val="004F79BD"/>
    <w:rsid w:val="004F7B27"/>
    <w:rsid w:val="004F7B8F"/>
    <w:rsid w:val="004F7C10"/>
    <w:rsid w:val="004F7C19"/>
    <w:rsid w:val="004F7C31"/>
    <w:rsid w:val="004F7E5C"/>
    <w:rsid w:val="004F7ED6"/>
    <w:rsid w:val="004F7EE7"/>
    <w:rsid w:val="00500407"/>
    <w:rsid w:val="0050043C"/>
    <w:rsid w:val="005004A0"/>
    <w:rsid w:val="005005EE"/>
    <w:rsid w:val="00500638"/>
    <w:rsid w:val="0050075F"/>
    <w:rsid w:val="0050096B"/>
    <w:rsid w:val="00500CE6"/>
    <w:rsid w:val="00500E28"/>
    <w:rsid w:val="00500FF3"/>
    <w:rsid w:val="00501101"/>
    <w:rsid w:val="00501137"/>
    <w:rsid w:val="00501319"/>
    <w:rsid w:val="005013F6"/>
    <w:rsid w:val="005014D4"/>
    <w:rsid w:val="00501541"/>
    <w:rsid w:val="005016B0"/>
    <w:rsid w:val="0050174E"/>
    <w:rsid w:val="00501854"/>
    <w:rsid w:val="00501A60"/>
    <w:rsid w:val="00501B53"/>
    <w:rsid w:val="00501C40"/>
    <w:rsid w:val="00501D0F"/>
    <w:rsid w:val="00501EAE"/>
    <w:rsid w:val="00501F38"/>
    <w:rsid w:val="00502056"/>
    <w:rsid w:val="00502066"/>
    <w:rsid w:val="00502093"/>
    <w:rsid w:val="0050219B"/>
    <w:rsid w:val="005021C9"/>
    <w:rsid w:val="0050239A"/>
    <w:rsid w:val="005023C7"/>
    <w:rsid w:val="005025B9"/>
    <w:rsid w:val="0050267D"/>
    <w:rsid w:val="00502762"/>
    <w:rsid w:val="005029BD"/>
    <w:rsid w:val="00502A7A"/>
    <w:rsid w:val="00502A7D"/>
    <w:rsid w:val="00502B1B"/>
    <w:rsid w:val="00502EFF"/>
    <w:rsid w:val="00503209"/>
    <w:rsid w:val="005032A6"/>
    <w:rsid w:val="0050340D"/>
    <w:rsid w:val="005034B0"/>
    <w:rsid w:val="00503514"/>
    <w:rsid w:val="005036B8"/>
    <w:rsid w:val="0050378C"/>
    <w:rsid w:val="0050385B"/>
    <w:rsid w:val="005038C4"/>
    <w:rsid w:val="00503A30"/>
    <w:rsid w:val="00503C37"/>
    <w:rsid w:val="00503C73"/>
    <w:rsid w:val="00503CFD"/>
    <w:rsid w:val="00503DAF"/>
    <w:rsid w:val="00503F17"/>
    <w:rsid w:val="00503F3A"/>
    <w:rsid w:val="00504026"/>
    <w:rsid w:val="0050402B"/>
    <w:rsid w:val="0050405C"/>
    <w:rsid w:val="005042A0"/>
    <w:rsid w:val="0050431B"/>
    <w:rsid w:val="005044B3"/>
    <w:rsid w:val="005044D5"/>
    <w:rsid w:val="0050469C"/>
    <w:rsid w:val="005046E0"/>
    <w:rsid w:val="00504812"/>
    <w:rsid w:val="00504929"/>
    <w:rsid w:val="00504ACE"/>
    <w:rsid w:val="00504C15"/>
    <w:rsid w:val="00504FA0"/>
    <w:rsid w:val="00505737"/>
    <w:rsid w:val="00505761"/>
    <w:rsid w:val="00505782"/>
    <w:rsid w:val="00505A28"/>
    <w:rsid w:val="00505B71"/>
    <w:rsid w:val="00505C7A"/>
    <w:rsid w:val="00505CEA"/>
    <w:rsid w:val="00505D8B"/>
    <w:rsid w:val="00505F11"/>
    <w:rsid w:val="0050610E"/>
    <w:rsid w:val="00506143"/>
    <w:rsid w:val="005064D3"/>
    <w:rsid w:val="00506518"/>
    <w:rsid w:val="0050657C"/>
    <w:rsid w:val="00506717"/>
    <w:rsid w:val="0050681A"/>
    <w:rsid w:val="005068ED"/>
    <w:rsid w:val="00506928"/>
    <w:rsid w:val="005069DC"/>
    <w:rsid w:val="00506A6F"/>
    <w:rsid w:val="00506B26"/>
    <w:rsid w:val="00506F3B"/>
    <w:rsid w:val="0050705E"/>
    <w:rsid w:val="0050709E"/>
    <w:rsid w:val="00507157"/>
    <w:rsid w:val="00507198"/>
    <w:rsid w:val="0050721C"/>
    <w:rsid w:val="005072AF"/>
    <w:rsid w:val="0050731C"/>
    <w:rsid w:val="0050737F"/>
    <w:rsid w:val="005075FA"/>
    <w:rsid w:val="00507696"/>
    <w:rsid w:val="005077EF"/>
    <w:rsid w:val="005078AA"/>
    <w:rsid w:val="00507964"/>
    <w:rsid w:val="00507A1F"/>
    <w:rsid w:val="00507AAD"/>
    <w:rsid w:val="00507ABA"/>
    <w:rsid w:val="00507AC6"/>
    <w:rsid w:val="00507D26"/>
    <w:rsid w:val="00507E88"/>
    <w:rsid w:val="00507F24"/>
    <w:rsid w:val="00510253"/>
    <w:rsid w:val="0051025B"/>
    <w:rsid w:val="005104D8"/>
    <w:rsid w:val="0051072B"/>
    <w:rsid w:val="0051080C"/>
    <w:rsid w:val="00510993"/>
    <w:rsid w:val="00510C72"/>
    <w:rsid w:val="00510C88"/>
    <w:rsid w:val="00510FAF"/>
    <w:rsid w:val="00510FE2"/>
    <w:rsid w:val="0051102C"/>
    <w:rsid w:val="005111FA"/>
    <w:rsid w:val="005112BE"/>
    <w:rsid w:val="00511369"/>
    <w:rsid w:val="00511509"/>
    <w:rsid w:val="0051154F"/>
    <w:rsid w:val="00511601"/>
    <w:rsid w:val="00511785"/>
    <w:rsid w:val="005117CE"/>
    <w:rsid w:val="005118FA"/>
    <w:rsid w:val="00511954"/>
    <w:rsid w:val="00511AA4"/>
    <w:rsid w:val="00511AD5"/>
    <w:rsid w:val="00511AFF"/>
    <w:rsid w:val="00511BCD"/>
    <w:rsid w:val="00511C0E"/>
    <w:rsid w:val="00511D66"/>
    <w:rsid w:val="00511DC7"/>
    <w:rsid w:val="00512071"/>
    <w:rsid w:val="0051231F"/>
    <w:rsid w:val="0051241C"/>
    <w:rsid w:val="0051242E"/>
    <w:rsid w:val="00512437"/>
    <w:rsid w:val="005124DF"/>
    <w:rsid w:val="005127D9"/>
    <w:rsid w:val="0051282E"/>
    <w:rsid w:val="005129A3"/>
    <w:rsid w:val="005129BA"/>
    <w:rsid w:val="00512A49"/>
    <w:rsid w:val="00512AC5"/>
    <w:rsid w:val="00512D12"/>
    <w:rsid w:val="00512E3F"/>
    <w:rsid w:val="00512E64"/>
    <w:rsid w:val="00512F0F"/>
    <w:rsid w:val="00512F68"/>
    <w:rsid w:val="00513061"/>
    <w:rsid w:val="00513287"/>
    <w:rsid w:val="0051328E"/>
    <w:rsid w:val="00513560"/>
    <w:rsid w:val="005136E9"/>
    <w:rsid w:val="00513CBA"/>
    <w:rsid w:val="00513CDB"/>
    <w:rsid w:val="0051411F"/>
    <w:rsid w:val="005142C5"/>
    <w:rsid w:val="00514406"/>
    <w:rsid w:val="00514420"/>
    <w:rsid w:val="00514719"/>
    <w:rsid w:val="00514803"/>
    <w:rsid w:val="00514917"/>
    <w:rsid w:val="00514963"/>
    <w:rsid w:val="00514978"/>
    <w:rsid w:val="00514CA6"/>
    <w:rsid w:val="00514CAF"/>
    <w:rsid w:val="00514D82"/>
    <w:rsid w:val="0051501B"/>
    <w:rsid w:val="00515028"/>
    <w:rsid w:val="005150E5"/>
    <w:rsid w:val="00515115"/>
    <w:rsid w:val="005152B5"/>
    <w:rsid w:val="0051543F"/>
    <w:rsid w:val="00515464"/>
    <w:rsid w:val="005155C2"/>
    <w:rsid w:val="005155E8"/>
    <w:rsid w:val="0051581F"/>
    <w:rsid w:val="00515886"/>
    <w:rsid w:val="005159CA"/>
    <w:rsid w:val="00515A44"/>
    <w:rsid w:val="00515C58"/>
    <w:rsid w:val="00515C71"/>
    <w:rsid w:val="00515C7B"/>
    <w:rsid w:val="00515C7D"/>
    <w:rsid w:val="00516292"/>
    <w:rsid w:val="005162E5"/>
    <w:rsid w:val="005162EB"/>
    <w:rsid w:val="005162EC"/>
    <w:rsid w:val="005164F9"/>
    <w:rsid w:val="00516602"/>
    <w:rsid w:val="005166C0"/>
    <w:rsid w:val="00516706"/>
    <w:rsid w:val="0051685E"/>
    <w:rsid w:val="005168E7"/>
    <w:rsid w:val="005168EB"/>
    <w:rsid w:val="00516936"/>
    <w:rsid w:val="00516BB4"/>
    <w:rsid w:val="00516D9D"/>
    <w:rsid w:val="00516F0E"/>
    <w:rsid w:val="00517038"/>
    <w:rsid w:val="005170DC"/>
    <w:rsid w:val="00517198"/>
    <w:rsid w:val="005173EB"/>
    <w:rsid w:val="00517645"/>
    <w:rsid w:val="005177B9"/>
    <w:rsid w:val="0051786E"/>
    <w:rsid w:val="00517877"/>
    <w:rsid w:val="005178A9"/>
    <w:rsid w:val="005179D7"/>
    <w:rsid w:val="00517A3B"/>
    <w:rsid w:val="00517A5C"/>
    <w:rsid w:val="00517BF4"/>
    <w:rsid w:val="00517D50"/>
    <w:rsid w:val="00517FE4"/>
    <w:rsid w:val="005200D8"/>
    <w:rsid w:val="00520194"/>
    <w:rsid w:val="00520319"/>
    <w:rsid w:val="0052049D"/>
    <w:rsid w:val="00520556"/>
    <w:rsid w:val="005206BC"/>
    <w:rsid w:val="005207AB"/>
    <w:rsid w:val="005208D0"/>
    <w:rsid w:val="00520A63"/>
    <w:rsid w:val="00520B51"/>
    <w:rsid w:val="00520BA3"/>
    <w:rsid w:val="00520EBB"/>
    <w:rsid w:val="00520EF9"/>
    <w:rsid w:val="00520F25"/>
    <w:rsid w:val="00520FD6"/>
    <w:rsid w:val="0052103E"/>
    <w:rsid w:val="0052123C"/>
    <w:rsid w:val="00521297"/>
    <w:rsid w:val="00521319"/>
    <w:rsid w:val="0052132B"/>
    <w:rsid w:val="00521532"/>
    <w:rsid w:val="005216C4"/>
    <w:rsid w:val="005219B2"/>
    <w:rsid w:val="005219C1"/>
    <w:rsid w:val="00521A16"/>
    <w:rsid w:val="00521A50"/>
    <w:rsid w:val="00521A8A"/>
    <w:rsid w:val="00521B70"/>
    <w:rsid w:val="00521CC6"/>
    <w:rsid w:val="00521DEF"/>
    <w:rsid w:val="00521E19"/>
    <w:rsid w:val="00521E24"/>
    <w:rsid w:val="00521E78"/>
    <w:rsid w:val="005220B3"/>
    <w:rsid w:val="005221F9"/>
    <w:rsid w:val="005222DD"/>
    <w:rsid w:val="00522518"/>
    <w:rsid w:val="00522696"/>
    <w:rsid w:val="005226D6"/>
    <w:rsid w:val="00522724"/>
    <w:rsid w:val="005228D2"/>
    <w:rsid w:val="00522BC8"/>
    <w:rsid w:val="00522D7A"/>
    <w:rsid w:val="00522DE3"/>
    <w:rsid w:val="0052361F"/>
    <w:rsid w:val="00523689"/>
    <w:rsid w:val="0052373E"/>
    <w:rsid w:val="005238FA"/>
    <w:rsid w:val="00523B03"/>
    <w:rsid w:val="00523C28"/>
    <w:rsid w:val="00523D90"/>
    <w:rsid w:val="00523DAB"/>
    <w:rsid w:val="00523E4A"/>
    <w:rsid w:val="005242FB"/>
    <w:rsid w:val="00524322"/>
    <w:rsid w:val="0052442E"/>
    <w:rsid w:val="005244C7"/>
    <w:rsid w:val="00524539"/>
    <w:rsid w:val="00524601"/>
    <w:rsid w:val="0052483B"/>
    <w:rsid w:val="0052486C"/>
    <w:rsid w:val="005248C2"/>
    <w:rsid w:val="0052492C"/>
    <w:rsid w:val="00524981"/>
    <w:rsid w:val="00524A69"/>
    <w:rsid w:val="00524AC1"/>
    <w:rsid w:val="00524B23"/>
    <w:rsid w:val="00524C9D"/>
    <w:rsid w:val="005250C4"/>
    <w:rsid w:val="005251C3"/>
    <w:rsid w:val="005254ED"/>
    <w:rsid w:val="00525615"/>
    <w:rsid w:val="00525AEA"/>
    <w:rsid w:val="00525AFE"/>
    <w:rsid w:val="00525B5C"/>
    <w:rsid w:val="00525D48"/>
    <w:rsid w:val="00525D98"/>
    <w:rsid w:val="00525DB2"/>
    <w:rsid w:val="00525EDD"/>
    <w:rsid w:val="00525EFF"/>
    <w:rsid w:val="00525F13"/>
    <w:rsid w:val="00525F1C"/>
    <w:rsid w:val="00526188"/>
    <w:rsid w:val="0052624A"/>
    <w:rsid w:val="005265C1"/>
    <w:rsid w:val="0052664B"/>
    <w:rsid w:val="0052666D"/>
    <w:rsid w:val="00526A65"/>
    <w:rsid w:val="005271AF"/>
    <w:rsid w:val="00527330"/>
    <w:rsid w:val="005273AF"/>
    <w:rsid w:val="005273D6"/>
    <w:rsid w:val="005275F5"/>
    <w:rsid w:val="00527853"/>
    <w:rsid w:val="005278D2"/>
    <w:rsid w:val="00527C4A"/>
    <w:rsid w:val="00527CF1"/>
    <w:rsid w:val="00527D87"/>
    <w:rsid w:val="00527F89"/>
    <w:rsid w:val="0053034A"/>
    <w:rsid w:val="005304AF"/>
    <w:rsid w:val="005304BA"/>
    <w:rsid w:val="005305CF"/>
    <w:rsid w:val="0053074E"/>
    <w:rsid w:val="005308CC"/>
    <w:rsid w:val="00530906"/>
    <w:rsid w:val="0053093A"/>
    <w:rsid w:val="00530986"/>
    <w:rsid w:val="00530D1C"/>
    <w:rsid w:val="00530F10"/>
    <w:rsid w:val="00530F3A"/>
    <w:rsid w:val="005311F2"/>
    <w:rsid w:val="005312EA"/>
    <w:rsid w:val="00531334"/>
    <w:rsid w:val="00531417"/>
    <w:rsid w:val="00531638"/>
    <w:rsid w:val="00531699"/>
    <w:rsid w:val="0053176B"/>
    <w:rsid w:val="00531979"/>
    <w:rsid w:val="00531A82"/>
    <w:rsid w:val="00531B72"/>
    <w:rsid w:val="00531D0E"/>
    <w:rsid w:val="00531DC0"/>
    <w:rsid w:val="00531E5B"/>
    <w:rsid w:val="00531F51"/>
    <w:rsid w:val="00532059"/>
    <w:rsid w:val="00532187"/>
    <w:rsid w:val="005321AF"/>
    <w:rsid w:val="005321C1"/>
    <w:rsid w:val="0053240A"/>
    <w:rsid w:val="00532650"/>
    <w:rsid w:val="005327D8"/>
    <w:rsid w:val="0053286F"/>
    <w:rsid w:val="00532D70"/>
    <w:rsid w:val="00532D80"/>
    <w:rsid w:val="00532E73"/>
    <w:rsid w:val="00532EEC"/>
    <w:rsid w:val="00532FBF"/>
    <w:rsid w:val="00533199"/>
    <w:rsid w:val="00533526"/>
    <w:rsid w:val="0053374F"/>
    <w:rsid w:val="00533A8A"/>
    <w:rsid w:val="00533C2E"/>
    <w:rsid w:val="00533C5F"/>
    <w:rsid w:val="00533DAA"/>
    <w:rsid w:val="005341B2"/>
    <w:rsid w:val="005341B3"/>
    <w:rsid w:val="0053422C"/>
    <w:rsid w:val="00534292"/>
    <w:rsid w:val="0053431F"/>
    <w:rsid w:val="00534330"/>
    <w:rsid w:val="00534533"/>
    <w:rsid w:val="00534562"/>
    <w:rsid w:val="005347A3"/>
    <w:rsid w:val="00534A45"/>
    <w:rsid w:val="00534BAF"/>
    <w:rsid w:val="00534C23"/>
    <w:rsid w:val="00534F51"/>
    <w:rsid w:val="00534F86"/>
    <w:rsid w:val="00535068"/>
    <w:rsid w:val="005351C0"/>
    <w:rsid w:val="00535234"/>
    <w:rsid w:val="0053532F"/>
    <w:rsid w:val="0053580D"/>
    <w:rsid w:val="00535848"/>
    <w:rsid w:val="00535935"/>
    <w:rsid w:val="00535B0F"/>
    <w:rsid w:val="00535CB6"/>
    <w:rsid w:val="00535D2E"/>
    <w:rsid w:val="00535D81"/>
    <w:rsid w:val="00535DCD"/>
    <w:rsid w:val="00535DD1"/>
    <w:rsid w:val="00535EB1"/>
    <w:rsid w:val="00536071"/>
    <w:rsid w:val="0053607D"/>
    <w:rsid w:val="00536106"/>
    <w:rsid w:val="00536192"/>
    <w:rsid w:val="005363B8"/>
    <w:rsid w:val="00536469"/>
    <w:rsid w:val="00536611"/>
    <w:rsid w:val="0053673F"/>
    <w:rsid w:val="005367A6"/>
    <w:rsid w:val="005367C6"/>
    <w:rsid w:val="005367F0"/>
    <w:rsid w:val="00536BC9"/>
    <w:rsid w:val="00536C89"/>
    <w:rsid w:val="00536C8D"/>
    <w:rsid w:val="00536DAC"/>
    <w:rsid w:val="00536DD0"/>
    <w:rsid w:val="00536E6A"/>
    <w:rsid w:val="00536ECB"/>
    <w:rsid w:val="00536F42"/>
    <w:rsid w:val="00536FBF"/>
    <w:rsid w:val="0053700F"/>
    <w:rsid w:val="00537182"/>
    <w:rsid w:val="00537357"/>
    <w:rsid w:val="00537580"/>
    <w:rsid w:val="005376B8"/>
    <w:rsid w:val="0053797D"/>
    <w:rsid w:val="00537A53"/>
    <w:rsid w:val="00537BF5"/>
    <w:rsid w:val="00537CF5"/>
    <w:rsid w:val="00537E05"/>
    <w:rsid w:val="00537E42"/>
    <w:rsid w:val="00537FC8"/>
    <w:rsid w:val="00540021"/>
    <w:rsid w:val="005405BC"/>
    <w:rsid w:val="005406EF"/>
    <w:rsid w:val="005408F3"/>
    <w:rsid w:val="00540934"/>
    <w:rsid w:val="005409B3"/>
    <w:rsid w:val="005409EB"/>
    <w:rsid w:val="00540A17"/>
    <w:rsid w:val="00540DCB"/>
    <w:rsid w:val="00540E11"/>
    <w:rsid w:val="00541082"/>
    <w:rsid w:val="005410F5"/>
    <w:rsid w:val="00541178"/>
    <w:rsid w:val="0054117D"/>
    <w:rsid w:val="0054130C"/>
    <w:rsid w:val="00541322"/>
    <w:rsid w:val="005414AC"/>
    <w:rsid w:val="005416FA"/>
    <w:rsid w:val="00541C0E"/>
    <w:rsid w:val="00541CB8"/>
    <w:rsid w:val="00541D2D"/>
    <w:rsid w:val="00541DEE"/>
    <w:rsid w:val="00541EA6"/>
    <w:rsid w:val="00541EDD"/>
    <w:rsid w:val="00541F25"/>
    <w:rsid w:val="0054208A"/>
    <w:rsid w:val="00542096"/>
    <w:rsid w:val="00542394"/>
    <w:rsid w:val="005424F9"/>
    <w:rsid w:val="0054267B"/>
    <w:rsid w:val="005426A5"/>
    <w:rsid w:val="00542743"/>
    <w:rsid w:val="005428A7"/>
    <w:rsid w:val="005428DD"/>
    <w:rsid w:val="00542B39"/>
    <w:rsid w:val="00542C2D"/>
    <w:rsid w:val="00542DD6"/>
    <w:rsid w:val="00543170"/>
    <w:rsid w:val="00543171"/>
    <w:rsid w:val="00543257"/>
    <w:rsid w:val="005433C5"/>
    <w:rsid w:val="005437D7"/>
    <w:rsid w:val="00543982"/>
    <w:rsid w:val="005439B4"/>
    <w:rsid w:val="00543A14"/>
    <w:rsid w:val="00543DC3"/>
    <w:rsid w:val="00543EA0"/>
    <w:rsid w:val="00543F4A"/>
    <w:rsid w:val="00543FC6"/>
    <w:rsid w:val="005440E5"/>
    <w:rsid w:val="00544107"/>
    <w:rsid w:val="005441DD"/>
    <w:rsid w:val="00544220"/>
    <w:rsid w:val="00544290"/>
    <w:rsid w:val="00544415"/>
    <w:rsid w:val="00544500"/>
    <w:rsid w:val="00544554"/>
    <w:rsid w:val="0054461E"/>
    <w:rsid w:val="00544724"/>
    <w:rsid w:val="005447C6"/>
    <w:rsid w:val="0054480D"/>
    <w:rsid w:val="00544835"/>
    <w:rsid w:val="00544B12"/>
    <w:rsid w:val="00544B8E"/>
    <w:rsid w:val="00544C59"/>
    <w:rsid w:val="00544D7C"/>
    <w:rsid w:val="00545026"/>
    <w:rsid w:val="005451B4"/>
    <w:rsid w:val="005456D9"/>
    <w:rsid w:val="00545965"/>
    <w:rsid w:val="00545AFE"/>
    <w:rsid w:val="00545E3F"/>
    <w:rsid w:val="00546278"/>
    <w:rsid w:val="0054632E"/>
    <w:rsid w:val="005466B0"/>
    <w:rsid w:val="005466C0"/>
    <w:rsid w:val="0054690C"/>
    <w:rsid w:val="0054695F"/>
    <w:rsid w:val="00546B34"/>
    <w:rsid w:val="00546BB7"/>
    <w:rsid w:val="00546CDD"/>
    <w:rsid w:val="00546E03"/>
    <w:rsid w:val="00546FA3"/>
    <w:rsid w:val="00547140"/>
    <w:rsid w:val="005472AC"/>
    <w:rsid w:val="0054742B"/>
    <w:rsid w:val="005474D4"/>
    <w:rsid w:val="005475E9"/>
    <w:rsid w:val="00547622"/>
    <w:rsid w:val="00547699"/>
    <w:rsid w:val="005478A6"/>
    <w:rsid w:val="005478BD"/>
    <w:rsid w:val="005479E3"/>
    <w:rsid w:val="00547DDC"/>
    <w:rsid w:val="00550244"/>
    <w:rsid w:val="005502C0"/>
    <w:rsid w:val="0055032B"/>
    <w:rsid w:val="00550370"/>
    <w:rsid w:val="0055050F"/>
    <w:rsid w:val="00550512"/>
    <w:rsid w:val="00550664"/>
    <w:rsid w:val="0055068E"/>
    <w:rsid w:val="0055078E"/>
    <w:rsid w:val="00550814"/>
    <w:rsid w:val="0055083D"/>
    <w:rsid w:val="00550B6E"/>
    <w:rsid w:val="00550BDC"/>
    <w:rsid w:val="00550C4A"/>
    <w:rsid w:val="00550DA0"/>
    <w:rsid w:val="00550DD2"/>
    <w:rsid w:val="00550E4A"/>
    <w:rsid w:val="00550F94"/>
    <w:rsid w:val="00551037"/>
    <w:rsid w:val="00551084"/>
    <w:rsid w:val="0055112F"/>
    <w:rsid w:val="0055124F"/>
    <w:rsid w:val="0055128E"/>
    <w:rsid w:val="005514E3"/>
    <w:rsid w:val="0055155D"/>
    <w:rsid w:val="0055157E"/>
    <w:rsid w:val="005516CB"/>
    <w:rsid w:val="0055171B"/>
    <w:rsid w:val="00551759"/>
    <w:rsid w:val="00551985"/>
    <w:rsid w:val="005519DF"/>
    <w:rsid w:val="005519FB"/>
    <w:rsid w:val="00551A3D"/>
    <w:rsid w:val="00551D16"/>
    <w:rsid w:val="00551D30"/>
    <w:rsid w:val="00552287"/>
    <w:rsid w:val="00552385"/>
    <w:rsid w:val="00552500"/>
    <w:rsid w:val="00552569"/>
    <w:rsid w:val="00552636"/>
    <w:rsid w:val="0055276F"/>
    <w:rsid w:val="00552796"/>
    <w:rsid w:val="0055291A"/>
    <w:rsid w:val="005529C3"/>
    <w:rsid w:val="00552BD3"/>
    <w:rsid w:val="00552C2A"/>
    <w:rsid w:val="00552D9C"/>
    <w:rsid w:val="00552DD2"/>
    <w:rsid w:val="00552FDC"/>
    <w:rsid w:val="005532A0"/>
    <w:rsid w:val="00553560"/>
    <w:rsid w:val="00553768"/>
    <w:rsid w:val="00553CB5"/>
    <w:rsid w:val="00553DCE"/>
    <w:rsid w:val="00553F1D"/>
    <w:rsid w:val="00553F3F"/>
    <w:rsid w:val="005541F1"/>
    <w:rsid w:val="005542C9"/>
    <w:rsid w:val="005542E6"/>
    <w:rsid w:val="005543A2"/>
    <w:rsid w:val="00554629"/>
    <w:rsid w:val="0055465F"/>
    <w:rsid w:val="005546A9"/>
    <w:rsid w:val="005549AD"/>
    <w:rsid w:val="00554AA6"/>
    <w:rsid w:val="00554C2D"/>
    <w:rsid w:val="00554D13"/>
    <w:rsid w:val="00554DD9"/>
    <w:rsid w:val="00554FE9"/>
    <w:rsid w:val="0055505C"/>
    <w:rsid w:val="00555109"/>
    <w:rsid w:val="0055519A"/>
    <w:rsid w:val="005551B9"/>
    <w:rsid w:val="0055542E"/>
    <w:rsid w:val="00555482"/>
    <w:rsid w:val="00555534"/>
    <w:rsid w:val="00555650"/>
    <w:rsid w:val="0055572D"/>
    <w:rsid w:val="0055584E"/>
    <w:rsid w:val="00555AE9"/>
    <w:rsid w:val="00555C05"/>
    <w:rsid w:val="00555E6C"/>
    <w:rsid w:val="00555E9A"/>
    <w:rsid w:val="00555F49"/>
    <w:rsid w:val="00555F82"/>
    <w:rsid w:val="0055619B"/>
    <w:rsid w:val="0055630E"/>
    <w:rsid w:val="00556335"/>
    <w:rsid w:val="00556372"/>
    <w:rsid w:val="00556582"/>
    <w:rsid w:val="0055663C"/>
    <w:rsid w:val="005566A4"/>
    <w:rsid w:val="0055697B"/>
    <w:rsid w:val="00556AD8"/>
    <w:rsid w:val="00556B35"/>
    <w:rsid w:val="00556BB6"/>
    <w:rsid w:val="00556C2F"/>
    <w:rsid w:val="00556D75"/>
    <w:rsid w:val="00556E0A"/>
    <w:rsid w:val="00556FEE"/>
    <w:rsid w:val="00556FF2"/>
    <w:rsid w:val="00557103"/>
    <w:rsid w:val="005571E4"/>
    <w:rsid w:val="00557379"/>
    <w:rsid w:val="0055741A"/>
    <w:rsid w:val="00557486"/>
    <w:rsid w:val="005575A3"/>
    <w:rsid w:val="005578FD"/>
    <w:rsid w:val="00557921"/>
    <w:rsid w:val="00557AA8"/>
    <w:rsid w:val="00557ED9"/>
    <w:rsid w:val="00557F10"/>
    <w:rsid w:val="00557FD1"/>
    <w:rsid w:val="00557FFC"/>
    <w:rsid w:val="005600ED"/>
    <w:rsid w:val="00560672"/>
    <w:rsid w:val="005606D8"/>
    <w:rsid w:val="0056073C"/>
    <w:rsid w:val="0056074B"/>
    <w:rsid w:val="00560ABC"/>
    <w:rsid w:val="00560B17"/>
    <w:rsid w:val="00560C0E"/>
    <w:rsid w:val="0056102E"/>
    <w:rsid w:val="005610E6"/>
    <w:rsid w:val="005611B7"/>
    <w:rsid w:val="005612EB"/>
    <w:rsid w:val="00561336"/>
    <w:rsid w:val="005613D5"/>
    <w:rsid w:val="00561611"/>
    <w:rsid w:val="00561759"/>
    <w:rsid w:val="005617FE"/>
    <w:rsid w:val="00561878"/>
    <w:rsid w:val="00561888"/>
    <w:rsid w:val="005618D4"/>
    <w:rsid w:val="0056198B"/>
    <w:rsid w:val="005619D9"/>
    <w:rsid w:val="00561AF0"/>
    <w:rsid w:val="00561D13"/>
    <w:rsid w:val="0056207F"/>
    <w:rsid w:val="00562212"/>
    <w:rsid w:val="00562315"/>
    <w:rsid w:val="005623B7"/>
    <w:rsid w:val="0056243F"/>
    <w:rsid w:val="005624AC"/>
    <w:rsid w:val="00562514"/>
    <w:rsid w:val="005626AD"/>
    <w:rsid w:val="0056295D"/>
    <w:rsid w:val="00562AF9"/>
    <w:rsid w:val="00562B98"/>
    <w:rsid w:val="00562CBD"/>
    <w:rsid w:val="00562E25"/>
    <w:rsid w:val="00562EDC"/>
    <w:rsid w:val="00563006"/>
    <w:rsid w:val="00563028"/>
    <w:rsid w:val="0056303A"/>
    <w:rsid w:val="00563049"/>
    <w:rsid w:val="00563316"/>
    <w:rsid w:val="0056341E"/>
    <w:rsid w:val="0056347D"/>
    <w:rsid w:val="005634A1"/>
    <w:rsid w:val="00563533"/>
    <w:rsid w:val="005636A8"/>
    <w:rsid w:val="00563800"/>
    <w:rsid w:val="00563C89"/>
    <w:rsid w:val="00563CAF"/>
    <w:rsid w:val="00563CBE"/>
    <w:rsid w:val="00563CF4"/>
    <w:rsid w:val="00563D90"/>
    <w:rsid w:val="00563D9B"/>
    <w:rsid w:val="00563E0F"/>
    <w:rsid w:val="00563E76"/>
    <w:rsid w:val="00563F29"/>
    <w:rsid w:val="00563FC7"/>
    <w:rsid w:val="00564004"/>
    <w:rsid w:val="0056406D"/>
    <w:rsid w:val="005640C1"/>
    <w:rsid w:val="005641F1"/>
    <w:rsid w:val="00564236"/>
    <w:rsid w:val="005642CA"/>
    <w:rsid w:val="005642F7"/>
    <w:rsid w:val="005644C4"/>
    <w:rsid w:val="005646B8"/>
    <w:rsid w:val="00564842"/>
    <w:rsid w:val="00564867"/>
    <w:rsid w:val="00564E5C"/>
    <w:rsid w:val="00564E94"/>
    <w:rsid w:val="00564EAD"/>
    <w:rsid w:val="00564EBC"/>
    <w:rsid w:val="00564F25"/>
    <w:rsid w:val="00565083"/>
    <w:rsid w:val="005653C4"/>
    <w:rsid w:val="00565515"/>
    <w:rsid w:val="00565536"/>
    <w:rsid w:val="0056563B"/>
    <w:rsid w:val="00565766"/>
    <w:rsid w:val="00565932"/>
    <w:rsid w:val="00565A26"/>
    <w:rsid w:val="00565B28"/>
    <w:rsid w:val="00565C79"/>
    <w:rsid w:val="00565DAC"/>
    <w:rsid w:val="00565DF0"/>
    <w:rsid w:val="00565F43"/>
    <w:rsid w:val="00566251"/>
    <w:rsid w:val="005667A9"/>
    <w:rsid w:val="00566837"/>
    <w:rsid w:val="00566843"/>
    <w:rsid w:val="005668B8"/>
    <w:rsid w:val="0056696F"/>
    <w:rsid w:val="00566C10"/>
    <w:rsid w:val="00566E06"/>
    <w:rsid w:val="00566ED6"/>
    <w:rsid w:val="00567787"/>
    <w:rsid w:val="005677C6"/>
    <w:rsid w:val="00567A81"/>
    <w:rsid w:val="00567B6C"/>
    <w:rsid w:val="00567C27"/>
    <w:rsid w:val="00567D06"/>
    <w:rsid w:val="00567D55"/>
    <w:rsid w:val="00567D68"/>
    <w:rsid w:val="00567D6A"/>
    <w:rsid w:val="00567D7E"/>
    <w:rsid w:val="00567E4A"/>
    <w:rsid w:val="005701FD"/>
    <w:rsid w:val="00570204"/>
    <w:rsid w:val="00570285"/>
    <w:rsid w:val="0057028C"/>
    <w:rsid w:val="0057031F"/>
    <w:rsid w:val="0057056F"/>
    <w:rsid w:val="005706AF"/>
    <w:rsid w:val="005707FB"/>
    <w:rsid w:val="00570849"/>
    <w:rsid w:val="00570B0A"/>
    <w:rsid w:val="00570B6C"/>
    <w:rsid w:val="00570BD5"/>
    <w:rsid w:val="00570D38"/>
    <w:rsid w:val="00570FB7"/>
    <w:rsid w:val="00571271"/>
    <w:rsid w:val="0057168E"/>
    <w:rsid w:val="0057189F"/>
    <w:rsid w:val="00571B02"/>
    <w:rsid w:val="00571C8B"/>
    <w:rsid w:val="00571D97"/>
    <w:rsid w:val="00571E55"/>
    <w:rsid w:val="00571ECF"/>
    <w:rsid w:val="00572007"/>
    <w:rsid w:val="00572220"/>
    <w:rsid w:val="00572269"/>
    <w:rsid w:val="0057244A"/>
    <w:rsid w:val="00572479"/>
    <w:rsid w:val="005724FF"/>
    <w:rsid w:val="005726A4"/>
    <w:rsid w:val="00572781"/>
    <w:rsid w:val="00572942"/>
    <w:rsid w:val="00572B2A"/>
    <w:rsid w:val="00572BE5"/>
    <w:rsid w:val="00572DFC"/>
    <w:rsid w:val="00572E1C"/>
    <w:rsid w:val="00572EF1"/>
    <w:rsid w:val="00572F26"/>
    <w:rsid w:val="005730F1"/>
    <w:rsid w:val="005731E0"/>
    <w:rsid w:val="00573285"/>
    <w:rsid w:val="005733B3"/>
    <w:rsid w:val="005733E8"/>
    <w:rsid w:val="005734AC"/>
    <w:rsid w:val="0057363B"/>
    <w:rsid w:val="005739B6"/>
    <w:rsid w:val="00573B47"/>
    <w:rsid w:val="0057402E"/>
    <w:rsid w:val="00574261"/>
    <w:rsid w:val="0057429C"/>
    <w:rsid w:val="00574359"/>
    <w:rsid w:val="00574506"/>
    <w:rsid w:val="00574523"/>
    <w:rsid w:val="005745B8"/>
    <w:rsid w:val="00574661"/>
    <w:rsid w:val="00574668"/>
    <w:rsid w:val="0057469A"/>
    <w:rsid w:val="0057473F"/>
    <w:rsid w:val="005747CB"/>
    <w:rsid w:val="005747E6"/>
    <w:rsid w:val="0057481D"/>
    <w:rsid w:val="00574882"/>
    <w:rsid w:val="00574E8A"/>
    <w:rsid w:val="00574E99"/>
    <w:rsid w:val="00574EFD"/>
    <w:rsid w:val="005750C5"/>
    <w:rsid w:val="00575152"/>
    <w:rsid w:val="005751B7"/>
    <w:rsid w:val="00575243"/>
    <w:rsid w:val="005752DE"/>
    <w:rsid w:val="0057535F"/>
    <w:rsid w:val="00575565"/>
    <w:rsid w:val="0057569F"/>
    <w:rsid w:val="0057579D"/>
    <w:rsid w:val="005758E5"/>
    <w:rsid w:val="00575939"/>
    <w:rsid w:val="0057597B"/>
    <w:rsid w:val="00575BDD"/>
    <w:rsid w:val="00575D60"/>
    <w:rsid w:val="00575D8D"/>
    <w:rsid w:val="00575E2D"/>
    <w:rsid w:val="00575FDA"/>
    <w:rsid w:val="00576216"/>
    <w:rsid w:val="005762D5"/>
    <w:rsid w:val="005762EE"/>
    <w:rsid w:val="005764E8"/>
    <w:rsid w:val="00576568"/>
    <w:rsid w:val="0057658D"/>
    <w:rsid w:val="00576604"/>
    <w:rsid w:val="0057684F"/>
    <w:rsid w:val="00576886"/>
    <w:rsid w:val="005768F5"/>
    <w:rsid w:val="00576972"/>
    <w:rsid w:val="00576AC3"/>
    <w:rsid w:val="00576C4E"/>
    <w:rsid w:val="00576DA3"/>
    <w:rsid w:val="00576F95"/>
    <w:rsid w:val="00577066"/>
    <w:rsid w:val="00577248"/>
    <w:rsid w:val="0057730F"/>
    <w:rsid w:val="005773F1"/>
    <w:rsid w:val="0057755C"/>
    <w:rsid w:val="005779A9"/>
    <w:rsid w:val="00577D2F"/>
    <w:rsid w:val="00577E41"/>
    <w:rsid w:val="00577ED9"/>
    <w:rsid w:val="00577F14"/>
    <w:rsid w:val="005801C1"/>
    <w:rsid w:val="00580201"/>
    <w:rsid w:val="00580488"/>
    <w:rsid w:val="00580583"/>
    <w:rsid w:val="005805A6"/>
    <w:rsid w:val="00580660"/>
    <w:rsid w:val="005808F0"/>
    <w:rsid w:val="00580D11"/>
    <w:rsid w:val="00580D55"/>
    <w:rsid w:val="00580E6D"/>
    <w:rsid w:val="00580EC9"/>
    <w:rsid w:val="00580FAF"/>
    <w:rsid w:val="0058132C"/>
    <w:rsid w:val="0058136F"/>
    <w:rsid w:val="0058144F"/>
    <w:rsid w:val="00581470"/>
    <w:rsid w:val="005815D8"/>
    <w:rsid w:val="0058166C"/>
    <w:rsid w:val="005816A2"/>
    <w:rsid w:val="0058178E"/>
    <w:rsid w:val="00581A26"/>
    <w:rsid w:val="00581BE0"/>
    <w:rsid w:val="005821BC"/>
    <w:rsid w:val="005822F4"/>
    <w:rsid w:val="0058243B"/>
    <w:rsid w:val="00582481"/>
    <w:rsid w:val="00582530"/>
    <w:rsid w:val="00582845"/>
    <w:rsid w:val="00582933"/>
    <w:rsid w:val="00582A7D"/>
    <w:rsid w:val="00582B69"/>
    <w:rsid w:val="00582BE9"/>
    <w:rsid w:val="00582C4A"/>
    <w:rsid w:val="00582E52"/>
    <w:rsid w:val="00582E7E"/>
    <w:rsid w:val="00582FC5"/>
    <w:rsid w:val="005830DE"/>
    <w:rsid w:val="005831F2"/>
    <w:rsid w:val="00583249"/>
    <w:rsid w:val="00583456"/>
    <w:rsid w:val="0058345D"/>
    <w:rsid w:val="0058348B"/>
    <w:rsid w:val="00583610"/>
    <w:rsid w:val="00583699"/>
    <w:rsid w:val="00583845"/>
    <w:rsid w:val="005838D4"/>
    <w:rsid w:val="005838F9"/>
    <w:rsid w:val="00583E94"/>
    <w:rsid w:val="00583EB8"/>
    <w:rsid w:val="0058409E"/>
    <w:rsid w:val="005842B2"/>
    <w:rsid w:val="00584529"/>
    <w:rsid w:val="0058480E"/>
    <w:rsid w:val="00584846"/>
    <w:rsid w:val="00584875"/>
    <w:rsid w:val="005848EB"/>
    <w:rsid w:val="00584A84"/>
    <w:rsid w:val="00584C94"/>
    <w:rsid w:val="00584CF1"/>
    <w:rsid w:val="00584D12"/>
    <w:rsid w:val="00584E52"/>
    <w:rsid w:val="005852C9"/>
    <w:rsid w:val="005852EC"/>
    <w:rsid w:val="005853E9"/>
    <w:rsid w:val="005853F3"/>
    <w:rsid w:val="00585478"/>
    <w:rsid w:val="0058556C"/>
    <w:rsid w:val="005855BB"/>
    <w:rsid w:val="00585607"/>
    <w:rsid w:val="00585637"/>
    <w:rsid w:val="0058584C"/>
    <w:rsid w:val="0058588F"/>
    <w:rsid w:val="0058597E"/>
    <w:rsid w:val="00585B3D"/>
    <w:rsid w:val="00585BEC"/>
    <w:rsid w:val="00585CDD"/>
    <w:rsid w:val="00585F8D"/>
    <w:rsid w:val="00586176"/>
    <w:rsid w:val="00586271"/>
    <w:rsid w:val="0058634F"/>
    <w:rsid w:val="00586489"/>
    <w:rsid w:val="005864B9"/>
    <w:rsid w:val="005866C6"/>
    <w:rsid w:val="00586755"/>
    <w:rsid w:val="005868C2"/>
    <w:rsid w:val="00586906"/>
    <w:rsid w:val="00586977"/>
    <w:rsid w:val="00586B6F"/>
    <w:rsid w:val="00586F0F"/>
    <w:rsid w:val="00586FF3"/>
    <w:rsid w:val="00587058"/>
    <w:rsid w:val="0058721F"/>
    <w:rsid w:val="00587290"/>
    <w:rsid w:val="005872C6"/>
    <w:rsid w:val="00587650"/>
    <w:rsid w:val="005877D5"/>
    <w:rsid w:val="00587800"/>
    <w:rsid w:val="00587890"/>
    <w:rsid w:val="005879FD"/>
    <w:rsid w:val="00587C0D"/>
    <w:rsid w:val="00587CD1"/>
    <w:rsid w:val="00590311"/>
    <w:rsid w:val="0059037C"/>
    <w:rsid w:val="0059050E"/>
    <w:rsid w:val="005905AD"/>
    <w:rsid w:val="005906C2"/>
    <w:rsid w:val="005908AE"/>
    <w:rsid w:val="00590A4C"/>
    <w:rsid w:val="00590BAA"/>
    <w:rsid w:val="00590BAB"/>
    <w:rsid w:val="00590DE8"/>
    <w:rsid w:val="00590EA6"/>
    <w:rsid w:val="00590FEE"/>
    <w:rsid w:val="00590FEF"/>
    <w:rsid w:val="00591009"/>
    <w:rsid w:val="005910FC"/>
    <w:rsid w:val="0059132C"/>
    <w:rsid w:val="005913CB"/>
    <w:rsid w:val="0059161D"/>
    <w:rsid w:val="0059169E"/>
    <w:rsid w:val="005916A0"/>
    <w:rsid w:val="00591727"/>
    <w:rsid w:val="00591883"/>
    <w:rsid w:val="00591957"/>
    <w:rsid w:val="005919E5"/>
    <w:rsid w:val="00591B03"/>
    <w:rsid w:val="00591C7C"/>
    <w:rsid w:val="00591D8C"/>
    <w:rsid w:val="00592133"/>
    <w:rsid w:val="005922D1"/>
    <w:rsid w:val="00592419"/>
    <w:rsid w:val="00592490"/>
    <w:rsid w:val="005924A4"/>
    <w:rsid w:val="005924AF"/>
    <w:rsid w:val="0059253A"/>
    <w:rsid w:val="005927A0"/>
    <w:rsid w:val="005927D7"/>
    <w:rsid w:val="00592887"/>
    <w:rsid w:val="005929EC"/>
    <w:rsid w:val="00592A05"/>
    <w:rsid w:val="00592A21"/>
    <w:rsid w:val="00592BF1"/>
    <w:rsid w:val="00592F78"/>
    <w:rsid w:val="00592F89"/>
    <w:rsid w:val="00593161"/>
    <w:rsid w:val="00593257"/>
    <w:rsid w:val="0059328F"/>
    <w:rsid w:val="00593329"/>
    <w:rsid w:val="0059333F"/>
    <w:rsid w:val="005934AE"/>
    <w:rsid w:val="00593506"/>
    <w:rsid w:val="00593994"/>
    <w:rsid w:val="00593B13"/>
    <w:rsid w:val="00593BED"/>
    <w:rsid w:val="00593C23"/>
    <w:rsid w:val="00593C73"/>
    <w:rsid w:val="00593F33"/>
    <w:rsid w:val="0059433B"/>
    <w:rsid w:val="005947E9"/>
    <w:rsid w:val="005949AC"/>
    <w:rsid w:val="005949EF"/>
    <w:rsid w:val="00594A88"/>
    <w:rsid w:val="00594A89"/>
    <w:rsid w:val="00594C60"/>
    <w:rsid w:val="00594CB9"/>
    <w:rsid w:val="00594D6B"/>
    <w:rsid w:val="00594E43"/>
    <w:rsid w:val="00594ED7"/>
    <w:rsid w:val="005950E8"/>
    <w:rsid w:val="00595193"/>
    <w:rsid w:val="0059534A"/>
    <w:rsid w:val="00595406"/>
    <w:rsid w:val="00595552"/>
    <w:rsid w:val="0059562C"/>
    <w:rsid w:val="00595969"/>
    <w:rsid w:val="0059596E"/>
    <w:rsid w:val="005959A8"/>
    <w:rsid w:val="00595A34"/>
    <w:rsid w:val="00595AE0"/>
    <w:rsid w:val="00595C6D"/>
    <w:rsid w:val="00595F69"/>
    <w:rsid w:val="00595FB3"/>
    <w:rsid w:val="00595FD5"/>
    <w:rsid w:val="00596535"/>
    <w:rsid w:val="0059673C"/>
    <w:rsid w:val="0059675D"/>
    <w:rsid w:val="005967B1"/>
    <w:rsid w:val="00596D07"/>
    <w:rsid w:val="00596E9B"/>
    <w:rsid w:val="00597186"/>
    <w:rsid w:val="0059721D"/>
    <w:rsid w:val="00597438"/>
    <w:rsid w:val="00597507"/>
    <w:rsid w:val="005976DE"/>
    <w:rsid w:val="005977AA"/>
    <w:rsid w:val="005977AE"/>
    <w:rsid w:val="005977C8"/>
    <w:rsid w:val="005979C4"/>
    <w:rsid w:val="00597A27"/>
    <w:rsid w:val="00597A43"/>
    <w:rsid w:val="00597BF9"/>
    <w:rsid w:val="00597D6E"/>
    <w:rsid w:val="00597DBE"/>
    <w:rsid w:val="00597DE0"/>
    <w:rsid w:val="00597F59"/>
    <w:rsid w:val="005A013E"/>
    <w:rsid w:val="005A01C4"/>
    <w:rsid w:val="005A042B"/>
    <w:rsid w:val="005A0558"/>
    <w:rsid w:val="005A0569"/>
    <w:rsid w:val="005A0653"/>
    <w:rsid w:val="005A0761"/>
    <w:rsid w:val="005A0807"/>
    <w:rsid w:val="005A0922"/>
    <w:rsid w:val="005A0C11"/>
    <w:rsid w:val="005A0C4C"/>
    <w:rsid w:val="005A12AC"/>
    <w:rsid w:val="005A1300"/>
    <w:rsid w:val="005A1514"/>
    <w:rsid w:val="005A154F"/>
    <w:rsid w:val="005A1587"/>
    <w:rsid w:val="005A17ED"/>
    <w:rsid w:val="005A1AF4"/>
    <w:rsid w:val="005A1B75"/>
    <w:rsid w:val="005A1B95"/>
    <w:rsid w:val="005A1BB3"/>
    <w:rsid w:val="005A1CDF"/>
    <w:rsid w:val="005A1D2C"/>
    <w:rsid w:val="005A1D76"/>
    <w:rsid w:val="005A1D7C"/>
    <w:rsid w:val="005A1EAF"/>
    <w:rsid w:val="005A2174"/>
    <w:rsid w:val="005A23CB"/>
    <w:rsid w:val="005A24DB"/>
    <w:rsid w:val="005A2585"/>
    <w:rsid w:val="005A2843"/>
    <w:rsid w:val="005A28A4"/>
    <w:rsid w:val="005A292E"/>
    <w:rsid w:val="005A295C"/>
    <w:rsid w:val="005A29F4"/>
    <w:rsid w:val="005A2C9E"/>
    <w:rsid w:val="005A309A"/>
    <w:rsid w:val="005A31C6"/>
    <w:rsid w:val="005A3221"/>
    <w:rsid w:val="005A3479"/>
    <w:rsid w:val="005A373D"/>
    <w:rsid w:val="005A3CD6"/>
    <w:rsid w:val="005A3DB6"/>
    <w:rsid w:val="005A3DCE"/>
    <w:rsid w:val="005A3E1C"/>
    <w:rsid w:val="005A3E2C"/>
    <w:rsid w:val="005A3E45"/>
    <w:rsid w:val="005A447A"/>
    <w:rsid w:val="005A46E0"/>
    <w:rsid w:val="005A47B9"/>
    <w:rsid w:val="005A4BF7"/>
    <w:rsid w:val="005A4D20"/>
    <w:rsid w:val="005A4E30"/>
    <w:rsid w:val="005A4F54"/>
    <w:rsid w:val="005A504E"/>
    <w:rsid w:val="005A5334"/>
    <w:rsid w:val="005A538D"/>
    <w:rsid w:val="005A544B"/>
    <w:rsid w:val="005A552F"/>
    <w:rsid w:val="005A56D3"/>
    <w:rsid w:val="005A5770"/>
    <w:rsid w:val="005A5799"/>
    <w:rsid w:val="005A58D6"/>
    <w:rsid w:val="005A58FF"/>
    <w:rsid w:val="005A59DC"/>
    <w:rsid w:val="005A5B76"/>
    <w:rsid w:val="005A5BF6"/>
    <w:rsid w:val="005A5D5E"/>
    <w:rsid w:val="005A5DF9"/>
    <w:rsid w:val="005A5E6A"/>
    <w:rsid w:val="005A5F15"/>
    <w:rsid w:val="005A6025"/>
    <w:rsid w:val="005A6687"/>
    <w:rsid w:val="005A6768"/>
    <w:rsid w:val="005A68B3"/>
    <w:rsid w:val="005A68F8"/>
    <w:rsid w:val="005A6A2C"/>
    <w:rsid w:val="005A6AAC"/>
    <w:rsid w:val="005A6D0F"/>
    <w:rsid w:val="005A6E26"/>
    <w:rsid w:val="005A6EB8"/>
    <w:rsid w:val="005A6F1A"/>
    <w:rsid w:val="005A6F58"/>
    <w:rsid w:val="005A700E"/>
    <w:rsid w:val="005A70A4"/>
    <w:rsid w:val="005A71C0"/>
    <w:rsid w:val="005A72E3"/>
    <w:rsid w:val="005A7331"/>
    <w:rsid w:val="005A736D"/>
    <w:rsid w:val="005A737F"/>
    <w:rsid w:val="005A7419"/>
    <w:rsid w:val="005A76F9"/>
    <w:rsid w:val="005A770A"/>
    <w:rsid w:val="005A77E3"/>
    <w:rsid w:val="005A7A26"/>
    <w:rsid w:val="005A7AE5"/>
    <w:rsid w:val="005A7B38"/>
    <w:rsid w:val="005A7B41"/>
    <w:rsid w:val="005A7B4E"/>
    <w:rsid w:val="005A7BD6"/>
    <w:rsid w:val="005A7F7E"/>
    <w:rsid w:val="005A7F7F"/>
    <w:rsid w:val="005B0172"/>
    <w:rsid w:val="005B0204"/>
    <w:rsid w:val="005B02F8"/>
    <w:rsid w:val="005B04F2"/>
    <w:rsid w:val="005B0589"/>
    <w:rsid w:val="005B0627"/>
    <w:rsid w:val="005B0636"/>
    <w:rsid w:val="005B06AC"/>
    <w:rsid w:val="005B06C2"/>
    <w:rsid w:val="005B07E9"/>
    <w:rsid w:val="005B0A08"/>
    <w:rsid w:val="005B0A0E"/>
    <w:rsid w:val="005B0B58"/>
    <w:rsid w:val="005B0BB8"/>
    <w:rsid w:val="005B0C51"/>
    <w:rsid w:val="005B0CA8"/>
    <w:rsid w:val="005B0DC8"/>
    <w:rsid w:val="005B0DD5"/>
    <w:rsid w:val="005B106C"/>
    <w:rsid w:val="005B10B4"/>
    <w:rsid w:val="005B1132"/>
    <w:rsid w:val="005B1427"/>
    <w:rsid w:val="005B157D"/>
    <w:rsid w:val="005B16F6"/>
    <w:rsid w:val="005B176A"/>
    <w:rsid w:val="005B1A2E"/>
    <w:rsid w:val="005B1EF9"/>
    <w:rsid w:val="005B207F"/>
    <w:rsid w:val="005B221E"/>
    <w:rsid w:val="005B2368"/>
    <w:rsid w:val="005B2382"/>
    <w:rsid w:val="005B23A9"/>
    <w:rsid w:val="005B267E"/>
    <w:rsid w:val="005B2895"/>
    <w:rsid w:val="005B290F"/>
    <w:rsid w:val="005B2A6A"/>
    <w:rsid w:val="005B2D2F"/>
    <w:rsid w:val="005B2DCB"/>
    <w:rsid w:val="005B2F44"/>
    <w:rsid w:val="005B2FEC"/>
    <w:rsid w:val="005B304E"/>
    <w:rsid w:val="005B31B1"/>
    <w:rsid w:val="005B331C"/>
    <w:rsid w:val="005B336F"/>
    <w:rsid w:val="005B33CB"/>
    <w:rsid w:val="005B33E8"/>
    <w:rsid w:val="005B34C8"/>
    <w:rsid w:val="005B35A8"/>
    <w:rsid w:val="005B364C"/>
    <w:rsid w:val="005B3865"/>
    <w:rsid w:val="005B39E6"/>
    <w:rsid w:val="005B3CB2"/>
    <w:rsid w:val="005B3E0B"/>
    <w:rsid w:val="005B3F8E"/>
    <w:rsid w:val="005B3FFA"/>
    <w:rsid w:val="005B4016"/>
    <w:rsid w:val="005B402F"/>
    <w:rsid w:val="005B433C"/>
    <w:rsid w:val="005B4375"/>
    <w:rsid w:val="005B4497"/>
    <w:rsid w:val="005B44BD"/>
    <w:rsid w:val="005B459B"/>
    <w:rsid w:val="005B46B0"/>
    <w:rsid w:val="005B46D6"/>
    <w:rsid w:val="005B4B6C"/>
    <w:rsid w:val="005B4C44"/>
    <w:rsid w:val="005B4D66"/>
    <w:rsid w:val="005B4DB8"/>
    <w:rsid w:val="005B4E53"/>
    <w:rsid w:val="005B4E88"/>
    <w:rsid w:val="005B504D"/>
    <w:rsid w:val="005B50FF"/>
    <w:rsid w:val="005B513F"/>
    <w:rsid w:val="005B5140"/>
    <w:rsid w:val="005B516B"/>
    <w:rsid w:val="005B528A"/>
    <w:rsid w:val="005B5364"/>
    <w:rsid w:val="005B5432"/>
    <w:rsid w:val="005B55C8"/>
    <w:rsid w:val="005B561C"/>
    <w:rsid w:val="005B5626"/>
    <w:rsid w:val="005B5661"/>
    <w:rsid w:val="005B5857"/>
    <w:rsid w:val="005B594A"/>
    <w:rsid w:val="005B59CD"/>
    <w:rsid w:val="005B5A06"/>
    <w:rsid w:val="005B5C6C"/>
    <w:rsid w:val="005B5CA0"/>
    <w:rsid w:val="005B5D8D"/>
    <w:rsid w:val="005B5DBF"/>
    <w:rsid w:val="005B5F6B"/>
    <w:rsid w:val="005B6063"/>
    <w:rsid w:val="005B6129"/>
    <w:rsid w:val="005B63B9"/>
    <w:rsid w:val="005B63D8"/>
    <w:rsid w:val="005B6583"/>
    <w:rsid w:val="005B660A"/>
    <w:rsid w:val="005B67CF"/>
    <w:rsid w:val="005B68EE"/>
    <w:rsid w:val="005B6948"/>
    <w:rsid w:val="005B6ABC"/>
    <w:rsid w:val="005B6BDE"/>
    <w:rsid w:val="005B6C42"/>
    <w:rsid w:val="005B6FB7"/>
    <w:rsid w:val="005B7033"/>
    <w:rsid w:val="005B71BA"/>
    <w:rsid w:val="005B729D"/>
    <w:rsid w:val="005B7427"/>
    <w:rsid w:val="005B78CD"/>
    <w:rsid w:val="005B7CD9"/>
    <w:rsid w:val="005B7DDE"/>
    <w:rsid w:val="005B7ED3"/>
    <w:rsid w:val="005C0002"/>
    <w:rsid w:val="005C0431"/>
    <w:rsid w:val="005C05CA"/>
    <w:rsid w:val="005C06D8"/>
    <w:rsid w:val="005C0920"/>
    <w:rsid w:val="005C0C8F"/>
    <w:rsid w:val="005C0CF6"/>
    <w:rsid w:val="005C0DDB"/>
    <w:rsid w:val="005C1341"/>
    <w:rsid w:val="005C13B7"/>
    <w:rsid w:val="005C1579"/>
    <w:rsid w:val="005C15F7"/>
    <w:rsid w:val="005C1626"/>
    <w:rsid w:val="005C1637"/>
    <w:rsid w:val="005C16E8"/>
    <w:rsid w:val="005C18BD"/>
    <w:rsid w:val="005C1917"/>
    <w:rsid w:val="005C1923"/>
    <w:rsid w:val="005C19C4"/>
    <w:rsid w:val="005C1B3A"/>
    <w:rsid w:val="005C1B61"/>
    <w:rsid w:val="005C1B83"/>
    <w:rsid w:val="005C1E31"/>
    <w:rsid w:val="005C20A2"/>
    <w:rsid w:val="005C2228"/>
    <w:rsid w:val="005C240E"/>
    <w:rsid w:val="005C251C"/>
    <w:rsid w:val="005C25FF"/>
    <w:rsid w:val="005C26AE"/>
    <w:rsid w:val="005C29BF"/>
    <w:rsid w:val="005C29D9"/>
    <w:rsid w:val="005C2C8C"/>
    <w:rsid w:val="005C2D21"/>
    <w:rsid w:val="005C2D55"/>
    <w:rsid w:val="005C2D5D"/>
    <w:rsid w:val="005C2FD6"/>
    <w:rsid w:val="005C3158"/>
    <w:rsid w:val="005C3171"/>
    <w:rsid w:val="005C32EF"/>
    <w:rsid w:val="005C3341"/>
    <w:rsid w:val="005C3428"/>
    <w:rsid w:val="005C346B"/>
    <w:rsid w:val="005C37B2"/>
    <w:rsid w:val="005C37EE"/>
    <w:rsid w:val="005C3A9D"/>
    <w:rsid w:val="005C3C16"/>
    <w:rsid w:val="005C3C21"/>
    <w:rsid w:val="005C3C72"/>
    <w:rsid w:val="005C3D82"/>
    <w:rsid w:val="005C3DFE"/>
    <w:rsid w:val="005C3FDB"/>
    <w:rsid w:val="005C3FFD"/>
    <w:rsid w:val="005C402B"/>
    <w:rsid w:val="005C4111"/>
    <w:rsid w:val="005C4169"/>
    <w:rsid w:val="005C46CB"/>
    <w:rsid w:val="005C46F5"/>
    <w:rsid w:val="005C4754"/>
    <w:rsid w:val="005C4783"/>
    <w:rsid w:val="005C4840"/>
    <w:rsid w:val="005C4866"/>
    <w:rsid w:val="005C48E0"/>
    <w:rsid w:val="005C4920"/>
    <w:rsid w:val="005C4C33"/>
    <w:rsid w:val="005C4C3B"/>
    <w:rsid w:val="005C4D67"/>
    <w:rsid w:val="005C4ECF"/>
    <w:rsid w:val="005C4F0E"/>
    <w:rsid w:val="005C4F55"/>
    <w:rsid w:val="005C5264"/>
    <w:rsid w:val="005C52E8"/>
    <w:rsid w:val="005C5300"/>
    <w:rsid w:val="005C5910"/>
    <w:rsid w:val="005C5A8D"/>
    <w:rsid w:val="005C5ABC"/>
    <w:rsid w:val="005C5B10"/>
    <w:rsid w:val="005C5D06"/>
    <w:rsid w:val="005C5EB7"/>
    <w:rsid w:val="005C5F14"/>
    <w:rsid w:val="005C5FD7"/>
    <w:rsid w:val="005C5FE2"/>
    <w:rsid w:val="005C60D7"/>
    <w:rsid w:val="005C6232"/>
    <w:rsid w:val="005C634F"/>
    <w:rsid w:val="005C6393"/>
    <w:rsid w:val="005C641C"/>
    <w:rsid w:val="005C64AA"/>
    <w:rsid w:val="005C695D"/>
    <w:rsid w:val="005C6AAE"/>
    <w:rsid w:val="005C6AFE"/>
    <w:rsid w:val="005C6CCD"/>
    <w:rsid w:val="005C6E8A"/>
    <w:rsid w:val="005C6F13"/>
    <w:rsid w:val="005C70E0"/>
    <w:rsid w:val="005C756E"/>
    <w:rsid w:val="005C758C"/>
    <w:rsid w:val="005C75D0"/>
    <w:rsid w:val="005C76C1"/>
    <w:rsid w:val="005C784E"/>
    <w:rsid w:val="005C7895"/>
    <w:rsid w:val="005C78FC"/>
    <w:rsid w:val="005C7A85"/>
    <w:rsid w:val="005C7DE0"/>
    <w:rsid w:val="005C7E58"/>
    <w:rsid w:val="005C7ED0"/>
    <w:rsid w:val="005C7EE7"/>
    <w:rsid w:val="005C7EE9"/>
    <w:rsid w:val="005D0008"/>
    <w:rsid w:val="005D044D"/>
    <w:rsid w:val="005D047D"/>
    <w:rsid w:val="005D0688"/>
    <w:rsid w:val="005D06DF"/>
    <w:rsid w:val="005D07E5"/>
    <w:rsid w:val="005D07F3"/>
    <w:rsid w:val="005D0ABD"/>
    <w:rsid w:val="005D0C93"/>
    <w:rsid w:val="005D0D00"/>
    <w:rsid w:val="005D0E50"/>
    <w:rsid w:val="005D11EE"/>
    <w:rsid w:val="005D1364"/>
    <w:rsid w:val="005D1384"/>
    <w:rsid w:val="005D15D0"/>
    <w:rsid w:val="005D1696"/>
    <w:rsid w:val="005D16D9"/>
    <w:rsid w:val="005D16E4"/>
    <w:rsid w:val="005D18AD"/>
    <w:rsid w:val="005D1A63"/>
    <w:rsid w:val="005D1C4D"/>
    <w:rsid w:val="005D1D1E"/>
    <w:rsid w:val="005D1F6F"/>
    <w:rsid w:val="005D212B"/>
    <w:rsid w:val="005D23E9"/>
    <w:rsid w:val="005D2581"/>
    <w:rsid w:val="005D2615"/>
    <w:rsid w:val="005D26AC"/>
    <w:rsid w:val="005D26B4"/>
    <w:rsid w:val="005D28A6"/>
    <w:rsid w:val="005D2A12"/>
    <w:rsid w:val="005D2A1A"/>
    <w:rsid w:val="005D2B78"/>
    <w:rsid w:val="005D2B99"/>
    <w:rsid w:val="005D2C0A"/>
    <w:rsid w:val="005D2D83"/>
    <w:rsid w:val="005D309D"/>
    <w:rsid w:val="005D3142"/>
    <w:rsid w:val="005D32B0"/>
    <w:rsid w:val="005D32B3"/>
    <w:rsid w:val="005D33EF"/>
    <w:rsid w:val="005D34AA"/>
    <w:rsid w:val="005D358B"/>
    <w:rsid w:val="005D35F7"/>
    <w:rsid w:val="005D3894"/>
    <w:rsid w:val="005D39F9"/>
    <w:rsid w:val="005D39FB"/>
    <w:rsid w:val="005D39FF"/>
    <w:rsid w:val="005D3A34"/>
    <w:rsid w:val="005D3A9C"/>
    <w:rsid w:val="005D3AA9"/>
    <w:rsid w:val="005D3B11"/>
    <w:rsid w:val="005D3B95"/>
    <w:rsid w:val="005D3C53"/>
    <w:rsid w:val="005D3CB7"/>
    <w:rsid w:val="005D3D13"/>
    <w:rsid w:val="005D3E1B"/>
    <w:rsid w:val="005D3FA7"/>
    <w:rsid w:val="005D405E"/>
    <w:rsid w:val="005D4275"/>
    <w:rsid w:val="005D42FA"/>
    <w:rsid w:val="005D447D"/>
    <w:rsid w:val="005D49AE"/>
    <w:rsid w:val="005D49BF"/>
    <w:rsid w:val="005D4A60"/>
    <w:rsid w:val="005D4B60"/>
    <w:rsid w:val="005D5253"/>
    <w:rsid w:val="005D53E1"/>
    <w:rsid w:val="005D55D4"/>
    <w:rsid w:val="005D5A72"/>
    <w:rsid w:val="005D5BB3"/>
    <w:rsid w:val="005D5C02"/>
    <w:rsid w:val="005D5C38"/>
    <w:rsid w:val="005D5CF0"/>
    <w:rsid w:val="005D5E47"/>
    <w:rsid w:val="005D5E71"/>
    <w:rsid w:val="005D607E"/>
    <w:rsid w:val="005D621E"/>
    <w:rsid w:val="005D62AF"/>
    <w:rsid w:val="005D62B4"/>
    <w:rsid w:val="005D64C7"/>
    <w:rsid w:val="005D64FA"/>
    <w:rsid w:val="005D6514"/>
    <w:rsid w:val="005D6528"/>
    <w:rsid w:val="005D687A"/>
    <w:rsid w:val="005D689A"/>
    <w:rsid w:val="005D6A03"/>
    <w:rsid w:val="005D6A3A"/>
    <w:rsid w:val="005D6D54"/>
    <w:rsid w:val="005D6DB7"/>
    <w:rsid w:val="005D6E3F"/>
    <w:rsid w:val="005D6F41"/>
    <w:rsid w:val="005D6F68"/>
    <w:rsid w:val="005D7136"/>
    <w:rsid w:val="005D717F"/>
    <w:rsid w:val="005D720D"/>
    <w:rsid w:val="005D7278"/>
    <w:rsid w:val="005D727A"/>
    <w:rsid w:val="005D72FD"/>
    <w:rsid w:val="005D7387"/>
    <w:rsid w:val="005D761C"/>
    <w:rsid w:val="005D7859"/>
    <w:rsid w:val="005D789E"/>
    <w:rsid w:val="005D796D"/>
    <w:rsid w:val="005D79C0"/>
    <w:rsid w:val="005D7C74"/>
    <w:rsid w:val="005D7DFD"/>
    <w:rsid w:val="005D7F3C"/>
    <w:rsid w:val="005E001C"/>
    <w:rsid w:val="005E05D0"/>
    <w:rsid w:val="005E073C"/>
    <w:rsid w:val="005E08FD"/>
    <w:rsid w:val="005E093B"/>
    <w:rsid w:val="005E0CE3"/>
    <w:rsid w:val="005E0D37"/>
    <w:rsid w:val="005E0DD5"/>
    <w:rsid w:val="005E0E14"/>
    <w:rsid w:val="005E0EBD"/>
    <w:rsid w:val="005E0FBA"/>
    <w:rsid w:val="005E12FB"/>
    <w:rsid w:val="005E14BA"/>
    <w:rsid w:val="005E14F5"/>
    <w:rsid w:val="005E153E"/>
    <w:rsid w:val="005E1719"/>
    <w:rsid w:val="005E17C2"/>
    <w:rsid w:val="005E1827"/>
    <w:rsid w:val="005E189C"/>
    <w:rsid w:val="005E18D3"/>
    <w:rsid w:val="005E1995"/>
    <w:rsid w:val="005E19C3"/>
    <w:rsid w:val="005E1A85"/>
    <w:rsid w:val="005E1B17"/>
    <w:rsid w:val="005E1B24"/>
    <w:rsid w:val="005E1DA1"/>
    <w:rsid w:val="005E1E84"/>
    <w:rsid w:val="005E1E9F"/>
    <w:rsid w:val="005E2078"/>
    <w:rsid w:val="005E20FB"/>
    <w:rsid w:val="005E279B"/>
    <w:rsid w:val="005E2842"/>
    <w:rsid w:val="005E29A3"/>
    <w:rsid w:val="005E2A23"/>
    <w:rsid w:val="005E2BBC"/>
    <w:rsid w:val="005E2CF0"/>
    <w:rsid w:val="005E2D1B"/>
    <w:rsid w:val="005E2E1D"/>
    <w:rsid w:val="005E305A"/>
    <w:rsid w:val="005E30DD"/>
    <w:rsid w:val="005E3202"/>
    <w:rsid w:val="005E327D"/>
    <w:rsid w:val="005E367C"/>
    <w:rsid w:val="005E36BA"/>
    <w:rsid w:val="005E37C0"/>
    <w:rsid w:val="005E382E"/>
    <w:rsid w:val="005E3981"/>
    <w:rsid w:val="005E3996"/>
    <w:rsid w:val="005E3A87"/>
    <w:rsid w:val="005E3BDA"/>
    <w:rsid w:val="005E3C15"/>
    <w:rsid w:val="005E3E12"/>
    <w:rsid w:val="005E4034"/>
    <w:rsid w:val="005E407A"/>
    <w:rsid w:val="005E4103"/>
    <w:rsid w:val="005E42A0"/>
    <w:rsid w:val="005E46E0"/>
    <w:rsid w:val="005E4769"/>
    <w:rsid w:val="005E47E7"/>
    <w:rsid w:val="005E4961"/>
    <w:rsid w:val="005E4A84"/>
    <w:rsid w:val="005E4AB5"/>
    <w:rsid w:val="005E4AD6"/>
    <w:rsid w:val="005E4CD9"/>
    <w:rsid w:val="005E4E48"/>
    <w:rsid w:val="005E4F76"/>
    <w:rsid w:val="005E5141"/>
    <w:rsid w:val="005E5267"/>
    <w:rsid w:val="005E52C7"/>
    <w:rsid w:val="005E5300"/>
    <w:rsid w:val="005E53D0"/>
    <w:rsid w:val="005E544D"/>
    <w:rsid w:val="005E5655"/>
    <w:rsid w:val="005E589A"/>
    <w:rsid w:val="005E5A76"/>
    <w:rsid w:val="005E5A81"/>
    <w:rsid w:val="005E5C2B"/>
    <w:rsid w:val="005E5C78"/>
    <w:rsid w:val="005E5C96"/>
    <w:rsid w:val="005E5DB2"/>
    <w:rsid w:val="005E5DBE"/>
    <w:rsid w:val="005E6011"/>
    <w:rsid w:val="005E65BA"/>
    <w:rsid w:val="005E65BD"/>
    <w:rsid w:val="005E6724"/>
    <w:rsid w:val="005E6A0C"/>
    <w:rsid w:val="005E6A75"/>
    <w:rsid w:val="005E6CBC"/>
    <w:rsid w:val="005E6CEE"/>
    <w:rsid w:val="005E6D0D"/>
    <w:rsid w:val="005E6DE1"/>
    <w:rsid w:val="005E71FD"/>
    <w:rsid w:val="005E72FF"/>
    <w:rsid w:val="005E73C0"/>
    <w:rsid w:val="005E73EE"/>
    <w:rsid w:val="005E767D"/>
    <w:rsid w:val="005E7717"/>
    <w:rsid w:val="005E77DD"/>
    <w:rsid w:val="005E78B3"/>
    <w:rsid w:val="005E78B7"/>
    <w:rsid w:val="005E78C3"/>
    <w:rsid w:val="005E7A90"/>
    <w:rsid w:val="005E7AAB"/>
    <w:rsid w:val="005E7AEE"/>
    <w:rsid w:val="005E7DB9"/>
    <w:rsid w:val="005E7E39"/>
    <w:rsid w:val="005E7F65"/>
    <w:rsid w:val="005F0210"/>
    <w:rsid w:val="005F025C"/>
    <w:rsid w:val="005F0493"/>
    <w:rsid w:val="005F074B"/>
    <w:rsid w:val="005F07ED"/>
    <w:rsid w:val="005F0843"/>
    <w:rsid w:val="005F084B"/>
    <w:rsid w:val="005F08B3"/>
    <w:rsid w:val="005F08CA"/>
    <w:rsid w:val="005F0977"/>
    <w:rsid w:val="005F0ADC"/>
    <w:rsid w:val="005F0CCA"/>
    <w:rsid w:val="005F0D1B"/>
    <w:rsid w:val="005F0D20"/>
    <w:rsid w:val="005F0E4B"/>
    <w:rsid w:val="005F0EF1"/>
    <w:rsid w:val="005F0F15"/>
    <w:rsid w:val="005F110B"/>
    <w:rsid w:val="005F1419"/>
    <w:rsid w:val="005F1638"/>
    <w:rsid w:val="005F16C5"/>
    <w:rsid w:val="005F16DF"/>
    <w:rsid w:val="005F19B1"/>
    <w:rsid w:val="005F1A50"/>
    <w:rsid w:val="005F1DB5"/>
    <w:rsid w:val="005F1DBE"/>
    <w:rsid w:val="005F2407"/>
    <w:rsid w:val="005F2592"/>
    <w:rsid w:val="005F25DB"/>
    <w:rsid w:val="005F263B"/>
    <w:rsid w:val="005F26D2"/>
    <w:rsid w:val="005F2706"/>
    <w:rsid w:val="005F2965"/>
    <w:rsid w:val="005F2A64"/>
    <w:rsid w:val="005F2B0A"/>
    <w:rsid w:val="005F2C52"/>
    <w:rsid w:val="005F2CE1"/>
    <w:rsid w:val="005F2DDF"/>
    <w:rsid w:val="005F2EB6"/>
    <w:rsid w:val="005F31EB"/>
    <w:rsid w:val="005F3786"/>
    <w:rsid w:val="005F3847"/>
    <w:rsid w:val="005F385E"/>
    <w:rsid w:val="005F3904"/>
    <w:rsid w:val="005F392D"/>
    <w:rsid w:val="005F39D5"/>
    <w:rsid w:val="005F3D12"/>
    <w:rsid w:val="005F3DC4"/>
    <w:rsid w:val="005F3E00"/>
    <w:rsid w:val="005F4024"/>
    <w:rsid w:val="005F4061"/>
    <w:rsid w:val="005F413B"/>
    <w:rsid w:val="005F4217"/>
    <w:rsid w:val="005F4414"/>
    <w:rsid w:val="005F4542"/>
    <w:rsid w:val="005F45C2"/>
    <w:rsid w:val="005F499D"/>
    <w:rsid w:val="005F4AC0"/>
    <w:rsid w:val="005F4B9B"/>
    <w:rsid w:val="005F4F68"/>
    <w:rsid w:val="005F4F7B"/>
    <w:rsid w:val="005F4FF8"/>
    <w:rsid w:val="005F518D"/>
    <w:rsid w:val="005F53FC"/>
    <w:rsid w:val="005F54D2"/>
    <w:rsid w:val="005F5573"/>
    <w:rsid w:val="005F55B0"/>
    <w:rsid w:val="005F5881"/>
    <w:rsid w:val="005F58F2"/>
    <w:rsid w:val="005F5963"/>
    <w:rsid w:val="005F5B39"/>
    <w:rsid w:val="005F5B3E"/>
    <w:rsid w:val="005F5BBF"/>
    <w:rsid w:val="005F5D84"/>
    <w:rsid w:val="005F60C0"/>
    <w:rsid w:val="005F60FC"/>
    <w:rsid w:val="005F60FE"/>
    <w:rsid w:val="005F622A"/>
    <w:rsid w:val="005F6359"/>
    <w:rsid w:val="005F63B8"/>
    <w:rsid w:val="005F6577"/>
    <w:rsid w:val="005F6589"/>
    <w:rsid w:val="005F666D"/>
    <w:rsid w:val="005F670E"/>
    <w:rsid w:val="005F6A8F"/>
    <w:rsid w:val="005F6BB7"/>
    <w:rsid w:val="005F6CF9"/>
    <w:rsid w:val="005F6D26"/>
    <w:rsid w:val="005F6F15"/>
    <w:rsid w:val="005F7362"/>
    <w:rsid w:val="005F74BC"/>
    <w:rsid w:val="005F7588"/>
    <w:rsid w:val="005F75FB"/>
    <w:rsid w:val="005F768F"/>
    <w:rsid w:val="005F79BE"/>
    <w:rsid w:val="005F7A8A"/>
    <w:rsid w:val="005F7B14"/>
    <w:rsid w:val="005F7CCD"/>
    <w:rsid w:val="005F7EA4"/>
    <w:rsid w:val="005F7FE6"/>
    <w:rsid w:val="006000C1"/>
    <w:rsid w:val="00600269"/>
    <w:rsid w:val="0060035E"/>
    <w:rsid w:val="00600497"/>
    <w:rsid w:val="006008D1"/>
    <w:rsid w:val="00600978"/>
    <w:rsid w:val="00600B82"/>
    <w:rsid w:val="00600C98"/>
    <w:rsid w:val="00601156"/>
    <w:rsid w:val="00601168"/>
    <w:rsid w:val="006011E2"/>
    <w:rsid w:val="006011E5"/>
    <w:rsid w:val="00601432"/>
    <w:rsid w:val="006015A9"/>
    <w:rsid w:val="00601698"/>
    <w:rsid w:val="00601764"/>
    <w:rsid w:val="006017DF"/>
    <w:rsid w:val="00601890"/>
    <w:rsid w:val="00601A80"/>
    <w:rsid w:val="00601B04"/>
    <w:rsid w:val="00601B75"/>
    <w:rsid w:val="00601C39"/>
    <w:rsid w:val="00601E22"/>
    <w:rsid w:val="00601F04"/>
    <w:rsid w:val="006020E5"/>
    <w:rsid w:val="0060211B"/>
    <w:rsid w:val="0060212E"/>
    <w:rsid w:val="00602470"/>
    <w:rsid w:val="006025CA"/>
    <w:rsid w:val="0060273E"/>
    <w:rsid w:val="006028D3"/>
    <w:rsid w:val="0060291C"/>
    <w:rsid w:val="00602A93"/>
    <w:rsid w:val="00602AF0"/>
    <w:rsid w:val="00603109"/>
    <w:rsid w:val="00603175"/>
    <w:rsid w:val="006034B0"/>
    <w:rsid w:val="006036F1"/>
    <w:rsid w:val="0060370A"/>
    <w:rsid w:val="0060386C"/>
    <w:rsid w:val="00603AFC"/>
    <w:rsid w:val="00603B00"/>
    <w:rsid w:val="00603B0A"/>
    <w:rsid w:val="00603B6E"/>
    <w:rsid w:val="00603DB9"/>
    <w:rsid w:val="00603DF1"/>
    <w:rsid w:val="00603EE9"/>
    <w:rsid w:val="00603F12"/>
    <w:rsid w:val="0060401E"/>
    <w:rsid w:val="006042B9"/>
    <w:rsid w:val="006042F3"/>
    <w:rsid w:val="006043FF"/>
    <w:rsid w:val="0060464B"/>
    <w:rsid w:val="00604796"/>
    <w:rsid w:val="00604977"/>
    <w:rsid w:val="006049D6"/>
    <w:rsid w:val="00604AA6"/>
    <w:rsid w:val="00604BD5"/>
    <w:rsid w:val="00604C06"/>
    <w:rsid w:val="00604EC7"/>
    <w:rsid w:val="00605096"/>
    <w:rsid w:val="00605137"/>
    <w:rsid w:val="006051E5"/>
    <w:rsid w:val="00605285"/>
    <w:rsid w:val="006052AE"/>
    <w:rsid w:val="00605484"/>
    <w:rsid w:val="0060558B"/>
    <w:rsid w:val="00605694"/>
    <w:rsid w:val="00605707"/>
    <w:rsid w:val="006059DC"/>
    <w:rsid w:val="00605AAE"/>
    <w:rsid w:val="00605C76"/>
    <w:rsid w:val="00605D5F"/>
    <w:rsid w:val="00605F45"/>
    <w:rsid w:val="0060628E"/>
    <w:rsid w:val="00606310"/>
    <w:rsid w:val="00606326"/>
    <w:rsid w:val="006063CA"/>
    <w:rsid w:val="00606428"/>
    <w:rsid w:val="0060650E"/>
    <w:rsid w:val="006065CB"/>
    <w:rsid w:val="00606674"/>
    <w:rsid w:val="006068DC"/>
    <w:rsid w:val="006068E7"/>
    <w:rsid w:val="006069E2"/>
    <w:rsid w:val="00606A3C"/>
    <w:rsid w:val="00606B16"/>
    <w:rsid w:val="00606D04"/>
    <w:rsid w:val="00606D60"/>
    <w:rsid w:val="00606F74"/>
    <w:rsid w:val="00606FBA"/>
    <w:rsid w:val="00607032"/>
    <w:rsid w:val="00607270"/>
    <w:rsid w:val="00607300"/>
    <w:rsid w:val="00607384"/>
    <w:rsid w:val="006073AB"/>
    <w:rsid w:val="00607605"/>
    <w:rsid w:val="00607669"/>
    <w:rsid w:val="006076F4"/>
    <w:rsid w:val="00607837"/>
    <w:rsid w:val="00607853"/>
    <w:rsid w:val="0060797E"/>
    <w:rsid w:val="00607A90"/>
    <w:rsid w:val="00607AFD"/>
    <w:rsid w:val="00607DBA"/>
    <w:rsid w:val="00607F6F"/>
    <w:rsid w:val="00607FDD"/>
    <w:rsid w:val="006102BC"/>
    <w:rsid w:val="006103E7"/>
    <w:rsid w:val="00610568"/>
    <w:rsid w:val="006105DB"/>
    <w:rsid w:val="00610CC6"/>
    <w:rsid w:val="00610D65"/>
    <w:rsid w:val="00610D80"/>
    <w:rsid w:val="00610D97"/>
    <w:rsid w:val="00610E97"/>
    <w:rsid w:val="00610FA5"/>
    <w:rsid w:val="00610FC2"/>
    <w:rsid w:val="00611297"/>
    <w:rsid w:val="006113C7"/>
    <w:rsid w:val="006114DF"/>
    <w:rsid w:val="0061152A"/>
    <w:rsid w:val="0061175F"/>
    <w:rsid w:val="0061178F"/>
    <w:rsid w:val="00611A58"/>
    <w:rsid w:val="00611AB8"/>
    <w:rsid w:val="00611B12"/>
    <w:rsid w:val="00611CE0"/>
    <w:rsid w:val="00611E1B"/>
    <w:rsid w:val="00611E8D"/>
    <w:rsid w:val="006121B8"/>
    <w:rsid w:val="006124ED"/>
    <w:rsid w:val="00612514"/>
    <w:rsid w:val="006128E0"/>
    <w:rsid w:val="00612939"/>
    <w:rsid w:val="006129B9"/>
    <w:rsid w:val="006129BA"/>
    <w:rsid w:val="006129E3"/>
    <w:rsid w:val="00612A64"/>
    <w:rsid w:val="00612CD7"/>
    <w:rsid w:val="00612EFF"/>
    <w:rsid w:val="00612F97"/>
    <w:rsid w:val="006132E7"/>
    <w:rsid w:val="0061345D"/>
    <w:rsid w:val="00613514"/>
    <w:rsid w:val="0061357B"/>
    <w:rsid w:val="00613596"/>
    <w:rsid w:val="0061376B"/>
    <w:rsid w:val="00613CA4"/>
    <w:rsid w:val="00613F0F"/>
    <w:rsid w:val="00613F40"/>
    <w:rsid w:val="0061403A"/>
    <w:rsid w:val="006142A2"/>
    <w:rsid w:val="00614326"/>
    <w:rsid w:val="00614385"/>
    <w:rsid w:val="006143DA"/>
    <w:rsid w:val="006144A0"/>
    <w:rsid w:val="006147B5"/>
    <w:rsid w:val="00614984"/>
    <w:rsid w:val="00614AA6"/>
    <w:rsid w:val="00614C6A"/>
    <w:rsid w:val="00614D5A"/>
    <w:rsid w:val="00614FBB"/>
    <w:rsid w:val="00615154"/>
    <w:rsid w:val="006153EE"/>
    <w:rsid w:val="00615420"/>
    <w:rsid w:val="00615433"/>
    <w:rsid w:val="0061549B"/>
    <w:rsid w:val="006154D7"/>
    <w:rsid w:val="00615B17"/>
    <w:rsid w:val="00615B33"/>
    <w:rsid w:val="00615CC3"/>
    <w:rsid w:val="00615CEA"/>
    <w:rsid w:val="00615F7E"/>
    <w:rsid w:val="00616028"/>
    <w:rsid w:val="006166D5"/>
    <w:rsid w:val="00616753"/>
    <w:rsid w:val="00616802"/>
    <w:rsid w:val="0061694A"/>
    <w:rsid w:val="00616C1E"/>
    <w:rsid w:val="00616C4B"/>
    <w:rsid w:val="00617056"/>
    <w:rsid w:val="00617276"/>
    <w:rsid w:val="006173C5"/>
    <w:rsid w:val="006173D0"/>
    <w:rsid w:val="0061751E"/>
    <w:rsid w:val="00617543"/>
    <w:rsid w:val="00617621"/>
    <w:rsid w:val="0061769C"/>
    <w:rsid w:val="00617754"/>
    <w:rsid w:val="00617939"/>
    <w:rsid w:val="0061797E"/>
    <w:rsid w:val="00617AD1"/>
    <w:rsid w:val="00617D6F"/>
    <w:rsid w:val="00617DAE"/>
    <w:rsid w:val="00617E12"/>
    <w:rsid w:val="00617FB3"/>
    <w:rsid w:val="00617FDC"/>
    <w:rsid w:val="00620024"/>
    <w:rsid w:val="0062008A"/>
    <w:rsid w:val="0062026A"/>
    <w:rsid w:val="00620421"/>
    <w:rsid w:val="0062047E"/>
    <w:rsid w:val="00620519"/>
    <w:rsid w:val="0062072B"/>
    <w:rsid w:val="0062098F"/>
    <w:rsid w:val="006209AC"/>
    <w:rsid w:val="00620C25"/>
    <w:rsid w:val="00620C75"/>
    <w:rsid w:val="00620C9E"/>
    <w:rsid w:val="00620F01"/>
    <w:rsid w:val="0062104D"/>
    <w:rsid w:val="0062118E"/>
    <w:rsid w:val="006212A5"/>
    <w:rsid w:val="006213B8"/>
    <w:rsid w:val="00621477"/>
    <w:rsid w:val="0062161F"/>
    <w:rsid w:val="00621693"/>
    <w:rsid w:val="006218A7"/>
    <w:rsid w:val="0062191A"/>
    <w:rsid w:val="0062199D"/>
    <w:rsid w:val="006219DD"/>
    <w:rsid w:val="00621AC0"/>
    <w:rsid w:val="00621ADA"/>
    <w:rsid w:val="00621AE8"/>
    <w:rsid w:val="00621D8D"/>
    <w:rsid w:val="006221D4"/>
    <w:rsid w:val="0062227C"/>
    <w:rsid w:val="006223B5"/>
    <w:rsid w:val="0062255C"/>
    <w:rsid w:val="00622654"/>
    <w:rsid w:val="0062274F"/>
    <w:rsid w:val="0062277B"/>
    <w:rsid w:val="00622791"/>
    <w:rsid w:val="006228BD"/>
    <w:rsid w:val="006229E2"/>
    <w:rsid w:val="00622A1B"/>
    <w:rsid w:val="00622AF8"/>
    <w:rsid w:val="00622BD8"/>
    <w:rsid w:val="00622C5E"/>
    <w:rsid w:val="00622E53"/>
    <w:rsid w:val="00622F30"/>
    <w:rsid w:val="006230D1"/>
    <w:rsid w:val="006231BE"/>
    <w:rsid w:val="006232C7"/>
    <w:rsid w:val="00623340"/>
    <w:rsid w:val="0062343E"/>
    <w:rsid w:val="006234AB"/>
    <w:rsid w:val="006234D8"/>
    <w:rsid w:val="00623538"/>
    <w:rsid w:val="006236C4"/>
    <w:rsid w:val="00623A71"/>
    <w:rsid w:val="00623AC5"/>
    <w:rsid w:val="00623AF7"/>
    <w:rsid w:val="00623F7B"/>
    <w:rsid w:val="006240B0"/>
    <w:rsid w:val="00624181"/>
    <w:rsid w:val="006247AD"/>
    <w:rsid w:val="00624841"/>
    <w:rsid w:val="00624A24"/>
    <w:rsid w:val="00624A69"/>
    <w:rsid w:val="00624ABA"/>
    <w:rsid w:val="00624B56"/>
    <w:rsid w:val="00624BD4"/>
    <w:rsid w:val="00624D31"/>
    <w:rsid w:val="00624E8F"/>
    <w:rsid w:val="00624FAF"/>
    <w:rsid w:val="00625103"/>
    <w:rsid w:val="0062531D"/>
    <w:rsid w:val="00625463"/>
    <w:rsid w:val="0062573F"/>
    <w:rsid w:val="006259D7"/>
    <w:rsid w:val="00625A3A"/>
    <w:rsid w:val="00625A4D"/>
    <w:rsid w:val="00625B56"/>
    <w:rsid w:val="00625E67"/>
    <w:rsid w:val="006260D0"/>
    <w:rsid w:val="006261E8"/>
    <w:rsid w:val="00626228"/>
    <w:rsid w:val="00626263"/>
    <w:rsid w:val="00626635"/>
    <w:rsid w:val="006266E7"/>
    <w:rsid w:val="006267EB"/>
    <w:rsid w:val="00626B50"/>
    <w:rsid w:val="00626C54"/>
    <w:rsid w:val="00626E29"/>
    <w:rsid w:val="006270C5"/>
    <w:rsid w:val="006270D7"/>
    <w:rsid w:val="0062713F"/>
    <w:rsid w:val="00627164"/>
    <w:rsid w:val="0062727C"/>
    <w:rsid w:val="00627432"/>
    <w:rsid w:val="00627471"/>
    <w:rsid w:val="006274A6"/>
    <w:rsid w:val="006274CA"/>
    <w:rsid w:val="006275F9"/>
    <w:rsid w:val="00627648"/>
    <w:rsid w:val="006276AB"/>
    <w:rsid w:val="00627A09"/>
    <w:rsid w:val="00627B08"/>
    <w:rsid w:val="00627C44"/>
    <w:rsid w:val="00627F51"/>
    <w:rsid w:val="00627F8D"/>
    <w:rsid w:val="00627FC9"/>
    <w:rsid w:val="00627FF2"/>
    <w:rsid w:val="00630190"/>
    <w:rsid w:val="006301C7"/>
    <w:rsid w:val="00630231"/>
    <w:rsid w:val="006303BE"/>
    <w:rsid w:val="006303CC"/>
    <w:rsid w:val="006305DE"/>
    <w:rsid w:val="006308A2"/>
    <w:rsid w:val="0063093C"/>
    <w:rsid w:val="00630959"/>
    <w:rsid w:val="00630A25"/>
    <w:rsid w:val="00630AA1"/>
    <w:rsid w:val="00630AF8"/>
    <w:rsid w:val="00630B03"/>
    <w:rsid w:val="00630DD0"/>
    <w:rsid w:val="00630E00"/>
    <w:rsid w:val="00630E20"/>
    <w:rsid w:val="00630F1A"/>
    <w:rsid w:val="00630F84"/>
    <w:rsid w:val="006311A5"/>
    <w:rsid w:val="00631350"/>
    <w:rsid w:val="0063142F"/>
    <w:rsid w:val="006314A1"/>
    <w:rsid w:val="0063158F"/>
    <w:rsid w:val="006315F7"/>
    <w:rsid w:val="00631713"/>
    <w:rsid w:val="00631A62"/>
    <w:rsid w:val="00631BC5"/>
    <w:rsid w:val="00631D6B"/>
    <w:rsid w:val="00631E28"/>
    <w:rsid w:val="00631F07"/>
    <w:rsid w:val="00631F18"/>
    <w:rsid w:val="00631F4F"/>
    <w:rsid w:val="00632183"/>
    <w:rsid w:val="006321ED"/>
    <w:rsid w:val="006322D4"/>
    <w:rsid w:val="0063234B"/>
    <w:rsid w:val="00632569"/>
    <w:rsid w:val="006325FA"/>
    <w:rsid w:val="0063262E"/>
    <w:rsid w:val="006327AD"/>
    <w:rsid w:val="006328D9"/>
    <w:rsid w:val="006329E6"/>
    <w:rsid w:val="00632A70"/>
    <w:rsid w:val="00632C1B"/>
    <w:rsid w:val="00632DCB"/>
    <w:rsid w:val="00632F05"/>
    <w:rsid w:val="00633031"/>
    <w:rsid w:val="006330A1"/>
    <w:rsid w:val="006330AE"/>
    <w:rsid w:val="0063317D"/>
    <w:rsid w:val="0063350C"/>
    <w:rsid w:val="006335A2"/>
    <w:rsid w:val="006335C6"/>
    <w:rsid w:val="00633845"/>
    <w:rsid w:val="006339ED"/>
    <w:rsid w:val="00633AD2"/>
    <w:rsid w:val="00633AFB"/>
    <w:rsid w:val="00633D2E"/>
    <w:rsid w:val="00633F6E"/>
    <w:rsid w:val="00633FBA"/>
    <w:rsid w:val="00634176"/>
    <w:rsid w:val="0063430A"/>
    <w:rsid w:val="00634435"/>
    <w:rsid w:val="006344E5"/>
    <w:rsid w:val="006344F5"/>
    <w:rsid w:val="0063479F"/>
    <w:rsid w:val="0063483C"/>
    <w:rsid w:val="0063496F"/>
    <w:rsid w:val="00634A41"/>
    <w:rsid w:val="00634B26"/>
    <w:rsid w:val="00634BD5"/>
    <w:rsid w:val="00634BFF"/>
    <w:rsid w:val="00634CE3"/>
    <w:rsid w:val="00634CF4"/>
    <w:rsid w:val="00634D57"/>
    <w:rsid w:val="00634DEC"/>
    <w:rsid w:val="00634E45"/>
    <w:rsid w:val="006350AE"/>
    <w:rsid w:val="00635123"/>
    <w:rsid w:val="0063515F"/>
    <w:rsid w:val="006353F0"/>
    <w:rsid w:val="00635528"/>
    <w:rsid w:val="006357A8"/>
    <w:rsid w:val="006357B5"/>
    <w:rsid w:val="006358A0"/>
    <w:rsid w:val="00635909"/>
    <w:rsid w:val="006359DA"/>
    <w:rsid w:val="00635AD0"/>
    <w:rsid w:val="00635B74"/>
    <w:rsid w:val="00635B8E"/>
    <w:rsid w:val="00635F68"/>
    <w:rsid w:val="00635FED"/>
    <w:rsid w:val="006362BC"/>
    <w:rsid w:val="006364A1"/>
    <w:rsid w:val="0063650B"/>
    <w:rsid w:val="00636519"/>
    <w:rsid w:val="00636529"/>
    <w:rsid w:val="00636563"/>
    <w:rsid w:val="0063665E"/>
    <w:rsid w:val="0063678E"/>
    <w:rsid w:val="0063689D"/>
    <w:rsid w:val="006368A0"/>
    <w:rsid w:val="006369AE"/>
    <w:rsid w:val="00636AD7"/>
    <w:rsid w:val="00636BB7"/>
    <w:rsid w:val="00636BBA"/>
    <w:rsid w:val="00636E3A"/>
    <w:rsid w:val="00636ED6"/>
    <w:rsid w:val="00636F7A"/>
    <w:rsid w:val="00636FD6"/>
    <w:rsid w:val="00637253"/>
    <w:rsid w:val="0063726A"/>
    <w:rsid w:val="0063733A"/>
    <w:rsid w:val="0063737D"/>
    <w:rsid w:val="006374AD"/>
    <w:rsid w:val="00637603"/>
    <w:rsid w:val="006376F6"/>
    <w:rsid w:val="0063785C"/>
    <w:rsid w:val="006379A6"/>
    <w:rsid w:val="006379D6"/>
    <w:rsid w:val="00637BFD"/>
    <w:rsid w:val="00637C5C"/>
    <w:rsid w:val="00637C88"/>
    <w:rsid w:val="00637DAC"/>
    <w:rsid w:val="00637F9E"/>
    <w:rsid w:val="0064008E"/>
    <w:rsid w:val="0064046A"/>
    <w:rsid w:val="006404C0"/>
    <w:rsid w:val="006405D1"/>
    <w:rsid w:val="00640678"/>
    <w:rsid w:val="006406C6"/>
    <w:rsid w:val="006409CE"/>
    <w:rsid w:val="00640ABC"/>
    <w:rsid w:val="00640B81"/>
    <w:rsid w:val="00640D1C"/>
    <w:rsid w:val="00640E04"/>
    <w:rsid w:val="00640F10"/>
    <w:rsid w:val="00640F9A"/>
    <w:rsid w:val="00641006"/>
    <w:rsid w:val="006410C8"/>
    <w:rsid w:val="00641324"/>
    <w:rsid w:val="006414B5"/>
    <w:rsid w:val="00641576"/>
    <w:rsid w:val="00641853"/>
    <w:rsid w:val="006419F7"/>
    <w:rsid w:val="00641AD2"/>
    <w:rsid w:val="00641BCF"/>
    <w:rsid w:val="00641C17"/>
    <w:rsid w:val="00641C4E"/>
    <w:rsid w:val="00641C61"/>
    <w:rsid w:val="00641CB8"/>
    <w:rsid w:val="00641DDE"/>
    <w:rsid w:val="00641FB3"/>
    <w:rsid w:val="00642081"/>
    <w:rsid w:val="006421CF"/>
    <w:rsid w:val="0064221C"/>
    <w:rsid w:val="0064245E"/>
    <w:rsid w:val="00642AF3"/>
    <w:rsid w:val="00642B9F"/>
    <w:rsid w:val="00642CC6"/>
    <w:rsid w:val="00642D8B"/>
    <w:rsid w:val="00642F4D"/>
    <w:rsid w:val="0064320E"/>
    <w:rsid w:val="0064332B"/>
    <w:rsid w:val="00643656"/>
    <w:rsid w:val="00643831"/>
    <w:rsid w:val="006438BD"/>
    <w:rsid w:val="00643B02"/>
    <w:rsid w:val="00643C77"/>
    <w:rsid w:val="00643E1C"/>
    <w:rsid w:val="00643E27"/>
    <w:rsid w:val="00643F62"/>
    <w:rsid w:val="00643F7D"/>
    <w:rsid w:val="00643FA1"/>
    <w:rsid w:val="0064407A"/>
    <w:rsid w:val="00644240"/>
    <w:rsid w:val="0064434C"/>
    <w:rsid w:val="00644375"/>
    <w:rsid w:val="006443DF"/>
    <w:rsid w:val="00644440"/>
    <w:rsid w:val="00644455"/>
    <w:rsid w:val="00644470"/>
    <w:rsid w:val="0064453D"/>
    <w:rsid w:val="006446C7"/>
    <w:rsid w:val="00644803"/>
    <w:rsid w:val="00644900"/>
    <w:rsid w:val="0064491B"/>
    <w:rsid w:val="00644935"/>
    <w:rsid w:val="006449D9"/>
    <w:rsid w:val="00644B29"/>
    <w:rsid w:val="00644E0E"/>
    <w:rsid w:val="00644E1E"/>
    <w:rsid w:val="00644E80"/>
    <w:rsid w:val="00644F2F"/>
    <w:rsid w:val="00644F7B"/>
    <w:rsid w:val="00645121"/>
    <w:rsid w:val="0064513B"/>
    <w:rsid w:val="006451CA"/>
    <w:rsid w:val="006452ED"/>
    <w:rsid w:val="00645378"/>
    <w:rsid w:val="0064552E"/>
    <w:rsid w:val="00645596"/>
    <w:rsid w:val="006455D7"/>
    <w:rsid w:val="00645611"/>
    <w:rsid w:val="006457A2"/>
    <w:rsid w:val="00645972"/>
    <w:rsid w:val="00645A67"/>
    <w:rsid w:val="00645AE0"/>
    <w:rsid w:val="00645B32"/>
    <w:rsid w:val="00645BAC"/>
    <w:rsid w:val="00645BE7"/>
    <w:rsid w:val="00645C0A"/>
    <w:rsid w:val="00645CE1"/>
    <w:rsid w:val="00645D0A"/>
    <w:rsid w:val="00645F83"/>
    <w:rsid w:val="0064614D"/>
    <w:rsid w:val="006463C2"/>
    <w:rsid w:val="0064641C"/>
    <w:rsid w:val="0064650C"/>
    <w:rsid w:val="006467B3"/>
    <w:rsid w:val="0064684F"/>
    <w:rsid w:val="0064688F"/>
    <w:rsid w:val="006469FC"/>
    <w:rsid w:val="00646E2D"/>
    <w:rsid w:val="00646EFF"/>
    <w:rsid w:val="006470E8"/>
    <w:rsid w:val="006471C7"/>
    <w:rsid w:val="006471CC"/>
    <w:rsid w:val="006471CE"/>
    <w:rsid w:val="006472F3"/>
    <w:rsid w:val="006472FE"/>
    <w:rsid w:val="00647351"/>
    <w:rsid w:val="0064745C"/>
    <w:rsid w:val="00647562"/>
    <w:rsid w:val="006475F4"/>
    <w:rsid w:val="006475FC"/>
    <w:rsid w:val="006476E6"/>
    <w:rsid w:val="0064783E"/>
    <w:rsid w:val="00647934"/>
    <w:rsid w:val="00647952"/>
    <w:rsid w:val="00647A29"/>
    <w:rsid w:val="00647A2F"/>
    <w:rsid w:val="00647CA7"/>
    <w:rsid w:val="00647E15"/>
    <w:rsid w:val="00647F85"/>
    <w:rsid w:val="00647F9C"/>
    <w:rsid w:val="00650024"/>
    <w:rsid w:val="00650773"/>
    <w:rsid w:val="0065079F"/>
    <w:rsid w:val="0065090B"/>
    <w:rsid w:val="00650B29"/>
    <w:rsid w:val="00650BFC"/>
    <w:rsid w:val="00650DDB"/>
    <w:rsid w:val="00650F02"/>
    <w:rsid w:val="006510F0"/>
    <w:rsid w:val="0065125E"/>
    <w:rsid w:val="006512AF"/>
    <w:rsid w:val="00651368"/>
    <w:rsid w:val="00651773"/>
    <w:rsid w:val="006517D1"/>
    <w:rsid w:val="006518F6"/>
    <w:rsid w:val="00651975"/>
    <w:rsid w:val="00651D06"/>
    <w:rsid w:val="00651E57"/>
    <w:rsid w:val="00651E82"/>
    <w:rsid w:val="00651FDE"/>
    <w:rsid w:val="00651FFA"/>
    <w:rsid w:val="006520C9"/>
    <w:rsid w:val="0065214E"/>
    <w:rsid w:val="0065227A"/>
    <w:rsid w:val="006522AA"/>
    <w:rsid w:val="00652357"/>
    <w:rsid w:val="0065239E"/>
    <w:rsid w:val="006524F4"/>
    <w:rsid w:val="00652595"/>
    <w:rsid w:val="006525D0"/>
    <w:rsid w:val="00652602"/>
    <w:rsid w:val="006528FF"/>
    <w:rsid w:val="00652941"/>
    <w:rsid w:val="0065295A"/>
    <w:rsid w:val="00652977"/>
    <w:rsid w:val="0065297F"/>
    <w:rsid w:val="00652982"/>
    <w:rsid w:val="00652A28"/>
    <w:rsid w:val="00652D0F"/>
    <w:rsid w:val="00652D97"/>
    <w:rsid w:val="00652E53"/>
    <w:rsid w:val="00652FED"/>
    <w:rsid w:val="00653044"/>
    <w:rsid w:val="006534DA"/>
    <w:rsid w:val="00653707"/>
    <w:rsid w:val="0065379F"/>
    <w:rsid w:val="00653A6F"/>
    <w:rsid w:val="00653C73"/>
    <w:rsid w:val="00654139"/>
    <w:rsid w:val="00654287"/>
    <w:rsid w:val="00654301"/>
    <w:rsid w:val="006543C8"/>
    <w:rsid w:val="0065451E"/>
    <w:rsid w:val="00654691"/>
    <w:rsid w:val="00654958"/>
    <w:rsid w:val="00655102"/>
    <w:rsid w:val="006552DD"/>
    <w:rsid w:val="00655316"/>
    <w:rsid w:val="00655491"/>
    <w:rsid w:val="00655584"/>
    <w:rsid w:val="006556C0"/>
    <w:rsid w:val="00655934"/>
    <w:rsid w:val="00655977"/>
    <w:rsid w:val="00655A89"/>
    <w:rsid w:val="00655B62"/>
    <w:rsid w:val="00655E74"/>
    <w:rsid w:val="00655F8D"/>
    <w:rsid w:val="00656069"/>
    <w:rsid w:val="00656188"/>
    <w:rsid w:val="00656364"/>
    <w:rsid w:val="006563E5"/>
    <w:rsid w:val="0065677D"/>
    <w:rsid w:val="006567E8"/>
    <w:rsid w:val="0065685F"/>
    <w:rsid w:val="00656902"/>
    <w:rsid w:val="006569D7"/>
    <w:rsid w:val="00656AFA"/>
    <w:rsid w:val="00656D67"/>
    <w:rsid w:val="00656F24"/>
    <w:rsid w:val="00656F48"/>
    <w:rsid w:val="00656FA8"/>
    <w:rsid w:val="00656FC7"/>
    <w:rsid w:val="0065709B"/>
    <w:rsid w:val="0065715A"/>
    <w:rsid w:val="00657369"/>
    <w:rsid w:val="006573CC"/>
    <w:rsid w:val="006573DC"/>
    <w:rsid w:val="00657435"/>
    <w:rsid w:val="00657563"/>
    <w:rsid w:val="006575EF"/>
    <w:rsid w:val="00657605"/>
    <w:rsid w:val="006576B7"/>
    <w:rsid w:val="00657CB7"/>
    <w:rsid w:val="00657D70"/>
    <w:rsid w:val="00657F0B"/>
    <w:rsid w:val="0066005E"/>
    <w:rsid w:val="00660164"/>
    <w:rsid w:val="00660293"/>
    <w:rsid w:val="006604DA"/>
    <w:rsid w:val="00660734"/>
    <w:rsid w:val="00660966"/>
    <w:rsid w:val="00660A2A"/>
    <w:rsid w:val="00660D0F"/>
    <w:rsid w:val="00660DBB"/>
    <w:rsid w:val="00660FC0"/>
    <w:rsid w:val="006610C4"/>
    <w:rsid w:val="006610F1"/>
    <w:rsid w:val="00661102"/>
    <w:rsid w:val="0066137E"/>
    <w:rsid w:val="006613E9"/>
    <w:rsid w:val="0066161C"/>
    <w:rsid w:val="00661628"/>
    <w:rsid w:val="00661825"/>
    <w:rsid w:val="0066185F"/>
    <w:rsid w:val="006618A3"/>
    <w:rsid w:val="006618C9"/>
    <w:rsid w:val="0066198B"/>
    <w:rsid w:val="00661A58"/>
    <w:rsid w:val="00661B5B"/>
    <w:rsid w:val="00661C6B"/>
    <w:rsid w:val="00661CE0"/>
    <w:rsid w:val="006620DF"/>
    <w:rsid w:val="0066215C"/>
    <w:rsid w:val="00662174"/>
    <w:rsid w:val="006622DA"/>
    <w:rsid w:val="0066233E"/>
    <w:rsid w:val="00662364"/>
    <w:rsid w:val="006623CB"/>
    <w:rsid w:val="006623D7"/>
    <w:rsid w:val="00662700"/>
    <w:rsid w:val="00662713"/>
    <w:rsid w:val="00662B02"/>
    <w:rsid w:val="00662C8A"/>
    <w:rsid w:val="00662D3E"/>
    <w:rsid w:val="00662E0A"/>
    <w:rsid w:val="00662FED"/>
    <w:rsid w:val="0066304D"/>
    <w:rsid w:val="006630D8"/>
    <w:rsid w:val="006631BF"/>
    <w:rsid w:val="00663529"/>
    <w:rsid w:val="0066359A"/>
    <w:rsid w:val="0066380F"/>
    <w:rsid w:val="00663A2D"/>
    <w:rsid w:val="00663AB4"/>
    <w:rsid w:val="00663AF4"/>
    <w:rsid w:val="00663BC7"/>
    <w:rsid w:val="00663C1A"/>
    <w:rsid w:val="00663C63"/>
    <w:rsid w:val="00663C78"/>
    <w:rsid w:val="00663F8E"/>
    <w:rsid w:val="006642FB"/>
    <w:rsid w:val="006644B6"/>
    <w:rsid w:val="00664712"/>
    <w:rsid w:val="006648FC"/>
    <w:rsid w:val="00664936"/>
    <w:rsid w:val="00664A5E"/>
    <w:rsid w:val="00664B9C"/>
    <w:rsid w:val="00664BC4"/>
    <w:rsid w:val="00664FAD"/>
    <w:rsid w:val="00665052"/>
    <w:rsid w:val="00665128"/>
    <w:rsid w:val="006653BC"/>
    <w:rsid w:val="0066540F"/>
    <w:rsid w:val="00665776"/>
    <w:rsid w:val="00665829"/>
    <w:rsid w:val="006659CF"/>
    <w:rsid w:val="00665AE9"/>
    <w:rsid w:val="00665B42"/>
    <w:rsid w:val="00665BAD"/>
    <w:rsid w:val="00665D85"/>
    <w:rsid w:val="00665EDC"/>
    <w:rsid w:val="00665F90"/>
    <w:rsid w:val="0066618F"/>
    <w:rsid w:val="006662A2"/>
    <w:rsid w:val="006665F3"/>
    <w:rsid w:val="006666AD"/>
    <w:rsid w:val="00666711"/>
    <w:rsid w:val="006669B8"/>
    <w:rsid w:val="00666A91"/>
    <w:rsid w:val="00666AD5"/>
    <w:rsid w:val="00666B33"/>
    <w:rsid w:val="00666ECD"/>
    <w:rsid w:val="00667126"/>
    <w:rsid w:val="0066737E"/>
    <w:rsid w:val="006674C2"/>
    <w:rsid w:val="00667639"/>
    <w:rsid w:val="006676A3"/>
    <w:rsid w:val="00667752"/>
    <w:rsid w:val="00667A00"/>
    <w:rsid w:val="00667A10"/>
    <w:rsid w:val="00667B32"/>
    <w:rsid w:val="00667BE3"/>
    <w:rsid w:val="00667E3D"/>
    <w:rsid w:val="00667EC2"/>
    <w:rsid w:val="006704A3"/>
    <w:rsid w:val="0067050D"/>
    <w:rsid w:val="00670625"/>
    <w:rsid w:val="00670992"/>
    <w:rsid w:val="00670A6F"/>
    <w:rsid w:val="00670D5D"/>
    <w:rsid w:val="00670E24"/>
    <w:rsid w:val="00670EA5"/>
    <w:rsid w:val="00671004"/>
    <w:rsid w:val="006710C6"/>
    <w:rsid w:val="00671497"/>
    <w:rsid w:val="0067156F"/>
    <w:rsid w:val="0067159B"/>
    <w:rsid w:val="0067182E"/>
    <w:rsid w:val="00671843"/>
    <w:rsid w:val="00671845"/>
    <w:rsid w:val="00671923"/>
    <w:rsid w:val="006719B0"/>
    <w:rsid w:val="00671A1B"/>
    <w:rsid w:val="00671AA1"/>
    <w:rsid w:val="00671AC2"/>
    <w:rsid w:val="00671BF9"/>
    <w:rsid w:val="00671D5B"/>
    <w:rsid w:val="006721E1"/>
    <w:rsid w:val="00672442"/>
    <w:rsid w:val="00672490"/>
    <w:rsid w:val="00672531"/>
    <w:rsid w:val="0067259B"/>
    <w:rsid w:val="00672646"/>
    <w:rsid w:val="00672669"/>
    <w:rsid w:val="00672921"/>
    <w:rsid w:val="00672B24"/>
    <w:rsid w:val="00672B57"/>
    <w:rsid w:val="00672B66"/>
    <w:rsid w:val="00672BBB"/>
    <w:rsid w:val="00672E44"/>
    <w:rsid w:val="00672E9A"/>
    <w:rsid w:val="00672F89"/>
    <w:rsid w:val="006730AE"/>
    <w:rsid w:val="00673219"/>
    <w:rsid w:val="006732B3"/>
    <w:rsid w:val="006735BD"/>
    <w:rsid w:val="0067368C"/>
    <w:rsid w:val="00673723"/>
    <w:rsid w:val="006737E6"/>
    <w:rsid w:val="00673953"/>
    <w:rsid w:val="00673AB8"/>
    <w:rsid w:val="00673B7C"/>
    <w:rsid w:val="00673C2E"/>
    <w:rsid w:val="00673D1F"/>
    <w:rsid w:val="00673FBF"/>
    <w:rsid w:val="00674090"/>
    <w:rsid w:val="00674187"/>
    <w:rsid w:val="006742FE"/>
    <w:rsid w:val="00674448"/>
    <w:rsid w:val="0067459B"/>
    <w:rsid w:val="0067473C"/>
    <w:rsid w:val="00674921"/>
    <w:rsid w:val="006749A5"/>
    <w:rsid w:val="00674A59"/>
    <w:rsid w:val="00674A71"/>
    <w:rsid w:val="00674BA3"/>
    <w:rsid w:val="00674E21"/>
    <w:rsid w:val="00674E42"/>
    <w:rsid w:val="00674E7B"/>
    <w:rsid w:val="00674FED"/>
    <w:rsid w:val="006753DE"/>
    <w:rsid w:val="006753EA"/>
    <w:rsid w:val="00675460"/>
    <w:rsid w:val="00675506"/>
    <w:rsid w:val="006755B5"/>
    <w:rsid w:val="00675647"/>
    <w:rsid w:val="00675992"/>
    <w:rsid w:val="006759A6"/>
    <w:rsid w:val="00675CC8"/>
    <w:rsid w:val="00675E05"/>
    <w:rsid w:val="00675F74"/>
    <w:rsid w:val="00676067"/>
    <w:rsid w:val="00676139"/>
    <w:rsid w:val="00676180"/>
    <w:rsid w:val="00676224"/>
    <w:rsid w:val="00676273"/>
    <w:rsid w:val="006764BC"/>
    <w:rsid w:val="00676563"/>
    <w:rsid w:val="00676623"/>
    <w:rsid w:val="006766A0"/>
    <w:rsid w:val="0067680A"/>
    <w:rsid w:val="0067683B"/>
    <w:rsid w:val="006769C1"/>
    <w:rsid w:val="006769EE"/>
    <w:rsid w:val="00676C87"/>
    <w:rsid w:val="00676CAD"/>
    <w:rsid w:val="00676DD5"/>
    <w:rsid w:val="00676E8B"/>
    <w:rsid w:val="00676FE0"/>
    <w:rsid w:val="00676FFC"/>
    <w:rsid w:val="006770DE"/>
    <w:rsid w:val="0067753E"/>
    <w:rsid w:val="00677573"/>
    <w:rsid w:val="006775E1"/>
    <w:rsid w:val="00677947"/>
    <w:rsid w:val="00677A27"/>
    <w:rsid w:val="00677D1C"/>
    <w:rsid w:val="006800FD"/>
    <w:rsid w:val="00680335"/>
    <w:rsid w:val="00680570"/>
    <w:rsid w:val="006805BE"/>
    <w:rsid w:val="00680765"/>
    <w:rsid w:val="00680884"/>
    <w:rsid w:val="00680B21"/>
    <w:rsid w:val="00680BD5"/>
    <w:rsid w:val="00680D55"/>
    <w:rsid w:val="00680D7B"/>
    <w:rsid w:val="00681139"/>
    <w:rsid w:val="00681163"/>
    <w:rsid w:val="006812FE"/>
    <w:rsid w:val="0068130D"/>
    <w:rsid w:val="00681369"/>
    <w:rsid w:val="006813F8"/>
    <w:rsid w:val="0068148E"/>
    <w:rsid w:val="006814D5"/>
    <w:rsid w:val="006817B7"/>
    <w:rsid w:val="006817C3"/>
    <w:rsid w:val="0068190D"/>
    <w:rsid w:val="00681AFF"/>
    <w:rsid w:val="00681F73"/>
    <w:rsid w:val="00682112"/>
    <w:rsid w:val="00682295"/>
    <w:rsid w:val="006823D5"/>
    <w:rsid w:val="0068255C"/>
    <w:rsid w:val="006827C2"/>
    <w:rsid w:val="0068288B"/>
    <w:rsid w:val="006828A0"/>
    <w:rsid w:val="00682967"/>
    <w:rsid w:val="006829A0"/>
    <w:rsid w:val="00682A9E"/>
    <w:rsid w:val="00682B20"/>
    <w:rsid w:val="00682BA6"/>
    <w:rsid w:val="00682C38"/>
    <w:rsid w:val="00682D5A"/>
    <w:rsid w:val="00682D88"/>
    <w:rsid w:val="00682F52"/>
    <w:rsid w:val="0068308B"/>
    <w:rsid w:val="006830C2"/>
    <w:rsid w:val="00683465"/>
    <w:rsid w:val="0068351C"/>
    <w:rsid w:val="006835A8"/>
    <w:rsid w:val="00683727"/>
    <w:rsid w:val="0068386A"/>
    <w:rsid w:val="006838B3"/>
    <w:rsid w:val="006839F6"/>
    <w:rsid w:val="00683A13"/>
    <w:rsid w:val="00683ADF"/>
    <w:rsid w:val="00683BD5"/>
    <w:rsid w:val="00683C12"/>
    <w:rsid w:val="00683C35"/>
    <w:rsid w:val="00683CDE"/>
    <w:rsid w:val="00683D91"/>
    <w:rsid w:val="00683DE6"/>
    <w:rsid w:val="00683DF8"/>
    <w:rsid w:val="0068409F"/>
    <w:rsid w:val="0068413A"/>
    <w:rsid w:val="00684346"/>
    <w:rsid w:val="00684991"/>
    <w:rsid w:val="006849AE"/>
    <w:rsid w:val="00684A7A"/>
    <w:rsid w:val="00684CF2"/>
    <w:rsid w:val="00685169"/>
    <w:rsid w:val="00685640"/>
    <w:rsid w:val="0068565A"/>
    <w:rsid w:val="00685742"/>
    <w:rsid w:val="00685884"/>
    <w:rsid w:val="00685924"/>
    <w:rsid w:val="00685AEB"/>
    <w:rsid w:val="00685CDD"/>
    <w:rsid w:val="00686413"/>
    <w:rsid w:val="00686479"/>
    <w:rsid w:val="00686740"/>
    <w:rsid w:val="00686957"/>
    <w:rsid w:val="00686B14"/>
    <w:rsid w:val="00686BDD"/>
    <w:rsid w:val="00686D7B"/>
    <w:rsid w:val="00686EF9"/>
    <w:rsid w:val="006870D5"/>
    <w:rsid w:val="006872BA"/>
    <w:rsid w:val="00687502"/>
    <w:rsid w:val="00687B1B"/>
    <w:rsid w:val="00687C26"/>
    <w:rsid w:val="00687D17"/>
    <w:rsid w:val="00687DF0"/>
    <w:rsid w:val="00687E45"/>
    <w:rsid w:val="00687FB5"/>
    <w:rsid w:val="006900A9"/>
    <w:rsid w:val="006902CA"/>
    <w:rsid w:val="006905E0"/>
    <w:rsid w:val="00690795"/>
    <w:rsid w:val="00690958"/>
    <w:rsid w:val="00690A81"/>
    <w:rsid w:val="00690B13"/>
    <w:rsid w:val="00690B1D"/>
    <w:rsid w:val="00690DDA"/>
    <w:rsid w:val="0069127A"/>
    <w:rsid w:val="00691282"/>
    <w:rsid w:val="00691284"/>
    <w:rsid w:val="006912E2"/>
    <w:rsid w:val="0069144C"/>
    <w:rsid w:val="006915E0"/>
    <w:rsid w:val="00691648"/>
    <w:rsid w:val="0069164E"/>
    <w:rsid w:val="006916A4"/>
    <w:rsid w:val="006917D7"/>
    <w:rsid w:val="006917E9"/>
    <w:rsid w:val="006918A8"/>
    <w:rsid w:val="00691AEA"/>
    <w:rsid w:val="00691C95"/>
    <w:rsid w:val="00691DD5"/>
    <w:rsid w:val="00691E92"/>
    <w:rsid w:val="00691FAF"/>
    <w:rsid w:val="0069214E"/>
    <w:rsid w:val="00692185"/>
    <w:rsid w:val="00692342"/>
    <w:rsid w:val="006923EE"/>
    <w:rsid w:val="00692515"/>
    <w:rsid w:val="00692595"/>
    <w:rsid w:val="006925C0"/>
    <w:rsid w:val="006925DA"/>
    <w:rsid w:val="00692614"/>
    <w:rsid w:val="0069262A"/>
    <w:rsid w:val="00692735"/>
    <w:rsid w:val="00692770"/>
    <w:rsid w:val="0069280D"/>
    <w:rsid w:val="00692900"/>
    <w:rsid w:val="00692A8D"/>
    <w:rsid w:val="00692AD8"/>
    <w:rsid w:val="00692C36"/>
    <w:rsid w:val="00692CF0"/>
    <w:rsid w:val="00692DF2"/>
    <w:rsid w:val="00692E99"/>
    <w:rsid w:val="00692FDC"/>
    <w:rsid w:val="00692FF9"/>
    <w:rsid w:val="006930E6"/>
    <w:rsid w:val="0069337C"/>
    <w:rsid w:val="0069355C"/>
    <w:rsid w:val="00693646"/>
    <w:rsid w:val="00693A4F"/>
    <w:rsid w:val="00693AF3"/>
    <w:rsid w:val="00693B7C"/>
    <w:rsid w:val="00693D0C"/>
    <w:rsid w:val="00693DCE"/>
    <w:rsid w:val="00693DF3"/>
    <w:rsid w:val="00693F09"/>
    <w:rsid w:val="00693F8C"/>
    <w:rsid w:val="0069434C"/>
    <w:rsid w:val="0069471F"/>
    <w:rsid w:val="00694772"/>
    <w:rsid w:val="0069478E"/>
    <w:rsid w:val="006948C5"/>
    <w:rsid w:val="00694C7F"/>
    <w:rsid w:val="00694D5E"/>
    <w:rsid w:val="00694E2D"/>
    <w:rsid w:val="00694E55"/>
    <w:rsid w:val="00694F44"/>
    <w:rsid w:val="00695041"/>
    <w:rsid w:val="006950E0"/>
    <w:rsid w:val="00695163"/>
    <w:rsid w:val="006952A7"/>
    <w:rsid w:val="006953C5"/>
    <w:rsid w:val="006953DB"/>
    <w:rsid w:val="0069547D"/>
    <w:rsid w:val="006955B4"/>
    <w:rsid w:val="00695944"/>
    <w:rsid w:val="00695A7A"/>
    <w:rsid w:val="00695AE9"/>
    <w:rsid w:val="00695D90"/>
    <w:rsid w:val="006962B3"/>
    <w:rsid w:val="00696446"/>
    <w:rsid w:val="006964AA"/>
    <w:rsid w:val="00696647"/>
    <w:rsid w:val="006966BA"/>
    <w:rsid w:val="006966CE"/>
    <w:rsid w:val="006966FE"/>
    <w:rsid w:val="006968C0"/>
    <w:rsid w:val="00696944"/>
    <w:rsid w:val="00696A82"/>
    <w:rsid w:val="00696BAF"/>
    <w:rsid w:val="00696E5A"/>
    <w:rsid w:val="00696EF9"/>
    <w:rsid w:val="00696EFF"/>
    <w:rsid w:val="00696F51"/>
    <w:rsid w:val="0069716E"/>
    <w:rsid w:val="0069726B"/>
    <w:rsid w:val="006975B0"/>
    <w:rsid w:val="0069788B"/>
    <w:rsid w:val="00697894"/>
    <w:rsid w:val="006979A5"/>
    <w:rsid w:val="00697AE8"/>
    <w:rsid w:val="00697B06"/>
    <w:rsid w:val="00697D37"/>
    <w:rsid w:val="00697DB4"/>
    <w:rsid w:val="00697FE7"/>
    <w:rsid w:val="006A0003"/>
    <w:rsid w:val="006A0019"/>
    <w:rsid w:val="006A016F"/>
    <w:rsid w:val="006A03B2"/>
    <w:rsid w:val="006A06C7"/>
    <w:rsid w:val="006A0717"/>
    <w:rsid w:val="006A097E"/>
    <w:rsid w:val="006A0A6C"/>
    <w:rsid w:val="006A0B85"/>
    <w:rsid w:val="006A0C91"/>
    <w:rsid w:val="006A0DA0"/>
    <w:rsid w:val="006A0DF7"/>
    <w:rsid w:val="006A0E16"/>
    <w:rsid w:val="006A0F19"/>
    <w:rsid w:val="006A0FAA"/>
    <w:rsid w:val="006A1002"/>
    <w:rsid w:val="006A119E"/>
    <w:rsid w:val="006A157F"/>
    <w:rsid w:val="006A168E"/>
    <w:rsid w:val="006A1D6C"/>
    <w:rsid w:val="006A1F87"/>
    <w:rsid w:val="006A207D"/>
    <w:rsid w:val="006A21FD"/>
    <w:rsid w:val="006A23D6"/>
    <w:rsid w:val="006A2A72"/>
    <w:rsid w:val="006A2B80"/>
    <w:rsid w:val="006A2BEE"/>
    <w:rsid w:val="006A2CB5"/>
    <w:rsid w:val="006A2D23"/>
    <w:rsid w:val="006A2D2B"/>
    <w:rsid w:val="006A309A"/>
    <w:rsid w:val="006A3162"/>
    <w:rsid w:val="006A31C3"/>
    <w:rsid w:val="006A31CA"/>
    <w:rsid w:val="006A3341"/>
    <w:rsid w:val="006A36E2"/>
    <w:rsid w:val="006A3712"/>
    <w:rsid w:val="006A372A"/>
    <w:rsid w:val="006A3773"/>
    <w:rsid w:val="006A386F"/>
    <w:rsid w:val="006A399A"/>
    <w:rsid w:val="006A3C34"/>
    <w:rsid w:val="006A3D0B"/>
    <w:rsid w:val="006A3E41"/>
    <w:rsid w:val="006A3F50"/>
    <w:rsid w:val="006A4321"/>
    <w:rsid w:val="006A4356"/>
    <w:rsid w:val="006A43D9"/>
    <w:rsid w:val="006A476B"/>
    <w:rsid w:val="006A4856"/>
    <w:rsid w:val="006A48DB"/>
    <w:rsid w:val="006A490B"/>
    <w:rsid w:val="006A496F"/>
    <w:rsid w:val="006A4B79"/>
    <w:rsid w:val="006A4C40"/>
    <w:rsid w:val="006A4EB9"/>
    <w:rsid w:val="006A5123"/>
    <w:rsid w:val="006A5279"/>
    <w:rsid w:val="006A53C9"/>
    <w:rsid w:val="006A54E3"/>
    <w:rsid w:val="006A550E"/>
    <w:rsid w:val="006A559F"/>
    <w:rsid w:val="006A56EA"/>
    <w:rsid w:val="006A56F7"/>
    <w:rsid w:val="006A57C5"/>
    <w:rsid w:val="006A5955"/>
    <w:rsid w:val="006A598B"/>
    <w:rsid w:val="006A5D49"/>
    <w:rsid w:val="006A626B"/>
    <w:rsid w:val="006A645C"/>
    <w:rsid w:val="006A662E"/>
    <w:rsid w:val="006A66A7"/>
    <w:rsid w:val="006A67AB"/>
    <w:rsid w:val="006A6984"/>
    <w:rsid w:val="006A6B99"/>
    <w:rsid w:val="006A6C69"/>
    <w:rsid w:val="006A6D56"/>
    <w:rsid w:val="006A6EA4"/>
    <w:rsid w:val="006A70E1"/>
    <w:rsid w:val="006A712F"/>
    <w:rsid w:val="006A750B"/>
    <w:rsid w:val="006A780C"/>
    <w:rsid w:val="006A7960"/>
    <w:rsid w:val="006A7A55"/>
    <w:rsid w:val="006A7A56"/>
    <w:rsid w:val="006A7AC4"/>
    <w:rsid w:val="006A7B20"/>
    <w:rsid w:val="006A7BC4"/>
    <w:rsid w:val="006A7C2B"/>
    <w:rsid w:val="006A7D3C"/>
    <w:rsid w:val="006A7E2F"/>
    <w:rsid w:val="006A7E5F"/>
    <w:rsid w:val="006A7FBF"/>
    <w:rsid w:val="006B003C"/>
    <w:rsid w:val="006B00BF"/>
    <w:rsid w:val="006B02EC"/>
    <w:rsid w:val="006B0445"/>
    <w:rsid w:val="006B06CA"/>
    <w:rsid w:val="006B06E8"/>
    <w:rsid w:val="006B083D"/>
    <w:rsid w:val="006B097B"/>
    <w:rsid w:val="006B09A6"/>
    <w:rsid w:val="006B0B44"/>
    <w:rsid w:val="006B0D52"/>
    <w:rsid w:val="006B0F06"/>
    <w:rsid w:val="006B0FBD"/>
    <w:rsid w:val="006B101F"/>
    <w:rsid w:val="006B10C3"/>
    <w:rsid w:val="006B111B"/>
    <w:rsid w:val="006B11A7"/>
    <w:rsid w:val="006B168F"/>
    <w:rsid w:val="006B16A2"/>
    <w:rsid w:val="006B170B"/>
    <w:rsid w:val="006B1716"/>
    <w:rsid w:val="006B1783"/>
    <w:rsid w:val="006B1949"/>
    <w:rsid w:val="006B1A4F"/>
    <w:rsid w:val="006B1AC6"/>
    <w:rsid w:val="006B1B4A"/>
    <w:rsid w:val="006B1CD3"/>
    <w:rsid w:val="006B1D4B"/>
    <w:rsid w:val="006B1E23"/>
    <w:rsid w:val="006B1E31"/>
    <w:rsid w:val="006B1F44"/>
    <w:rsid w:val="006B1F52"/>
    <w:rsid w:val="006B229D"/>
    <w:rsid w:val="006B2325"/>
    <w:rsid w:val="006B2351"/>
    <w:rsid w:val="006B23C1"/>
    <w:rsid w:val="006B244C"/>
    <w:rsid w:val="006B254E"/>
    <w:rsid w:val="006B259F"/>
    <w:rsid w:val="006B261B"/>
    <w:rsid w:val="006B289F"/>
    <w:rsid w:val="006B2977"/>
    <w:rsid w:val="006B2A6A"/>
    <w:rsid w:val="006B2A71"/>
    <w:rsid w:val="006B2AF1"/>
    <w:rsid w:val="006B2C90"/>
    <w:rsid w:val="006B2EFA"/>
    <w:rsid w:val="006B35E6"/>
    <w:rsid w:val="006B3614"/>
    <w:rsid w:val="006B361F"/>
    <w:rsid w:val="006B363B"/>
    <w:rsid w:val="006B36AF"/>
    <w:rsid w:val="006B3720"/>
    <w:rsid w:val="006B3B03"/>
    <w:rsid w:val="006B3BFD"/>
    <w:rsid w:val="006B3CB9"/>
    <w:rsid w:val="006B3D43"/>
    <w:rsid w:val="006B3DDF"/>
    <w:rsid w:val="006B3E36"/>
    <w:rsid w:val="006B4339"/>
    <w:rsid w:val="006B45E2"/>
    <w:rsid w:val="006B465A"/>
    <w:rsid w:val="006B481C"/>
    <w:rsid w:val="006B4886"/>
    <w:rsid w:val="006B4A23"/>
    <w:rsid w:val="006B4CA7"/>
    <w:rsid w:val="006B5148"/>
    <w:rsid w:val="006B5318"/>
    <w:rsid w:val="006B533D"/>
    <w:rsid w:val="006B54B1"/>
    <w:rsid w:val="006B55F2"/>
    <w:rsid w:val="006B5676"/>
    <w:rsid w:val="006B58D6"/>
    <w:rsid w:val="006B5923"/>
    <w:rsid w:val="006B5960"/>
    <w:rsid w:val="006B5BCA"/>
    <w:rsid w:val="006B5CC4"/>
    <w:rsid w:val="006B5D1F"/>
    <w:rsid w:val="006B5D6C"/>
    <w:rsid w:val="006B5D81"/>
    <w:rsid w:val="006B5E6B"/>
    <w:rsid w:val="006B5F36"/>
    <w:rsid w:val="006B60E2"/>
    <w:rsid w:val="006B64FE"/>
    <w:rsid w:val="006B6642"/>
    <w:rsid w:val="006B678F"/>
    <w:rsid w:val="006B67B9"/>
    <w:rsid w:val="006B680D"/>
    <w:rsid w:val="006B6A07"/>
    <w:rsid w:val="006B6CC6"/>
    <w:rsid w:val="006B6DD0"/>
    <w:rsid w:val="006B6E21"/>
    <w:rsid w:val="006B6E9F"/>
    <w:rsid w:val="006B6FB6"/>
    <w:rsid w:val="006B7007"/>
    <w:rsid w:val="006B73B5"/>
    <w:rsid w:val="006B74A4"/>
    <w:rsid w:val="006B7520"/>
    <w:rsid w:val="006B76BF"/>
    <w:rsid w:val="006B76DA"/>
    <w:rsid w:val="006B7712"/>
    <w:rsid w:val="006B77F9"/>
    <w:rsid w:val="006B7909"/>
    <w:rsid w:val="006B7A33"/>
    <w:rsid w:val="006B7A4D"/>
    <w:rsid w:val="006B7A8E"/>
    <w:rsid w:val="006B7AC3"/>
    <w:rsid w:val="006B7C0B"/>
    <w:rsid w:val="006B7CC1"/>
    <w:rsid w:val="006B7EAF"/>
    <w:rsid w:val="006B7F70"/>
    <w:rsid w:val="006C0392"/>
    <w:rsid w:val="006C0399"/>
    <w:rsid w:val="006C03E6"/>
    <w:rsid w:val="006C048B"/>
    <w:rsid w:val="006C04B2"/>
    <w:rsid w:val="006C05BA"/>
    <w:rsid w:val="006C064C"/>
    <w:rsid w:val="006C07C4"/>
    <w:rsid w:val="006C085B"/>
    <w:rsid w:val="006C0A28"/>
    <w:rsid w:val="006C0A4C"/>
    <w:rsid w:val="006C0B15"/>
    <w:rsid w:val="006C0BD0"/>
    <w:rsid w:val="006C0D35"/>
    <w:rsid w:val="006C0E32"/>
    <w:rsid w:val="006C1089"/>
    <w:rsid w:val="006C11AF"/>
    <w:rsid w:val="006C126F"/>
    <w:rsid w:val="006C13A0"/>
    <w:rsid w:val="006C13A8"/>
    <w:rsid w:val="006C151C"/>
    <w:rsid w:val="006C16AC"/>
    <w:rsid w:val="006C1768"/>
    <w:rsid w:val="006C196F"/>
    <w:rsid w:val="006C1AC0"/>
    <w:rsid w:val="006C1B3A"/>
    <w:rsid w:val="006C1B57"/>
    <w:rsid w:val="006C1BE0"/>
    <w:rsid w:val="006C1BEE"/>
    <w:rsid w:val="006C1CB8"/>
    <w:rsid w:val="006C1D3A"/>
    <w:rsid w:val="006C1DAD"/>
    <w:rsid w:val="006C1EC5"/>
    <w:rsid w:val="006C20F3"/>
    <w:rsid w:val="006C22FD"/>
    <w:rsid w:val="006C25AB"/>
    <w:rsid w:val="006C26CC"/>
    <w:rsid w:val="006C27D0"/>
    <w:rsid w:val="006C2857"/>
    <w:rsid w:val="006C2860"/>
    <w:rsid w:val="006C2928"/>
    <w:rsid w:val="006C2992"/>
    <w:rsid w:val="006C29A3"/>
    <w:rsid w:val="006C2A8E"/>
    <w:rsid w:val="006C3167"/>
    <w:rsid w:val="006C3255"/>
    <w:rsid w:val="006C3544"/>
    <w:rsid w:val="006C35ED"/>
    <w:rsid w:val="006C3620"/>
    <w:rsid w:val="006C370E"/>
    <w:rsid w:val="006C3A05"/>
    <w:rsid w:val="006C3A61"/>
    <w:rsid w:val="006C3F26"/>
    <w:rsid w:val="006C40AB"/>
    <w:rsid w:val="006C4135"/>
    <w:rsid w:val="006C424E"/>
    <w:rsid w:val="006C4266"/>
    <w:rsid w:val="006C4407"/>
    <w:rsid w:val="006C4438"/>
    <w:rsid w:val="006C4672"/>
    <w:rsid w:val="006C4939"/>
    <w:rsid w:val="006C4AC2"/>
    <w:rsid w:val="006C4B88"/>
    <w:rsid w:val="006C4C5E"/>
    <w:rsid w:val="006C4C74"/>
    <w:rsid w:val="006C4FC8"/>
    <w:rsid w:val="006C51B1"/>
    <w:rsid w:val="006C54A8"/>
    <w:rsid w:val="006C54B6"/>
    <w:rsid w:val="006C5889"/>
    <w:rsid w:val="006C5A0C"/>
    <w:rsid w:val="006C5B34"/>
    <w:rsid w:val="006C5CAF"/>
    <w:rsid w:val="006C5D88"/>
    <w:rsid w:val="006C5E8D"/>
    <w:rsid w:val="006C5EBF"/>
    <w:rsid w:val="006C61B1"/>
    <w:rsid w:val="006C6218"/>
    <w:rsid w:val="006C6667"/>
    <w:rsid w:val="006C66EC"/>
    <w:rsid w:val="006C6719"/>
    <w:rsid w:val="006C694B"/>
    <w:rsid w:val="006C6AE2"/>
    <w:rsid w:val="006C6BAC"/>
    <w:rsid w:val="006C6C8B"/>
    <w:rsid w:val="006C6CAB"/>
    <w:rsid w:val="006C6D6D"/>
    <w:rsid w:val="006C6E5C"/>
    <w:rsid w:val="006C6F9D"/>
    <w:rsid w:val="006C7006"/>
    <w:rsid w:val="006C704A"/>
    <w:rsid w:val="006C7123"/>
    <w:rsid w:val="006C71A1"/>
    <w:rsid w:val="006C7306"/>
    <w:rsid w:val="006C7333"/>
    <w:rsid w:val="006C7429"/>
    <w:rsid w:val="006C7557"/>
    <w:rsid w:val="006C769C"/>
    <w:rsid w:val="006C77C9"/>
    <w:rsid w:val="006C790E"/>
    <w:rsid w:val="006C79EF"/>
    <w:rsid w:val="006C7E3B"/>
    <w:rsid w:val="006C7ED6"/>
    <w:rsid w:val="006C7FE8"/>
    <w:rsid w:val="006D056A"/>
    <w:rsid w:val="006D064A"/>
    <w:rsid w:val="006D066D"/>
    <w:rsid w:val="006D0992"/>
    <w:rsid w:val="006D0A34"/>
    <w:rsid w:val="006D0A51"/>
    <w:rsid w:val="006D0AE2"/>
    <w:rsid w:val="006D0C36"/>
    <w:rsid w:val="006D0D17"/>
    <w:rsid w:val="006D0D1F"/>
    <w:rsid w:val="006D0D5C"/>
    <w:rsid w:val="006D0EE8"/>
    <w:rsid w:val="006D0F84"/>
    <w:rsid w:val="006D0F89"/>
    <w:rsid w:val="006D105B"/>
    <w:rsid w:val="006D1149"/>
    <w:rsid w:val="006D1231"/>
    <w:rsid w:val="006D12F1"/>
    <w:rsid w:val="006D14DA"/>
    <w:rsid w:val="006D172B"/>
    <w:rsid w:val="006D175C"/>
    <w:rsid w:val="006D197B"/>
    <w:rsid w:val="006D1A14"/>
    <w:rsid w:val="006D1A7A"/>
    <w:rsid w:val="006D1CA4"/>
    <w:rsid w:val="006D1F8F"/>
    <w:rsid w:val="006D2045"/>
    <w:rsid w:val="006D215E"/>
    <w:rsid w:val="006D218F"/>
    <w:rsid w:val="006D2349"/>
    <w:rsid w:val="006D23B5"/>
    <w:rsid w:val="006D2436"/>
    <w:rsid w:val="006D2458"/>
    <w:rsid w:val="006D25E8"/>
    <w:rsid w:val="006D28BD"/>
    <w:rsid w:val="006D2A02"/>
    <w:rsid w:val="006D2AA1"/>
    <w:rsid w:val="006D2C8F"/>
    <w:rsid w:val="006D2E52"/>
    <w:rsid w:val="006D2E6E"/>
    <w:rsid w:val="006D2F70"/>
    <w:rsid w:val="006D3144"/>
    <w:rsid w:val="006D3177"/>
    <w:rsid w:val="006D3267"/>
    <w:rsid w:val="006D32C3"/>
    <w:rsid w:val="006D33C8"/>
    <w:rsid w:val="006D33EB"/>
    <w:rsid w:val="006D3799"/>
    <w:rsid w:val="006D37DB"/>
    <w:rsid w:val="006D3C7D"/>
    <w:rsid w:val="006D3CE2"/>
    <w:rsid w:val="006D3CFF"/>
    <w:rsid w:val="006D3F1C"/>
    <w:rsid w:val="006D425A"/>
    <w:rsid w:val="006D45BF"/>
    <w:rsid w:val="006D4659"/>
    <w:rsid w:val="006D48B3"/>
    <w:rsid w:val="006D4957"/>
    <w:rsid w:val="006D4BDF"/>
    <w:rsid w:val="006D4D84"/>
    <w:rsid w:val="006D510F"/>
    <w:rsid w:val="006D52D1"/>
    <w:rsid w:val="006D54A8"/>
    <w:rsid w:val="006D5535"/>
    <w:rsid w:val="006D572A"/>
    <w:rsid w:val="006D577C"/>
    <w:rsid w:val="006D5A84"/>
    <w:rsid w:val="006D5D5F"/>
    <w:rsid w:val="006D5E86"/>
    <w:rsid w:val="006D5E89"/>
    <w:rsid w:val="006D5F94"/>
    <w:rsid w:val="006D605B"/>
    <w:rsid w:val="006D62DD"/>
    <w:rsid w:val="006D63CE"/>
    <w:rsid w:val="006D6408"/>
    <w:rsid w:val="006D645E"/>
    <w:rsid w:val="006D6478"/>
    <w:rsid w:val="006D6656"/>
    <w:rsid w:val="006D67A0"/>
    <w:rsid w:val="006D68FB"/>
    <w:rsid w:val="006D6AB1"/>
    <w:rsid w:val="006D6D9B"/>
    <w:rsid w:val="006D6E9A"/>
    <w:rsid w:val="006D6F6A"/>
    <w:rsid w:val="006D6F7C"/>
    <w:rsid w:val="006D6F81"/>
    <w:rsid w:val="006D7173"/>
    <w:rsid w:val="006D724B"/>
    <w:rsid w:val="006D7253"/>
    <w:rsid w:val="006D72E9"/>
    <w:rsid w:val="006D742C"/>
    <w:rsid w:val="006D74B5"/>
    <w:rsid w:val="006D7552"/>
    <w:rsid w:val="006D759B"/>
    <w:rsid w:val="006D7719"/>
    <w:rsid w:val="006D7828"/>
    <w:rsid w:val="006D7AD0"/>
    <w:rsid w:val="006D7AD5"/>
    <w:rsid w:val="006D7B72"/>
    <w:rsid w:val="006D7C84"/>
    <w:rsid w:val="006D7E51"/>
    <w:rsid w:val="006D7EAD"/>
    <w:rsid w:val="006E003E"/>
    <w:rsid w:val="006E0189"/>
    <w:rsid w:val="006E01FB"/>
    <w:rsid w:val="006E0280"/>
    <w:rsid w:val="006E02AB"/>
    <w:rsid w:val="006E03CD"/>
    <w:rsid w:val="006E041C"/>
    <w:rsid w:val="006E0459"/>
    <w:rsid w:val="006E0670"/>
    <w:rsid w:val="006E0751"/>
    <w:rsid w:val="006E0787"/>
    <w:rsid w:val="006E0901"/>
    <w:rsid w:val="006E099C"/>
    <w:rsid w:val="006E0ADE"/>
    <w:rsid w:val="006E0BE4"/>
    <w:rsid w:val="006E0D6F"/>
    <w:rsid w:val="006E0DFF"/>
    <w:rsid w:val="006E0F2B"/>
    <w:rsid w:val="006E0FD7"/>
    <w:rsid w:val="006E111E"/>
    <w:rsid w:val="006E12A7"/>
    <w:rsid w:val="006E1338"/>
    <w:rsid w:val="006E1371"/>
    <w:rsid w:val="006E14C3"/>
    <w:rsid w:val="006E155D"/>
    <w:rsid w:val="006E164C"/>
    <w:rsid w:val="006E1660"/>
    <w:rsid w:val="006E18E5"/>
    <w:rsid w:val="006E190A"/>
    <w:rsid w:val="006E1944"/>
    <w:rsid w:val="006E19C8"/>
    <w:rsid w:val="006E1A30"/>
    <w:rsid w:val="006E1B8E"/>
    <w:rsid w:val="006E1CB3"/>
    <w:rsid w:val="006E1E25"/>
    <w:rsid w:val="006E1F40"/>
    <w:rsid w:val="006E200B"/>
    <w:rsid w:val="006E2036"/>
    <w:rsid w:val="006E2193"/>
    <w:rsid w:val="006E22AA"/>
    <w:rsid w:val="006E2342"/>
    <w:rsid w:val="006E2348"/>
    <w:rsid w:val="006E2506"/>
    <w:rsid w:val="006E26F4"/>
    <w:rsid w:val="006E27A2"/>
    <w:rsid w:val="006E2868"/>
    <w:rsid w:val="006E2874"/>
    <w:rsid w:val="006E2A10"/>
    <w:rsid w:val="006E2C3A"/>
    <w:rsid w:val="006E2D1F"/>
    <w:rsid w:val="006E2F1E"/>
    <w:rsid w:val="006E2FB7"/>
    <w:rsid w:val="006E305E"/>
    <w:rsid w:val="006E3138"/>
    <w:rsid w:val="006E31FB"/>
    <w:rsid w:val="006E330C"/>
    <w:rsid w:val="006E33BA"/>
    <w:rsid w:val="006E353E"/>
    <w:rsid w:val="006E3821"/>
    <w:rsid w:val="006E386B"/>
    <w:rsid w:val="006E3C07"/>
    <w:rsid w:val="006E3CB7"/>
    <w:rsid w:val="006E3DB4"/>
    <w:rsid w:val="006E3FF6"/>
    <w:rsid w:val="006E409E"/>
    <w:rsid w:val="006E4657"/>
    <w:rsid w:val="006E4AA7"/>
    <w:rsid w:val="006E4B92"/>
    <w:rsid w:val="006E4CC5"/>
    <w:rsid w:val="006E4F59"/>
    <w:rsid w:val="006E50A3"/>
    <w:rsid w:val="006E517D"/>
    <w:rsid w:val="006E5290"/>
    <w:rsid w:val="006E52EF"/>
    <w:rsid w:val="006E542C"/>
    <w:rsid w:val="006E549D"/>
    <w:rsid w:val="006E5587"/>
    <w:rsid w:val="006E56CB"/>
    <w:rsid w:val="006E5727"/>
    <w:rsid w:val="006E572C"/>
    <w:rsid w:val="006E574A"/>
    <w:rsid w:val="006E5765"/>
    <w:rsid w:val="006E576D"/>
    <w:rsid w:val="006E5772"/>
    <w:rsid w:val="006E5B98"/>
    <w:rsid w:val="006E5C2D"/>
    <w:rsid w:val="006E5E0C"/>
    <w:rsid w:val="006E5E1A"/>
    <w:rsid w:val="006E5EA6"/>
    <w:rsid w:val="006E5EE0"/>
    <w:rsid w:val="006E601E"/>
    <w:rsid w:val="006E605A"/>
    <w:rsid w:val="006E622E"/>
    <w:rsid w:val="006E6231"/>
    <w:rsid w:val="006E629F"/>
    <w:rsid w:val="006E63D6"/>
    <w:rsid w:val="006E66FC"/>
    <w:rsid w:val="006E680B"/>
    <w:rsid w:val="006E6919"/>
    <w:rsid w:val="006E6BEE"/>
    <w:rsid w:val="006E6CE4"/>
    <w:rsid w:val="006E6CFA"/>
    <w:rsid w:val="006E7093"/>
    <w:rsid w:val="006E7260"/>
    <w:rsid w:val="006E7599"/>
    <w:rsid w:val="006E75A3"/>
    <w:rsid w:val="006E7745"/>
    <w:rsid w:val="006E78C4"/>
    <w:rsid w:val="006E79CC"/>
    <w:rsid w:val="006E7A5E"/>
    <w:rsid w:val="006E7A9B"/>
    <w:rsid w:val="006E7CA8"/>
    <w:rsid w:val="006E7CAD"/>
    <w:rsid w:val="006E7DF3"/>
    <w:rsid w:val="006E7E56"/>
    <w:rsid w:val="006E7EA3"/>
    <w:rsid w:val="006E7F08"/>
    <w:rsid w:val="006E7F13"/>
    <w:rsid w:val="006E7F9F"/>
    <w:rsid w:val="006F00CC"/>
    <w:rsid w:val="006F00D0"/>
    <w:rsid w:val="006F018E"/>
    <w:rsid w:val="006F029B"/>
    <w:rsid w:val="006F02E2"/>
    <w:rsid w:val="006F031F"/>
    <w:rsid w:val="006F0449"/>
    <w:rsid w:val="006F0618"/>
    <w:rsid w:val="006F0983"/>
    <w:rsid w:val="006F0A29"/>
    <w:rsid w:val="006F0A89"/>
    <w:rsid w:val="006F0BF5"/>
    <w:rsid w:val="006F0D6E"/>
    <w:rsid w:val="006F0F36"/>
    <w:rsid w:val="006F0F5D"/>
    <w:rsid w:val="006F0FDB"/>
    <w:rsid w:val="006F11E8"/>
    <w:rsid w:val="006F13EA"/>
    <w:rsid w:val="006F16A1"/>
    <w:rsid w:val="006F19A1"/>
    <w:rsid w:val="006F1B1B"/>
    <w:rsid w:val="006F1D4B"/>
    <w:rsid w:val="006F1E65"/>
    <w:rsid w:val="006F1E6C"/>
    <w:rsid w:val="006F1F49"/>
    <w:rsid w:val="006F1F7A"/>
    <w:rsid w:val="006F1FC8"/>
    <w:rsid w:val="006F1FF2"/>
    <w:rsid w:val="006F208E"/>
    <w:rsid w:val="006F2494"/>
    <w:rsid w:val="006F24BD"/>
    <w:rsid w:val="006F2518"/>
    <w:rsid w:val="006F277A"/>
    <w:rsid w:val="006F2836"/>
    <w:rsid w:val="006F28B8"/>
    <w:rsid w:val="006F2A8B"/>
    <w:rsid w:val="006F2AF4"/>
    <w:rsid w:val="006F2E90"/>
    <w:rsid w:val="006F2F02"/>
    <w:rsid w:val="006F2F05"/>
    <w:rsid w:val="006F2F8B"/>
    <w:rsid w:val="006F3049"/>
    <w:rsid w:val="006F306C"/>
    <w:rsid w:val="006F3264"/>
    <w:rsid w:val="006F3424"/>
    <w:rsid w:val="006F3612"/>
    <w:rsid w:val="006F3613"/>
    <w:rsid w:val="006F3670"/>
    <w:rsid w:val="006F36DC"/>
    <w:rsid w:val="006F3771"/>
    <w:rsid w:val="006F3812"/>
    <w:rsid w:val="006F3982"/>
    <w:rsid w:val="006F3B3A"/>
    <w:rsid w:val="006F3BC5"/>
    <w:rsid w:val="006F3CAD"/>
    <w:rsid w:val="006F3CFE"/>
    <w:rsid w:val="006F3F07"/>
    <w:rsid w:val="006F4203"/>
    <w:rsid w:val="006F4352"/>
    <w:rsid w:val="006F449D"/>
    <w:rsid w:val="006F4596"/>
    <w:rsid w:val="006F4668"/>
    <w:rsid w:val="006F4910"/>
    <w:rsid w:val="006F4BCC"/>
    <w:rsid w:val="006F4E04"/>
    <w:rsid w:val="006F4E2C"/>
    <w:rsid w:val="006F4F5D"/>
    <w:rsid w:val="006F5232"/>
    <w:rsid w:val="006F5372"/>
    <w:rsid w:val="006F540E"/>
    <w:rsid w:val="006F541D"/>
    <w:rsid w:val="006F54AB"/>
    <w:rsid w:val="006F550D"/>
    <w:rsid w:val="006F553C"/>
    <w:rsid w:val="006F5568"/>
    <w:rsid w:val="006F5604"/>
    <w:rsid w:val="006F5720"/>
    <w:rsid w:val="006F58B0"/>
    <w:rsid w:val="006F597A"/>
    <w:rsid w:val="006F5B1F"/>
    <w:rsid w:val="006F5B70"/>
    <w:rsid w:val="006F5CDF"/>
    <w:rsid w:val="006F5EBB"/>
    <w:rsid w:val="006F6095"/>
    <w:rsid w:val="006F6130"/>
    <w:rsid w:val="006F6179"/>
    <w:rsid w:val="006F61BD"/>
    <w:rsid w:val="006F61E6"/>
    <w:rsid w:val="006F63A5"/>
    <w:rsid w:val="006F6603"/>
    <w:rsid w:val="006F6633"/>
    <w:rsid w:val="006F6B13"/>
    <w:rsid w:val="006F6B9A"/>
    <w:rsid w:val="006F6D24"/>
    <w:rsid w:val="006F6D80"/>
    <w:rsid w:val="006F6EFD"/>
    <w:rsid w:val="006F6F36"/>
    <w:rsid w:val="006F7062"/>
    <w:rsid w:val="006F7094"/>
    <w:rsid w:val="006F713B"/>
    <w:rsid w:val="006F736F"/>
    <w:rsid w:val="006F75EF"/>
    <w:rsid w:val="006F771B"/>
    <w:rsid w:val="006F7894"/>
    <w:rsid w:val="006F7993"/>
    <w:rsid w:val="006F7A01"/>
    <w:rsid w:val="006F7C68"/>
    <w:rsid w:val="006F7CB5"/>
    <w:rsid w:val="006F7F6D"/>
    <w:rsid w:val="0070013B"/>
    <w:rsid w:val="00700222"/>
    <w:rsid w:val="007002B7"/>
    <w:rsid w:val="00700368"/>
    <w:rsid w:val="00700372"/>
    <w:rsid w:val="00700393"/>
    <w:rsid w:val="007005B7"/>
    <w:rsid w:val="007005C4"/>
    <w:rsid w:val="00700681"/>
    <w:rsid w:val="00700890"/>
    <w:rsid w:val="00700950"/>
    <w:rsid w:val="0070099C"/>
    <w:rsid w:val="00700B33"/>
    <w:rsid w:val="00700BB3"/>
    <w:rsid w:val="00700C1B"/>
    <w:rsid w:val="007010AD"/>
    <w:rsid w:val="007010E2"/>
    <w:rsid w:val="00701226"/>
    <w:rsid w:val="007012E8"/>
    <w:rsid w:val="00701320"/>
    <w:rsid w:val="007013EC"/>
    <w:rsid w:val="00701409"/>
    <w:rsid w:val="0070142B"/>
    <w:rsid w:val="00701487"/>
    <w:rsid w:val="007016A2"/>
    <w:rsid w:val="0070173E"/>
    <w:rsid w:val="00701875"/>
    <w:rsid w:val="00701960"/>
    <w:rsid w:val="00701CD3"/>
    <w:rsid w:val="00701CE9"/>
    <w:rsid w:val="00701DD2"/>
    <w:rsid w:val="00701E91"/>
    <w:rsid w:val="00701ED9"/>
    <w:rsid w:val="0070200C"/>
    <w:rsid w:val="00702171"/>
    <w:rsid w:val="00702172"/>
    <w:rsid w:val="00702262"/>
    <w:rsid w:val="00702325"/>
    <w:rsid w:val="0070244F"/>
    <w:rsid w:val="00702558"/>
    <w:rsid w:val="007025BC"/>
    <w:rsid w:val="0070275C"/>
    <w:rsid w:val="0070276E"/>
    <w:rsid w:val="00702885"/>
    <w:rsid w:val="007029AC"/>
    <w:rsid w:val="00702A2A"/>
    <w:rsid w:val="00702A4A"/>
    <w:rsid w:val="00702B38"/>
    <w:rsid w:val="00702BEB"/>
    <w:rsid w:val="00702C51"/>
    <w:rsid w:val="00702CBD"/>
    <w:rsid w:val="00702D47"/>
    <w:rsid w:val="00702E23"/>
    <w:rsid w:val="00702E73"/>
    <w:rsid w:val="00702F8F"/>
    <w:rsid w:val="007031E3"/>
    <w:rsid w:val="007032AE"/>
    <w:rsid w:val="007032E9"/>
    <w:rsid w:val="007032EF"/>
    <w:rsid w:val="00703319"/>
    <w:rsid w:val="00703346"/>
    <w:rsid w:val="00703522"/>
    <w:rsid w:val="007037AC"/>
    <w:rsid w:val="0070388F"/>
    <w:rsid w:val="00703975"/>
    <w:rsid w:val="00703A63"/>
    <w:rsid w:val="00703AD1"/>
    <w:rsid w:val="00703B33"/>
    <w:rsid w:val="00703CB6"/>
    <w:rsid w:val="00703ECA"/>
    <w:rsid w:val="0070412A"/>
    <w:rsid w:val="0070429F"/>
    <w:rsid w:val="007043BB"/>
    <w:rsid w:val="007043BF"/>
    <w:rsid w:val="007045DD"/>
    <w:rsid w:val="007045EB"/>
    <w:rsid w:val="0070472B"/>
    <w:rsid w:val="007047B9"/>
    <w:rsid w:val="00704A30"/>
    <w:rsid w:val="00704AE5"/>
    <w:rsid w:val="00704B5C"/>
    <w:rsid w:val="00704D38"/>
    <w:rsid w:val="00705089"/>
    <w:rsid w:val="007050C8"/>
    <w:rsid w:val="007050DE"/>
    <w:rsid w:val="0070531B"/>
    <w:rsid w:val="0070539E"/>
    <w:rsid w:val="00705711"/>
    <w:rsid w:val="00705928"/>
    <w:rsid w:val="00705B8C"/>
    <w:rsid w:val="00705CB2"/>
    <w:rsid w:val="00705D01"/>
    <w:rsid w:val="00705D94"/>
    <w:rsid w:val="00705DF4"/>
    <w:rsid w:val="00705EF6"/>
    <w:rsid w:val="00705F19"/>
    <w:rsid w:val="00706036"/>
    <w:rsid w:val="00706188"/>
    <w:rsid w:val="007064A3"/>
    <w:rsid w:val="007064BA"/>
    <w:rsid w:val="0070655A"/>
    <w:rsid w:val="007065EA"/>
    <w:rsid w:val="007067E3"/>
    <w:rsid w:val="00706866"/>
    <w:rsid w:val="007068F4"/>
    <w:rsid w:val="0070690E"/>
    <w:rsid w:val="00706B70"/>
    <w:rsid w:val="00706BA2"/>
    <w:rsid w:val="00706C02"/>
    <w:rsid w:val="00706F81"/>
    <w:rsid w:val="00707165"/>
    <w:rsid w:val="0070738A"/>
    <w:rsid w:val="007075C1"/>
    <w:rsid w:val="007079A7"/>
    <w:rsid w:val="007079FC"/>
    <w:rsid w:val="00707DF2"/>
    <w:rsid w:val="00710249"/>
    <w:rsid w:val="0071024C"/>
    <w:rsid w:val="007102D7"/>
    <w:rsid w:val="00710360"/>
    <w:rsid w:val="00710429"/>
    <w:rsid w:val="007104B9"/>
    <w:rsid w:val="0071063B"/>
    <w:rsid w:val="00710938"/>
    <w:rsid w:val="00710AC1"/>
    <w:rsid w:val="00710B7F"/>
    <w:rsid w:val="00710CFE"/>
    <w:rsid w:val="00710EEA"/>
    <w:rsid w:val="00711065"/>
    <w:rsid w:val="0071110D"/>
    <w:rsid w:val="0071126E"/>
    <w:rsid w:val="00711419"/>
    <w:rsid w:val="007114E5"/>
    <w:rsid w:val="00711641"/>
    <w:rsid w:val="0071164C"/>
    <w:rsid w:val="0071166C"/>
    <w:rsid w:val="00711840"/>
    <w:rsid w:val="00711887"/>
    <w:rsid w:val="00711A36"/>
    <w:rsid w:val="00711A4F"/>
    <w:rsid w:val="00711B29"/>
    <w:rsid w:val="00711C2C"/>
    <w:rsid w:val="00711F29"/>
    <w:rsid w:val="00712338"/>
    <w:rsid w:val="0071238D"/>
    <w:rsid w:val="007124F9"/>
    <w:rsid w:val="00712594"/>
    <w:rsid w:val="007125D3"/>
    <w:rsid w:val="00712A3D"/>
    <w:rsid w:val="00712D25"/>
    <w:rsid w:val="00712DB0"/>
    <w:rsid w:val="00712EC4"/>
    <w:rsid w:val="00712FF7"/>
    <w:rsid w:val="00713020"/>
    <w:rsid w:val="00713038"/>
    <w:rsid w:val="0071315F"/>
    <w:rsid w:val="00713369"/>
    <w:rsid w:val="007135FE"/>
    <w:rsid w:val="00713802"/>
    <w:rsid w:val="00713899"/>
    <w:rsid w:val="007138E3"/>
    <w:rsid w:val="00713AE3"/>
    <w:rsid w:val="00713B84"/>
    <w:rsid w:val="00713C86"/>
    <w:rsid w:val="00713DB5"/>
    <w:rsid w:val="00713E8D"/>
    <w:rsid w:val="00714054"/>
    <w:rsid w:val="00714087"/>
    <w:rsid w:val="007140D5"/>
    <w:rsid w:val="007141A6"/>
    <w:rsid w:val="00714682"/>
    <w:rsid w:val="007146D2"/>
    <w:rsid w:val="0071476C"/>
    <w:rsid w:val="0071488C"/>
    <w:rsid w:val="007148D5"/>
    <w:rsid w:val="0071491C"/>
    <w:rsid w:val="007149FF"/>
    <w:rsid w:val="00714A85"/>
    <w:rsid w:val="00714C26"/>
    <w:rsid w:val="00714D85"/>
    <w:rsid w:val="00714E07"/>
    <w:rsid w:val="00714E28"/>
    <w:rsid w:val="00714F72"/>
    <w:rsid w:val="00715078"/>
    <w:rsid w:val="0071511F"/>
    <w:rsid w:val="00715160"/>
    <w:rsid w:val="007151A7"/>
    <w:rsid w:val="0071529C"/>
    <w:rsid w:val="007153F0"/>
    <w:rsid w:val="0071557B"/>
    <w:rsid w:val="00715648"/>
    <w:rsid w:val="007157B3"/>
    <w:rsid w:val="007159A8"/>
    <w:rsid w:val="00715BBA"/>
    <w:rsid w:val="00715CDE"/>
    <w:rsid w:val="00715DFA"/>
    <w:rsid w:val="00715EF6"/>
    <w:rsid w:val="00716056"/>
    <w:rsid w:val="00716147"/>
    <w:rsid w:val="00716267"/>
    <w:rsid w:val="00716413"/>
    <w:rsid w:val="00716618"/>
    <w:rsid w:val="00716666"/>
    <w:rsid w:val="007168BF"/>
    <w:rsid w:val="007168C7"/>
    <w:rsid w:val="00716A25"/>
    <w:rsid w:val="00716AEF"/>
    <w:rsid w:val="00716B9B"/>
    <w:rsid w:val="00716C78"/>
    <w:rsid w:val="00716F04"/>
    <w:rsid w:val="00717051"/>
    <w:rsid w:val="007170DA"/>
    <w:rsid w:val="007172AD"/>
    <w:rsid w:val="00717390"/>
    <w:rsid w:val="00717530"/>
    <w:rsid w:val="00717546"/>
    <w:rsid w:val="0071758F"/>
    <w:rsid w:val="00717624"/>
    <w:rsid w:val="007176E6"/>
    <w:rsid w:val="00717AE9"/>
    <w:rsid w:val="00717AF5"/>
    <w:rsid w:val="00717E5B"/>
    <w:rsid w:val="00717F00"/>
    <w:rsid w:val="00720040"/>
    <w:rsid w:val="00720052"/>
    <w:rsid w:val="0072015D"/>
    <w:rsid w:val="007204CD"/>
    <w:rsid w:val="0072052A"/>
    <w:rsid w:val="0072065F"/>
    <w:rsid w:val="007206F9"/>
    <w:rsid w:val="00720801"/>
    <w:rsid w:val="00720902"/>
    <w:rsid w:val="00720956"/>
    <w:rsid w:val="00720ABD"/>
    <w:rsid w:val="00720B8E"/>
    <w:rsid w:val="00720BE1"/>
    <w:rsid w:val="00720F3C"/>
    <w:rsid w:val="00720FC2"/>
    <w:rsid w:val="00720FE6"/>
    <w:rsid w:val="00721153"/>
    <w:rsid w:val="00721394"/>
    <w:rsid w:val="007214BE"/>
    <w:rsid w:val="0072152C"/>
    <w:rsid w:val="00721793"/>
    <w:rsid w:val="007217DE"/>
    <w:rsid w:val="00721D36"/>
    <w:rsid w:val="00721DBB"/>
    <w:rsid w:val="00721E9B"/>
    <w:rsid w:val="00722119"/>
    <w:rsid w:val="007221C6"/>
    <w:rsid w:val="007221F4"/>
    <w:rsid w:val="0072232F"/>
    <w:rsid w:val="00722409"/>
    <w:rsid w:val="007224EC"/>
    <w:rsid w:val="00722616"/>
    <w:rsid w:val="007226EF"/>
    <w:rsid w:val="00722716"/>
    <w:rsid w:val="0072282F"/>
    <w:rsid w:val="0072295B"/>
    <w:rsid w:val="00722AE6"/>
    <w:rsid w:val="00722B1B"/>
    <w:rsid w:val="00722CAF"/>
    <w:rsid w:val="0072309D"/>
    <w:rsid w:val="007230DE"/>
    <w:rsid w:val="00723313"/>
    <w:rsid w:val="0072337B"/>
    <w:rsid w:val="007233F0"/>
    <w:rsid w:val="007234E3"/>
    <w:rsid w:val="00723519"/>
    <w:rsid w:val="00723554"/>
    <w:rsid w:val="0072358A"/>
    <w:rsid w:val="007235C4"/>
    <w:rsid w:val="00723613"/>
    <w:rsid w:val="00723642"/>
    <w:rsid w:val="00723670"/>
    <w:rsid w:val="00723708"/>
    <w:rsid w:val="00723716"/>
    <w:rsid w:val="00723812"/>
    <w:rsid w:val="007238A7"/>
    <w:rsid w:val="00723952"/>
    <w:rsid w:val="00723AE4"/>
    <w:rsid w:val="00723C1F"/>
    <w:rsid w:val="00723C87"/>
    <w:rsid w:val="00723C89"/>
    <w:rsid w:val="00723F7E"/>
    <w:rsid w:val="0072416F"/>
    <w:rsid w:val="007241F2"/>
    <w:rsid w:val="007243A3"/>
    <w:rsid w:val="007243F4"/>
    <w:rsid w:val="00724410"/>
    <w:rsid w:val="00724561"/>
    <w:rsid w:val="00724752"/>
    <w:rsid w:val="007247AA"/>
    <w:rsid w:val="007247C3"/>
    <w:rsid w:val="00724C45"/>
    <w:rsid w:val="00724E49"/>
    <w:rsid w:val="007250A6"/>
    <w:rsid w:val="0072510E"/>
    <w:rsid w:val="007251BD"/>
    <w:rsid w:val="0072539F"/>
    <w:rsid w:val="007253C3"/>
    <w:rsid w:val="007253E8"/>
    <w:rsid w:val="00725581"/>
    <w:rsid w:val="007255F4"/>
    <w:rsid w:val="007256CC"/>
    <w:rsid w:val="0072574E"/>
    <w:rsid w:val="007257C3"/>
    <w:rsid w:val="0072595D"/>
    <w:rsid w:val="00725A31"/>
    <w:rsid w:val="00725A72"/>
    <w:rsid w:val="00725AE6"/>
    <w:rsid w:val="00725C7F"/>
    <w:rsid w:val="00725CD3"/>
    <w:rsid w:val="00725CFA"/>
    <w:rsid w:val="00725EB4"/>
    <w:rsid w:val="00725EFB"/>
    <w:rsid w:val="00725F57"/>
    <w:rsid w:val="00725FA5"/>
    <w:rsid w:val="00725FC0"/>
    <w:rsid w:val="00726128"/>
    <w:rsid w:val="00726136"/>
    <w:rsid w:val="007262B5"/>
    <w:rsid w:val="00726324"/>
    <w:rsid w:val="00726487"/>
    <w:rsid w:val="007264CA"/>
    <w:rsid w:val="007264F2"/>
    <w:rsid w:val="00726713"/>
    <w:rsid w:val="007269B2"/>
    <w:rsid w:val="00726BDE"/>
    <w:rsid w:val="00726DC0"/>
    <w:rsid w:val="0072700D"/>
    <w:rsid w:val="007270A9"/>
    <w:rsid w:val="007270AC"/>
    <w:rsid w:val="00727518"/>
    <w:rsid w:val="007275DE"/>
    <w:rsid w:val="0072769A"/>
    <w:rsid w:val="0072792E"/>
    <w:rsid w:val="00727A2E"/>
    <w:rsid w:val="00727A8A"/>
    <w:rsid w:val="00727BE1"/>
    <w:rsid w:val="00727C94"/>
    <w:rsid w:val="00727CD2"/>
    <w:rsid w:val="00727EB0"/>
    <w:rsid w:val="00727F7A"/>
    <w:rsid w:val="00727F92"/>
    <w:rsid w:val="00730231"/>
    <w:rsid w:val="0073046D"/>
    <w:rsid w:val="00730646"/>
    <w:rsid w:val="007306C8"/>
    <w:rsid w:val="007308F5"/>
    <w:rsid w:val="00730995"/>
    <w:rsid w:val="00730A2E"/>
    <w:rsid w:val="00730B86"/>
    <w:rsid w:val="00730BBA"/>
    <w:rsid w:val="00730BDC"/>
    <w:rsid w:val="00730C46"/>
    <w:rsid w:val="00730CE4"/>
    <w:rsid w:val="00730D22"/>
    <w:rsid w:val="00730D9D"/>
    <w:rsid w:val="00731236"/>
    <w:rsid w:val="00731248"/>
    <w:rsid w:val="00731304"/>
    <w:rsid w:val="007314C1"/>
    <w:rsid w:val="00731594"/>
    <w:rsid w:val="007317DD"/>
    <w:rsid w:val="0073186C"/>
    <w:rsid w:val="00731B0A"/>
    <w:rsid w:val="00731BF2"/>
    <w:rsid w:val="00731D2F"/>
    <w:rsid w:val="00731D61"/>
    <w:rsid w:val="00731EAE"/>
    <w:rsid w:val="007324A0"/>
    <w:rsid w:val="0073255B"/>
    <w:rsid w:val="0073259D"/>
    <w:rsid w:val="007325C6"/>
    <w:rsid w:val="007327F4"/>
    <w:rsid w:val="007329F0"/>
    <w:rsid w:val="00732D94"/>
    <w:rsid w:val="00732F57"/>
    <w:rsid w:val="00732F7D"/>
    <w:rsid w:val="00732FA5"/>
    <w:rsid w:val="00733073"/>
    <w:rsid w:val="00733221"/>
    <w:rsid w:val="007332B3"/>
    <w:rsid w:val="00733338"/>
    <w:rsid w:val="00733397"/>
    <w:rsid w:val="007333B1"/>
    <w:rsid w:val="0073342A"/>
    <w:rsid w:val="0073345B"/>
    <w:rsid w:val="0073359E"/>
    <w:rsid w:val="0073363A"/>
    <w:rsid w:val="007337BF"/>
    <w:rsid w:val="00733A34"/>
    <w:rsid w:val="00733AD7"/>
    <w:rsid w:val="00733B3C"/>
    <w:rsid w:val="00733B8D"/>
    <w:rsid w:val="00733C2C"/>
    <w:rsid w:val="00733C3F"/>
    <w:rsid w:val="00733D38"/>
    <w:rsid w:val="00733D66"/>
    <w:rsid w:val="00733E92"/>
    <w:rsid w:val="00733F94"/>
    <w:rsid w:val="00734293"/>
    <w:rsid w:val="00734510"/>
    <w:rsid w:val="00734549"/>
    <w:rsid w:val="007345E5"/>
    <w:rsid w:val="007346E7"/>
    <w:rsid w:val="0073482A"/>
    <w:rsid w:val="0073482E"/>
    <w:rsid w:val="00734889"/>
    <w:rsid w:val="00734934"/>
    <w:rsid w:val="007349A6"/>
    <w:rsid w:val="007349B4"/>
    <w:rsid w:val="00734A8B"/>
    <w:rsid w:val="00734B25"/>
    <w:rsid w:val="00734B48"/>
    <w:rsid w:val="00734CC5"/>
    <w:rsid w:val="00734E4A"/>
    <w:rsid w:val="00735033"/>
    <w:rsid w:val="0073507F"/>
    <w:rsid w:val="007350CC"/>
    <w:rsid w:val="0073510B"/>
    <w:rsid w:val="00735130"/>
    <w:rsid w:val="007352ED"/>
    <w:rsid w:val="00735328"/>
    <w:rsid w:val="0073543B"/>
    <w:rsid w:val="007355C9"/>
    <w:rsid w:val="00735655"/>
    <w:rsid w:val="007356FB"/>
    <w:rsid w:val="00735764"/>
    <w:rsid w:val="00735A4A"/>
    <w:rsid w:val="00735AB6"/>
    <w:rsid w:val="00735CA6"/>
    <w:rsid w:val="00735DE6"/>
    <w:rsid w:val="00735E82"/>
    <w:rsid w:val="00735F2F"/>
    <w:rsid w:val="00735F32"/>
    <w:rsid w:val="00736145"/>
    <w:rsid w:val="00736648"/>
    <w:rsid w:val="0073685B"/>
    <w:rsid w:val="00736A97"/>
    <w:rsid w:val="00736BA1"/>
    <w:rsid w:val="00736ECA"/>
    <w:rsid w:val="007370F4"/>
    <w:rsid w:val="007372E2"/>
    <w:rsid w:val="0073730B"/>
    <w:rsid w:val="007373D3"/>
    <w:rsid w:val="0073743D"/>
    <w:rsid w:val="00737634"/>
    <w:rsid w:val="00737668"/>
    <w:rsid w:val="0073770B"/>
    <w:rsid w:val="007377ED"/>
    <w:rsid w:val="007377FE"/>
    <w:rsid w:val="0073789D"/>
    <w:rsid w:val="007378AC"/>
    <w:rsid w:val="007378CA"/>
    <w:rsid w:val="0073797C"/>
    <w:rsid w:val="00737AC3"/>
    <w:rsid w:val="00737B20"/>
    <w:rsid w:val="00737B30"/>
    <w:rsid w:val="00737C5C"/>
    <w:rsid w:val="00737D75"/>
    <w:rsid w:val="00737EBA"/>
    <w:rsid w:val="00737EBC"/>
    <w:rsid w:val="00737F9C"/>
    <w:rsid w:val="00740058"/>
    <w:rsid w:val="00740133"/>
    <w:rsid w:val="007404D7"/>
    <w:rsid w:val="0074068D"/>
    <w:rsid w:val="0074082D"/>
    <w:rsid w:val="007408FB"/>
    <w:rsid w:val="00740905"/>
    <w:rsid w:val="00740978"/>
    <w:rsid w:val="00740980"/>
    <w:rsid w:val="00740991"/>
    <w:rsid w:val="00740C6E"/>
    <w:rsid w:val="00740CBA"/>
    <w:rsid w:val="00740D9A"/>
    <w:rsid w:val="00740F18"/>
    <w:rsid w:val="00741003"/>
    <w:rsid w:val="00741180"/>
    <w:rsid w:val="00741448"/>
    <w:rsid w:val="00741459"/>
    <w:rsid w:val="007414A8"/>
    <w:rsid w:val="0074157E"/>
    <w:rsid w:val="007419C9"/>
    <w:rsid w:val="00741B6F"/>
    <w:rsid w:val="00741C89"/>
    <w:rsid w:val="00741E36"/>
    <w:rsid w:val="00741E99"/>
    <w:rsid w:val="00741EC7"/>
    <w:rsid w:val="00741FB4"/>
    <w:rsid w:val="00742046"/>
    <w:rsid w:val="0074212E"/>
    <w:rsid w:val="007421A9"/>
    <w:rsid w:val="007421AB"/>
    <w:rsid w:val="007421AD"/>
    <w:rsid w:val="007421D4"/>
    <w:rsid w:val="007421E9"/>
    <w:rsid w:val="0074224A"/>
    <w:rsid w:val="007422CE"/>
    <w:rsid w:val="0074234F"/>
    <w:rsid w:val="00742353"/>
    <w:rsid w:val="00742445"/>
    <w:rsid w:val="007425DE"/>
    <w:rsid w:val="00742742"/>
    <w:rsid w:val="0074275E"/>
    <w:rsid w:val="00742AA9"/>
    <w:rsid w:val="00742DA0"/>
    <w:rsid w:val="00742ED4"/>
    <w:rsid w:val="00742EED"/>
    <w:rsid w:val="00743190"/>
    <w:rsid w:val="0074322B"/>
    <w:rsid w:val="00743346"/>
    <w:rsid w:val="00743458"/>
    <w:rsid w:val="00743543"/>
    <w:rsid w:val="0074355E"/>
    <w:rsid w:val="007435A0"/>
    <w:rsid w:val="007435AD"/>
    <w:rsid w:val="00743857"/>
    <w:rsid w:val="00743B2C"/>
    <w:rsid w:val="00743C0B"/>
    <w:rsid w:val="00743E70"/>
    <w:rsid w:val="0074424B"/>
    <w:rsid w:val="00744371"/>
    <w:rsid w:val="00744387"/>
    <w:rsid w:val="007443AD"/>
    <w:rsid w:val="00744604"/>
    <w:rsid w:val="00744673"/>
    <w:rsid w:val="0074475E"/>
    <w:rsid w:val="007447AE"/>
    <w:rsid w:val="007447DA"/>
    <w:rsid w:val="0074487B"/>
    <w:rsid w:val="007449BF"/>
    <w:rsid w:val="00744A32"/>
    <w:rsid w:val="00744A7B"/>
    <w:rsid w:val="00744AB1"/>
    <w:rsid w:val="00744AE0"/>
    <w:rsid w:val="00744C7B"/>
    <w:rsid w:val="00744E39"/>
    <w:rsid w:val="0074501A"/>
    <w:rsid w:val="00745025"/>
    <w:rsid w:val="0074544E"/>
    <w:rsid w:val="00745994"/>
    <w:rsid w:val="00745B05"/>
    <w:rsid w:val="00745F94"/>
    <w:rsid w:val="00746079"/>
    <w:rsid w:val="00746091"/>
    <w:rsid w:val="007460FA"/>
    <w:rsid w:val="00746110"/>
    <w:rsid w:val="0074615B"/>
    <w:rsid w:val="007462A2"/>
    <w:rsid w:val="007463FE"/>
    <w:rsid w:val="00746473"/>
    <w:rsid w:val="007466D3"/>
    <w:rsid w:val="00746706"/>
    <w:rsid w:val="00746843"/>
    <w:rsid w:val="00746A32"/>
    <w:rsid w:val="00746A99"/>
    <w:rsid w:val="00746BC0"/>
    <w:rsid w:val="00746D37"/>
    <w:rsid w:val="00746DA1"/>
    <w:rsid w:val="0074705A"/>
    <w:rsid w:val="0074733F"/>
    <w:rsid w:val="0074744E"/>
    <w:rsid w:val="00747473"/>
    <w:rsid w:val="007476B9"/>
    <w:rsid w:val="007477E5"/>
    <w:rsid w:val="0074794E"/>
    <w:rsid w:val="00747B0B"/>
    <w:rsid w:val="00747C2A"/>
    <w:rsid w:val="00747D74"/>
    <w:rsid w:val="00747DDB"/>
    <w:rsid w:val="00747E84"/>
    <w:rsid w:val="00747E9B"/>
    <w:rsid w:val="0075003F"/>
    <w:rsid w:val="0075007D"/>
    <w:rsid w:val="007500D3"/>
    <w:rsid w:val="00750164"/>
    <w:rsid w:val="007501AF"/>
    <w:rsid w:val="00750230"/>
    <w:rsid w:val="00750361"/>
    <w:rsid w:val="007503B9"/>
    <w:rsid w:val="007504B3"/>
    <w:rsid w:val="007506B5"/>
    <w:rsid w:val="007508AA"/>
    <w:rsid w:val="007509CE"/>
    <w:rsid w:val="00750ADC"/>
    <w:rsid w:val="00750AE6"/>
    <w:rsid w:val="00750B5C"/>
    <w:rsid w:val="00750D99"/>
    <w:rsid w:val="007510B4"/>
    <w:rsid w:val="00751173"/>
    <w:rsid w:val="007511D8"/>
    <w:rsid w:val="0075156B"/>
    <w:rsid w:val="00751955"/>
    <w:rsid w:val="00751B74"/>
    <w:rsid w:val="00751C5B"/>
    <w:rsid w:val="00751C9C"/>
    <w:rsid w:val="00751D47"/>
    <w:rsid w:val="00751FA9"/>
    <w:rsid w:val="00752043"/>
    <w:rsid w:val="00752072"/>
    <w:rsid w:val="00752142"/>
    <w:rsid w:val="0075234F"/>
    <w:rsid w:val="007523F9"/>
    <w:rsid w:val="0075243C"/>
    <w:rsid w:val="00752646"/>
    <w:rsid w:val="0075281A"/>
    <w:rsid w:val="00752AB9"/>
    <w:rsid w:val="00752B9E"/>
    <w:rsid w:val="00752BD5"/>
    <w:rsid w:val="00752D4C"/>
    <w:rsid w:val="00752E5B"/>
    <w:rsid w:val="00752EA8"/>
    <w:rsid w:val="00752EDE"/>
    <w:rsid w:val="00752F50"/>
    <w:rsid w:val="0075306A"/>
    <w:rsid w:val="00753296"/>
    <w:rsid w:val="0075329D"/>
    <w:rsid w:val="0075333F"/>
    <w:rsid w:val="00753574"/>
    <w:rsid w:val="0075357E"/>
    <w:rsid w:val="007535B2"/>
    <w:rsid w:val="007535DA"/>
    <w:rsid w:val="00753753"/>
    <w:rsid w:val="00753822"/>
    <w:rsid w:val="00753AC2"/>
    <w:rsid w:val="00753B01"/>
    <w:rsid w:val="00753B29"/>
    <w:rsid w:val="00753CB5"/>
    <w:rsid w:val="00753DFA"/>
    <w:rsid w:val="00754095"/>
    <w:rsid w:val="00754096"/>
    <w:rsid w:val="00754239"/>
    <w:rsid w:val="00754746"/>
    <w:rsid w:val="0075480C"/>
    <w:rsid w:val="007548B0"/>
    <w:rsid w:val="00754BAB"/>
    <w:rsid w:val="00754EC5"/>
    <w:rsid w:val="00754FFE"/>
    <w:rsid w:val="007550F3"/>
    <w:rsid w:val="0075510C"/>
    <w:rsid w:val="00755141"/>
    <w:rsid w:val="007551ED"/>
    <w:rsid w:val="00755263"/>
    <w:rsid w:val="00755494"/>
    <w:rsid w:val="0075555A"/>
    <w:rsid w:val="00755640"/>
    <w:rsid w:val="007556AF"/>
    <w:rsid w:val="007556FE"/>
    <w:rsid w:val="007557B8"/>
    <w:rsid w:val="0075582A"/>
    <w:rsid w:val="007558D3"/>
    <w:rsid w:val="00755962"/>
    <w:rsid w:val="00755990"/>
    <w:rsid w:val="00755F77"/>
    <w:rsid w:val="0075604F"/>
    <w:rsid w:val="007560CA"/>
    <w:rsid w:val="00756391"/>
    <w:rsid w:val="00756632"/>
    <w:rsid w:val="007566E6"/>
    <w:rsid w:val="0075678D"/>
    <w:rsid w:val="0075684D"/>
    <w:rsid w:val="00756B91"/>
    <w:rsid w:val="00756D96"/>
    <w:rsid w:val="00757037"/>
    <w:rsid w:val="00757149"/>
    <w:rsid w:val="0075716F"/>
    <w:rsid w:val="00757389"/>
    <w:rsid w:val="007573E8"/>
    <w:rsid w:val="0075765E"/>
    <w:rsid w:val="0075768E"/>
    <w:rsid w:val="007577DB"/>
    <w:rsid w:val="00757A68"/>
    <w:rsid w:val="00757B05"/>
    <w:rsid w:val="00757E6E"/>
    <w:rsid w:val="00757E90"/>
    <w:rsid w:val="0076005F"/>
    <w:rsid w:val="0076020D"/>
    <w:rsid w:val="00760283"/>
    <w:rsid w:val="007606BD"/>
    <w:rsid w:val="007607AC"/>
    <w:rsid w:val="00760838"/>
    <w:rsid w:val="00760897"/>
    <w:rsid w:val="00760BC6"/>
    <w:rsid w:val="00760C4E"/>
    <w:rsid w:val="00760D25"/>
    <w:rsid w:val="00760F9E"/>
    <w:rsid w:val="0076105C"/>
    <w:rsid w:val="00761435"/>
    <w:rsid w:val="0076145A"/>
    <w:rsid w:val="0076169A"/>
    <w:rsid w:val="007616E6"/>
    <w:rsid w:val="00761723"/>
    <w:rsid w:val="00761923"/>
    <w:rsid w:val="00761973"/>
    <w:rsid w:val="00761A6A"/>
    <w:rsid w:val="00761A6C"/>
    <w:rsid w:val="00761C01"/>
    <w:rsid w:val="0076210D"/>
    <w:rsid w:val="00762286"/>
    <w:rsid w:val="007622E9"/>
    <w:rsid w:val="007623B5"/>
    <w:rsid w:val="0076257E"/>
    <w:rsid w:val="0076265F"/>
    <w:rsid w:val="007627BC"/>
    <w:rsid w:val="007627BE"/>
    <w:rsid w:val="007629E5"/>
    <w:rsid w:val="00762CB3"/>
    <w:rsid w:val="00762E77"/>
    <w:rsid w:val="00762EAF"/>
    <w:rsid w:val="00762FEF"/>
    <w:rsid w:val="0076311E"/>
    <w:rsid w:val="0076324C"/>
    <w:rsid w:val="0076336E"/>
    <w:rsid w:val="00763632"/>
    <w:rsid w:val="00763755"/>
    <w:rsid w:val="0076396D"/>
    <w:rsid w:val="00763AA3"/>
    <w:rsid w:val="00763B01"/>
    <w:rsid w:val="00763B5A"/>
    <w:rsid w:val="00763C51"/>
    <w:rsid w:val="00763CB3"/>
    <w:rsid w:val="00763CE6"/>
    <w:rsid w:val="00763F25"/>
    <w:rsid w:val="00764031"/>
    <w:rsid w:val="0076404C"/>
    <w:rsid w:val="00764156"/>
    <w:rsid w:val="007641C5"/>
    <w:rsid w:val="007643DB"/>
    <w:rsid w:val="007643E3"/>
    <w:rsid w:val="0076451A"/>
    <w:rsid w:val="00764665"/>
    <w:rsid w:val="007647C8"/>
    <w:rsid w:val="007648FB"/>
    <w:rsid w:val="007649BB"/>
    <w:rsid w:val="00764D6C"/>
    <w:rsid w:val="00764F03"/>
    <w:rsid w:val="0076500D"/>
    <w:rsid w:val="007652B7"/>
    <w:rsid w:val="007659B2"/>
    <w:rsid w:val="007659D7"/>
    <w:rsid w:val="00765A11"/>
    <w:rsid w:val="00765AE2"/>
    <w:rsid w:val="00765B1A"/>
    <w:rsid w:val="00765B3F"/>
    <w:rsid w:val="00765CBB"/>
    <w:rsid w:val="00765CE1"/>
    <w:rsid w:val="00765D91"/>
    <w:rsid w:val="00765DC1"/>
    <w:rsid w:val="00765F37"/>
    <w:rsid w:val="007661C9"/>
    <w:rsid w:val="007661DF"/>
    <w:rsid w:val="00766217"/>
    <w:rsid w:val="007665A6"/>
    <w:rsid w:val="00766690"/>
    <w:rsid w:val="007666BA"/>
    <w:rsid w:val="007666FF"/>
    <w:rsid w:val="007667EB"/>
    <w:rsid w:val="007669A5"/>
    <w:rsid w:val="007669DF"/>
    <w:rsid w:val="00766A2E"/>
    <w:rsid w:val="00766B8E"/>
    <w:rsid w:val="00766BB6"/>
    <w:rsid w:val="00766C61"/>
    <w:rsid w:val="00766D13"/>
    <w:rsid w:val="00767333"/>
    <w:rsid w:val="007674C9"/>
    <w:rsid w:val="00767817"/>
    <w:rsid w:val="00767878"/>
    <w:rsid w:val="00767899"/>
    <w:rsid w:val="00767991"/>
    <w:rsid w:val="00767AD6"/>
    <w:rsid w:val="00767D00"/>
    <w:rsid w:val="00767D5B"/>
    <w:rsid w:val="00767E1E"/>
    <w:rsid w:val="00767E41"/>
    <w:rsid w:val="00767E5F"/>
    <w:rsid w:val="007700F3"/>
    <w:rsid w:val="007701B7"/>
    <w:rsid w:val="00770268"/>
    <w:rsid w:val="007705B8"/>
    <w:rsid w:val="007708E5"/>
    <w:rsid w:val="00770910"/>
    <w:rsid w:val="00770A1F"/>
    <w:rsid w:val="00770A43"/>
    <w:rsid w:val="00770AE3"/>
    <w:rsid w:val="00770BD5"/>
    <w:rsid w:val="00770CA0"/>
    <w:rsid w:val="00770D44"/>
    <w:rsid w:val="00770F54"/>
    <w:rsid w:val="00771368"/>
    <w:rsid w:val="0077138E"/>
    <w:rsid w:val="007713C4"/>
    <w:rsid w:val="007715B0"/>
    <w:rsid w:val="007715C7"/>
    <w:rsid w:val="00771698"/>
    <w:rsid w:val="0077171E"/>
    <w:rsid w:val="007717D6"/>
    <w:rsid w:val="007717E8"/>
    <w:rsid w:val="00771891"/>
    <w:rsid w:val="0077196D"/>
    <w:rsid w:val="00771AF7"/>
    <w:rsid w:val="00771B7A"/>
    <w:rsid w:val="00771C87"/>
    <w:rsid w:val="00771DFF"/>
    <w:rsid w:val="0077202B"/>
    <w:rsid w:val="00772115"/>
    <w:rsid w:val="0077217C"/>
    <w:rsid w:val="0077227A"/>
    <w:rsid w:val="00772448"/>
    <w:rsid w:val="007724DD"/>
    <w:rsid w:val="007726F7"/>
    <w:rsid w:val="007727FB"/>
    <w:rsid w:val="00772822"/>
    <w:rsid w:val="00772841"/>
    <w:rsid w:val="0077298B"/>
    <w:rsid w:val="00772AA8"/>
    <w:rsid w:val="00772B64"/>
    <w:rsid w:val="00772C25"/>
    <w:rsid w:val="00772D27"/>
    <w:rsid w:val="00772E99"/>
    <w:rsid w:val="00772F7F"/>
    <w:rsid w:val="00773009"/>
    <w:rsid w:val="0077305C"/>
    <w:rsid w:val="007731FD"/>
    <w:rsid w:val="00773204"/>
    <w:rsid w:val="0077321B"/>
    <w:rsid w:val="007732B4"/>
    <w:rsid w:val="00773367"/>
    <w:rsid w:val="00773962"/>
    <w:rsid w:val="00773A65"/>
    <w:rsid w:val="00773E2E"/>
    <w:rsid w:val="00773F4B"/>
    <w:rsid w:val="00773FC3"/>
    <w:rsid w:val="0077405F"/>
    <w:rsid w:val="00774070"/>
    <w:rsid w:val="0077416A"/>
    <w:rsid w:val="007744A8"/>
    <w:rsid w:val="007744EC"/>
    <w:rsid w:val="007745C0"/>
    <w:rsid w:val="0077472D"/>
    <w:rsid w:val="00774780"/>
    <w:rsid w:val="0077484B"/>
    <w:rsid w:val="0077496C"/>
    <w:rsid w:val="00774ABB"/>
    <w:rsid w:val="00774C12"/>
    <w:rsid w:val="00774CBD"/>
    <w:rsid w:val="00774E21"/>
    <w:rsid w:val="00774E91"/>
    <w:rsid w:val="00774ED5"/>
    <w:rsid w:val="00774F7F"/>
    <w:rsid w:val="00774F9A"/>
    <w:rsid w:val="00774FED"/>
    <w:rsid w:val="00775000"/>
    <w:rsid w:val="007750C5"/>
    <w:rsid w:val="007753F4"/>
    <w:rsid w:val="00775529"/>
    <w:rsid w:val="00775770"/>
    <w:rsid w:val="0077583A"/>
    <w:rsid w:val="0077592F"/>
    <w:rsid w:val="00775985"/>
    <w:rsid w:val="00775AEF"/>
    <w:rsid w:val="00775BBA"/>
    <w:rsid w:val="00775CE9"/>
    <w:rsid w:val="00775DAE"/>
    <w:rsid w:val="00775F4F"/>
    <w:rsid w:val="00776164"/>
    <w:rsid w:val="007761CE"/>
    <w:rsid w:val="007761F1"/>
    <w:rsid w:val="007762CE"/>
    <w:rsid w:val="007762F8"/>
    <w:rsid w:val="007763CF"/>
    <w:rsid w:val="00776526"/>
    <w:rsid w:val="007767E7"/>
    <w:rsid w:val="0077686B"/>
    <w:rsid w:val="007768BE"/>
    <w:rsid w:val="007769EE"/>
    <w:rsid w:val="00776A29"/>
    <w:rsid w:val="00776A53"/>
    <w:rsid w:val="00776A8F"/>
    <w:rsid w:val="00776C34"/>
    <w:rsid w:val="00776DB9"/>
    <w:rsid w:val="00776F13"/>
    <w:rsid w:val="00776F9F"/>
    <w:rsid w:val="00777335"/>
    <w:rsid w:val="00777522"/>
    <w:rsid w:val="00777610"/>
    <w:rsid w:val="007778EC"/>
    <w:rsid w:val="00777A00"/>
    <w:rsid w:val="00777B2D"/>
    <w:rsid w:val="00777BD5"/>
    <w:rsid w:val="0078010D"/>
    <w:rsid w:val="0078016C"/>
    <w:rsid w:val="007801F9"/>
    <w:rsid w:val="007803BE"/>
    <w:rsid w:val="007806A2"/>
    <w:rsid w:val="0078085B"/>
    <w:rsid w:val="0078092A"/>
    <w:rsid w:val="00780A42"/>
    <w:rsid w:val="00780A5C"/>
    <w:rsid w:val="00780A9B"/>
    <w:rsid w:val="00780BE2"/>
    <w:rsid w:val="00780FBB"/>
    <w:rsid w:val="00781057"/>
    <w:rsid w:val="007810E9"/>
    <w:rsid w:val="007811FB"/>
    <w:rsid w:val="007816AD"/>
    <w:rsid w:val="007816DF"/>
    <w:rsid w:val="00781AF8"/>
    <w:rsid w:val="00781CA8"/>
    <w:rsid w:val="00781FA2"/>
    <w:rsid w:val="00781FF0"/>
    <w:rsid w:val="00782059"/>
    <w:rsid w:val="007820E9"/>
    <w:rsid w:val="007821CC"/>
    <w:rsid w:val="007821EB"/>
    <w:rsid w:val="00782244"/>
    <w:rsid w:val="00782258"/>
    <w:rsid w:val="00782272"/>
    <w:rsid w:val="007822C3"/>
    <w:rsid w:val="0078239B"/>
    <w:rsid w:val="0078243D"/>
    <w:rsid w:val="0078245A"/>
    <w:rsid w:val="0078276A"/>
    <w:rsid w:val="00782793"/>
    <w:rsid w:val="00782981"/>
    <w:rsid w:val="007829C8"/>
    <w:rsid w:val="00782B5D"/>
    <w:rsid w:val="00782BFE"/>
    <w:rsid w:val="00782DA0"/>
    <w:rsid w:val="00782E7C"/>
    <w:rsid w:val="00782F2B"/>
    <w:rsid w:val="00783027"/>
    <w:rsid w:val="007830DC"/>
    <w:rsid w:val="0078325F"/>
    <w:rsid w:val="00783732"/>
    <w:rsid w:val="0078380B"/>
    <w:rsid w:val="00783CC9"/>
    <w:rsid w:val="00783D5E"/>
    <w:rsid w:val="00783E7D"/>
    <w:rsid w:val="00783EBC"/>
    <w:rsid w:val="00783EC8"/>
    <w:rsid w:val="00783FC2"/>
    <w:rsid w:val="0078417F"/>
    <w:rsid w:val="00784227"/>
    <w:rsid w:val="0078428B"/>
    <w:rsid w:val="0078428D"/>
    <w:rsid w:val="00784312"/>
    <w:rsid w:val="007843F2"/>
    <w:rsid w:val="00784409"/>
    <w:rsid w:val="00784454"/>
    <w:rsid w:val="007845E4"/>
    <w:rsid w:val="0078462A"/>
    <w:rsid w:val="0078468D"/>
    <w:rsid w:val="007846B0"/>
    <w:rsid w:val="007846FA"/>
    <w:rsid w:val="00784844"/>
    <w:rsid w:val="0078494F"/>
    <w:rsid w:val="0078497D"/>
    <w:rsid w:val="00784A4B"/>
    <w:rsid w:val="00784AD9"/>
    <w:rsid w:val="00784ADA"/>
    <w:rsid w:val="00784B00"/>
    <w:rsid w:val="00784C55"/>
    <w:rsid w:val="00784D16"/>
    <w:rsid w:val="00785149"/>
    <w:rsid w:val="007851C6"/>
    <w:rsid w:val="0078537B"/>
    <w:rsid w:val="0078557E"/>
    <w:rsid w:val="00785648"/>
    <w:rsid w:val="0078578A"/>
    <w:rsid w:val="00785793"/>
    <w:rsid w:val="0078585B"/>
    <w:rsid w:val="00785929"/>
    <w:rsid w:val="00785A9F"/>
    <w:rsid w:val="00785B41"/>
    <w:rsid w:val="00785BB6"/>
    <w:rsid w:val="00785E2C"/>
    <w:rsid w:val="00785E94"/>
    <w:rsid w:val="00786065"/>
    <w:rsid w:val="00786156"/>
    <w:rsid w:val="007862FA"/>
    <w:rsid w:val="0078630E"/>
    <w:rsid w:val="00786713"/>
    <w:rsid w:val="00786733"/>
    <w:rsid w:val="0078677B"/>
    <w:rsid w:val="0078683C"/>
    <w:rsid w:val="00786926"/>
    <w:rsid w:val="00786F2F"/>
    <w:rsid w:val="00786F59"/>
    <w:rsid w:val="00786F68"/>
    <w:rsid w:val="00786FD1"/>
    <w:rsid w:val="007870D3"/>
    <w:rsid w:val="0078710C"/>
    <w:rsid w:val="00787117"/>
    <w:rsid w:val="00787153"/>
    <w:rsid w:val="0078739D"/>
    <w:rsid w:val="007873C2"/>
    <w:rsid w:val="00787880"/>
    <w:rsid w:val="00787C07"/>
    <w:rsid w:val="00787CC9"/>
    <w:rsid w:val="00787D0B"/>
    <w:rsid w:val="00787D1A"/>
    <w:rsid w:val="00790033"/>
    <w:rsid w:val="007903D6"/>
    <w:rsid w:val="00790732"/>
    <w:rsid w:val="0079079D"/>
    <w:rsid w:val="007907DC"/>
    <w:rsid w:val="007908B7"/>
    <w:rsid w:val="007909D1"/>
    <w:rsid w:val="00790BB9"/>
    <w:rsid w:val="00790E34"/>
    <w:rsid w:val="00790E87"/>
    <w:rsid w:val="00790EA1"/>
    <w:rsid w:val="00790F0A"/>
    <w:rsid w:val="0079101B"/>
    <w:rsid w:val="00791126"/>
    <w:rsid w:val="00791202"/>
    <w:rsid w:val="00791253"/>
    <w:rsid w:val="00791352"/>
    <w:rsid w:val="00791364"/>
    <w:rsid w:val="007914F3"/>
    <w:rsid w:val="00791593"/>
    <w:rsid w:val="0079161C"/>
    <w:rsid w:val="0079171A"/>
    <w:rsid w:val="00791845"/>
    <w:rsid w:val="0079197A"/>
    <w:rsid w:val="00791B0D"/>
    <w:rsid w:val="0079216D"/>
    <w:rsid w:val="007921F1"/>
    <w:rsid w:val="007925DF"/>
    <w:rsid w:val="0079265C"/>
    <w:rsid w:val="00792717"/>
    <w:rsid w:val="007929A1"/>
    <w:rsid w:val="00792A00"/>
    <w:rsid w:val="00792A57"/>
    <w:rsid w:val="00792C00"/>
    <w:rsid w:val="00792D2A"/>
    <w:rsid w:val="00792DD7"/>
    <w:rsid w:val="00793118"/>
    <w:rsid w:val="00793226"/>
    <w:rsid w:val="00793408"/>
    <w:rsid w:val="007934F5"/>
    <w:rsid w:val="00793A00"/>
    <w:rsid w:val="00793AAB"/>
    <w:rsid w:val="00793B4E"/>
    <w:rsid w:val="00793B6D"/>
    <w:rsid w:val="00793C08"/>
    <w:rsid w:val="00793CD8"/>
    <w:rsid w:val="00793E65"/>
    <w:rsid w:val="00793F48"/>
    <w:rsid w:val="00793FB2"/>
    <w:rsid w:val="00793FCB"/>
    <w:rsid w:val="007941E6"/>
    <w:rsid w:val="00794413"/>
    <w:rsid w:val="0079460D"/>
    <w:rsid w:val="0079468B"/>
    <w:rsid w:val="00794BB8"/>
    <w:rsid w:val="00794BDF"/>
    <w:rsid w:val="00794C52"/>
    <w:rsid w:val="00795360"/>
    <w:rsid w:val="00795519"/>
    <w:rsid w:val="007956C0"/>
    <w:rsid w:val="00795834"/>
    <w:rsid w:val="00795B28"/>
    <w:rsid w:val="00795BEA"/>
    <w:rsid w:val="00795C9E"/>
    <w:rsid w:val="00795FA2"/>
    <w:rsid w:val="00795FE7"/>
    <w:rsid w:val="00796191"/>
    <w:rsid w:val="0079629D"/>
    <w:rsid w:val="0079630B"/>
    <w:rsid w:val="0079646E"/>
    <w:rsid w:val="00796492"/>
    <w:rsid w:val="0079685E"/>
    <w:rsid w:val="00796930"/>
    <w:rsid w:val="00796AA5"/>
    <w:rsid w:val="00796B14"/>
    <w:rsid w:val="00796B87"/>
    <w:rsid w:val="00796DB8"/>
    <w:rsid w:val="00796EAF"/>
    <w:rsid w:val="00796FAB"/>
    <w:rsid w:val="007970A9"/>
    <w:rsid w:val="007970C0"/>
    <w:rsid w:val="0079713E"/>
    <w:rsid w:val="007972BB"/>
    <w:rsid w:val="00797347"/>
    <w:rsid w:val="00797428"/>
    <w:rsid w:val="007975B5"/>
    <w:rsid w:val="0079784C"/>
    <w:rsid w:val="007978AE"/>
    <w:rsid w:val="00797A29"/>
    <w:rsid w:val="00797A3B"/>
    <w:rsid w:val="007A01C9"/>
    <w:rsid w:val="007A04C2"/>
    <w:rsid w:val="007A064F"/>
    <w:rsid w:val="007A0770"/>
    <w:rsid w:val="007A08AA"/>
    <w:rsid w:val="007A0A12"/>
    <w:rsid w:val="007A0B56"/>
    <w:rsid w:val="007A0B5E"/>
    <w:rsid w:val="007A0C48"/>
    <w:rsid w:val="007A0CCC"/>
    <w:rsid w:val="007A0DE7"/>
    <w:rsid w:val="007A0F26"/>
    <w:rsid w:val="007A0F99"/>
    <w:rsid w:val="007A0FE7"/>
    <w:rsid w:val="007A132D"/>
    <w:rsid w:val="007A1345"/>
    <w:rsid w:val="007A16CB"/>
    <w:rsid w:val="007A1D6B"/>
    <w:rsid w:val="007A1DD9"/>
    <w:rsid w:val="007A1DF4"/>
    <w:rsid w:val="007A1FC9"/>
    <w:rsid w:val="007A20D8"/>
    <w:rsid w:val="007A2103"/>
    <w:rsid w:val="007A22F0"/>
    <w:rsid w:val="007A23E1"/>
    <w:rsid w:val="007A25E7"/>
    <w:rsid w:val="007A2835"/>
    <w:rsid w:val="007A2DB8"/>
    <w:rsid w:val="007A2DDB"/>
    <w:rsid w:val="007A2E3B"/>
    <w:rsid w:val="007A344B"/>
    <w:rsid w:val="007A38B1"/>
    <w:rsid w:val="007A3999"/>
    <w:rsid w:val="007A3A3D"/>
    <w:rsid w:val="007A3A83"/>
    <w:rsid w:val="007A3C61"/>
    <w:rsid w:val="007A3E00"/>
    <w:rsid w:val="007A3E02"/>
    <w:rsid w:val="007A3E4D"/>
    <w:rsid w:val="007A3E9D"/>
    <w:rsid w:val="007A4017"/>
    <w:rsid w:val="007A401D"/>
    <w:rsid w:val="007A408C"/>
    <w:rsid w:val="007A416D"/>
    <w:rsid w:val="007A437B"/>
    <w:rsid w:val="007A48BF"/>
    <w:rsid w:val="007A49C6"/>
    <w:rsid w:val="007A4A2A"/>
    <w:rsid w:val="007A4A70"/>
    <w:rsid w:val="007A4AD7"/>
    <w:rsid w:val="007A4C33"/>
    <w:rsid w:val="007A4DF6"/>
    <w:rsid w:val="007A51D9"/>
    <w:rsid w:val="007A5218"/>
    <w:rsid w:val="007A54C5"/>
    <w:rsid w:val="007A5546"/>
    <w:rsid w:val="007A55E4"/>
    <w:rsid w:val="007A5813"/>
    <w:rsid w:val="007A59CD"/>
    <w:rsid w:val="007A5AC6"/>
    <w:rsid w:val="007A5B66"/>
    <w:rsid w:val="007A5D67"/>
    <w:rsid w:val="007A5F45"/>
    <w:rsid w:val="007A5F60"/>
    <w:rsid w:val="007A5FC2"/>
    <w:rsid w:val="007A6190"/>
    <w:rsid w:val="007A61E6"/>
    <w:rsid w:val="007A62EA"/>
    <w:rsid w:val="007A63E6"/>
    <w:rsid w:val="007A6769"/>
    <w:rsid w:val="007A68A1"/>
    <w:rsid w:val="007A69E1"/>
    <w:rsid w:val="007A6AFD"/>
    <w:rsid w:val="007A6CB8"/>
    <w:rsid w:val="007A6CC1"/>
    <w:rsid w:val="007A6DD0"/>
    <w:rsid w:val="007A6FFC"/>
    <w:rsid w:val="007A7081"/>
    <w:rsid w:val="007A709D"/>
    <w:rsid w:val="007A70BA"/>
    <w:rsid w:val="007A7227"/>
    <w:rsid w:val="007A7426"/>
    <w:rsid w:val="007A7463"/>
    <w:rsid w:val="007A74A1"/>
    <w:rsid w:val="007A74A3"/>
    <w:rsid w:val="007A74CB"/>
    <w:rsid w:val="007A75B4"/>
    <w:rsid w:val="007A780D"/>
    <w:rsid w:val="007A78AC"/>
    <w:rsid w:val="007A79C6"/>
    <w:rsid w:val="007A7AEF"/>
    <w:rsid w:val="007A7B04"/>
    <w:rsid w:val="007A7CBA"/>
    <w:rsid w:val="007A7EC1"/>
    <w:rsid w:val="007A7F47"/>
    <w:rsid w:val="007B008A"/>
    <w:rsid w:val="007B0106"/>
    <w:rsid w:val="007B014B"/>
    <w:rsid w:val="007B0429"/>
    <w:rsid w:val="007B0606"/>
    <w:rsid w:val="007B08FC"/>
    <w:rsid w:val="007B09A0"/>
    <w:rsid w:val="007B09BF"/>
    <w:rsid w:val="007B0AB1"/>
    <w:rsid w:val="007B0BE0"/>
    <w:rsid w:val="007B0BE4"/>
    <w:rsid w:val="007B0D68"/>
    <w:rsid w:val="007B0DDC"/>
    <w:rsid w:val="007B0E26"/>
    <w:rsid w:val="007B0E84"/>
    <w:rsid w:val="007B0E85"/>
    <w:rsid w:val="007B0F33"/>
    <w:rsid w:val="007B1364"/>
    <w:rsid w:val="007B1371"/>
    <w:rsid w:val="007B1437"/>
    <w:rsid w:val="007B1663"/>
    <w:rsid w:val="007B183D"/>
    <w:rsid w:val="007B1883"/>
    <w:rsid w:val="007B18AD"/>
    <w:rsid w:val="007B1B69"/>
    <w:rsid w:val="007B1E05"/>
    <w:rsid w:val="007B1EFA"/>
    <w:rsid w:val="007B1F19"/>
    <w:rsid w:val="007B1FEE"/>
    <w:rsid w:val="007B209A"/>
    <w:rsid w:val="007B23FB"/>
    <w:rsid w:val="007B2405"/>
    <w:rsid w:val="007B251D"/>
    <w:rsid w:val="007B2634"/>
    <w:rsid w:val="007B2654"/>
    <w:rsid w:val="007B2773"/>
    <w:rsid w:val="007B280C"/>
    <w:rsid w:val="007B2883"/>
    <w:rsid w:val="007B28FB"/>
    <w:rsid w:val="007B2A75"/>
    <w:rsid w:val="007B2A7F"/>
    <w:rsid w:val="007B2B1F"/>
    <w:rsid w:val="007B2CF5"/>
    <w:rsid w:val="007B2D5D"/>
    <w:rsid w:val="007B2EE1"/>
    <w:rsid w:val="007B31DB"/>
    <w:rsid w:val="007B31E5"/>
    <w:rsid w:val="007B3324"/>
    <w:rsid w:val="007B33F3"/>
    <w:rsid w:val="007B34A5"/>
    <w:rsid w:val="007B3533"/>
    <w:rsid w:val="007B37E9"/>
    <w:rsid w:val="007B3950"/>
    <w:rsid w:val="007B3992"/>
    <w:rsid w:val="007B3C43"/>
    <w:rsid w:val="007B3CB6"/>
    <w:rsid w:val="007B3F73"/>
    <w:rsid w:val="007B41A1"/>
    <w:rsid w:val="007B4342"/>
    <w:rsid w:val="007B436A"/>
    <w:rsid w:val="007B438E"/>
    <w:rsid w:val="007B454F"/>
    <w:rsid w:val="007B45E7"/>
    <w:rsid w:val="007B4675"/>
    <w:rsid w:val="007B467F"/>
    <w:rsid w:val="007B469F"/>
    <w:rsid w:val="007B46AF"/>
    <w:rsid w:val="007B499B"/>
    <w:rsid w:val="007B49A9"/>
    <w:rsid w:val="007B4C05"/>
    <w:rsid w:val="007B4E4D"/>
    <w:rsid w:val="007B4F3F"/>
    <w:rsid w:val="007B4F58"/>
    <w:rsid w:val="007B5187"/>
    <w:rsid w:val="007B528D"/>
    <w:rsid w:val="007B5458"/>
    <w:rsid w:val="007B5461"/>
    <w:rsid w:val="007B5493"/>
    <w:rsid w:val="007B54AF"/>
    <w:rsid w:val="007B55AC"/>
    <w:rsid w:val="007B56DA"/>
    <w:rsid w:val="007B56F5"/>
    <w:rsid w:val="007B5718"/>
    <w:rsid w:val="007B5A1A"/>
    <w:rsid w:val="007B5A84"/>
    <w:rsid w:val="007B5B2E"/>
    <w:rsid w:val="007B5BB8"/>
    <w:rsid w:val="007B5C99"/>
    <w:rsid w:val="007B5E75"/>
    <w:rsid w:val="007B5FE0"/>
    <w:rsid w:val="007B5FE8"/>
    <w:rsid w:val="007B60A1"/>
    <w:rsid w:val="007B60D3"/>
    <w:rsid w:val="007B60FF"/>
    <w:rsid w:val="007B610F"/>
    <w:rsid w:val="007B631E"/>
    <w:rsid w:val="007B63CA"/>
    <w:rsid w:val="007B645C"/>
    <w:rsid w:val="007B66E8"/>
    <w:rsid w:val="007B6A34"/>
    <w:rsid w:val="007B6C06"/>
    <w:rsid w:val="007B6D3B"/>
    <w:rsid w:val="007B6F00"/>
    <w:rsid w:val="007B6FA4"/>
    <w:rsid w:val="007B71D5"/>
    <w:rsid w:val="007B733C"/>
    <w:rsid w:val="007B73AD"/>
    <w:rsid w:val="007B7410"/>
    <w:rsid w:val="007B7438"/>
    <w:rsid w:val="007B756B"/>
    <w:rsid w:val="007B75A7"/>
    <w:rsid w:val="007B75DC"/>
    <w:rsid w:val="007B7722"/>
    <w:rsid w:val="007B77D1"/>
    <w:rsid w:val="007B78DA"/>
    <w:rsid w:val="007B7A52"/>
    <w:rsid w:val="007B7D25"/>
    <w:rsid w:val="007B7E52"/>
    <w:rsid w:val="007B7FB1"/>
    <w:rsid w:val="007C017C"/>
    <w:rsid w:val="007C0298"/>
    <w:rsid w:val="007C03BF"/>
    <w:rsid w:val="007C061F"/>
    <w:rsid w:val="007C07C7"/>
    <w:rsid w:val="007C0949"/>
    <w:rsid w:val="007C0A1F"/>
    <w:rsid w:val="007C0AC9"/>
    <w:rsid w:val="007C0AFF"/>
    <w:rsid w:val="007C0B2D"/>
    <w:rsid w:val="007C0DF9"/>
    <w:rsid w:val="007C0E27"/>
    <w:rsid w:val="007C0EEE"/>
    <w:rsid w:val="007C1020"/>
    <w:rsid w:val="007C10FE"/>
    <w:rsid w:val="007C1262"/>
    <w:rsid w:val="007C1396"/>
    <w:rsid w:val="007C139F"/>
    <w:rsid w:val="007C1439"/>
    <w:rsid w:val="007C14F4"/>
    <w:rsid w:val="007C157F"/>
    <w:rsid w:val="007C1791"/>
    <w:rsid w:val="007C1950"/>
    <w:rsid w:val="007C1CD9"/>
    <w:rsid w:val="007C1D80"/>
    <w:rsid w:val="007C1EA2"/>
    <w:rsid w:val="007C1EF2"/>
    <w:rsid w:val="007C1F1C"/>
    <w:rsid w:val="007C1F5E"/>
    <w:rsid w:val="007C1F89"/>
    <w:rsid w:val="007C2178"/>
    <w:rsid w:val="007C2437"/>
    <w:rsid w:val="007C24CE"/>
    <w:rsid w:val="007C25D3"/>
    <w:rsid w:val="007C2675"/>
    <w:rsid w:val="007C2765"/>
    <w:rsid w:val="007C284C"/>
    <w:rsid w:val="007C28AB"/>
    <w:rsid w:val="007C28DC"/>
    <w:rsid w:val="007C2A69"/>
    <w:rsid w:val="007C2A76"/>
    <w:rsid w:val="007C2BC6"/>
    <w:rsid w:val="007C2C43"/>
    <w:rsid w:val="007C2CE1"/>
    <w:rsid w:val="007C2D78"/>
    <w:rsid w:val="007C2DCC"/>
    <w:rsid w:val="007C2EEF"/>
    <w:rsid w:val="007C2F8C"/>
    <w:rsid w:val="007C31FF"/>
    <w:rsid w:val="007C32EF"/>
    <w:rsid w:val="007C3308"/>
    <w:rsid w:val="007C3399"/>
    <w:rsid w:val="007C348B"/>
    <w:rsid w:val="007C34A5"/>
    <w:rsid w:val="007C361D"/>
    <w:rsid w:val="007C3776"/>
    <w:rsid w:val="007C39D6"/>
    <w:rsid w:val="007C3AF7"/>
    <w:rsid w:val="007C3E16"/>
    <w:rsid w:val="007C4087"/>
    <w:rsid w:val="007C408F"/>
    <w:rsid w:val="007C40A6"/>
    <w:rsid w:val="007C436B"/>
    <w:rsid w:val="007C4493"/>
    <w:rsid w:val="007C4697"/>
    <w:rsid w:val="007C4705"/>
    <w:rsid w:val="007C47BA"/>
    <w:rsid w:val="007C4824"/>
    <w:rsid w:val="007C4863"/>
    <w:rsid w:val="007C49CD"/>
    <w:rsid w:val="007C4B84"/>
    <w:rsid w:val="007C4D07"/>
    <w:rsid w:val="007C4E8B"/>
    <w:rsid w:val="007C4F72"/>
    <w:rsid w:val="007C4FED"/>
    <w:rsid w:val="007C509F"/>
    <w:rsid w:val="007C5276"/>
    <w:rsid w:val="007C5291"/>
    <w:rsid w:val="007C52A6"/>
    <w:rsid w:val="007C56CE"/>
    <w:rsid w:val="007C578B"/>
    <w:rsid w:val="007C5874"/>
    <w:rsid w:val="007C5A06"/>
    <w:rsid w:val="007C5ACC"/>
    <w:rsid w:val="007C5B6B"/>
    <w:rsid w:val="007C5CE4"/>
    <w:rsid w:val="007C5D41"/>
    <w:rsid w:val="007C5D76"/>
    <w:rsid w:val="007C5DBE"/>
    <w:rsid w:val="007C5E58"/>
    <w:rsid w:val="007C5E59"/>
    <w:rsid w:val="007C5E73"/>
    <w:rsid w:val="007C5E93"/>
    <w:rsid w:val="007C5FB1"/>
    <w:rsid w:val="007C612B"/>
    <w:rsid w:val="007C61FE"/>
    <w:rsid w:val="007C629F"/>
    <w:rsid w:val="007C62C3"/>
    <w:rsid w:val="007C6539"/>
    <w:rsid w:val="007C6613"/>
    <w:rsid w:val="007C6665"/>
    <w:rsid w:val="007C66DB"/>
    <w:rsid w:val="007C68E4"/>
    <w:rsid w:val="007C691C"/>
    <w:rsid w:val="007C698A"/>
    <w:rsid w:val="007C6BD4"/>
    <w:rsid w:val="007C6C19"/>
    <w:rsid w:val="007C6D0E"/>
    <w:rsid w:val="007C6E41"/>
    <w:rsid w:val="007C6F28"/>
    <w:rsid w:val="007C6F5B"/>
    <w:rsid w:val="007C70FF"/>
    <w:rsid w:val="007C714B"/>
    <w:rsid w:val="007C723B"/>
    <w:rsid w:val="007C7310"/>
    <w:rsid w:val="007C735D"/>
    <w:rsid w:val="007C746F"/>
    <w:rsid w:val="007C753C"/>
    <w:rsid w:val="007C75BF"/>
    <w:rsid w:val="007C75CD"/>
    <w:rsid w:val="007C7625"/>
    <w:rsid w:val="007C7640"/>
    <w:rsid w:val="007C767D"/>
    <w:rsid w:val="007C7ADD"/>
    <w:rsid w:val="007C7B46"/>
    <w:rsid w:val="007C7BAB"/>
    <w:rsid w:val="007C7BC3"/>
    <w:rsid w:val="007C7C25"/>
    <w:rsid w:val="007C7F08"/>
    <w:rsid w:val="007C7F76"/>
    <w:rsid w:val="007C7FD4"/>
    <w:rsid w:val="007C7FE1"/>
    <w:rsid w:val="007D004F"/>
    <w:rsid w:val="007D0069"/>
    <w:rsid w:val="007D0088"/>
    <w:rsid w:val="007D0196"/>
    <w:rsid w:val="007D0262"/>
    <w:rsid w:val="007D035F"/>
    <w:rsid w:val="007D06B2"/>
    <w:rsid w:val="007D08DD"/>
    <w:rsid w:val="007D0974"/>
    <w:rsid w:val="007D0986"/>
    <w:rsid w:val="007D0998"/>
    <w:rsid w:val="007D09A1"/>
    <w:rsid w:val="007D0B38"/>
    <w:rsid w:val="007D0BEF"/>
    <w:rsid w:val="007D0DCA"/>
    <w:rsid w:val="007D0F4A"/>
    <w:rsid w:val="007D0F60"/>
    <w:rsid w:val="007D0FB4"/>
    <w:rsid w:val="007D0FD0"/>
    <w:rsid w:val="007D1073"/>
    <w:rsid w:val="007D129C"/>
    <w:rsid w:val="007D12CE"/>
    <w:rsid w:val="007D1441"/>
    <w:rsid w:val="007D197C"/>
    <w:rsid w:val="007D1AE5"/>
    <w:rsid w:val="007D1BF1"/>
    <w:rsid w:val="007D1C3D"/>
    <w:rsid w:val="007D1D55"/>
    <w:rsid w:val="007D1DC8"/>
    <w:rsid w:val="007D1EA4"/>
    <w:rsid w:val="007D1F50"/>
    <w:rsid w:val="007D1FC7"/>
    <w:rsid w:val="007D2180"/>
    <w:rsid w:val="007D24B5"/>
    <w:rsid w:val="007D251A"/>
    <w:rsid w:val="007D2579"/>
    <w:rsid w:val="007D26F5"/>
    <w:rsid w:val="007D27A9"/>
    <w:rsid w:val="007D27C8"/>
    <w:rsid w:val="007D286C"/>
    <w:rsid w:val="007D29BD"/>
    <w:rsid w:val="007D2B33"/>
    <w:rsid w:val="007D2B77"/>
    <w:rsid w:val="007D2CFE"/>
    <w:rsid w:val="007D2E6B"/>
    <w:rsid w:val="007D2E77"/>
    <w:rsid w:val="007D2ED1"/>
    <w:rsid w:val="007D2F40"/>
    <w:rsid w:val="007D357B"/>
    <w:rsid w:val="007D361F"/>
    <w:rsid w:val="007D3638"/>
    <w:rsid w:val="007D3715"/>
    <w:rsid w:val="007D395B"/>
    <w:rsid w:val="007D39B7"/>
    <w:rsid w:val="007D39E4"/>
    <w:rsid w:val="007D3A4A"/>
    <w:rsid w:val="007D3AC2"/>
    <w:rsid w:val="007D3B6E"/>
    <w:rsid w:val="007D3D9A"/>
    <w:rsid w:val="007D3E7F"/>
    <w:rsid w:val="007D3F4B"/>
    <w:rsid w:val="007D404D"/>
    <w:rsid w:val="007D404E"/>
    <w:rsid w:val="007D4389"/>
    <w:rsid w:val="007D446A"/>
    <w:rsid w:val="007D45B1"/>
    <w:rsid w:val="007D45E5"/>
    <w:rsid w:val="007D4698"/>
    <w:rsid w:val="007D473D"/>
    <w:rsid w:val="007D47AC"/>
    <w:rsid w:val="007D4858"/>
    <w:rsid w:val="007D493F"/>
    <w:rsid w:val="007D4A50"/>
    <w:rsid w:val="007D4D51"/>
    <w:rsid w:val="007D4EEA"/>
    <w:rsid w:val="007D4F3B"/>
    <w:rsid w:val="007D514C"/>
    <w:rsid w:val="007D5440"/>
    <w:rsid w:val="007D55B7"/>
    <w:rsid w:val="007D5DF2"/>
    <w:rsid w:val="007D5F4C"/>
    <w:rsid w:val="007D6050"/>
    <w:rsid w:val="007D6057"/>
    <w:rsid w:val="007D619A"/>
    <w:rsid w:val="007D61F7"/>
    <w:rsid w:val="007D6340"/>
    <w:rsid w:val="007D6427"/>
    <w:rsid w:val="007D649B"/>
    <w:rsid w:val="007D6588"/>
    <w:rsid w:val="007D6829"/>
    <w:rsid w:val="007D6976"/>
    <w:rsid w:val="007D69EB"/>
    <w:rsid w:val="007D69F4"/>
    <w:rsid w:val="007D6AE6"/>
    <w:rsid w:val="007D6AFA"/>
    <w:rsid w:val="007D6C19"/>
    <w:rsid w:val="007D6F06"/>
    <w:rsid w:val="007D6F0D"/>
    <w:rsid w:val="007D6F5E"/>
    <w:rsid w:val="007D6FC2"/>
    <w:rsid w:val="007D754E"/>
    <w:rsid w:val="007D771F"/>
    <w:rsid w:val="007D778A"/>
    <w:rsid w:val="007D79C2"/>
    <w:rsid w:val="007D7A84"/>
    <w:rsid w:val="007D7C57"/>
    <w:rsid w:val="007D7D3C"/>
    <w:rsid w:val="007D7D56"/>
    <w:rsid w:val="007D7DB3"/>
    <w:rsid w:val="007E000C"/>
    <w:rsid w:val="007E00A1"/>
    <w:rsid w:val="007E02A8"/>
    <w:rsid w:val="007E04EF"/>
    <w:rsid w:val="007E0750"/>
    <w:rsid w:val="007E081D"/>
    <w:rsid w:val="007E0A5E"/>
    <w:rsid w:val="007E0AC0"/>
    <w:rsid w:val="007E0C41"/>
    <w:rsid w:val="007E0DAE"/>
    <w:rsid w:val="007E0EF0"/>
    <w:rsid w:val="007E0F2E"/>
    <w:rsid w:val="007E0FCF"/>
    <w:rsid w:val="007E1102"/>
    <w:rsid w:val="007E128F"/>
    <w:rsid w:val="007E151A"/>
    <w:rsid w:val="007E1536"/>
    <w:rsid w:val="007E1AB1"/>
    <w:rsid w:val="007E1BFA"/>
    <w:rsid w:val="007E1E20"/>
    <w:rsid w:val="007E1E52"/>
    <w:rsid w:val="007E2001"/>
    <w:rsid w:val="007E216A"/>
    <w:rsid w:val="007E2768"/>
    <w:rsid w:val="007E28B8"/>
    <w:rsid w:val="007E2C88"/>
    <w:rsid w:val="007E2CAB"/>
    <w:rsid w:val="007E2F02"/>
    <w:rsid w:val="007E2F53"/>
    <w:rsid w:val="007E310D"/>
    <w:rsid w:val="007E329B"/>
    <w:rsid w:val="007E32AB"/>
    <w:rsid w:val="007E333E"/>
    <w:rsid w:val="007E3561"/>
    <w:rsid w:val="007E3800"/>
    <w:rsid w:val="007E3A1D"/>
    <w:rsid w:val="007E3DE9"/>
    <w:rsid w:val="007E3E21"/>
    <w:rsid w:val="007E3FCC"/>
    <w:rsid w:val="007E4151"/>
    <w:rsid w:val="007E41CE"/>
    <w:rsid w:val="007E4428"/>
    <w:rsid w:val="007E442E"/>
    <w:rsid w:val="007E4660"/>
    <w:rsid w:val="007E478F"/>
    <w:rsid w:val="007E47B3"/>
    <w:rsid w:val="007E4841"/>
    <w:rsid w:val="007E4874"/>
    <w:rsid w:val="007E4ACD"/>
    <w:rsid w:val="007E4C69"/>
    <w:rsid w:val="007E4C9B"/>
    <w:rsid w:val="007E4D2C"/>
    <w:rsid w:val="007E4DF7"/>
    <w:rsid w:val="007E4E0E"/>
    <w:rsid w:val="007E4E1A"/>
    <w:rsid w:val="007E4E43"/>
    <w:rsid w:val="007E4E49"/>
    <w:rsid w:val="007E4EAE"/>
    <w:rsid w:val="007E4F2E"/>
    <w:rsid w:val="007E4FF7"/>
    <w:rsid w:val="007E504E"/>
    <w:rsid w:val="007E508E"/>
    <w:rsid w:val="007E5353"/>
    <w:rsid w:val="007E548D"/>
    <w:rsid w:val="007E5972"/>
    <w:rsid w:val="007E5A1A"/>
    <w:rsid w:val="007E5C19"/>
    <w:rsid w:val="007E6189"/>
    <w:rsid w:val="007E6210"/>
    <w:rsid w:val="007E648A"/>
    <w:rsid w:val="007E6542"/>
    <w:rsid w:val="007E6B21"/>
    <w:rsid w:val="007E6BE8"/>
    <w:rsid w:val="007E7175"/>
    <w:rsid w:val="007E749D"/>
    <w:rsid w:val="007E74AE"/>
    <w:rsid w:val="007E7520"/>
    <w:rsid w:val="007E758C"/>
    <w:rsid w:val="007E76AB"/>
    <w:rsid w:val="007E7737"/>
    <w:rsid w:val="007E7971"/>
    <w:rsid w:val="007E7C80"/>
    <w:rsid w:val="007E7CE6"/>
    <w:rsid w:val="007E7FC4"/>
    <w:rsid w:val="007F012C"/>
    <w:rsid w:val="007F03E6"/>
    <w:rsid w:val="007F03EE"/>
    <w:rsid w:val="007F0531"/>
    <w:rsid w:val="007F0812"/>
    <w:rsid w:val="007F0849"/>
    <w:rsid w:val="007F0860"/>
    <w:rsid w:val="007F0AAC"/>
    <w:rsid w:val="007F0B73"/>
    <w:rsid w:val="007F0C19"/>
    <w:rsid w:val="007F0C84"/>
    <w:rsid w:val="007F0EFD"/>
    <w:rsid w:val="007F1017"/>
    <w:rsid w:val="007F115F"/>
    <w:rsid w:val="007F127D"/>
    <w:rsid w:val="007F14F1"/>
    <w:rsid w:val="007F1511"/>
    <w:rsid w:val="007F1532"/>
    <w:rsid w:val="007F1722"/>
    <w:rsid w:val="007F1753"/>
    <w:rsid w:val="007F17BA"/>
    <w:rsid w:val="007F17CC"/>
    <w:rsid w:val="007F1AEB"/>
    <w:rsid w:val="007F1B78"/>
    <w:rsid w:val="007F1C56"/>
    <w:rsid w:val="007F1CD7"/>
    <w:rsid w:val="007F1E8D"/>
    <w:rsid w:val="007F1F6A"/>
    <w:rsid w:val="007F1FAE"/>
    <w:rsid w:val="007F1FB5"/>
    <w:rsid w:val="007F2157"/>
    <w:rsid w:val="007F2175"/>
    <w:rsid w:val="007F2325"/>
    <w:rsid w:val="007F2331"/>
    <w:rsid w:val="007F2381"/>
    <w:rsid w:val="007F23E5"/>
    <w:rsid w:val="007F244B"/>
    <w:rsid w:val="007F265F"/>
    <w:rsid w:val="007F2B25"/>
    <w:rsid w:val="007F2CEE"/>
    <w:rsid w:val="007F2EC2"/>
    <w:rsid w:val="007F2EF9"/>
    <w:rsid w:val="007F305B"/>
    <w:rsid w:val="007F3070"/>
    <w:rsid w:val="007F318D"/>
    <w:rsid w:val="007F32B0"/>
    <w:rsid w:val="007F32FB"/>
    <w:rsid w:val="007F33C2"/>
    <w:rsid w:val="007F362A"/>
    <w:rsid w:val="007F37FC"/>
    <w:rsid w:val="007F382B"/>
    <w:rsid w:val="007F384B"/>
    <w:rsid w:val="007F3A2F"/>
    <w:rsid w:val="007F3AA0"/>
    <w:rsid w:val="007F3AA2"/>
    <w:rsid w:val="007F3CB5"/>
    <w:rsid w:val="007F3CE5"/>
    <w:rsid w:val="007F3F76"/>
    <w:rsid w:val="007F3F89"/>
    <w:rsid w:val="007F4108"/>
    <w:rsid w:val="007F4582"/>
    <w:rsid w:val="007F46BB"/>
    <w:rsid w:val="007F4835"/>
    <w:rsid w:val="007F487E"/>
    <w:rsid w:val="007F4941"/>
    <w:rsid w:val="007F4A3F"/>
    <w:rsid w:val="007F4A61"/>
    <w:rsid w:val="007F4B88"/>
    <w:rsid w:val="007F4D43"/>
    <w:rsid w:val="007F4ECB"/>
    <w:rsid w:val="007F5226"/>
    <w:rsid w:val="007F5255"/>
    <w:rsid w:val="007F534C"/>
    <w:rsid w:val="007F5398"/>
    <w:rsid w:val="007F547F"/>
    <w:rsid w:val="007F548B"/>
    <w:rsid w:val="007F5514"/>
    <w:rsid w:val="007F5515"/>
    <w:rsid w:val="007F55A2"/>
    <w:rsid w:val="007F56CC"/>
    <w:rsid w:val="007F5877"/>
    <w:rsid w:val="007F5918"/>
    <w:rsid w:val="007F5A23"/>
    <w:rsid w:val="007F5D6C"/>
    <w:rsid w:val="007F5E4C"/>
    <w:rsid w:val="007F5FC2"/>
    <w:rsid w:val="007F6011"/>
    <w:rsid w:val="007F61BF"/>
    <w:rsid w:val="007F61C2"/>
    <w:rsid w:val="007F6261"/>
    <w:rsid w:val="007F62E4"/>
    <w:rsid w:val="007F632B"/>
    <w:rsid w:val="007F633E"/>
    <w:rsid w:val="007F662C"/>
    <w:rsid w:val="007F6653"/>
    <w:rsid w:val="007F6822"/>
    <w:rsid w:val="007F688B"/>
    <w:rsid w:val="007F68EA"/>
    <w:rsid w:val="007F6FE8"/>
    <w:rsid w:val="007F7090"/>
    <w:rsid w:val="007F70CE"/>
    <w:rsid w:val="007F736A"/>
    <w:rsid w:val="007F7464"/>
    <w:rsid w:val="007F74A8"/>
    <w:rsid w:val="007F74AE"/>
    <w:rsid w:val="007F751A"/>
    <w:rsid w:val="007F7734"/>
    <w:rsid w:val="007F788C"/>
    <w:rsid w:val="007F7988"/>
    <w:rsid w:val="007F7B0F"/>
    <w:rsid w:val="007F7BA1"/>
    <w:rsid w:val="007F7CCB"/>
    <w:rsid w:val="007F7EA1"/>
    <w:rsid w:val="0080007C"/>
    <w:rsid w:val="008000C3"/>
    <w:rsid w:val="008001AE"/>
    <w:rsid w:val="00800211"/>
    <w:rsid w:val="00800451"/>
    <w:rsid w:val="00800740"/>
    <w:rsid w:val="0080091E"/>
    <w:rsid w:val="0080096F"/>
    <w:rsid w:val="00800A33"/>
    <w:rsid w:val="00800E5C"/>
    <w:rsid w:val="00800FF3"/>
    <w:rsid w:val="00801030"/>
    <w:rsid w:val="00801208"/>
    <w:rsid w:val="00801298"/>
    <w:rsid w:val="00801398"/>
    <w:rsid w:val="00801493"/>
    <w:rsid w:val="008014CB"/>
    <w:rsid w:val="008015D1"/>
    <w:rsid w:val="008015ED"/>
    <w:rsid w:val="008016E4"/>
    <w:rsid w:val="00801791"/>
    <w:rsid w:val="00801903"/>
    <w:rsid w:val="00801A6C"/>
    <w:rsid w:val="00801C9C"/>
    <w:rsid w:val="00801E36"/>
    <w:rsid w:val="00801FA4"/>
    <w:rsid w:val="008022C2"/>
    <w:rsid w:val="0080239C"/>
    <w:rsid w:val="00802512"/>
    <w:rsid w:val="0080255F"/>
    <w:rsid w:val="0080257D"/>
    <w:rsid w:val="008025CD"/>
    <w:rsid w:val="0080260B"/>
    <w:rsid w:val="008026A7"/>
    <w:rsid w:val="008026AA"/>
    <w:rsid w:val="008026C4"/>
    <w:rsid w:val="00802733"/>
    <w:rsid w:val="008028C3"/>
    <w:rsid w:val="00802958"/>
    <w:rsid w:val="008029B2"/>
    <w:rsid w:val="00802A8B"/>
    <w:rsid w:val="00802D28"/>
    <w:rsid w:val="00802EF6"/>
    <w:rsid w:val="00802F0C"/>
    <w:rsid w:val="00802F3E"/>
    <w:rsid w:val="00802F80"/>
    <w:rsid w:val="00803003"/>
    <w:rsid w:val="00803017"/>
    <w:rsid w:val="00803037"/>
    <w:rsid w:val="0080303B"/>
    <w:rsid w:val="0080309E"/>
    <w:rsid w:val="00803226"/>
    <w:rsid w:val="0080345F"/>
    <w:rsid w:val="008034EE"/>
    <w:rsid w:val="00803556"/>
    <w:rsid w:val="008035E2"/>
    <w:rsid w:val="00803AC0"/>
    <w:rsid w:val="00803B9C"/>
    <w:rsid w:val="00803FE6"/>
    <w:rsid w:val="008040CE"/>
    <w:rsid w:val="008041B4"/>
    <w:rsid w:val="008042E0"/>
    <w:rsid w:val="0080450E"/>
    <w:rsid w:val="0080452F"/>
    <w:rsid w:val="00804638"/>
    <w:rsid w:val="008046A1"/>
    <w:rsid w:val="00804866"/>
    <w:rsid w:val="00804900"/>
    <w:rsid w:val="00804AC9"/>
    <w:rsid w:val="00804B41"/>
    <w:rsid w:val="00804C42"/>
    <w:rsid w:val="00804D38"/>
    <w:rsid w:val="00804DEE"/>
    <w:rsid w:val="008050F9"/>
    <w:rsid w:val="008050FB"/>
    <w:rsid w:val="00805142"/>
    <w:rsid w:val="008051EF"/>
    <w:rsid w:val="00805266"/>
    <w:rsid w:val="0080566B"/>
    <w:rsid w:val="00805673"/>
    <w:rsid w:val="008056AF"/>
    <w:rsid w:val="008058B4"/>
    <w:rsid w:val="00805F79"/>
    <w:rsid w:val="00805FCE"/>
    <w:rsid w:val="008061C3"/>
    <w:rsid w:val="0080642F"/>
    <w:rsid w:val="0080649C"/>
    <w:rsid w:val="008067E1"/>
    <w:rsid w:val="0080680E"/>
    <w:rsid w:val="00806876"/>
    <w:rsid w:val="00806995"/>
    <w:rsid w:val="008069CE"/>
    <w:rsid w:val="00806A8F"/>
    <w:rsid w:val="00806BA4"/>
    <w:rsid w:val="00806C53"/>
    <w:rsid w:val="00806C6E"/>
    <w:rsid w:val="00806CC6"/>
    <w:rsid w:val="00806D2C"/>
    <w:rsid w:val="00806DC5"/>
    <w:rsid w:val="00806ED2"/>
    <w:rsid w:val="00806FB5"/>
    <w:rsid w:val="00806FF3"/>
    <w:rsid w:val="0080716E"/>
    <w:rsid w:val="00807201"/>
    <w:rsid w:val="00807204"/>
    <w:rsid w:val="00807336"/>
    <w:rsid w:val="00807435"/>
    <w:rsid w:val="0080744F"/>
    <w:rsid w:val="008074B5"/>
    <w:rsid w:val="008076E1"/>
    <w:rsid w:val="008078ED"/>
    <w:rsid w:val="00807A8B"/>
    <w:rsid w:val="00807BB1"/>
    <w:rsid w:val="00807CDF"/>
    <w:rsid w:val="0081027D"/>
    <w:rsid w:val="008103DE"/>
    <w:rsid w:val="00810506"/>
    <w:rsid w:val="0081067E"/>
    <w:rsid w:val="008108B5"/>
    <w:rsid w:val="00810970"/>
    <w:rsid w:val="00810B8C"/>
    <w:rsid w:val="00810CD8"/>
    <w:rsid w:val="00810CF2"/>
    <w:rsid w:val="00810DFD"/>
    <w:rsid w:val="00811219"/>
    <w:rsid w:val="0081130D"/>
    <w:rsid w:val="00811383"/>
    <w:rsid w:val="008113D9"/>
    <w:rsid w:val="00811563"/>
    <w:rsid w:val="0081176D"/>
    <w:rsid w:val="008117E9"/>
    <w:rsid w:val="00811926"/>
    <w:rsid w:val="00811A54"/>
    <w:rsid w:val="00811D89"/>
    <w:rsid w:val="00811DDB"/>
    <w:rsid w:val="008120F0"/>
    <w:rsid w:val="00812149"/>
    <w:rsid w:val="008121E4"/>
    <w:rsid w:val="008121F2"/>
    <w:rsid w:val="00812632"/>
    <w:rsid w:val="008126E0"/>
    <w:rsid w:val="0081279C"/>
    <w:rsid w:val="008127CF"/>
    <w:rsid w:val="008128FE"/>
    <w:rsid w:val="00812B38"/>
    <w:rsid w:val="00812C42"/>
    <w:rsid w:val="00812CAC"/>
    <w:rsid w:val="00812F8D"/>
    <w:rsid w:val="008131CE"/>
    <w:rsid w:val="008132A3"/>
    <w:rsid w:val="008132B4"/>
    <w:rsid w:val="00813434"/>
    <w:rsid w:val="0081346B"/>
    <w:rsid w:val="0081360A"/>
    <w:rsid w:val="008138A2"/>
    <w:rsid w:val="00813953"/>
    <w:rsid w:val="008139C9"/>
    <w:rsid w:val="00813D4B"/>
    <w:rsid w:val="00813E37"/>
    <w:rsid w:val="00813F82"/>
    <w:rsid w:val="00814203"/>
    <w:rsid w:val="0081421E"/>
    <w:rsid w:val="00814220"/>
    <w:rsid w:val="008143CC"/>
    <w:rsid w:val="00814490"/>
    <w:rsid w:val="008144C6"/>
    <w:rsid w:val="00814633"/>
    <w:rsid w:val="00814886"/>
    <w:rsid w:val="008148E7"/>
    <w:rsid w:val="00814921"/>
    <w:rsid w:val="00814E7F"/>
    <w:rsid w:val="008151E3"/>
    <w:rsid w:val="008152D2"/>
    <w:rsid w:val="008153B2"/>
    <w:rsid w:val="0081547D"/>
    <w:rsid w:val="008156CB"/>
    <w:rsid w:val="008156DB"/>
    <w:rsid w:val="008157D0"/>
    <w:rsid w:val="008159E0"/>
    <w:rsid w:val="008159F7"/>
    <w:rsid w:val="00815A40"/>
    <w:rsid w:val="00815CB9"/>
    <w:rsid w:val="00815D22"/>
    <w:rsid w:val="00815D8F"/>
    <w:rsid w:val="0081606E"/>
    <w:rsid w:val="0081609E"/>
    <w:rsid w:val="0081610B"/>
    <w:rsid w:val="00816361"/>
    <w:rsid w:val="00816447"/>
    <w:rsid w:val="00816548"/>
    <w:rsid w:val="008165A1"/>
    <w:rsid w:val="008166EF"/>
    <w:rsid w:val="00816713"/>
    <w:rsid w:val="008167CF"/>
    <w:rsid w:val="00816821"/>
    <w:rsid w:val="008168D3"/>
    <w:rsid w:val="0081696B"/>
    <w:rsid w:val="00816972"/>
    <w:rsid w:val="00816A29"/>
    <w:rsid w:val="00816A8F"/>
    <w:rsid w:val="00816AAF"/>
    <w:rsid w:val="00816AE6"/>
    <w:rsid w:val="00816B47"/>
    <w:rsid w:val="00816B5B"/>
    <w:rsid w:val="00816B85"/>
    <w:rsid w:val="00816E39"/>
    <w:rsid w:val="00816E6E"/>
    <w:rsid w:val="00816F1E"/>
    <w:rsid w:val="00816FEF"/>
    <w:rsid w:val="0081711E"/>
    <w:rsid w:val="008171A0"/>
    <w:rsid w:val="008172B5"/>
    <w:rsid w:val="00817562"/>
    <w:rsid w:val="00817743"/>
    <w:rsid w:val="008177B4"/>
    <w:rsid w:val="00817A3F"/>
    <w:rsid w:val="00817B9C"/>
    <w:rsid w:val="00817BB3"/>
    <w:rsid w:val="00817C99"/>
    <w:rsid w:val="00817D85"/>
    <w:rsid w:val="00817E30"/>
    <w:rsid w:val="00817E45"/>
    <w:rsid w:val="008201E4"/>
    <w:rsid w:val="0082032A"/>
    <w:rsid w:val="00820333"/>
    <w:rsid w:val="008203E8"/>
    <w:rsid w:val="008207F6"/>
    <w:rsid w:val="00820813"/>
    <w:rsid w:val="00820A8C"/>
    <w:rsid w:val="00820B18"/>
    <w:rsid w:val="00820B24"/>
    <w:rsid w:val="00820B43"/>
    <w:rsid w:val="00820BA1"/>
    <w:rsid w:val="00820C14"/>
    <w:rsid w:val="00820CDA"/>
    <w:rsid w:val="00820F8F"/>
    <w:rsid w:val="0082110E"/>
    <w:rsid w:val="00821382"/>
    <w:rsid w:val="00821392"/>
    <w:rsid w:val="0082145A"/>
    <w:rsid w:val="008214AE"/>
    <w:rsid w:val="008215FB"/>
    <w:rsid w:val="008216D9"/>
    <w:rsid w:val="008217CB"/>
    <w:rsid w:val="00821885"/>
    <w:rsid w:val="00821924"/>
    <w:rsid w:val="00821A4C"/>
    <w:rsid w:val="00821A74"/>
    <w:rsid w:val="00821BD3"/>
    <w:rsid w:val="00821BD9"/>
    <w:rsid w:val="00821CD4"/>
    <w:rsid w:val="00821DC2"/>
    <w:rsid w:val="00821DEB"/>
    <w:rsid w:val="008220A7"/>
    <w:rsid w:val="008220CC"/>
    <w:rsid w:val="0082220C"/>
    <w:rsid w:val="00822215"/>
    <w:rsid w:val="0082221B"/>
    <w:rsid w:val="00822331"/>
    <w:rsid w:val="0082233E"/>
    <w:rsid w:val="008223CB"/>
    <w:rsid w:val="008223D5"/>
    <w:rsid w:val="0082249E"/>
    <w:rsid w:val="008226A4"/>
    <w:rsid w:val="008227F1"/>
    <w:rsid w:val="00822872"/>
    <w:rsid w:val="00822890"/>
    <w:rsid w:val="0082291E"/>
    <w:rsid w:val="00822965"/>
    <w:rsid w:val="00822A82"/>
    <w:rsid w:val="00822AB3"/>
    <w:rsid w:val="00822B1D"/>
    <w:rsid w:val="00822C14"/>
    <w:rsid w:val="00822CDF"/>
    <w:rsid w:val="00822D27"/>
    <w:rsid w:val="00822DAD"/>
    <w:rsid w:val="00822F37"/>
    <w:rsid w:val="00822F81"/>
    <w:rsid w:val="00822FDF"/>
    <w:rsid w:val="00822FF7"/>
    <w:rsid w:val="00823082"/>
    <w:rsid w:val="00823116"/>
    <w:rsid w:val="00823174"/>
    <w:rsid w:val="008231D7"/>
    <w:rsid w:val="00823243"/>
    <w:rsid w:val="008232A9"/>
    <w:rsid w:val="008232F8"/>
    <w:rsid w:val="0082330F"/>
    <w:rsid w:val="008233B2"/>
    <w:rsid w:val="0082361F"/>
    <w:rsid w:val="008236CC"/>
    <w:rsid w:val="00823ACF"/>
    <w:rsid w:val="00823B11"/>
    <w:rsid w:val="00823D28"/>
    <w:rsid w:val="00823DB7"/>
    <w:rsid w:val="00823E87"/>
    <w:rsid w:val="008240DD"/>
    <w:rsid w:val="00824239"/>
    <w:rsid w:val="0082429B"/>
    <w:rsid w:val="008243B4"/>
    <w:rsid w:val="008244FD"/>
    <w:rsid w:val="00824611"/>
    <w:rsid w:val="0082474D"/>
    <w:rsid w:val="00824858"/>
    <w:rsid w:val="0082486C"/>
    <w:rsid w:val="008248CC"/>
    <w:rsid w:val="00824912"/>
    <w:rsid w:val="00824A17"/>
    <w:rsid w:val="00824A58"/>
    <w:rsid w:val="00824A88"/>
    <w:rsid w:val="00824BBD"/>
    <w:rsid w:val="00824C28"/>
    <w:rsid w:val="00824CE9"/>
    <w:rsid w:val="00824D8E"/>
    <w:rsid w:val="00824DF8"/>
    <w:rsid w:val="0082503E"/>
    <w:rsid w:val="0082508E"/>
    <w:rsid w:val="008251EE"/>
    <w:rsid w:val="00825396"/>
    <w:rsid w:val="00825449"/>
    <w:rsid w:val="00825514"/>
    <w:rsid w:val="0082554D"/>
    <w:rsid w:val="0082563C"/>
    <w:rsid w:val="00825751"/>
    <w:rsid w:val="008258CB"/>
    <w:rsid w:val="00825B84"/>
    <w:rsid w:val="00825E60"/>
    <w:rsid w:val="00825EDA"/>
    <w:rsid w:val="00825F35"/>
    <w:rsid w:val="00826138"/>
    <w:rsid w:val="00826267"/>
    <w:rsid w:val="008262F4"/>
    <w:rsid w:val="008264B4"/>
    <w:rsid w:val="008264EB"/>
    <w:rsid w:val="00826643"/>
    <w:rsid w:val="0082686F"/>
    <w:rsid w:val="008268CE"/>
    <w:rsid w:val="0082695E"/>
    <w:rsid w:val="00826AF8"/>
    <w:rsid w:val="00826C73"/>
    <w:rsid w:val="00826C99"/>
    <w:rsid w:val="00826CFE"/>
    <w:rsid w:val="0082708E"/>
    <w:rsid w:val="008270B0"/>
    <w:rsid w:val="0082718B"/>
    <w:rsid w:val="008271B9"/>
    <w:rsid w:val="0082752B"/>
    <w:rsid w:val="008276DD"/>
    <w:rsid w:val="008276E9"/>
    <w:rsid w:val="00827736"/>
    <w:rsid w:val="0082773E"/>
    <w:rsid w:val="00827968"/>
    <w:rsid w:val="00827A01"/>
    <w:rsid w:val="00827A9D"/>
    <w:rsid w:val="00827B69"/>
    <w:rsid w:val="00827BCA"/>
    <w:rsid w:val="00827C23"/>
    <w:rsid w:val="00827CA0"/>
    <w:rsid w:val="00827DBF"/>
    <w:rsid w:val="00827EE0"/>
    <w:rsid w:val="00827F79"/>
    <w:rsid w:val="00827FAE"/>
    <w:rsid w:val="00827FFE"/>
    <w:rsid w:val="0083014F"/>
    <w:rsid w:val="00830778"/>
    <w:rsid w:val="008307D0"/>
    <w:rsid w:val="00830803"/>
    <w:rsid w:val="00830834"/>
    <w:rsid w:val="008308C9"/>
    <w:rsid w:val="008309F0"/>
    <w:rsid w:val="00830A74"/>
    <w:rsid w:val="00830D8B"/>
    <w:rsid w:val="00830D8E"/>
    <w:rsid w:val="00831063"/>
    <w:rsid w:val="008312BD"/>
    <w:rsid w:val="008313E3"/>
    <w:rsid w:val="0083147B"/>
    <w:rsid w:val="0083149C"/>
    <w:rsid w:val="00831896"/>
    <w:rsid w:val="0083195A"/>
    <w:rsid w:val="00831A57"/>
    <w:rsid w:val="00831E73"/>
    <w:rsid w:val="00831F54"/>
    <w:rsid w:val="00832022"/>
    <w:rsid w:val="00832093"/>
    <w:rsid w:val="00832424"/>
    <w:rsid w:val="00832651"/>
    <w:rsid w:val="00832659"/>
    <w:rsid w:val="00832769"/>
    <w:rsid w:val="00832838"/>
    <w:rsid w:val="0083283A"/>
    <w:rsid w:val="00832875"/>
    <w:rsid w:val="0083287B"/>
    <w:rsid w:val="008328C9"/>
    <w:rsid w:val="0083290F"/>
    <w:rsid w:val="008329A8"/>
    <w:rsid w:val="00832C06"/>
    <w:rsid w:val="00832D10"/>
    <w:rsid w:val="00832DAE"/>
    <w:rsid w:val="00833050"/>
    <w:rsid w:val="008330DD"/>
    <w:rsid w:val="0083332A"/>
    <w:rsid w:val="008334DE"/>
    <w:rsid w:val="008335BA"/>
    <w:rsid w:val="00833B05"/>
    <w:rsid w:val="00833C5E"/>
    <w:rsid w:val="00833CDB"/>
    <w:rsid w:val="00833E71"/>
    <w:rsid w:val="00833EEB"/>
    <w:rsid w:val="00833F05"/>
    <w:rsid w:val="00834108"/>
    <w:rsid w:val="008343A7"/>
    <w:rsid w:val="008343D0"/>
    <w:rsid w:val="0083440F"/>
    <w:rsid w:val="00834495"/>
    <w:rsid w:val="00834499"/>
    <w:rsid w:val="0083459F"/>
    <w:rsid w:val="008345D7"/>
    <w:rsid w:val="00834680"/>
    <w:rsid w:val="00834700"/>
    <w:rsid w:val="00834732"/>
    <w:rsid w:val="00834B91"/>
    <w:rsid w:val="00834C98"/>
    <w:rsid w:val="00834CFC"/>
    <w:rsid w:val="00834D28"/>
    <w:rsid w:val="00834EB3"/>
    <w:rsid w:val="00834EC8"/>
    <w:rsid w:val="00835122"/>
    <w:rsid w:val="00835172"/>
    <w:rsid w:val="008351CC"/>
    <w:rsid w:val="008351CF"/>
    <w:rsid w:val="0083549E"/>
    <w:rsid w:val="008354EF"/>
    <w:rsid w:val="008355A8"/>
    <w:rsid w:val="00835654"/>
    <w:rsid w:val="008356AF"/>
    <w:rsid w:val="00835709"/>
    <w:rsid w:val="0083584F"/>
    <w:rsid w:val="00835910"/>
    <w:rsid w:val="00835BD1"/>
    <w:rsid w:val="00835C1C"/>
    <w:rsid w:val="00835CB2"/>
    <w:rsid w:val="00835CB9"/>
    <w:rsid w:val="00835D1F"/>
    <w:rsid w:val="00835DBC"/>
    <w:rsid w:val="00835ECF"/>
    <w:rsid w:val="00835F47"/>
    <w:rsid w:val="00836005"/>
    <w:rsid w:val="00836239"/>
    <w:rsid w:val="00836285"/>
    <w:rsid w:val="008362B4"/>
    <w:rsid w:val="00836315"/>
    <w:rsid w:val="0083637B"/>
    <w:rsid w:val="0083646E"/>
    <w:rsid w:val="00836586"/>
    <w:rsid w:val="008365B7"/>
    <w:rsid w:val="008367DC"/>
    <w:rsid w:val="00836B32"/>
    <w:rsid w:val="00836CB5"/>
    <w:rsid w:val="00836E1A"/>
    <w:rsid w:val="00836E91"/>
    <w:rsid w:val="00836F24"/>
    <w:rsid w:val="00836F37"/>
    <w:rsid w:val="00836FCE"/>
    <w:rsid w:val="00837088"/>
    <w:rsid w:val="008370AC"/>
    <w:rsid w:val="00837111"/>
    <w:rsid w:val="00837143"/>
    <w:rsid w:val="0083726E"/>
    <w:rsid w:val="00837287"/>
    <w:rsid w:val="00837487"/>
    <w:rsid w:val="008374DA"/>
    <w:rsid w:val="0083751A"/>
    <w:rsid w:val="00837724"/>
    <w:rsid w:val="0083784E"/>
    <w:rsid w:val="00837852"/>
    <w:rsid w:val="0083788B"/>
    <w:rsid w:val="00837A45"/>
    <w:rsid w:val="00837A98"/>
    <w:rsid w:val="00837D84"/>
    <w:rsid w:val="00837DC1"/>
    <w:rsid w:val="00837EC4"/>
    <w:rsid w:val="008400F2"/>
    <w:rsid w:val="00840208"/>
    <w:rsid w:val="00840330"/>
    <w:rsid w:val="00840368"/>
    <w:rsid w:val="00840375"/>
    <w:rsid w:val="00840380"/>
    <w:rsid w:val="0084046C"/>
    <w:rsid w:val="0084056D"/>
    <w:rsid w:val="0084070C"/>
    <w:rsid w:val="008407D4"/>
    <w:rsid w:val="00840859"/>
    <w:rsid w:val="008408F4"/>
    <w:rsid w:val="0084094F"/>
    <w:rsid w:val="008409DB"/>
    <w:rsid w:val="00840A11"/>
    <w:rsid w:val="00840A94"/>
    <w:rsid w:val="00840C40"/>
    <w:rsid w:val="00840C9B"/>
    <w:rsid w:val="00840CA2"/>
    <w:rsid w:val="00840CD9"/>
    <w:rsid w:val="00840DAE"/>
    <w:rsid w:val="00840DD5"/>
    <w:rsid w:val="008410A4"/>
    <w:rsid w:val="0084130E"/>
    <w:rsid w:val="00841393"/>
    <w:rsid w:val="0084146B"/>
    <w:rsid w:val="0084162B"/>
    <w:rsid w:val="008418EB"/>
    <w:rsid w:val="00841B41"/>
    <w:rsid w:val="00841B56"/>
    <w:rsid w:val="00841C68"/>
    <w:rsid w:val="00841D26"/>
    <w:rsid w:val="00841D59"/>
    <w:rsid w:val="00841D94"/>
    <w:rsid w:val="00841DA8"/>
    <w:rsid w:val="00841E29"/>
    <w:rsid w:val="00841F26"/>
    <w:rsid w:val="00842002"/>
    <w:rsid w:val="0084203C"/>
    <w:rsid w:val="00842137"/>
    <w:rsid w:val="008421D2"/>
    <w:rsid w:val="00842487"/>
    <w:rsid w:val="008424B7"/>
    <w:rsid w:val="008426C2"/>
    <w:rsid w:val="00842830"/>
    <w:rsid w:val="00842847"/>
    <w:rsid w:val="00842B34"/>
    <w:rsid w:val="00842B71"/>
    <w:rsid w:val="00842C7D"/>
    <w:rsid w:val="00842F66"/>
    <w:rsid w:val="008431EF"/>
    <w:rsid w:val="0084338C"/>
    <w:rsid w:val="008433C2"/>
    <w:rsid w:val="008433C3"/>
    <w:rsid w:val="008433ED"/>
    <w:rsid w:val="00843683"/>
    <w:rsid w:val="0084374F"/>
    <w:rsid w:val="008437D7"/>
    <w:rsid w:val="00843B54"/>
    <w:rsid w:val="00843B8F"/>
    <w:rsid w:val="00843E68"/>
    <w:rsid w:val="00843E7A"/>
    <w:rsid w:val="008440FF"/>
    <w:rsid w:val="00844277"/>
    <w:rsid w:val="0084434A"/>
    <w:rsid w:val="00844365"/>
    <w:rsid w:val="008443F3"/>
    <w:rsid w:val="00844494"/>
    <w:rsid w:val="008444F1"/>
    <w:rsid w:val="00844555"/>
    <w:rsid w:val="00844637"/>
    <w:rsid w:val="00844730"/>
    <w:rsid w:val="008447F0"/>
    <w:rsid w:val="00844869"/>
    <w:rsid w:val="00844A22"/>
    <w:rsid w:val="00844A33"/>
    <w:rsid w:val="00844A88"/>
    <w:rsid w:val="00844AA4"/>
    <w:rsid w:val="00844C0E"/>
    <w:rsid w:val="00844CAC"/>
    <w:rsid w:val="00844D30"/>
    <w:rsid w:val="00844ECB"/>
    <w:rsid w:val="00845122"/>
    <w:rsid w:val="00845326"/>
    <w:rsid w:val="008453CD"/>
    <w:rsid w:val="0084541A"/>
    <w:rsid w:val="0084549A"/>
    <w:rsid w:val="0084549D"/>
    <w:rsid w:val="00845584"/>
    <w:rsid w:val="00845887"/>
    <w:rsid w:val="0084591E"/>
    <w:rsid w:val="00845C92"/>
    <w:rsid w:val="0084615E"/>
    <w:rsid w:val="008461EF"/>
    <w:rsid w:val="0084636C"/>
    <w:rsid w:val="00846372"/>
    <w:rsid w:val="00846375"/>
    <w:rsid w:val="00846492"/>
    <w:rsid w:val="00846795"/>
    <w:rsid w:val="00846864"/>
    <w:rsid w:val="00846B42"/>
    <w:rsid w:val="00846B9C"/>
    <w:rsid w:val="00846CD0"/>
    <w:rsid w:val="00846CDD"/>
    <w:rsid w:val="00846F80"/>
    <w:rsid w:val="008470CB"/>
    <w:rsid w:val="008471B7"/>
    <w:rsid w:val="00847208"/>
    <w:rsid w:val="008472C3"/>
    <w:rsid w:val="008473AB"/>
    <w:rsid w:val="008473EE"/>
    <w:rsid w:val="0084740C"/>
    <w:rsid w:val="0084769D"/>
    <w:rsid w:val="00847703"/>
    <w:rsid w:val="0084774B"/>
    <w:rsid w:val="00847AC7"/>
    <w:rsid w:val="00847CE2"/>
    <w:rsid w:val="00847D06"/>
    <w:rsid w:val="00847D90"/>
    <w:rsid w:val="00847DF5"/>
    <w:rsid w:val="008501FE"/>
    <w:rsid w:val="00850379"/>
    <w:rsid w:val="0085046E"/>
    <w:rsid w:val="0085075A"/>
    <w:rsid w:val="008507EA"/>
    <w:rsid w:val="0085083C"/>
    <w:rsid w:val="00850850"/>
    <w:rsid w:val="0085087E"/>
    <w:rsid w:val="0085091B"/>
    <w:rsid w:val="008509A9"/>
    <w:rsid w:val="00850A61"/>
    <w:rsid w:val="00850B2D"/>
    <w:rsid w:val="00850D4D"/>
    <w:rsid w:val="00850E4D"/>
    <w:rsid w:val="00850F0C"/>
    <w:rsid w:val="00851030"/>
    <w:rsid w:val="008511E9"/>
    <w:rsid w:val="008511F8"/>
    <w:rsid w:val="0085122E"/>
    <w:rsid w:val="0085123E"/>
    <w:rsid w:val="008513C2"/>
    <w:rsid w:val="00851520"/>
    <w:rsid w:val="0085187D"/>
    <w:rsid w:val="00851B71"/>
    <w:rsid w:val="00851C14"/>
    <w:rsid w:val="00851C6B"/>
    <w:rsid w:val="00851D0F"/>
    <w:rsid w:val="00851D7A"/>
    <w:rsid w:val="00851E38"/>
    <w:rsid w:val="00851E95"/>
    <w:rsid w:val="00852034"/>
    <w:rsid w:val="008522F1"/>
    <w:rsid w:val="008526BB"/>
    <w:rsid w:val="00852884"/>
    <w:rsid w:val="008528AD"/>
    <w:rsid w:val="00852A03"/>
    <w:rsid w:val="00852AA3"/>
    <w:rsid w:val="00852CB8"/>
    <w:rsid w:val="00852D09"/>
    <w:rsid w:val="00852D0A"/>
    <w:rsid w:val="00852FCC"/>
    <w:rsid w:val="0085309D"/>
    <w:rsid w:val="00853146"/>
    <w:rsid w:val="008532C9"/>
    <w:rsid w:val="0085377F"/>
    <w:rsid w:val="0085380D"/>
    <w:rsid w:val="00853817"/>
    <w:rsid w:val="0085399A"/>
    <w:rsid w:val="00853A18"/>
    <w:rsid w:val="00853A2E"/>
    <w:rsid w:val="00853D61"/>
    <w:rsid w:val="00853EBF"/>
    <w:rsid w:val="00853F3F"/>
    <w:rsid w:val="0085414D"/>
    <w:rsid w:val="008542C2"/>
    <w:rsid w:val="00854360"/>
    <w:rsid w:val="00854396"/>
    <w:rsid w:val="00854640"/>
    <w:rsid w:val="00854853"/>
    <w:rsid w:val="00854960"/>
    <w:rsid w:val="00854F65"/>
    <w:rsid w:val="00855014"/>
    <w:rsid w:val="0085503E"/>
    <w:rsid w:val="00855155"/>
    <w:rsid w:val="008551A8"/>
    <w:rsid w:val="008552F9"/>
    <w:rsid w:val="00855301"/>
    <w:rsid w:val="00855349"/>
    <w:rsid w:val="008554B1"/>
    <w:rsid w:val="00855763"/>
    <w:rsid w:val="00855930"/>
    <w:rsid w:val="00855949"/>
    <w:rsid w:val="00855A1E"/>
    <w:rsid w:val="00855A23"/>
    <w:rsid w:val="00855B8D"/>
    <w:rsid w:val="00855DE1"/>
    <w:rsid w:val="00855E80"/>
    <w:rsid w:val="00855E96"/>
    <w:rsid w:val="00855F18"/>
    <w:rsid w:val="00856000"/>
    <w:rsid w:val="008560AB"/>
    <w:rsid w:val="008562F8"/>
    <w:rsid w:val="00856443"/>
    <w:rsid w:val="00856445"/>
    <w:rsid w:val="0085660B"/>
    <w:rsid w:val="00856614"/>
    <w:rsid w:val="0085687C"/>
    <w:rsid w:val="00856897"/>
    <w:rsid w:val="0085692D"/>
    <w:rsid w:val="00856A7B"/>
    <w:rsid w:val="00856BA5"/>
    <w:rsid w:val="00856E9A"/>
    <w:rsid w:val="008570A4"/>
    <w:rsid w:val="008570F2"/>
    <w:rsid w:val="008571F1"/>
    <w:rsid w:val="0085725A"/>
    <w:rsid w:val="00857575"/>
    <w:rsid w:val="00857636"/>
    <w:rsid w:val="0085771B"/>
    <w:rsid w:val="0085781D"/>
    <w:rsid w:val="00857896"/>
    <w:rsid w:val="00857AA9"/>
    <w:rsid w:val="00857E11"/>
    <w:rsid w:val="00857EBF"/>
    <w:rsid w:val="0085CA0F"/>
    <w:rsid w:val="0086017B"/>
    <w:rsid w:val="00860205"/>
    <w:rsid w:val="0086024B"/>
    <w:rsid w:val="008603A7"/>
    <w:rsid w:val="008603F9"/>
    <w:rsid w:val="0086075D"/>
    <w:rsid w:val="00860913"/>
    <w:rsid w:val="00860919"/>
    <w:rsid w:val="00860DBB"/>
    <w:rsid w:val="008612F4"/>
    <w:rsid w:val="008615D6"/>
    <w:rsid w:val="00861857"/>
    <w:rsid w:val="00861908"/>
    <w:rsid w:val="00861938"/>
    <w:rsid w:val="00861999"/>
    <w:rsid w:val="00861A23"/>
    <w:rsid w:val="00861BAF"/>
    <w:rsid w:val="00861D4D"/>
    <w:rsid w:val="00861DC2"/>
    <w:rsid w:val="00861E1F"/>
    <w:rsid w:val="00861E3A"/>
    <w:rsid w:val="00862031"/>
    <w:rsid w:val="00862304"/>
    <w:rsid w:val="00862337"/>
    <w:rsid w:val="00862375"/>
    <w:rsid w:val="008623A8"/>
    <w:rsid w:val="00862469"/>
    <w:rsid w:val="008624E3"/>
    <w:rsid w:val="00862502"/>
    <w:rsid w:val="008628BD"/>
    <w:rsid w:val="00862B7B"/>
    <w:rsid w:val="00862C80"/>
    <w:rsid w:val="00862CC1"/>
    <w:rsid w:val="00862F02"/>
    <w:rsid w:val="00862F39"/>
    <w:rsid w:val="00862F54"/>
    <w:rsid w:val="00862F6D"/>
    <w:rsid w:val="00862F8C"/>
    <w:rsid w:val="00863043"/>
    <w:rsid w:val="008630DC"/>
    <w:rsid w:val="008633F0"/>
    <w:rsid w:val="00863572"/>
    <w:rsid w:val="008635F1"/>
    <w:rsid w:val="008636AF"/>
    <w:rsid w:val="00863824"/>
    <w:rsid w:val="00863978"/>
    <w:rsid w:val="00863A35"/>
    <w:rsid w:val="00863BDD"/>
    <w:rsid w:val="00863C01"/>
    <w:rsid w:val="00864053"/>
    <w:rsid w:val="00864070"/>
    <w:rsid w:val="00864081"/>
    <w:rsid w:val="008640D5"/>
    <w:rsid w:val="00864116"/>
    <w:rsid w:val="008642A7"/>
    <w:rsid w:val="0086493F"/>
    <w:rsid w:val="00864AA4"/>
    <w:rsid w:val="00864AE4"/>
    <w:rsid w:val="00864B5B"/>
    <w:rsid w:val="00864BE6"/>
    <w:rsid w:val="00864C3B"/>
    <w:rsid w:val="00864F1F"/>
    <w:rsid w:val="00864F57"/>
    <w:rsid w:val="00865041"/>
    <w:rsid w:val="0086505A"/>
    <w:rsid w:val="00865146"/>
    <w:rsid w:val="0086516B"/>
    <w:rsid w:val="0086522B"/>
    <w:rsid w:val="00865251"/>
    <w:rsid w:val="00865269"/>
    <w:rsid w:val="00865395"/>
    <w:rsid w:val="008655E7"/>
    <w:rsid w:val="00865782"/>
    <w:rsid w:val="008658C8"/>
    <w:rsid w:val="0086591D"/>
    <w:rsid w:val="0086598F"/>
    <w:rsid w:val="00865A76"/>
    <w:rsid w:val="00865EA8"/>
    <w:rsid w:val="00866002"/>
    <w:rsid w:val="008660D4"/>
    <w:rsid w:val="0086625D"/>
    <w:rsid w:val="0086645D"/>
    <w:rsid w:val="00866529"/>
    <w:rsid w:val="008666D8"/>
    <w:rsid w:val="0086675A"/>
    <w:rsid w:val="0086677F"/>
    <w:rsid w:val="0086697A"/>
    <w:rsid w:val="00866C5F"/>
    <w:rsid w:val="00866DEB"/>
    <w:rsid w:val="00866DF4"/>
    <w:rsid w:val="00866F24"/>
    <w:rsid w:val="00866FCF"/>
    <w:rsid w:val="00867055"/>
    <w:rsid w:val="00867190"/>
    <w:rsid w:val="008671D1"/>
    <w:rsid w:val="0086726F"/>
    <w:rsid w:val="00867599"/>
    <w:rsid w:val="008677D9"/>
    <w:rsid w:val="008678C5"/>
    <w:rsid w:val="008679D7"/>
    <w:rsid w:val="00867A27"/>
    <w:rsid w:val="00867D02"/>
    <w:rsid w:val="00867F26"/>
    <w:rsid w:val="00870246"/>
    <w:rsid w:val="00870265"/>
    <w:rsid w:val="00870270"/>
    <w:rsid w:val="008702D7"/>
    <w:rsid w:val="00870456"/>
    <w:rsid w:val="00870615"/>
    <w:rsid w:val="00870680"/>
    <w:rsid w:val="0087070D"/>
    <w:rsid w:val="008709F8"/>
    <w:rsid w:val="00870B43"/>
    <w:rsid w:val="00870B8A"/>
    <w:rsid w:val="00870D87"/>
    <w:rsid w:val="00870D9B"/>
    <w:rsid w:val="00870DD0"/>
    <w:rsid w:val="00870ED1"/>
    <w:rsid w:val="00870FE0"/>
    <w:rsid w:val="0087108C"/>
    <w:rsid w:val="0087112B"/>
    <w:rsid w:val="008711A9"/>
    <w:rsid w:val="008712A3"/>
    <w:rsid w:val="0087143F"/>
    <w:rsid w:val="008714C2"/>
    <w:rsid w:val="0087169C"/>
    <w:rsid w:val="00871700"/>
    <w:rsid w:val="00871973"/>
    <w:rsid w:val="00871C12"/>
    <w:rsid w:val="00871CE1"/>
    <w:rsid w:val="00871DCE"/>
    <w:rsid w:val="00871DED"/>
    <w:rsid w:val="00871F39"/>
    <w:rsid w:val="00871F46"/>
    <w:rsid w:val="00871FA9"/>
    <w:rsid w:val="00871FAE"/>
    <w:rsid w:val="00872091"/>
    <w:rsid w:val="00872112"/>
    <w:rsid w:val="0087222E"/>
    <w:rsid w:val="00872280"/>
    <w:rsid w:val="008722B9"/>
    <w:rsid w:val="00872411"/>
    <w:rsid w:val="00872624"/>
    <w:rsid w:val="00872647"/>
    <w:rsid w:val="008726DF"/>
    <w:rsid w:val="0087270A"/>
    <w:rsid w:val="008727B3"/>
    <w:rsid w:val="008728E9"/>
    <w:rsid w:val="00872900"/>
    <w:rsid w:val="00872C97"/>
    <w:rsid w:val="00872CB6"/>
    <w:rsid w:val="00872DBB"/>
    <w:rsid w:val="008730BB"/>
    <w:rsid w:val="00873326"/>
    <w:rsid w:val="00873359"/>
    <w:rsid w:val="00873369"/>
    <w:rsid w:val="00873491"/>
    <w:rsid w:val="0087355B"/>
    <w:rsid w:val="00873698"/>
    <w:rsid w:val="008736ED"/>
    <w:rsid w:val="00873880"/>
    <w:rsid w:val="00873888"/>
    <w:rsid w:val="008739F1"/>
    <w:rsid w:val="00873C84"/>
    <w:rsid w:val="00873CD9"/>
    <w:rsid w:val="00873D93"/>
    <w:rsid w:val="00873DD2"/>
    <w:rsid w:val="00873E27"/>
    <w:rsid w:val="00873F8E"/>
    <w:rsid w:val="0087401E"/>
    <w:rsid w:val="00874119"/>
    <w:rsid w:val="008742C3"/>
    <w:rsid w:val="008743B6"/>
    <w:rsid w:val="008744CB"/>
    <w:rsid w:val="008747E9"/>
    <w:rsid w:val="0087489E"/>
    <w:rsid w:val="00874A2A"/>
    <w:rsid w:val="00874AEC"/>
    <w:rsid w:val="00874AFC"/>
    <w:rsid w:val="00874B94"/>
    <w:rsid w:val="00874BAD"/>
    <w:rsid w:val="00874C80"/>
    <w:rsid w:val="00874C83"/>
    <w:rsid w:val="00874EC4"/>
    <w:rsid w:val="00875211"/>
    <w:rsid w:val="00875288"/>
    <w:rsid w:val="00875490"/>
    <w:rsid w:val="008754A9"/>
    <w:rsid w:val="00875502"/>
    <w:rsid w:val="00875666"/>
    <w:rsid w:val="00875726"/>
    <w:rsid w:val="00875877"/>
    <w:rsid w:val="00875A53"/>
    <w:rsid w:val="00875A87"/>
    <w:rsid w:val="00875B94"/>
    <w:rsid w:val="00875D11"/>
    <w:rsid w:val="00875D26"/>
    <w:rsid w:val="00875F60"/>
    <w:rsid w:val="00875FA9"/>
    <w:rsid w:val="008761C6"/>
    <w:rsid w:val="00876280"/>
    <w:rsid w:val="00876292"/>
    <w:rsid w:val="00876390"/>
    <w:rsid w:val="00876419"/>
    <w:rsid w:val="00876452"/>
    <w:rsid w:val="008766E6"/>
    <w:rsid w:val="008767E2"/>
    <w:rsid w:val="0087684B"/>
    <w:rsid w:val="00876C6F"/>
    <w:rsid w:val="00876CD0"/>
    <w:rsid w:val="00876CE0"/>
    <w:rsid w:val="00876DC1"/>
    <w:rsid w:val="00876EF7"/>
    <w:rsid w:val="00877143"/>
    <w:rsid w:val="008771C2"/>
    <w:rsid w:val="00877228"/>
    <w:rsid w:val="00877445"/>
    <w:rsid w:val="00877759"/>
    <w:rsid w:val="008778CB"/>
    <w:rsid w:val="00877956"/>
    <w:rsid w:val="00877989"/>
    <w:rsid w:val="00877D0D"/>
    <w:rsid w:val="00877D59"/>
    <w:rsid w:val="00877F99"/>
    <w:rsid w:val="00877F9C"/>
    <w:rsid w:val="0088001D"/>
    <w:rsid w:val="0088013A"/>
    <w:rsid w:val="008801D2"/>
    <w:rsid w:val="008804E8"/>
    <w:rsid w:val="008805D0"/>
    <w:rsid w:val="00880654"/>
    <w:rsid w:val="00880670"/>
    <w:rsid w:val="008808E5"/>
    <w:rsid w:val="00880B88"/>
    <w:rsid w:val="00880C21"/>
    <w:rsid w:val="008812B3"/>
    <w:rsid w:val="0088134E"/>
    <w:rsid w:val="008813B5"/>
    <w:rsid w:val="008813CF"/>
    <w:rsid w:val="0088151C"/>
    <w:rsid w:val="008815FE"/>
    <w:rsid w:val="008818D1"/>
    <w:rsid w:val="008818E0"/>
    <w:rsid w:val="0088193A"/>
    <w:rsid w:val="00881A3C"/>
    <w:rsid w:val="00881B48"/>
    <w:rsid w:val="00881C17"/>
    <w:rsid w:val="00881CD9"/>
    <w:rsid w:val="0088214B"/>
    <w:rsid w:val="00882174"/>
    <w:rsid w:val="00882198"/>
    <w:rsid w:val="008821A2"/>
    <w:rsid w:val="008821D0"/>
    <w:rsid w:val="008821F4"/>
    <w:rsid w:val="00882238"/>
    <w:rsid w:val="00882504"/>
    <w:rsid w:val="008826A9"/>
    <w:rsid w:val="00882701"/>
    <w:rsid w:val="00882837"/>
    <w:rsid w:val="00882874"/>
    <w:rsid w:val="0088295C"/>
    <w:rsid w:val="00882967"/>
    <w:rsid w:val="00882A37"/>
    <w:rsid w:val="00882CA0"/>
    <w:rsid w:val="00882D30"/>
    <w:rsid w:val="00882DA1"/>
    <w:rsid w:val="00882DA2"/>
    <w:rsid w:val="00882DE6"/>
    <w:rsid w:val="00882E3C"/>
    <w:rsid w:val="00882F21"/>
    <w:rsid w:val="00882F7C"/>
    <w:rsid w:val="00882FAE"/>
    <w:rsid w:val="00882FC3"/>
    <w:rsid w:val="0088308A"/>
    <w:rsid w:val="008831F6"/>
    <w:rsid w:val="008832A0"/>
    <w:rsid w:val="0088348C"/>
    <w:rsid w:val="00883696"/>
    <w:rsid w:val="008836CC"/>
    <w:rsid w:val="00883729"/>
    <w:rsid w:val="00883787"/>
    <w:rsid w:val="008839E9"/>
    <w:rsid w:val="00883BE0"/>
    <w:rsid w:val="00883C60"/>
    <w:rsid w:val="00883D4E"/>
    <w:rsid w:val="00883EDA"/>
    <w:rsid w:val="0088415E"/>
    <w:rsid w:val="0088429D"/>
    <w:rsid w:val="008842B8"/>
    <w:rsid w:val="00884397"/>
    <w:rsid w:val="00884404"/>
    <w:rsid w:val="0088442E"/>
    <w:rsid w:val="0088454F"/>
    <w:rsid w:val="0088467C"/>
    <w:rsid w:val="0088474D"/>
    <w:rsid w:val="008847E0"/>
    <w:rsid w:val="008847F7"/>
    <w:rsid w:val="00884852"/>
    <w:rsid w:val="00884907"/>
    <w:rsid w:val="00884CC4"/>
    <w:rsid w:val="00884DBB"/>
    <w:rsid w:val="00884E48"/>
    <w:rsid w:val="00885086"/>
    <w:rsid w:val="008850A4"/>
    <w:rsid w:val="0088510E"/>
    <w:rsid w:val="00885126"/>
    <w:rsid w:val="00885390"/>
    <w:rsid w:val="008854B6"/>
    <w:rsid w:val="008855E4"/>
    <w:rsid w:val="008856D6"/>
    <w:rsid w:val="0088570D"/>
    <w:rsid w:val="00885904"/>
    <w:rsid w:val="00885B10"/>
    <w:rsid w:val="00885B95"/>
    <w:rsid w:val="00885E66"/>
    <w:rsid w:val="00885E75"/>
    <w:rsid w:val="00885EBB"/>
    <w:rsid w:val="00885F64"/>
    <w:rsid w:val="00885F7F"/>
    <w:rsid w:val="00885FD1"/>
    <w:rsid w:val="00886079"/>
    <w:rsid w:val="0088638D"/>
    <w:rsid w:val="008867BC"/>
    <w:rsid w:val="00886A81"/>
    <w:rsid w:val="00886A8D"/>
    <w:rsid w:val="00886B4B"/>
    <w:rsid w:val="00886B56"/>
    <w:rsid w:val="00886C13"/>
    <w:rsid w:val="00886CBB"/>
    <w:rsid w:val="00886CD2"/>
    <w:rsid w:val="00886CE9"/>
    <w:rsid w:val="00886CF3"/>
    <w:rsid w:val="0088705A"/>
    <w:rsid w:val="0088712E"/>
    <w:rsid w:val="00887553"/>
    <w:rsid w:val="008876F7"/>
    <w:rsid w:val="00887821"/>
    <w:rsid w:val="00887828"/>
    <w:rsid w:val="00887879"/>
    <w:rsid w:val="00887966"/>
    <w:rsid w:val="00887A45"/>
    <w:rsid w:val="00887BB2"/>
    <w:rsid w:val="00887BBC"/>
    <w:rsid w:val="00887C95"/>
    <w:rsid w:val="00887CB2"/>
    <w:rsid w:val="00887D2A"/>
    <w:rsid w:val="00887E24"/>
    <w:rsid w:val="00887F67"/>
    <w:rsid w:val="008900AE"/>
    <w:rsid w:val="008900C6"/>
    <w:rsid w:val="008901AE"/>
    <w:rsid w:val="008901F5"/>
    <w:rsid w:val="0089024C"/>
    <w:rsid w:val="008904F2"/>
    <w:rsid w:val="0089069A"/>
    <w:rsid w:val="00890771"/>
    <w:rsid w:val="008907D6"/>
    <w:rsid w:val="00890A0D"/>
    <w:rsid w:val="00890ADB"/>
    <w:rsid w:val="00890B76"/>
    <w:rsid w:val="00890D16"/>
    <w:rsid w:val="00890DD9"/>
    <w:rsid w:val="00890E27"/>
    <w:rsid w:val="00890FB9"/>
    <w:rsid w:val="008911A1"/>
    <w:rsid w:val="008911D2"/>
    <w:rsid w:val="008912E5"/>
    <w:rsid w:val="008913C9"/>
    <w:rsid w:val="008914D3"/>
    <w:rsid w:val="008915F4"/>
    <w:rsid w:val="00891639"/>
    <w:rsid w:val="00891741"/>
    <w:rsid w:val="0089195C"/>
    <w:rsid w:val="00891976"/>
    <w:rsid w:val="00891A6B"/>
    <w:rsid w:val="00891AEB"/>
    <w:rsid w:val="00891B1A"/>
    <w:rsid w:val="00891BA1"/>
    <w:rsid w:val="00891C1F"/>
    <w:rsid w:val="00891E6F"/>
    <w:rsid w:val="00891EFB"/>
    <w:rsid w:val="00892063"/>
    <w:rsid w:val="00892247"/>
    <w:rsid w:val="0089224F"/>
    <w:rsid w:val="00892277"/>
    <w:rsid w:val="0089229E"/>
    <w:rsid w:val="00892597"/>
    <w:rsid w:val="008925B7"/>
    <w:rsid w:val="008925F6"/>
    <w:rsid w:val="008926D7"/>
    <w:rsid w:val="0089275D"/>
    <w:rsid w:val="008928F3"/>
    <w:rsid w:val="00892A36"/>
    <w:rsid w:val="00892A4B"/>
    <w:rsid w:val="00892BEC"/>
    <w:rsid w:val="00892DC4"/>
    <w:rsid w:val="008930F8"/>
    <w:rsid w:val="00893239"/>
    <w:rsid w:val="0089341C"/>
    <w:rsid w:val="008934C2"/>
    <w:rsid w:val="0089350F"/>
    <w:rsid w:val="008936E8"/>
    <w:rsid w:val="0089372A"/>
    <w:rsid w:val="00893785"/>
    <w:rsid w:val="00893855"/>
    <w:rsid w:val="00893978"/>
    <w:rsid w:val="00893A8E"/>
    <w:rsid w:val="00893C67"/>
    <w:rsid w:val="00893D73"/>
    <w:rsid w:val="00893D75"/>
    <w:rsid w:val="00893E2F"/>
    <w:rsid w:val="00893E86"/>
    <w:rsid w:val="00893FB9"/>
    <w:rsid w:val="00893FE4"/>
    <w:rsid w:val="0089404B"/>
    <w:rsid w:val="0089420E"/>
    <w:rsid w:val="008942CF"/>
    <w:rsid w:val="0089433D"/>
    <w:rsid w:val="00894489"/>
    <w:rsid w:val="008945A8"/>
    <w:rsid w:val="008945E4"/>
    <w:rsid w:val="0089460F"/>
    <w:rsid w:val="00894652"/>
    <w:rsid w:val="00894756"/>
    <w:rsid w:val="008949BC"/>
    <w:rsid w:val="00894A67"/>
    <w:rsid w:val="00894AD1"/>
    <w:rsid w:val="00894B12"/>
    <w:rsid w:val="00894C1E"/>
    <w:rsid w:val="00894C8B"/>
    <w:rsid w:val="00894CD6"/>
    <w:rsid w:val="00894EA3"/>
    <w:rsid w:val="00894EC0"/>
    <w:rsid w:val="00894EF6"/>
    <w:rsid w:val="00895242"/>
    <w:rsid w:val="008952FE"/>
    <w:rsid w:val="00895411"/>
    <w:rsid w:val="008957B4"/>
    <w:rsid w:val="00895A01"/>
    <w:rsid w:val="00895A96"/>
    <w:rsid w:val="00895B4E"/>
    <w:rsid w:val="00895D80"/>
    <w:rsid w:val="00896110"/>
    <w:rsid w:val="00896124"/>
    <w:rsid w:val="00896243"/>
    <w:rsid w:val="008963A5"/>
    <w:rsid w:val="00896514"/>
    <w:rsid w:val="008967A4"/>
    <w:rsid w:val="0089680D"/>
    <w:rsid w:val="00896857"/>
    <w:rsid w:val="00896907"/>
    <w:rsid w:val="00896985"/>
    <w:rsid w:val="00896A1D"/>
    <w:rsid w:val="00896AA6"/>
    <w:rsid w:val="00896AC0"/>
    <w:rsid w:val="00896CD8"/>
    <w:rsid w:val="00896D5D"/>
    <w:rsid w:val="00896D9D"/>
    <w:rsid w:val="00896E52"/>
    <w:rsid w:val="00896EAF"/>
    <w:rsid w:val="00896FCB"/>
    <w:rsid w:val="00897062"/>
    <w:rsid w:val="0089710E"/>
    <w:rsid w:val="0089724D"/>
    <w:rsid w:val="0089728A"/>
    <w:rsid w:val="0089764B"/>
    <w:rsid w:val="0089771D"/>
    <w:rsid w:val="008977F7"/>
    <w:rsid w:val="008978A6"/>
    <w:rsid w:val="00897989"/>
    <w:rsid w:val="00897B9B"/>
    <w:rsid w:val="00897C1E"/>
    <w:rsid w:val="00897EEE"/>
    <w:rsid w:val="008A01D9"/>
    <w:rsid w:val="008A01DA"/>
    <w:rsid w:val="008A0223"/>
    <w:rsid w:val="008A023C"/>
    <w:rsid w:val="008A0278"/>
    <w:rsid w:val="008A02DF"/>
    <w:rsid w:val="008A05BA"/>
    <w:rsid w:val="008A06D5"/>
    <w:rsid w:val="008A0761"/>
    <w:rsid w:val="008A083C"/>
    <w:rsid w:val="008A0848"/>
    <w:rsid w:val="008A08EC"/>
    <w:rsid w:val="008A0CE8"/>
    <w:rsid w:val="008A0D31"/>
    <w:rsid w:val="008A1034"/>
    <w:rsid w:val="008A1271"/>
    <w:rsid w:val="008A12F0"/>
    <w:rsid w:val="008A139E"/>
    <w:rsid w:val="008A13AB"/>
    <w:rsid w:val="008A1531"/>
    <w:rsid w:val="008A15F5"/>
    <w:rsid w:val="008A164B"/>
    <w:rsid w:val="008A1915"/>
    <w:rsid w:val="008A193C"/>
    <w:rsid w:val="008A19FE"/>
    <w:rsid w:val="008A1A56"/>
    <w:rsid w:val="008A1AFF"/>
    <w:rsid w:val="008A1BD1"/>
    <w:rsid w:val="008A1D33"/>
    <w:rsid w:val="008A1D5D"/>
    <w:rsid w:val="008A1E4C"/>
    <w:rsid w:val="008A1F34"/>
    <w:rsid w:val="008A217F"/>
    <w:rsid w:val="008A21B5"/>
    <w:rsid w:val="008A2244"/>
    <w:rsid w:val="008A2434"/>
    <w:rsid w:val="008A2464"/>
    <w:rsid w:val="008A24BC"/>
    <w:rsid w:val="008A2849"/>
    <w:rsid w:val="008A285F"/>
    <w:rsid w:val="008A288E"/>
    <w:rsid w:val="008A289C"/>
    <w:rsid w:val="008A2943"/>
    <w:rsid w:val="008A294C"/>
    <w:rsid w:val="008A2A7B"/>
    <w:rsid w:val="008A2B11"/>
    <w:rsid w:val="008A2B45"/>
    <w:rsid w:val="008A2BCF"/>
    <w:rsid w:val="008A2F62"/>
    <w:rsid w:val="008A311D"/>
    <w:rsid w:val="008A3158"/>
    <w:rsid w:val="008A3363"/>
    <w:rsid w:val="008A3371"/>
    <w:rsid w:val="008A3495"/>
    <w:rsid w:val="008A3590"/>
    <w:rsid w:val="008A3715"/>
    <w:rsid w:val="008A3787"/>
    <w:rsid w:val="008A379F"/>
    <w:rsid w:val="008A3A46"/>
    <w:rsid w:val="008A3A99"/>
    <w:rsid w:val="008A3B3A"/>
    <w:rsid w:val="008A3C31"/>
    <w:rsid w:val="008A3C3E"/>
    <w:rsid w:val="008A3D2E"/>
    <w:rsid w:val="008A3F4A"/>
    <w:rsid w:val="008A4010"/>
    <w:rsid w:val="008A4354"/>
    <w:rsid w:val="008A4384"/>
    <w:rsid w:val="008A43A1"/>
    <w:rsid w:val="008A441F"/>
    <w:rsid w:val="008A442C"/>
    <w:rsid w:val="008A45A2"/>
    <w:rsid w:val="008A45E8"/>
    <w:rsid w:val="008A465E"/>
    <w:rsid w:val="008A47B6"/>
    <w:rsid w:val="008A48FE"/>
    <w:rsid w:val="008A4A1A"/>
    <w:rsid w:val="008A4A47"/>
    <w:rsid w:val="008A4BE1"/>
    <w:rsid w:val="008A4F0A"/>
    <w:rsid w:val="008A4F0C"/>
    <w:rsid w:val="008A50EE"/>
    <w:rsid w:val="008A5299"/>
    <w:rsid w:val="008A5320"/>
    <w:rsid w:val="008A5398"/>
    <w:rsid w:val="008A5551"/>
    <w:rsid w:val="008A5755"/>
    <w:rsid w:val="008A5A88"/>
    <w:rsid w:val="008A5CE8"/>
    <w:rsid w:val="008A5D14"/>
    <w:rsid w:val="008A5D79"/>
    <w:rsid w:val="008A5EA8"/>
    <w:rsid w:val="008A5ECF"/>
    <w:rsid w:val="008A6108"/>
    <w:rsid w:val="008A624D"/>
    <w:rsid w:val="008A62CE"/>
    <w:rsid w:val="008A630C"/>
    <w:rsid w:val="008A63AE"/>
    <w:rsid w:val="008A63F2"/>
    <w:rsid w:val="008A6439"/>
    <w:rsid w:val="008A65B8"/>
    <w:rsid w:val="008A6615"/>
    <w:rsid w:val="008A66DA"/>
    <w:rsid w:val="008A6706"/>
    <w:rsid w:val="008A672A"/>
    <w:rsid w:val="008A673C"/>
    <w:rsid w:val="008A6904"/>
    <w:rsid w:val="008A6B03"/>
    <w:rsid w:val="008A6BB1"/>
    <w:rsid w:val="008A6C7C"/>
    <w:rsid w:val="008A6DA9"/>
    <w:rsid w:val="008A6E00"/>
    <w:rsid w:val="008A6E74"/>
    <w:rsid w:val="008A718C"/>
    <w:rsid w:val="008A73A0"/>
    <w:rsid w:val="008A73CA"/>
    <w:rsid w:val="008A73F4"/>
    <w:rsid w:val="008A7465"/>
    <w:rsid w:val="008A747F"/>
    <w:rsid w:val="008A75B9"/>
    <w:rsid w:val="008A7722"/>
    <w:rsid w:val="008A79DE"/>
    <w:rsid w:val="008A7BC2"/>
    <w:rsid w:val="008A7C55"/>
    <w:rsid w:val="008A7E2B"/>
    <w:rsid w:val="008A7E84"/>
    <w:rsid w:val="008A7EEE"/>
    <w:rsid w:val="008B0042"/>
    <w:rsid w:val="008B0130"/>
    <w:rsid w:val="008B015C"/>
    <w:rsid w:val="008B018A"/>
    <w:rsid w:val="008B01C8"/>
    <w:rsid w:val="008B0265"/>
    <w:rsid w:val="008B0304"/>
    <w:rsid w:val="008B077F"/>
    <w:rsid w:val="008B093D"/>
    <w:rsid w:val="008B09BE"/>
    <w:rsid w:val="008B0A3F"/>
    <w:rsid w:val="008B0A75"/>
    <w:rsid w:val="008B0ADB"/>
    <w:rsid w:val="008B0C09"/>
    <w:rsid w:val="008B0D0F"/>
    <w:rsid w:val="008B0D47"/>
    <w:rsid w:val="008B0DF0"/>
    <w:rsid w:val="008B0EA0"/>
    <w:rsid w:val="008B0ECB"/>
    <w:rsid w:val="008B129E"/>
    <w:rsid w:val="008B1340"/>
    <w:rsid w:val="008B1757"/>
    <w:rsid w:val="008B1930"/>
    <w:rsid w:val="008B1B10"/>
    <w:rsid w:val="008B1C33"/>
    <w:rsid w:val="008B1C8D"/>
    <w:rsid w:val="008B1CCE"/>
    <w:rsid w:val="008B1D8F"/>
    <w:rsid w:val="008B1E64"/>
    <w:rsid w:val="008B21DE"/>
    <w:rsid w:val="008B2268"/>
    <w:rsid w:val="008B22F0"/>
    <w:rsid w:val="008B2393"/>
    <w:rsid w:val="008B24B5"/>
    <w:rsid w:val="008B2527"/>
    <w:rsid w:val="008B2607"/>
    <w:rsid w:val="008B2663"/>
    <w:rsid w:val="008B2671"/>
    <w:rsid w:val="008B2AF3"/>
    <w:rsid w:val="008B2BC3"/>
    <w:rsid w:val="008B2CBB"/>
    <w:rsid w:val="008B2DB1"/>
    <w:rsid w:val="008B2E61"/>
    <w:rsid w:val="008B2F35"/>
    <w:rsid w:val="008B31CB"/>
    <w:rsid w:val="008B320D"/>
    <w:rsid w:val="008B3262"/>
    <w:rsid w:val="008B34D3"/>
    <w:rsid w:val="008B36C6"/>
    <w:rsid w:val="008B3714"/>
    <w:rsid w:val="008B3899"/>
    <w:rsid w:val="008B38EF"/>
    <w:rsid w:val="008B38F5"/>
    <w:rsid w:val="008B3ABE"/>
    <w:rsid w:val="008B3B52"/>
    <w:rsid w:val="008B3BAF"/>
    <w:rsid w:val="008B3C8D"/>
    <w:rsid w:val="008B3C99"/>
    <w:rsid w:val="008B3E27"/>
    <w:rsid w:val="008B3E97"/>
    <w:rsid w:val="008B3F65"/>
    <w:rsid w:val="008B40CC"/>
    <w:rsid w:val="008B4198"/>
    <w:rsid w:val="008B41E0"/>
    <w:rsid w:val="008B4232"/>
    <w:rsid w:val="008B4324"/>
    <w:rsid w:val="008B443D"/>
    <w:rsid w:val="008B4A23"/>
    <w:rsid w:val="008B4B6F"/>
    <w:rsid w:val="008B4B77"/>
    <w:rsid w:val="008B4B81"/>
    <w:rsid w:val="008B5119"/>
    <w:rsid w:val="008B5169"/>
    <w:rsid w:val="008B5184"/>
    <w:rsid w:val="008B5199"/>
    <w:rsid w:val="008B536E"/>
    <w:rsid w:val="008B548E"/>
    <w:rsid w:val="008B549B"/>
    <w:rsid w:val="008B551C"/>
    <w:rsid w:val="008B55B6"/>
    <w:rsid w:val="008B55D9"/>
    <w:rsid w:val="008B55EF"/>
    <w:rsid w:val="008B56B3"/>
    <w:rsid w:val="008B596A"/>
    <w:rsid w:val="008B5A04"/>
    <w:rsid w:val="008B5DE7"/>
    <w:rsid w:val="008B5F83"/>
    <w:rsid w:val="008B6216"/>
    <w:rsid w:val="008B62CA"/>
    <w:rsid w:val="008B640C"/>
    <w:rsid w:val="008B6470"/>
    <w:rsid w:val="008B6557"/>
    <w:rsid w:val="008B6670"/>
    <w:rsid w:val="008B68F6"/>
    <w:rsid w:val="008B6AC6"/>
    <w:rsid w:val="008B6BB7"/>
    <w:rsid w:val="008B6D09"/>
    <w:rsid w:val="008B6EE7"/>
    <w:rsid w:val="008B6EF9"/>
    <w:rsid w:val="008B724B"/>
    <w:rsid w:val="008B7395"/>
    <w:rsid w:val="008B748E"/>
    <w:rsid w:val="008B7768"/>
    <w:rsid w:val="008B7828"/>
    <w:rsid w:val="008B788A"/>
    <w:rsid w:val="008B7992"/>
    <w:rsid w:val="008B799C"/>
    <w:rsid w:val="008B7A09"/>
    <w:rsid w:val="008B7A2B"/>
    <w:rsid w:val="008B7A71"/>
    <w:rsid w:val="008B7AB1"/>
    <w:rsid w:val="008B7B3C"/>
    <w:rsid w:val="008B7B54"/>
    <w:rsid w:val="008B7BAD"/>
    <w:rsid w:val="008B7BCB"/>
    <w:rsid w:val="008B7C3C"/>
    <w:rsid w:val="008B7CA1"/>
    <w:rsid w:val="008B7D0C"/>
    <w:rsid w:val="008B7D7E"/>
    <w:rsid w:val="008C0099"/>
    <w:rsid w:val="008C00B6"/>
    <w:rsid w:val="008C00D4"/>
    <w:rsid w:val="008C00ED"/>
    <w:rsid w:val="008C0260"/>
    <w:rsid w:val="008C03E1"/>
    <w:rsid w:val="008C04C8"/>
    <w:rsid w:val="008C09B4"/>
    <w:rsid w:val="008C0DD3"/>
    <w:rsid w:val="008C0E14"/>
    <w:rsid w:val="008C0E5E"/>
    <w:rsid w:val="008C0FB7"/>
    <w:rsid w:val="008C1057"/>
    <w:rsid w:val="008C10A5"/>
    <w:rsid w:val="008C1307"/>
    <w:rsid w:val="008C143C"/>
    <w:rsid w:val="008C15A2"/>
    <w:rsid w:val="008C163A"/>
    <w:rsid w:val="008C16EE"/>
    <w:rsid w:val="008C1948"/>
    <w:rsid w:val="008C1A25"/>
    <w:rsid w:val="008C1BDE"/>
    <w:rsid w:val="008C1D51"/>
    <w:rsid w:val="008C1E23"/>
    <w:rsid w:val="008C1E58"/>
    <w:rsid w:val="008C1F34"/>
    <w:rsid w:val="008C1F36"/>
    <w:rsid w:val="008C1F8A"/>
    <w:rsid w:val="008C2089"/>
    <w:rsid w:val="008C242D"/>
    <w:rsid w:val="008C2551"/>
    <w:rsid w:val="008C2569"/>
    <w:rsid w:val="008C2735"/>
    <w:rsid w:val="008C2882"/>
    <w:rsid w:val="008C2A25"/>
    <w:rsid w:val="008C2B40"/>
    <w:rsid w:val="008C2C94"/>
    <w:rsid w:val="008C2E5E"/>
    <w:rsid w:val="008C2F91"/>
    <w:rsid w:val="008C3016"/>
    <w:rsid w:val="008C32FA"/>
    <w:rsid w:val="008C3363"/>
    <w:rsid w:val="008C346B"/>
    <w:rsid w:val="008C353B"/>
    <w:rsid w:val="008C3542"/>
    <w:rsid w:val="008C357E"/>
    <w:rsid w:val="008C3710"/>
    <w:rsid w:val="008C38F0"/>
    <w:rsid w:val="008C3BC7"/>
    <w:rsid w:val="008C3C23"/>
    <w:rsid w:val="008C3C2D"/>
    <w:rsid w:val="008C4004"/>
    <w:rsid w:val="008C40D5"/>
    <w:rsid w:val="008C410F"/>
    <w:rsid w:val="008C44B8"/>
    <w:rsid w:val="008C4528"/>
    <w:rsid w:val="008C4595"/>
    <w:rsid w:val="008C45BF"/>
    <w:rsid w:val="008C49BB"/>
    <w:rsid w:val="008C49DD"/>
    <w:rsid w:val="008C4A60"/>
    <w:rsid w:val="008C4C03"/>
    <w:rsid w:val="008C4D13"/>
    <w:rsid w:val="008C4D32"/>
    <w:rsid w:val="008C4D55"/>
    <w:rsid w:val="008C4DCF"/>
    <w:rsid w:val="008C4E35"/>
    <w:rsid w:val="008C50F9"/>
    <w:rsid w:val="008C516B"/>
    <w:rsid w:val="008C5234"/>
    <w:rsid w:val="008C524F"/>
    <w:rsid w:val="008C52DE"/>
    <w:rsid w:val="008C5422"/>
    <w:rsid w:val="008C545B"/>
    <w:rsid w:val="008C54A6"/>
    <w:rsid w:val="008C551F"/>
    <w:rsid w:val="008C5610"/>
    <w:rsid w:val="008C5739"/>
    <w:rsid w:val="008C588E"/>
    <w:rsid w:val="008C5A2C"/>
    <w:rsid w:val="008C5B7B"/>
    <w:rsid w:val="008C5E61"/>
    <w:rsid w:val="008C6103"/>
    <w:rsid w:val="008C610B"/>
    <w:rsid w:val="008C63B0"/>
    <w:rsid w:val="008C63E5"/>
    <w:rsid w:val="008C64BB"/>
    <w:rsid w:val="008C651A"/>
    <w:rsid w:val="008C6586"/>
    <w:rsid w:val="008C678A"/>
    <w:rsid w:val="008C6B88"/>
    <w:rsid w:val="008C6BF5"/>
    <w:rsid w:val="008C6FF8"/>
    <w:rsid w:val="008C700F"/>
    <w:rsid w:val="008C7017"/>
    <w:rsid w:val="008C704D"/>
    <w:rsid w:val="008C7164"/>
    <w:rsid w:val="008C71A8"/>
    <w:rsid w:val="008C7247"/>
    <w:rsid w:val="008C7282"/>
    <w:rsid w:val="008C7320"/>
    <w:rsid w:val="008C7446"/>
    <w:rsid w:val="008C762E"/>
    <w:rsid w:val="008C7736"/>
    <w:rsid w:val="008C7897"/>
    <w:rsid w:val="008C7A94"/>
    <w:rsid w:val="008C7B5A"/>
    <w:rsid w:val="008C7D1B"/>
    <w:rsid w:val="008C7D1F"/>
    <w:rsid w:val="008C7DE0"/>
    <w:rsid w:val="008C7E0C"/>
    <w:rsid w:val="008C7E48"/>
    <w:rsid w:val="008C7EAE"/>
    <w:rsid w:val="008C7ECB"/>
    <w:rsid w:val="008D0040"/>
    <w:rsid w:val="008D0078"/>
    <w:rsid w:val="008D00F7"/>
    <w:rsid w:val="008D0278"/>
    <w:rsid w:val="008D04EA"/>
    <w:rsid w:val="008D09DC"/>
    <w:rsid w:val="008D0C99"/>
    <w:rsid w:val="008D0CD1"/>
    <w:rsid w:val="008D0CF9"/>
    <w:rsid w:val="008D0D89"/>
    <w:rsid w:val="008D0DB9"/>
    <w:rsid w:val="008D0F09"/>
    <w:rsid w:val="008D0F5B"/>
    <w:rsid w:val="008D1034"/>
    <w:rsid w:val="008D10CD"/>
    <w:rsid w:val="008D111B"/>
    <w:rsid w:val="008D11B5"/>
    <w:rsid w:val="008D11BD"/>
    <w:rsid w:val="008D11E2"/>
    <w:rsid w:val="008D1248"/>
    <w:rsid w:val="008D12A4"/>
    <w:rsid w:val="008D12CC"/>
    <w:rsid w:val="008D132C"/>
    <w:rsid w:val="008D135C"/>
    <w:rsid w:val="008D14A3"/>
    <w:rsid w:val="008D158C"/>
    <w:rsid w:val="008D178F"/>
    <w:rsid w:val="008D18AE"/>
    <w:rsid w:val="008D1992"/>
    <w:rsid w:val="008D1A07"/>
    <w:rsid w:val="008D1B83"/>
    <w:rsid w:val="008D1C20"/>
    <w:rsid w:val="008D1C39"/>
    <w:rsid w:val="008D1D31"/>
    <w:rsid w:val="008D1E62"/>
    <w:rsid w:val="008D1F5A"/>
    <w:rsid w:val="008D1FE8"/>
    <w:rsid w:val="008D201E"/>
    <w:rsid w:val="008D2127"/>
    <w:rsid w:val="008D2332"/>
    <w:rsid w:val="008D2484"/>
    <w:rsid w:val="008D2595"/>
    <w:rsid w:val="008D275C"/>
    <w:rsid w:val="008D28F7"/>
    <w:rsid w:val="008D2AAD"/>
    <w:rsid w:val="008D2DF2"/>
    <w:rsid w:val="008D2F5B"/>
    <w:rsid w:val="008D2FC7"/>
    <w:rsid w:val="008D3207"/>
    <w:rsid w:val="008D324D"/>
    <w:rsid w:val="008D32AD"/>
    <w:rsid w:val="008D32FB"/>
    <w:rsid w:val="008D3B86"/>
    <w:rsid w:val="008D3BD5"/>
    <w:rsid w:val="008D3DA2"/>
    <w:rsid w:val="008D3F1C"/>
    <w:rsid w:val="008D4119"/>
    <w:rsid w:val="008D42E7"/>
    <w:rsid w:val="008D43FD"/>
    <w:rsid w:val="008D4419"/>
    <w:rsid w:val="008D469D"/>
    <w:rsid w:val="008D4755"/>
    <w:rsid w:val="008D4826"/>
    <w:rsid w:val="008D48D2"/>
    <w:rsid w:val="008D49BE"/>
    <w:rsid w:val="008D4A81"/>
    <w:rsid w:val="008D4B0B"/>
    <w:rsid w:val="008D4B3E"/>
    <w:rsid w:val="008D4C3D"/>
    <w:rsid w:val="008D4EF1"/>
    <w:rsid w:val="008D50AA"/>
    <w:rsid w:val="008D512B"/>
    <w:rsid w:val="008D512F"/>
    <w:rsid w:val="008D52EC"/>
    <w:rsid w:val="008D52EE"/>
    <w:rsid w:val="008D545F"/>
    <w:rsid w:val="008D5602"/>
    <w:rsid w:val="008D59F7"/>
    <w:rsid w:val="008D5AE0"/>
    <w:rsid w:val="008D5B31"/>
    <w:rsid w:val="008D5BA8"/>
    <w:rsid w:val="008D5C06"/>
    <w:rsid w:val="008D5DD6"/>
    <w:rsid w:val="008D5E55"/>
    <w:rsid w:val="008D5F3A"/>
    <w:rsid w:val="008D6054"/>
    <w:rsid w:val="008D60AF"/>
    <w:rsid w:val="008D6103"/>
    <w:rsid w:val="008D6445"/>
    <w:rsid w:val="008D64C2"/>
    <w:rsid w:val="008D6690"/>
    <w:rsid w:val="008D66F3"/>
    <w:rsid w:val="008D6706"/>
    <w:rsid w:val="008D6781"/>
    <w:rsid w:val="008D679B"/>
    <w:rsid w:val="008D6A6E"/>
    <w:rsid w:val="008D6AAE"/>
    <w:rsid w:val="008D6B3E"/>
    <w:rsid w:val="008D6B67"/>
    <w:rsid w:val="008D6CAF"/>
    <w:rsid w:val="008D6CED"/>
    <w:rsid w:val="008D6F00"/>
    <w:rsid w:val="008D6F7E"/>
    <w:rsid w:val="008D6FB8"/>
    <w:rsid w:val="008D707A"/>
    <w:rsid w:val="008D71CE"/>
    <w:rsid w:val="008D7305"/>
    <w:rsid w:val="008D7419"/>
    <w:rsid w:val="008D743C"/>
    <w:rsid w:val="008D75A4"/>
    <w:rsid w:val="008D75DF"/>
    <w:rsid w:val="008D7606"/>
    <w:rsid w:val="008D763C"/>
    <w:rsid w:val="008D769F"/>
    <w:rsid w:val="008D7732"/>
    <w:rsid w:val="008D781F"/>
    <w:rsid w:val="008D783B"/>
    <w:rsid w:val="008D7A34"/>
    <w:rsid w:val="008D7BF2"/>
    <w:rsid w:val="008D7C54"/>
    <w:rsid w:val="008D7D8C"/>
    <w:rsid w:val="008D7FDD"/>
    <w:rsid w:val="008E015E"/>
    <w:rsid w:val="008E023A"/>
    <w:rsid w:val="008E0312"/>
    <w:rsid w:val="008E03A1"/>
    <w:rsid w:val="008E03D8"/>
    <w:rsid w:val="008E044D"/>
    <w:rsid w:val="008E055F"/>
    <w:rsid w:val="008E05AA"/>
    <w:rsid w:val="008E05BA"/>
    <w:rsid w:val="008E072D"/>
    <w:rsid w:val="008E085B"/>
    <w:rsid w:val="008E0A84"/>
    <w:rsid w:val="008E0AB2"/>
    <w:rsid w:val="008E0B30"/>
    <w:rsid w:val="008E0D3C"/>
    <w:rsid w:val="008E10A9"/>
    <w:rsid w:val="008E11E1"/>
    <w:rsid w:val="008E126B"/>
    <w:rsid w:val="008E12EE"/>
    <w:rsid w:val="008E1535"/>
    <w:rsid w:val="008E153C"/>
    <w:rsid w:val="008E1548"/>
    <w:rsid w:val="008E1574"/>
    <w:rsid w:val="008E16D1"/>
    <w:rsid w:val="008E1B9E"/>
    <w:rsid w:val="008E1BED"/>
    <w:rsid w:val="008E1CA4"/>
    <w:rsid w:val="008E1E29"/>
    <w:rsid w:val="008E1F47"/>
    <w:rsid w:val="008E1FFC"/>
    <w:rsid w:val="008E20EA"/>
    <w:rsid w:val="008E2138"/>
    <w:rsid w:val="008E2519"/>
    <w:rsid w:val="008E268F"/>
    <w:rsid w:val="008E2732"/>
    <w:rsid w:val="008E2978"/>
    <w:rsid w:val="008E2997"/>
    <w:rsid w:val="008E2BBB"/>
    <w:rsid w:val="008E2BCE"/>
    <w:rsid w:val="008E2C0C"/>
    <w:rsid w:val="008E2CAF"/>
    <w:rsid w:val="008E2FAB"/>
    <w:rsid w:val="008E30B6"/>
    <w:rsid w:val="008E3164"/>
    <w:rsid w:val="008E320B"/>
    <w:rsid w:val="008E3227"/>
    <w:rsid w:val="008E3229"/>
    <w:rsid w:val="008E3453"/>
    <w:rsid w:val="008E3477"/>
    <w:rsid w:val="008E35CE"/>
    <w:rsid w:val="008E371B"/>
    <w:rsid w:val="008E37E8"/>
    <w:rsid w:val="008E382F"/>
    <w:rsid w:val="008E3A77"/>
    <w:rsid w:val="008E3A7B"/>
    <w:rsid w:val="008E3B7D"/>
    <w:rsid w:val="008E3B8E"/>
    <w:rsid w:val="008E3F23"/>
    <w:rsid w:val="008E42D6"/>
    <w:rsid w:val="008E4517"/>
    <w:rsid w:val="008E4610"/>
    <w:rsid w:val="008E4623"/>
    <w:rsid w:val="008E47ED"/>
    <w:rsid w:val="008E488C"/>
    <w:rsid w:val="008E49C8"/>
    <w:rsid w:val="008E4AF1"/>
    <w:rsid w:val="008E4CD2"/>
    <w:rsid w:val="008E4D71"/>
    <w:rsid w:val="008E4E3B"/>
    <w:rsid w:val="008E5045"/>
    <w:rsid w:val="008E5085"/>
    <w:rsid w:val="008E511A"/>
    <w:rsid w:val="008E55AB"/>
    <w:rsid w:val="008E56A4"/>
    <w:rsid w:val="008E573A"/>
    <w:rsid w:val="008E5A43"/>
    <w:rsid w:val="008E5A77"/>
    <w:rsid w:val="008E5AA4"/>
    <w:rsid w:val="008E5BD8"/>
    <w:rsid w:val="008E5C3A"/>
    <w:rsid w:val="008E5CB1"/>
    <w:rsid w:val="008E5E18"/>
    <w:rsid w:val="008E5EAF"/>
    <w:rsid w:val="008E5F92"/>
    <w:rsid w:val="008E5FBF"/>
    <w:rsid w:val="008E5FC9"/>
    <w:rsid w:val="008E6217"/>
    <w:rsid w:val="008E6271"/>
    <w:rsid w:val="008E63D1"/>
    <w:rsid w:val="008E642C"/>
    <w:rsid w:val="008E642E"/>
    <w:rsid w:val="008E64D8"/>
    <w:rsid w:val="008E64FA"/>
    <w:rsid w:val="008E6667"/>
    <w:rsid w:val="008E6746"/>
    <w:rsid w:val="008E67D6"/>
    <w:rsid w:val="008E690D"/>
    <w:rsid w:val="008E6A55"/>
    <w:rsid w:val="008E6B09"/>
    <w:rsid w:val="008E6BE3"/>
    <w:rsid w:val="008E7076"/>
    <w:rsid w:val="008E72B9"/>
    <w:rsid w:val="008E72C4"/>
    <w:rsid w:val="008E75DD"/>
    <w:rsid w:val="008E77A8"/>
    <w:rsid w:val="008E77E6"/>
    <w:rsid w:val="008E787D"/>
    <w:rsid w:val="008E798C"/>
    <w:rsid w:val="008E79CA"/>
    <w:rsid w:val="008E7B7C"/>
    <w:rsid w:val="008E7BC1"/>
    <w:rsid w:val="008E7D64"/>
    <w:rsid w:val="008E7E4E"/>
    <w:rsid w:val="008F008E"/>
    <w:rsid w:val="008F0339"/>
    <w:rsid w:val="008F0363"/>
    <w:rsid w:val="008F0405"/>
    <w:rsid w:val="008F051D"/>
    <w:rsid w:val="008F06EA"/>
    <w:rsid w:val="008F072F"/>
    <w:rsid w:val="008F073A"/>
    <w:rsid w:val="008F0766"/>
    <w:rsid w:val="008F0B1B"/>
    <w:rsid w:val="008F0C7D"/>
    <w:rsid w:val="008F0CD4"/>
    <w:rsid w:val="008F0DFD"/>
    <w:rsid w:val="008F0E3F"/>
    <w:rsid w:val="008F0E69"/>
    <w:rsid w:val="008F120A"/>
    <w:rsid w:val="008F14F1"/>
    <w:rsid w:val="008F16C9"/>
    <w:rsid w:val="008F1740"/>
    <w:rsid w:val="008F1789"/>
    <w:rsid w:val="008F17F7"/>
    <w:rsid w:val="008F190B"/>
    <w:rsid w:val="008F1AAD"/>
    <w:rsid w:val="008F1AF4"/>
    <w:rsid w:val="008F1B30"/>
    <w:rsid w:val="008F1BD8"/>
    <w:rsid w:val="008F1C39"/>
    <w:rsid w:val="008F1F69"/>
    <w:rsid w:val="008F20C7"/>
    <w:rsid w:val="008F20CB"/>
    <w:rsid w:val="008F2175"/>
    <w:rsid w:val="008F2226"/>
    <w:rsid w:val="008F2672"/>
    <w:rsid w:val="008F27E0"/>
    <w:rsid w:val="008F2A1C"/>
    <w:rsid w:val="008F2B11"/>
    <w:rsid w:val="008F2C84"/>
    <w:rsid w:val="008F2DF0"/>
    <w:rsid w:val="008F3447"/>
    <w:rsid w:val="008F345D"/>
    <w:rsid w:val="008F3467"/>
    <w:rsid w:val="008F3547"/>
    <w:rsid w:val="008F35DD"/>
    <w:rsid w:val="008F3A17"/>
    <w:rsid w:val="008F3AF7"/>
    <w:rsid w:val="008F3CF5"/>
    <w:rsid w:val="008F3D0C"/>
    <w:rsid w:val="008F3DF7"/>
    <w:rsid w:val="008F3E2C"/>
    <w:rsid w:val="008F40E9"/>
    <w:rsid w:val="008F410B"/>
    <w:rsid w:val="008F4144"/>
    <w:rsid w:val="008F423A"/>
    <w:rsid w:val="008F42B3"/>
    <w:rsid w:val="008F4612"/>
    <w:rsid w:val="008F48EB"/>
    <w:rsid w:val="008F496D"/>
    <w:rsid w:val="008F4B7F"/>
    <w:rsid w:val="008F4E44"/>
    <w:rsid w:val="008F4EAB"/>
    <w:rsid w:val="008F4F0B"/>
    <w:rsid w:val="008F520E"/>
    <w:rsid w:val="008F5495"/>
    <w:rsid w:val="008F5545"/>
    <w:rsid w:val="008F5583"/>
    <w:rsid w:val="008F56F0"/>
    <w:rsid w:val="008F57D5"/>
    <w:rsid w:val="008F58CE"/>
    <w:rsid w:val="008F5A40"/>
    <w:rsid w:val="008F5B5E"/>
    <w:rsid w:val="008F6014"/>
    <w:rsid w:val="008F621E"/>
    <w:rsid w:val="008F6223"/>
    <w:rsid w:val="008F62B6"/>
    <w:rsid w:val="008F631F"/>
    <w:rsid w:val="008F6561"/>
    <w:rsid w:val="008F662D"/>
    <w:rsid w:val="008F670B"/>
    <w:rsid w:val="008F6745"/>
    <w:rsid w:val="008F6A42"/>
    <w:rsid w:val="008F6C3B"/>
    <w:rsid w:val="008F6C8F"/>
    <w:rsid w:val="008F6CC0"/>
    <w:rsid w:val="008F6D96"/>
    <w:rsid w:val="008F6EB2"/>
    <w:rsid w:val="008F6FAC"/>
    <w:rsid w:val="008F7199"/>
    <w:rsid w:val="008F7233"/>
    <w:rsid w:val="008F72DD"/>
    <w:rsid w:val="008F7380"/>
    <w:rsid w:val="008F738C"/>
    <w:rsid w:val="008F739B"/>
    <w:rsid w:val="008F757A"/>
    <w:rsid w:val="008F75AE"/>
    <w:rsid w:val="008F764E"/>
    <w:rsid w:val="008F776F"/>
    <w:rsid w:val="008F7926"/>
    <w:rsid w:val="008F7A65"/>
    <w:rsid w:val="008F7A74"/>
    <w:rsid w:val="008F7AB1"/>
    <w:rsid w:val="008F7C82"/>
    <w:rsid w:val="008F7F5B"/>
    <w:rsid w:val="008F7FD4"/>
    <w:rsid w:val="009000D2"/>
    <w:rsid w:val="009000FD"/>
    <w:rsid w:val="0090044C"/>
    <w:rsid w:val="00900492"/>
    <w:rsid w:val="0090062D"/>
    <w:rsid w:val="009006C7"/>
    <w:rsid w:val="00900765"/>
    <w:rsid w:val="00900798"/>
    <w:rsid w:val="0090083B"/>
    <w:rsid w:val="0090086B"/>
    <w:rsid w:val="0090090B"/>
    <w:rsid w:val="00900922"/>
    <w:rsid w:val="00900AE6"/>
    <w:rsid w:val="00900B37"/>
    <w:rsid w:val="00900C2C"/>
    <w:rsid w:val="00900D65"/>
    <w:rsid w:val="00900DBA"/>
    <w:rsid w:val="00900F12"/>
    <w:rsid w:val="00901092"/>
    <w:rsid w:val="00901116"/>
    <w:rsid w:val="0090123A"/>
    <w:rsid w:val="00901303"/>
    <w:rsid w:val="009016D0"/>
    <w:rsid w:val="00901820"/>
    <w:rsid w:val="009018DF"/>
    <w:rsid w:val="00901BEB"/>
    <w:rsid w:val="00901CBE"/>
    <w:rsid w:val="00901DED"/>
    <w:rsid w:val="00901E0E"/>
    <w:rsid w:val="00901F83"/>
    <w:rsid w:val="009021A0"/>
    <w:rsid w:val="00902218"/>
    <w:rsid w:val="00902229"/>
    <w:rsid w:val="00902536"/>
    <w:rsid w:val="00902695"/>
    <w:rsid w:val="00902D5D"/>
    <w:rsid w:val="00902D74"/>
    <w:rsid w:val="00902E8F"/>
    <w:rsid w:val="00902EEB"/>
    <w:rsid w:val="00902F3A"/>
    <w:rsid w:val="009031CC"/>
    <w:rsid w:val="0090322F"/>
    <w:rsid w:val="00903302"/>
    <w:rsid w:val="009033A0"/>
    <w:rsid w:val="009033A6"/>
    <w:rsid w:val="009033AB"/>
    <w:rsid w:val="009033BA"/>
    <w:rsid w:val="00903424"/>
    <w:rsid w:val="00903502"/>
    <w:rsid w:val="0090356E"/>
    <w:rsid w:val="009038B8"/>
    <w:rsid w:val="00903A87"/>
    <w:rsid w:val="00903AE2"/>
    <w:rsid w:val="00903CB2"/>
    <w:rsid w:val="00903DC7"/>
    <w:rsid w:val="00903E1A"/>
    <w:rsid w:val="00903F31"/>
    <w:rsid w:val="009041D5"/>
    <w:rsid w:val="00904420"/>
    <w:rsid w:val="00904626"/>
    <w:rsid w:val="00904679"/>
    <w:rsid w:val="0090469C"/>
    <w:rsid w:val="009046C4"/>
    <w:rsid w:val="00904774"/>
    <w:rsid w:val="00904942"/>
    <w:rsid w:val="00904A28"/>
    <w:rsid w:val="00904D72"/>
    <w:rsid w:val="00904DCA"/>
    <w:rsid w:val="0090511A"/>
    <w:rsid w:val="009051E3"/>
    <w:rsid w:val="0090534E"/>
    <w:rsid w:val="00905361"/>
    <w:rsid w:val="009055DC"/>
    <w:rsid w:val="009056EF"/>
    <w:rsid w:val="00905798"/>
    <w:rsid w:val="00905A6C"/>
    <w:rsid w:val="00905AA1"/>
    <w:rsid w:val="00905D4B"/>
    <w:rsid w:val="00905D53"/>
    <w:rsid w:val="00905EB7"/>
    <w:rsid w:val="00905EDD"/>
    <w:rsid w:val="00906242"/>
    <w:rsid w:val="009062A5"/>
    <w:rsid w:val="009063E5"/>
    <w:rsid w:val="00906596"/>
    <w:rsid w:val="009067B6"/>
    <w:rsid w:val="009067C9"/>
    <w:rsid w:val="0090687A"/>
    <w:rsid w:val="009068EF"/>
    <w:rsid w:val="00906A84"/>
    <w:rsid w:val="00906BF3"/>
    <w:rsid w:val="00906EB3"/>
    <w:rsid w:val="00906F80"/>
    <w:rsid w:val="00906F82"/>
    <w:rsid w:val="0090715C"/>
    <w:rsid w:val="00907260"/>
    <w:rsid w:val="0090750D"/>
    <w:rsid w:val="0090768C"/>
    <w:rsid w:val="00907699"/>
    <w:rsid w:val="009076BF"/>
    <w:rsid w:val="00907ABF"/>
    <w:rsid w:val="00907B5C"/>
    <w:rsid w:val="00907C57"/>
    <w:rsid w:val="00907C72"/>
    <w:rsid w:val="00907CA5"/>
    <w:rsid w:val="00907D79"/>
    <w:rsid w:val="00907F67"/>
    <w:rsid w:val="00907F8F"/>
    <w:rsid w:val="009100D5"/>
    <w:rsid w:val="00910197"/>
    <w:rsid w:val="009101C3"/>
    <w:rsid w:val="009102C8"/>
    <w:rsid w:val="009104D1"/>
    <w:rsid w:val="00910571"/>
    <w:rsid w:val="00910707"/>
    <w:rsid w:val="009107AC"/>
    <w:rsid w:val="009107BC"/>
    <w:rsid w:val="00910872"/>
    <w:rsid w:val="009109F1"/>
    <w:rsid w:val="00910BD2"/>
    <w:rsid w:val="00910C8F"/>
    <w:rsid w:val="00910C94"/>
    <w:rsid w:val="00910D99"/>
    <w:rsid w:val="00910EB9"/>
    <w:rsid w:val="00910FA7"/>
    <w:rsid w:val="00911050"/>
    <w:rsid w:val="0091110A"/>
    <w:rsid w:val="0091124A"/>
    <w:rsid w:val="00911267"/>
    <w:rsid w:val="00911272"/>
    <w:rsid w:val="00911339"/>
    <w:rsid w:val="0091138C"/>
    <w:rsid w:val="00911625"/>
    <w:rsid w:val="00911677"/>
    <w:rsid w:val="00911846"/>
    <w:rsid w:val="00911B85"/>
    <w:rsid w:val="00911BDF"/>
    <w:rsid w:val="00911E4F"/>
    <w:rsid w:val="00911E8C"/>
    <w:rsid w:val="00911F5A"/>
    <w:rsid w:val="00911FCF"/>
    <w:rsid w:val="0091228C"/>
    <w:rsid w:val="009123EF"/>
    <w:rsid w:val="0091243D"/>
    <w:rsid w:val="00912565"/>
    <w:rsid w:val="0091264D"/>
    <w:rsid w:val="00912676"/>
    <w:rsid w:val="009127BF"/>
    <w:rsid w:val="0091287F"/>
    <w:rsid w:val="00912970"/>
    <w:rsid w:val="00912BF9"/>
    <w:rsid w:val="00912D96"/>
    <w:rsid w:val="00912D97"/>
    <w:rsid w:val="00912EFE"/>
    <w:rsid w:val="00913117"/>
    <w:rsid w:val="00913245"/>
    <w:rsid w:val="009133AF"/>
    <w:rsid w:val="0091348A"/>
    <w:rsid w:val="009135B7"/>
    <w:rsid w:val="009135D6"/>
    <w:rsid w:val="009135F6"/>
    <w:rsid w:val="0091364F"/>
    <w:rsid w:val="0091372A"/>
    <w:rsid w:val="009137DD"/>
    <w:rsid w:val="0091395E"/>
    <w:rsid w:val="00913961"/>
    <w:rsid w:val="009139BA"/>
    <w:rsid w:val="00913B04"/>
    <w:rsid w:val="00913B90"/>
    <w:rsid w:val="00913D57"/>
    <w:rsid w:val="00913EB3"/>
    <w:rsid w:val="009141ED"/>
    <w:rsid w:val="00914209"/>
    <w:rsid w:val="00914261"/>
    <w:rsid w:val="009142A3"/>
    <w:rsid w:val="009142FA"/>
    <w:rsid w:val="00914426"/>
    <w:rsid w:val="009144E3"/>
    <w:rsid w:val="00914621"/>
    <w:rsid w:val="009146D7"/>
    <w:rsid w:val="009149C4"/>
    <w:rsid w:val="00914BB7"/>
    <w:rsid w:val="00914BE9"/>
    <w:rsid w:val="00914C77"/>
    <w:rsid w:val="00914E13"/>
    <w:rsid w:val="00914FF5"/>
    <w:rsid w:val="00915027"/>
    <w:rsid w:val="00915072"/>
    <w:rsid w:val="00915082"/>
    <w:rsid w:val="0091508D"/>
    <w:rsid w:val="0091515D"/>
    <w:rsid w:val="00915322"/>
    <w:rsid w:val="00915683"/>
    <w:rsid w:val="009157A5"/>
    <w:rsid w:val="009157A8"/>
    <w:rsid w:val="00915812"/>
    <w:rsid w:val="00915963"/>
    <w:rsid w:val="00915C34"/>
    <w:rsid w:val="00915CDB"/>
    <w:rsid w:val="00915D34"/>
    <w:rsid w:val="00915E3C"/>
    <w:rsid w:val="00915ED3"/>
    <w:rsid w:val="00915EEA"/>
    <w:rsid w:val="0091605A"/>
    <w:rsid w:val="009162D3"/>
    <w:rsid w:val="009164D6"/>
    <w:rsid w:val="0091690D"/>
    <w:rsid w:val="00916930"/>
    <w:rsid w:val="00916B3C"/>
    <w:rsid w:val="00916BB3"/>
    <w:rsid w:val="00916BD6"/>
    <w:rsid w:val="00916FB9"/>
    <w:rsid w:val="00917066"/>
    <w:rsid w:val="00917200"/>
    <w:rsid w:val="009174AA"/>
    <w:rsid w:val="009175E0"/>
    <w:rsid w:val="009177CB"/>
    <w:rsid w:val="009177FF"/>
    <w:rsid w:val="009178C1"/>
    <w:rsid w:val="0091795E"/>
    <w:rsid w:val="00917B38"/>
    <w:rsid w:val="00917C05"/>
    <w:rsid w:val="00917C48"/>
    <w:rsid w:val="00917D12"/>
    <w:rsid w:val="00917E87"/>
    <w:rsid w:val="00917F86"/>
    <w:rsid w:val="00917FAF"/>
    <w:rsid w:val="009200C6"/>
    <w:rsid w:val="009201B1"/>
    <w:rsid w:val="0092029A"/>
    <w:rsid w:val="009202EE"/>
    <w:rsid w:val="009203ED"/>
    <w:rsid w:val="0092073D"/>
    <w:rsid w:val="00920AC3"/>
    <w:rsid w:val="00920C85"/>
    <w:rsid w:val="00920D78"/>
    <w:rsid w:val="00920F5C"/>
    <w:rsid w:val="0092106F"/>
    <w:rsid w:val="009211BF"/>
    <w:rsid w:val="0092120C"/>
    <w:rsid w:val="009214C2"/>
    <w:rsid w:val="00921788"/>
    <w:rsid w:val="00921ACB"/>
    <w:rsid w:val="00921CF6"/>
    <w:rsid w:val="00921EDB"/>
    <w:rsid w:val="0092203B"/>
    <w:rsid w:val="0092206F"/>
    <w:rsid w:val="0092220B"/>
    <w:rsid w:val="0092222E"/>
    <w:rsid w:val="0092235C"/>
    <w:rsid w:val="00922430"/>
    <w:rsid w:val="00922642"/>
    <w:rsid w:val="009226CE"/>
    <w:rsid w:val="00922821"/>
    <w:rsid w:val="009228AF"/>
    <w:rsid w:val="00922A81"/>
    <w:rsid w:val="00922B73"/>
    <w:rsid w:val="00922B77"/>
    <w:rsid w:val="00922CDB"/>
    <w:rsid w:val="00922CF5"/>
    <w:rsid w:val="00922ECC"/>
    <w:rsid w:val="0092320B"/>
    <w:rsid w:val="009233D8"/>
    <w:rsid w:val="0092355B"/>
    <w:rsid w:val="0092369B"/>
    <w:rsid w:val="0092391C"/>
    <w:rsid w:val="009239BD"/>
    <w:rsid w:val="009239FF"/>
    <w:rsid w:val="00923A45"/>
    <w:rsid w:val="00923A57"/>
    <w:rsid w:val="00923A7D"/>
    <w:rsid w:val="00923BC2"/>
    <w:rsid w:val="00924096"/>
    <w:rsid w:val="009240BB"/>
    <w:rsid w:val="00924235"/>
    <w:rsid w:val="009242AD"/>
    <w:rsid w:val="009242C2"/>
    <w:rsid w:val="0092440A"/>
    <w:rsid w:val="00924440"/>
    <w:rsid w:val="00924632"/>
    <w:rsid w:val="009246C0"/>
    <w:rsid w:val="0092478A"/>
    <w:rsid w:val="0092484C"/>
    <w:rsid w:val="00924A6E"/>
    <w:rsid w:val="00924ABF"/>
    <w:rsid w:val="009250A1"/>
    <w:rsid w:val="0092550D"/>
    <w:rsid w:val="00925792"/>
    <w:rsid w:val="009258DC"/>
    <w:rsid w:val="00925BD9"/>
    <w:rsid w:val="00925C7B"/>
    <w:rsid w:val="00925F48"/>
    <w:rsid w:val="009262CD"/>
    <w:rsid w:val="00926375"/>
    <w:rsid w:val="009263CC"/>
    <w:rsid w:val="009264D6"/>
    <w:rsid w:val="009265E5"/>
    <w:rsid w:val="0092673C"/>
    <w:rsid w:val="009267A5"/>
    <w:rsid w:val="0092691D"/>
    <w:rsid w:val="0092692B"/>
    <w:rsid w:val="00926947"/>
    <w:rsid w:val="00926992"/>
    <w:rsid w:val="009269E6"/>
    <w:rsid w:val="00926B8E"/>
    <w:rsid w:val="00926E17"/>
    <w:rsid w:val="00926F49"/>
    <w:rsid w:val="009271A4"/>
    <w:rsid w:val="00927351"/>
    <w:rsid w:val="009273D6"/>
    <w:rsid w:val="009274C7"/>
    <w:rsid w:val="009276E3"/>
    <w:rsid w:val="0092771A"/>
    <w:rsid w:val="00927728"/>
    <w:rsid w:val="0092774A"/>
    <w:rsid w:val="00927885"/>
    <w:rsid w:val="00927C16"/>
    <w:rsid w:val="00927D1F"/>
    <w:rsid w:val="00927F12"/>
    <w:rsid w:val="00927F1F"/>
    <w:rsid w:val="00927FBD"/>
    <w:rsid w:val="00927FD0"/>
    <w:rsid w:val="00930175"/>
    <w:rsid w:val="0093035B"/>
    <w:rsid w:val="009304D5"/>
    <w:rsid w:val="009305D1"/>
    <w:rsid w:val="00930A9C"/>
    <w:rsid w:val="00930AF7"/>
    <w:rsid w:val="00930B8C"/>
    <w:rsid w:val="00930CA6"/>
    <w:rsid w:val="00930E54"/>
    <w:rsid w:val="0093107D"/>
    <w:rsid w:val="00931178"/>
    <w:rsid w:val="00931347"/>
    <w:rsid w:val="009315D7"/>
    <w:rsid w:val="00931688"/>
    <w:rsid w:val="00931848"/>
    <w:rsid w:val="0093189B"/>
    <w:rsid w:val="00931D2B"/>
    <w:rsid w:val="00931F37"/>
    <w:rsid w:val="00932002"/>
    <w:rsid w:val="0093207C"/>
    <w:rsid w:val="009321A3"/>
    <w:rsid w:val="009322F2"/>
    <w:rsid w:val="0093242E"/>
    <w:rsid w:val="009324DF"/>
    <w:rsid w:val="00932513"/>
    <w:rsid w:val="0093263C"/>
    <w:rsid w:val="00932689"/>
    <w:rsid w:val="009328B3"/>
    <w:rsid w:val="00932C34"/>
    <w:rsid w:val="00932DE3"/>
    <w:rsid w:val="00932E91"/>
    <w:rsid w:val="00932F07"/>
    <w:rsid w:val="00933342"/>
    <w:rsid w:val="00933357"/>
    <w:rsid w:val="009333AB"/>
    <w:rsid w:val="00933498"/>
    <w:rsid w:val="00933708"/>
    <w:rsid w:val="0093386E"/>
    <w:rsid w:val="00933896"/>
    <w:rsid w:val="00933903"/>
    <w:rsid w:val="00933D09"/>
    <w:rsid w:val="00933E7F"/>
    <w:rsid w:val="00933F03"/>
    <w:rsid w:val="0093409F"/>
    <w:rsid w:val="009340AE"/>
    <w:rsid w:val="0093433B"/>
    <w:rsid w:val="009344A6"/>
    <w:rsid w:val="00934821"/>
    <w:rsid w:val="00934988"/>
    <w:rsid w:val="00934A31"/>
    <w:rsid w:val="00934AA0"/>
    <w:rsid w:val="00934C6A"/>
    <w:rsid w:val="00934CDA"/>
    <w:rsid w:val="00934F7A"/>
    <w:rsid w:val="00934FC4"/>
    <w:rsid w:val="009350B3"/>
    <w:rsid w:val="009350FE"/>
    <w:rsid w:val="009351D2"/>
    <w:rsid w:val="0093524E"/>
    <w:rsid w:val="00935450"/>
    <w:rsid w:val="00935819"/>
    <w:rsid w:val="00935871"/>
    <w:rsid w:val="009359CA"/>
    <w:rsid w:val="009359ED"/>
    <w:rsid w:val="00935C71"/>
    <w:rsid w:val="00935DFD"/>
    <w:rsid w:val="00935EC5"/>
    <w:rsid w:val="009360BB"/>
    <w:rsid w:val="0093665C"/>
    <w:rsid w:val="00936729"/>
    <w:rsid w:val="009368AB"/>
    <w:rsid w:val="00936CC6"/>
    <w:rsid w:val="00936E4D"/>
    <w:rsid w:val="00936E62"/>
    <w:rsid w:val="00936FDD"/>
    <w:rsid w:val="00937025"/>
    <w:rsid w:val="00937088"/>
    <w:rsid w:val="00937089"/>
    <w:rsid w:val="009370D1"/>
    <w:rsid w:val="009371D4"/>
    <w:rsid w:val="00937413"/>
    <w:rsid w:val="00937664"/>
    <w:rsid w:val="00937805"/>
    <w:rsid w:val="009379F3"/>
    <w:rsid w:val="00937BA6"/>
    <w:rsid w:val="00937C44"/>
    <w:rsid w:val="00937C4C"/>
    <w:rsid w:val="00937DA2"/>
    <w:rsid w:val="00937E32"/>
    <w:rsid w:val="00937E87"/>
    <w:rsid w:val="00937ED6"/>
    <w:rsid w:val="00940094"/>
    <w:rsid w:val="00940209"/>
    <w:rsid w:val="00940290"/>
    <w:rsid w:val="0094045C"/>
    <w:rsid w:val="0094049D"/>
    <w:rsid w:val="009404D7"/>
    <w:rsid w:val="0094059F"/>
    <w:rsid w:val="009405B2"/>
    <w:rsid w:val="00940604"/>
    <w:rsid w:val="00940810"/>
    <w:rsid w:val="00940C74"/>
    <w:rsid w:val="00940D62"/>
    <w:rsid w:val="00940D75"/>
    <w:rsid w:val="00940EA1"/>
    <w:rsid w:val="00940FD9"/>
    <w:rsid w:val="00940FED"/>
    <w:rsid w:val="00941012"/>
    <w:rsid w:val="009411F6"/>
    <w:rsid w:val="00941262"/>
    <w:rsid w:val="00941293"/>
    <w:rsid w:val="009413AB"/>
    <w:rsid w:val="00941424"/>
    <w:rsid w:val="0094145C"/>
    <w:rsid w:val="009414B8"/>
    <w:rsid w:val="009415FE"/>
    <w:rsid w:val="0094166B"/>
    <w:rsid w:val="009416BA"/>
    <w:rsid w:val="009419AF"/>
    <w:rsid w:val="00941DEA"/>
    <w:rsid w:val="00942165"/>
    <w:rsid w:val="0094234E"/>
    <w:rsid w:val="009426B2"/>
    <w:rsid w:val="009426CF"/>
    <w:rsid w:val="009427D8"/>
    <w:rsid w:val="009428C8"/>
    <w:rsid w:val="00942900"/>
    <w:rsid w:val="00942928"/>
    <w:rsid w:val="00942984"/>
    <w:rsid w:val="00942992"/>
    <w:rsid w:val="009429F9"/>
    <w:rsid w:val="00942BDC"/>
    <w:rsid w:val="00942C23"/>
    <w:rsid w:val="00942C29"/>
    <w:rsid w:val="00942E7E"/>
    <w:rsid w:val="00943172"/>
    <w:rsid w:val="00943217"/>
    <w:rsid w:val="009432AA"/>
    <w:rsid w:val="0094336D"/>
    <w:rsid w:val="009435AB"/>
    <w:rsid w:val="009435F7"/>
    <w:rsid w:val="009436EB"/>
    <w:rsid w:val="0094377F"/>
    <w:rsid w:val="00943A7C"/>
    <w:rsid w:val="00943B23"/>
    <w:rsid w:val="00943D2D"/>
    <w:rsid w:val="00943D4D"/>
    <w:rsid w:val="00943D7F"/>
    <w:rsid w:val="00943E5D"/>
    <w:rsid w:val="00944026"/>
    <w:rsid w:val="0094410E"/>
    <w:rsid w:val="0094418B"/>
    <w:rsid w:val="009441C2"/>
    <w:rsid w:val="00944551"/>
    <w:rsid w:val="00944626"/>
    <w:rsid w:val="00944732"/>
    <w:rsid w:val="00944748"/>
    <w:rsid w:val="00944D8F"/>
    <w:rsid w:val="00944F8A"/>
    <w:rsid w:val="00944FA9"/>
    <w:rsid w:val="0094515A"/>
    <w:rsid w:val="0094526F"/>
    <w:rsid w:val="009452EE"/>
    <w:rsid w:val="0094539A"/>
    <w:rsid w:val="00945428"/>
    <w:rsid w:val="00945552"/>
    <w:rsid w:val="009458F2"/>
    <w:rsid w:val="009459F1"/>
    <w:rsid w:val="009459FB"/>
    <w:rsid w:val="00945A77"/>
    <w:rsid w:val="00945B02"/>
    <w:rsid w:val="00945B98"/>
    <w:rsid w:val="00945D21"/>
    <w:rsid w:val="00945D9A"/>
    <w:rsid w:val="00945DAD"/>
    <w:rsid w:val="00945E26"/>
    <w:rsid w:val="00945EB9"/>
    <w:rsid w:val="00945EEF"/>
    <w:rsid w:val="00946090"/>
    <w:rsid w:val="009461D4"/>
    <w:rsid w:val="00946219"/>
    <w:rsid w:val="009462F3"/>
    <w:rsid w:val="009463B6"/>
    <w:rsid w:val="00946443"/>
    <w:rsid w:val="00946557"/>
    <w:rsid w:val="009466B0"/>
    <w:rsid w:val="0094673A"/>
    <w:rsid w:val="0094674F"/>
    <w:rsid w:val="0094678A"/>
    <w:rsid w:val="009469C8"/>
    <w:rsid w:val="00946A5D"/>
    <w:rsid w:val="00946A74"/>
    <w:rsid w:val="00946B6E"/>
    <w:rsid w:val="00946BCA"/>
    <w:rsid w:val="00946BD3"/>
    <w:rsid w:val="00946DCA"/>
    <w:rsid w:val="00946F1B"/>
    <w:rsid w:val="00946F3B"/>
    <w:rsid w:val="009471FB"/>
    <w:rsid w:val="00947386"/>
    <w:rsid w:val="0094750D"/>
    <w:rsid w:val="0094779A"/>
    <w:rsid w:val="00947B61"/>
    <w:rsid w:val="00947BF0"/>
    <w:rsid w:val="00947C16"/>
    <w:rsid w:val="00947E50"/>
    <w:rsid w:val="00947E7E"/>
    <w:rsid w:val="00947F6D"/>
    <w:rsid w:val="009500E2"/>
    <w:rsid w:val="009500F0"/>
    <w:rsid w:val="00950161"/>
    <w:rsid w:val="0095032D"/>
    <w:rsid w:val="00950333"/>
    <w:rsid w:val="00950482"/>
    <w:rsid w:val="0095059C"/>
    <w:rsid w:val="00950786"/>
    <w:rsid w:val="009508A2"/>
    <w:rsid w:val="0095094F"/>
    <w:rsid w:val="0095098F"/>
    <w:rsid w:val="00950BA1"/>
    <w:rsid w:val="00950D24"/>
    <w:rsid w:val="00950EA8"/>
    <w:rsid w:val="00950F2F"/>
    <w:rsid w:val="00950F6C"/>
    <w:rsid w:val="009510A2"/>
    <w:rsid w:val="009513E2"/>
    <w:rsid w:val="00951425"/>
    <w:rsid w:val="00951527"/>
    <w:rsid w:val="0095154D"/>
    <w:rsid w:val="009516D0"/>
    <w:rsid w:val="009518A8"/>
    <w:rsid w:val="0095198D"/>
    <w:rsid w:val="00951A30"/>
    <w:rsid w:val="00951A4E"/>
    <w:rsid w:val="00951A6C"/>
    <w:rsid w:val="00951B29"/>
    <w:rsid w:val="00951CCA"/>
    <w:rsid w:val="00951D2F"/>
    <w:rsid w:val="00951DBF"/>
    <w:rsid w:val="00951F4C"/>
    <w:rsid w:val="009521B5"/>
    <w:rsid w:val="009521DA"/>
    <w:rsid w:val="0095220B"/>
    <w:rsid w:val="00952227"/>
    <w:rsid w:val="00952330"/>
    <w:rsid w:val="0095246D"/>
    <w:rsid w:val="00952481"/>
    <w:rsid w:val="0095252C"/>
    <w:rsid w:val="0095255B"/>
    <w:rsid w:val="00952592"/>
    <w:rsid w:val="00952863"/>
    <w:rsid w:val="00952C1E"/>
    <w:rsid w:val="00952C8E"/>
    <w:rsid w:val="00952F5B"/>
    <w:rsid w:val="00952F7A"/>
    <w:rsid w:val="00952FD2"/>
    <w:rsid w:val="00952FDD"/>
    <w:rsid w:val="00953022"/>
    <w:rsid w:val="00953059"/>
    <w:rsid w:val="00953257"/>
    <w:rsid w:val="0095334C"/>
    <w:rsid w:val="009533ED"/>
    <w:rsid w:val="00953420"/>
    <w:rsid w:val="00953980"/>
    <w:rsid w:val="00953A72"/>
    <w:rsid w:val="00953C01"/>
    <w:rsid w:val="00953C9C"/>
    <w:rsid w:val="00953FD4"/>
    <w:rsid w:val="009541C4"/>
    <w:rsid w:val="009543E7"/>
    <w:rsid w:val="009543F0"/>
    <w:rsid w:val="009544E5"/>
    <w:rsid w:val="00954535"/>
    <w:rsid w:val="009546F8"/>
    <w:rsid w:val="0095474C"/>
    <w:rsid w:val="009547A2"/>
    <w:rsid w:val="009547F2"/>
    <w:rsid w:val="00954905"/>
    <w:rsid w:val="00954A2F"/>
    <w:rsid w:val="00954AF4"/>
    <w:rsid w:val="00954DBF"/>
    <w:rsid w:val="00954DF0"/>
    <w:rsid w:val="00955089"/>
    <w:rsid w:val="009550AF"/>
    <w:rsid w:val="0095516C"/>
    <w:rsid w:val="00955218"/>
    <w:rsid w:val="00955248"/>
    <w:rsid w:val="009553CD"/>
    <w:rsid w:val="009553F6"/>
    <w:rsid w:val="00955C2D"/>
    <w:rsid w:val="00955F95"/>
    <w:rsid w:val="00956035"/>
    <w:rsid w:val="009561F3"/>
    <w:rsid w:val="009561F9"/>
    <w:rsid w:val="00956495"/>
    <w:rsid w:val="00956965"/>
    <w:rsid w:val="00956B33"/>
    <w:rsid w:val="00956E28"/>
    <w:rsid w:val="0095710F"/>
    <w:rsid w:val="0095722D"/>
    <w:rsid w:val="009572AB"/>
    <w:rsid w:val="0095737B"/>
    <w:rsid w:val="00957455"/>
    <w:rsid w:val="009575CE"/>
    <w:rsid w:val="009576C7"/>
    <w:rsid w:val="009577D2"/>
    <w:rsid w:val="009578DF"/>
    <w:rsid w:val="00957A9F"/>
    <w:rsid w:val="00957B60"/>
    <w:rsid w:val="00957D55"/>
    <w:rsid w:val="00957D92"/>
    <w:rsid w:val="00957DEB"/>
    <w:rsid w:val="00957E3B"/>
    <w:rsid w:val="00957EC5"/>
    <w:rsid w:val="00957F7F"/>
    <w:rsid w:val="0096051D"/>
    <w:rsid w:val="00960588"/>
    <w:rsid w:val="0096086E"/>
    <w:rsid w:val="00960AFC"/>
    <w:rsid w:val="00960CA4"/>
    <w:rsid w:val="00960E6B"/>
    <w:rsid w:val="00960FC6"/>
    <w:rsid w:val="00961060"/>
    <w:rsid w:val="009610AA"/>
    <w:rsid w:val="009610DF"/>
    <w:rsid w:val="009611D6"/>
    <w:rsid w:val="009611DE"/>
    <w:rsid w:val="00961243"/>
    <w:rsid w:val="009613BD"/>
    <w:rsid w:val="009614E1"/>
    <w:rsid w:val="0096178E"/>
    <w:rsid w:val="009619A3"/>
    <w:rsid w:val="00961C62"/>
    <w:rsid w:val="00961CE0"/>
    <w:rsid w:val="00961E9B"/>
    <w:rsid w:val="00961F74"/>
    <w:rsid w:val="00961FAA"/>
    <w:rsid w:val="00962278"/>
    <w:rsid w:val="009622FD"/>
    <w:rsid w:val="0096235C"/>
    <w:rsid w:val="0096241D"/>
    <w:rsid w:val="00962426"/>
    <w:rsid w:val="00962443"/>
    <w:rsid w:val="0096262F"/>
    <w:rsid w:val="009626AE"/>
    <w:rsid w:val="009627BD"/>
    <w:rsid w:val="009627EB"/>
    <w:rsid w:val="00962B5D"/>
    <w:rsid w:val="00962C5E"/>
    <w:rsid w:val="00962CB9"/>
    <w:rsid w:val="00962FA7"/>
    <w:rsid w:val="00962FD0"/>
    <w:rsid w:val="0096313D"/>
    <w:rsid w:val="009631EC"/>
    <w:rsid w:val="0096323C"/>
    <w:rsid w:val="00963447"/>
    <w:rsid w:val="0096356A"/>
    <w:rsid w:val="009637EC"/>
    <w:rsid w:val="00963886"/>
    <w:rsid w:val="0096391B"/>
    <w:rsid w:val="00963CAA"/>
    <w:rsid w:val="00963D59"/>
    <w:rsid w:val="00963F70"/>
    <w:rsid w:val="00963FA4"/>
    <w:rsid w:val="009642BA"/>
    <w:rsid w:val="00964312"/>
    <w:rsid w:val="0096436A"/>
    <w:rsid w:val="0096449C"/>
    <w:rsid w:val="009644C7"/>
    <w:rsid w:val="0096476A"/>
    <w:rsid w:val="009647BD"/>
    <w:rsid w:val="0096484B"/>
    <w:rsid w:val="0096486D"/>
    <w:rsid w:val="00964ADA"/>
    <w:rsid w:val="00964B05"/>
    <w:rsid w:val="00964BBB"/>
    <w:rsid w:val="00964D91"/>
    <w:rsid w:val="00964EE3"/>
    <w:rsid w:val="00965245"/>
    <w:rsid w:val="00965814"/>
    <w:rsid w:val="0096592D"/>
    <w:rsid w:val="00965B1E"/>
    <w:rsid w:val="00965B8A"/>
    <w:rsid w:val="00965C0C"/>
    <w:rsid w:val="00965C16"/>
    <w:rsid w:val="00965D7D"/>
    <w:rsid w:val="00965D95"/>
    <w:rsid w:val="00965F36"/>
    <w:rsid w:val="00965FAC"/>
    <w:rsid w:val="009660E1"/>
    <w:rsid w:val="0096622E"/>
    <w:rsid w:val="00966267"/>
    <w:rsid w:val="00966380"/>
    <w:rsid w:val="009663EC"/>
    <w:rsid w:val="0096654C"/>
    <w:rsid w:val="009665FB"/>
    <w:rsid w:val="00966849"/>
    <w:rsid w:val="00966933"/>
    <w:rsid w:val="009669A4"/>
    <w:rsid w:val="00966C8A"/>
    <w:rsid w:val="00967241"/>
    <w:rsid w:val="009676AB"/>
    <w:rsid w:val="0096785D"/>
    <w:rsid w:val="009678B0"/>
    <w:rsid w:val="00967B0F"/>
    <w:rsid w:val="00967D36"/>
    <w:rsid w:val="00967DC2"/>
    <w:rsid w:val="00967DFD"/>
    <w:rsid w:val="00967EE1"/>
    <w:rsid w:val="00967F15"/>
    <w:rsid w:val="00970090"/>
    <w:rsid w:val="0097023D"/>
    <w:rsid w:val="0097030A"/>
    <w:rsid w:val="00970481"/>
    <w:rsid w:val="00970698"/>
    <w:rsid w:val="0097071F"/>
    <w:rsid w:val="0097086D"/>
    <w:rsid w:val="009708EB"/>
    <w:rsid w:val="00970938"/>
    <w:rsid w:val="00970B1C"/>
    <w:rsid w:val="00970CC9"/>
    <w:rsid w:val="00970D97"/>
    <w:rsid w:val="00970E07"/>
    <w:rsid w:val="00970EB7"/>
    <w:rsid w:val="00970F12"/>
    <w:rsid w:val="00970F1A"/>
    <w:rsid w:val="00970F1B"/>
    <w:rsid w:val="00970FE5"/>
    <w:rsid w:val="00971298"/>
    <w:rsid w:val="0097154B"/>
    <w:rsid w:val="0097170D"/>
    <w:rsid w:val="009717AC"/>
    <w:rsid w:val="00971806"/>
    <w:rsid w:val="009719EC"/>
    <w:rsid w:val="00971A30"/>
    <w:rsid w:val="00971BC2"/>
    <w:rsid w:val="00971C4A"/>
    <w:rsid w:val="00971E43"/>
    <w:rsid w:val="00971EE0"/>
    <w:rsid w:val="009724DC"/>
    <w:rsid w:val="009724F7"/>
    <w:rsid w:val="00972560"/>
    <w:rsid w:val="0097261A"/>
    <w:rsid w:val="0097276A"/>
    <w:rsid w:val="00972803"/>
    <w:rsid w:val="0097286E"/>
    <w:rsid w:val="009729EE"/>
    <w:rsid w:val="00972A16"/>
    <w:rsid w:val="00972AE2"/>
    <w:rsid w:val="00972BCF"/>
    <w:rsid w:val="00972BD2"/>
    <w:rsid w:val="00972E39"/>
    <w:rsid w:val="00972EE7"/>
    <w:rsid w:val="00972FD2"/>
    <w:rsid w:val="0097314D"/>
    <w:rsid w:val="009732C5"/>
    <w:rsid w:val="0097350F"/>
    <w:rsid w:val="00973536"/>
    <w:rsid w:val="00973554"/>
    <w:rsid w:val="009735C0"/>
    <w:rsid w:val="00973661"/>
    <w:rsid w:val="009738E2"/>
    <w:rsid w:val="00973A9E"/>
    <w:rsid w:val="00973ABF"/>
    <w:rsid w:val="00974086"/>
    <w:rsid w:val="009740C8"/>
    <w:rsid w:val="00974214"/>
    <w:rsid w:val="00974417"/>
    <w:rsid w:val="009744B2"/>
    <w:rsid w:val="009744CE"/>
    <w:rsid w:val="00974581"/>
    <w:rsid w:val="0097458A"/>
    <w:rsid w:val="00974823"/>
    <w:rsid w:val="00974C52"/>
    <w:rsid w:val="00974EBF"/>
    <w:rsid w:val="00974EC5"/>
    <w:rsid w:val="00974F25"/>
    <w:rsid w:val="009751C1"/>
    <w:rsid w:val="0097532B"/>
    <w:rsid w:val="0097535D"/>
    <w:rsid w:val="009753A8"/>
    <w:rsid w:val="009754B9"/>
    <w:rsid w:val="00975653"/>
    <w:rsid w:val="009757E2"/>
    <w:rsid w:val="009757FF"/>
    <w:rsid w:val="0097591C"/>
    <w:rsid w:val="00975974"/>
    <w:rsid w:val="00975A4C"/>
    <w:rsid w:val="00975B58"/>
    <w:rsid w:val="00975BD0"/>
    <w:rsid w:val="00975C49"/>
    <w:rsid w:val="009760A7"/>
    <w:rsid w:val="00976464"/>
    <w:rsid w:val="00976470"/>
    <w:rsid w:val="009764C8"/>
    <w:rsid w:val="009764E6"/>
    <w:rsid w:val="00976933"/>
    <w:rsid w:val="0097693D"/>
    <w:rsid w:val="00976A21"/>
    <w:rsid w:val="00976B92"/>
    <w:rsid w:val="00976BC3"/>
    <w:rsid w:val="00976BE7"/>
    <w:rsid w:val="00976CE2"/>
    <w:rsid w:val="00976DC4"/>
    <w:rsid w:val="00976DF6"/>
    <w:rsid w:val="00976E01"/>
    <w:rsid w:val="00976F9E"/>
    <w:rsid w:val="00976FE5"/>
    <w:rsid w:val="0097703E"/>
    <w:rsid w:val="009770A9"/>
    <w:rsid w:val="009770CC"/>
    <w:rsid w:val="009771BC"/>
    <w:rsid w:val="009771D1"/>
    <w:rsid w:val="009771D3"/>
    <w:rsid w:val="009772E4"/>
    <w:rsid w:val="00977359"/>
    <w:rsid w:val="009776FE"/>
    <w:rsid w:val="0097770E"/>
    <w:rsid w:val="00977761"/>
    <w:rsid w:val="009779D9"/>
    <w:rsid w:val="00977A51"/>
    <w:rsid w:val="00977B05"/>
    <w:rsid w:val="00977EEF"/>
    <w:rsid w:val="00977F0D"/>
    <w:rsid w:val="00980420"/>
    <w:rsid w:val="0098046C"/>
    <w:rsid w:val="0098047E"/>
    <w:rsid w:val="00980689"/>
    <w:rsid w:val="009807A6"/>
    <w:rsid w:val="00980A8D"/>
    <w:rsid w:val="00980D22"/>
    <w:rsid w:val="00980DE9"/>
    <w:rsid w:val="009811F1"/>
    <w:rsid w:val="0098140B"/>
    <w:rsid w:val="009814BB"/>
    <w:rsid w:val="00981657"/>
    <w:rsid w:val="00981685"/>
    <w:rsid w:val="00981739"/>
    <w:rsid w:val="00981750"/>
    <w:rsid w:val="00981BBD"/>
    <w:rsid w:val="00981C27"/>
    <w:rsid w:val="00981C62"/>
    <w:rsid w:val="00981C9E"/>
    <w:rsid w:val="00981CED"/>
    <w:rsid w:val="009820C0"/>
    <w:rsid w:val="0098222B"/>
    <w:rsid w:val="009823C4"/>
    <w:rsid w:val="009823CD"/>
    <w:rsid w:val="0098262F"/>
    <w:rsid w:val="009828F6"/>
    <w:rsid w:val="00982996"/>
    <w:rsid w:val="009829A8"/>
    <w:rsid w:val="00982C0E"/>
    <w:rsid w:val="00982CED"/>
    <w:rsid w:val="0098342E"/>
    <w:rsid w:val="009835F6"/>
    <w:rsid w:val="0098399B"/>
    <w:rsid w:val="00983AA5"/>
    <w:rsid w:val="00983E57"/>
    <w:rsid w:val="00983EA8"/>
    <w:rsid w:val="009840E4"/>
    <w:rsid w:val="009841C3"/>
    <w:rsid w:val="009841F4"/>
    <w:rsid w:val="00984206"/>
    <w:rsid w:val="0098420F"/>
    <w:rsid w:val="009842FF"/>
    <w:rsid w:val="00984382"/>
    <w:rsid w:val="009843E1"/>
    <w:rsid w:val="00984459"/>
    <w:rsid w:val="0098450B"/>
    <w:rsid w:val="0098462A"/>
    <w:rsid w:val="00984BC4"/>
    <w:rsid w:val="00984C69"/>
    <w:rsid w:val="00984CAE"/>
    <w:rsid w:val="00984DC7"/>
    <w:rsid w:val="00984E53"/>
    <w:rsid w:val="00984E62"/>
    <w:rsid w:val="009850E1"/>
    <w:rsid w:val="0098528E"/>
    <w:rsid w:val="009853E0"/>
    <w:rsid w:val="0098544C"/>
    <w:rsid w:val="00985488"/>
    <w:rsid w:val="0098558B"/>
    <w:rsid w:val="009856D3"/>
    <w:rsid w:val="0098570E"/>
    <w:rsid w:val="00985A3D"/>
    <w:rsid w:val="00985A56"/>
    <w:rsid w:val="00985AEC"/>
    <w:rsid w:val="00985B2C"/>
    <w:rsid w:val="00985CEC"/>
    <w:rsid w:val="00985CF0"/>
    <w:rsid w:val="00985DE2"/>
    <w:rsid w:val="00985E1D"/>
    <w:rsid w:val="00985F95"/>
    <w:rsid w:val="0098610C"/>
    <w:rsid w:val="0098615C"/>
    <w:rsid w:val="009864E2"/>
    <w:rsid w:val="0098675D"/>
    <w:rsid w:val="0098675E"/>
    <w:rsid w:val="0098685A"/>
    <w:rsid w:val="00986944"/>
    <w:rsid w:val="00986AF6"/>
    <w:rsid w:val="00986C16"/>
    <w:rsid w:val="00986DCB"/>
    <w:rsid w:val="00986F7B"/>
    <w:rsid w:val="0098704C"/>
    <w:rsid w:val="00987161"/>
    <w:rsid w:val="009873D7"/>
    <w:rsid w:val="009873E1"/>
    <w:rsid w:val="00987473"/>
    <w:rsid w:val="0098748B"/>
    <w:rsid w:val="00987924"/>
    <w:rsid w:val="00987BA4"/>
    <w:rsid w:val="00987EA9"/>
    <w:rsid w:val="00990173"/>
    <w:rsid w:val="0099026A"/>
    <w:rsid w:val="009902A3"/>
    <w:rsid w:val="0099032F"/>
    <w:rsid w:val="0099087A"/>
    <w:rsid w:val="009908FD"/>
    <w:rsid w:val="0099095C"/>
    <w:rsid w:val="00990A3B"/>
    <w:rsid w:val="00990BA5"/>
    <w:rsid w:val="00990BCD"/>
    <w:rsid w:val="00990E1C"/>
    <w:rsid w:val="00990ED7"/>
    <w:rsid w:val="00990F6B"/>
    <w:rsid w:val="00991154"/>
    <w:rsid w:val="0099117E"/>
    <w:rsid w:val="009913F2"/>
    <w:rsid w:val="00991470"/>
    <w:rsid w:val="0099169F"/>
    <w:rsid w:val="009916F2"/>
    <w:rsid w:val="00991712"/>
    <w:rsid w:val="0099176F"/>
    <w:rsid w:val="009917A1"/>
    <w:rsid w:val="00991885"/>
    <w:rsid w:val="009918A2"/>
    <w:rsid w:val="009918A7"/>
    <w:rsid w:val="009918B6"/>
    <w:rsid w:val="009919E4"/>
    <w:rsid w:val="00991A5C"/>
    <w:rsid w:val="00991A69"/>
    <w:rsid w:val="00991B2E"/>
    <w:rsid w:val="00991BF7"/>
    <w:rsid w:val="00991DB7"/>
    <w:rsid w:val="00991EB3"/>
    <w:rsid w:val="00992039"/>
    <w:rsid w:val="00992265"/>
    <w:rsid w:val="0099234D"/>
    <w:rsid w:val="009926E0"/>
    <w:rsid w:val="0099275E"/>
    <w:rsid w:val="00992787"/>
    <w:rsid w:val="009928D3"/>
    <w:rsid w:val="00992A63"/>
    <w:rsid w:val="00992A67"/>
    <w:rsid w:val="00992EC7"/>
    <w:rsid w:val="00993011"/>
    <w:rsid w:val="00993453"/>
    <w:rsid w:val="0099352E"/>
    <w:rsid w:val="009935E5"/>
    <w:rsid w:val="00993A1F"/>
    <w:rsid w:val="00993B28"/>
    <w:rsid w:val="0099407A"/>
    <w:rsid w:val="00994277"/>
    <w:rsid w:val="0099439C"/>
    <w:rsid w:val="009943F7"/>
    <w:rsid w:val="00994473"/>
    <w:rsid w:val="0099451E"/>
    <w:rsid w:val="00994677"/>
    <w:rsid w:val="009947D7"/>
    <w:rsid w:val="00994835"/>
    <w:rsid w:val="00994894"/>
    <w:rsid w:val="00994992"/>
    <w:rsid w:val="009949BF"/>
    <w:rsid w:val="00994A2A"/>
    <w:rsid w:val="00994B42"/>
    <w:rsid w:val="00994B90"/>
    <w:rsid w:val="00994F5A"/>
    <w:rsid w:val="00995010"/>
    <w:rsid w:val="0099503B"/>
    <w:rsid w:val="0099519E"/>
    <w:rsid w:val="009952C3"/>
    <w:rsid w:val="009954B4"/>
    <w:rsid w:val="009956AC"/>
    <w:rsid w:val="009956CA"/>
    <w:rsid w:val="009956D2"/>
    <w:rsid w:val="009956E7"/>
    <w:rsid w:val="0099582D"/>
    <w:rsid w:val="00995B34"/>
    <w:rsid w:val="00995BA6"/>
    <w:rsid w:val="00995BCC"/>
    <w:rsid w:val="00995D94"/>
    <w:rsid w:val="00995E7F"/>
    <w:rsid w:val="00995F64"/>
    <w:rsid w:val="00996160"/>
    <w:rsid w:val="0099617E"/>
    <w:rsid w:val="00996231"/>
    <w:rsid w:val="00996815"/>
    <w:rsid w:val="009968E7"/>
    <w:rsid w:val="009969D9"/>
    <w:rsid w:val="00996B1A"/>
    <w:rsid w:val="00996BA0"/>
    <w:rsid w:val="00996BC8"/>
    <w:rsid w:val="00996D47"/>
    <w:rsid w:val="00996E0D"/>
    <w:rsid w:val="00996F79"/>
    <w:rsid w:val="00996FD9"/>
    <w:rsid w:val="0099717A"/>
    <w:rsid w:val="00997356"/>
    <w:rsid w:val="009973B5"/>
    <w:rsid w:val="009974FE"/>
    <w:rsid w:val="00997523"/>
    <w:rsid w:val="00997658"/>
    <w:rsid w:val="00997A49"/>
    <w:rsid w:val="00997B80"/>
    <w:rsid w:val="00997B8B"/>
    <w:rsid w:val="00997FB7"/>
    <w:rsid w:val="009A0092"/>
    <w:rsid w:val="009A0246"/>
    <w:rsid w:val="009A065A"/>
    <w:rsid w:val="009A08D8"/>
    <w:rsid w:val="009A0936"/>
    <w:rsid w:val="009A09A0"/>
    <w:rsid w:val="009A0BAE"/>
    <w:rsid w:val="009A0CA8"/>
    <w:rsid w:val="009A0D9B"/>
    <w:rsid w:val="009A0DF4"/>
    <w:rsid w:val="009A1074"/>
    <w:rsid w:val="009A11CD"/>
    <w:rsid w:val="009A11E8"/>
    <w:rsid w:val="009A14D4"/>
    <w:rsid w:val="009A14E9"/>
    <w:rsid w:val="009A17D4"/>
    <w:rsid w:val="009A18F6"/>
    <w:rsid w:val="009A1B6F"/>
    <w:rsid w:val="009A1D3F"/>
    <w:rsid w:val="009A1DCA"/>
    <w:rsid w:val="009A1ED3"/>
    <w:rsid w:val="009A1F6F"/>
    <w:rsid w:val="009A217E"/>
    <w:rsid w:val="009A2263"/>
    <w:rsid w:val="009A23EB"/>
    <w:rsid w:val="009A2459"/>
    <w:rsid w:val="009A250C"/>
    <w:rsid w:val="009A25AE"/>
    <w:rsid w:val="009A2CB0"/>
    <w:rsid w:val="009A2DCC"/>
    <w:rsid w:val="009A2E71"/>
    <w:rsid w:val="009A2F62"/>
    <w:rsid w:val="009A30B4"/>
    <w:rsid w:val="009A30CC"/>
    <w:rsid w:val="009A31F5"/>
    <w:rsid w:val="009A3237"/>
    <w:rsid w:val="009A3331"/>
    <w:rsid w:val="009A3595"/>
    <w:rsid w:val="009A390A"/>
    <w:rsid w:val="009A3B34"/>
    <w:rsid w:val="009A3BE3"/>
    <w:rsid w:val="009A3ECB"/>
    <w:rsid w:val="009A3F6C"/>
    <w:rsid w:val="009A42D7"/>
    <w:rsid w:val="009A442A"/>
    <w:rsid w:val="009A4499"/>
    <w:rsid w:val="009A449A"/>
    <w:rsid w:val="009A457B"/>
    <w:rsid w:val="009A4772"/>
    <w:rsid w:val="009A4936"/>
    <w:rsid w:val="009A4A96"/>
    <w:rsid w:val="009A4AE4"/>
    <w:rsid w:val="009A4CDF"/>
    <w:rsid w:val="009A4DF9"/>
    <w:rsid w:val="009A4FF3"/>
    <w:rsid w:val="009A50F1"/>
    <w:rsid w:val="009A524A"/>
    <w:rsid w:val="009A5361"/>
    <w:rsid w:val="009A539C"/>
    <w:rsid w:val="009A5421"/>
    <w:rsid w:val="009A54E9"/>
    <w:rsid w:val="009A54F0"/>
    <w:rsid w:val="009A555D"/>
    <w:rsid w:val="009A55C2"/>
    <w:rsid w:val="009A5890"/>
    <w:rsid w:val="009A5ABC"/>
    <w:rsid w:val="009A5BF2"/>
    <w:rsid w:val="009A5D31"/>
    <w:rsid w:val="009A5DB7"/>
    <w:rsid w:val="009A605B"/>
    <w:rsid w:val="009A60F4"/>
    <w:rsid w:val="009A63D1"/>
    <w:rsid w:val="009A64BF"/>
    <w:rsid w:val="009A66B6"/>
    <w:rsid w:val="009A67A1"/>
    <w:rsid w:val="009A69F5"/>
    <w:rsid w:val="009A6A4B"/>
    <w:rsid w:val="009A6B41"/>
    <w:rsid w:val="009A6C15"/>
    <w:rsid w:val="009A6CE3"/>
    <w:rsid w:val="009A6F59"/>
    <w:rsid w:val="009A70AB"/>
    <w:rsid w:val="009A7135"/>
    <w:rsid w:val="009A7444"/>
    <w:rsid w:val="009A7594"/>
    <w:rsid w:val="009A75F7"/>
    <w:rsid w:val="009A7703"/>
    <w:rsid w:val="009A7741"/>
    <w:rsid w:val="009A774D"/>
    <w:rsid w:val="009A7795"/>
    <w:rsid w:val="009A78AD"/>
    <w:rsid w:val="009A7B46"/>
    <w:rsid w:val="009A7B48"/>
    <w:rsid w:val="009A7B8F"/>
    <w:rsid w:val="009A7CBC"/>
    <w:rsid w:val="009A7D62"/>
    <w:rsid w:val="009A7F10"/>
    <w:rsid w:val="009A7FE7"/>
    <w:rsid w:val="009B00FF"/>
    <w:rsid w:val="009B04FB"/>
    <w:rsid w:val="009B060E"/>
    <w:rsid w:val="009B0620"/>
    <w:rsid w:val="009B0622"/>
    <w:rsid w:val="009B0639"/>
    <w:rsid w:val="009B075C"/>
    <w:rsid w:val="009B07CC"/>
    <w:rsid w:val="009B08B2"/>
    <w:rsid w:val="009B08C6"/>
    <w:rsid w:val="009B099D"/>
    <w:rsid w:val="009B0D31"/>
    <w:rsid w:val="009B1083"/>
    <w:rsid w:val="009B1133"/>
    <w:rsid w:val="009B12E6"/>
    <w:rsid w:val="009B1305"/>
    <w:rsid w:val="009B134A"/>
    <w:rsid w:val="009B14A3"/>
    <w:rsid w:val="009B1509"/>
    <w:rsid w:val="009B1731"/>
    <w:rsid w:val="009B17FE"/>
    <w:rsid w:val="009B1806"/>
    <w:rsid w:val="009B1863"/>
    <w:rsid w:val="009B1C04"/>
    <w:rsid w:val="009B1D67"/>
    <w:rsid w:val="009B1E10"/>
    <w:rsid w:val="009B1EE8"/>
    <w:rsid w:val="009B2044"/>
    <w:rsid w:val="009B21BD"/>
    <w:rsid w:val="009B21DA"/>
    <w:rsid w:val="009B21EB"/>
    <w:rsid w:val="009B227D"/>
    <w:rsid w:val="009B245A"/>
    <w:rsid w:val="009B25D6"/>
    <w:rsid w:val="009B2635"/>
    <w:rsid w:val="009B26C7"/>
    <w:rsid w:val="009B28A2"/>
    <w:rsid w:val="009B28C8"/>
    <w:rsid w:val="009B292F"/>
    <w:rsid w:val="009B2AED"/>
    <w:rsid w:val="009B2E26"/>
    <w:rsid w:val="009B2EC7"/>
    <w:rsid w:val="009B303C"/>
    <w:rsid w:val="009B307F"/>
    <w:rsid w:val="009B30AA"/>
    <w:rsid w:val="009B34AA"/>
    <w:rsid w:val="009B35BF"/>
    <w:rsid w:val="009B3CCA"/>
    <w:rsid w:val="009B3CF0"/>
    <w:rsid w:val="009B3E26"/>
    <w:rsid w:val="009B3E88"/>
    <w:rsid w:val="009B3EFE"/>
    <w:rsid w:val="009B41ED"/>
    <w:rsid w:val="009B4248"/>
    <w:rsid w:val="009B4315"/>
    <w:rsid w:val="009B431E"/>
    <w:rsid w:val="009B4383"/>
    <w:rsid w:val="009B43E4"/>
    <w:rsid w:val="009B4567"/>
    <w:rsid w:val="009B45E6"/>
    <w:rsid w:val="009B464D"/>
    <w:rsid w:val="009B47B9"/>
    <w:rsid w:val="009B48CA"/>
    <w:rsid w:val="009B48FA"/>
    <w:rsid w:val="009B493E"/>
    <w:rsid w:val="009B4BEA"/>
    <w:rsid w:val="009B4C5F"/>
    <w:rsid w:val="009B4D44"/>
    <w:rsid w:val="009B4DCB"/>
    <w:rsid w:val="009B4E6B"/>
    <w:rsid w:val="009B5028"/>
    <w:rsid w:val="009B50E7"/>
    <w:rsid w:val="009B513A"/>
    <w:rsid w:val="009B528A"/>
    <w:rsid w:val="009B5456"/>
    <w:rsid w:val="009B545F"/>
    <w:rsid w:val="009B5653"/>
    <w:rsid w:val="009B579B"/>
    <w:rsid w:val="009B58C4"/>
    <w:rsid w:val="009B58E7"/>
    <w:rsid w:val="009B5A41"/>
    <w:rsid w:val="009B5D8A"/>
    <w:rsid w:val="009B5DC6"/>
    <w:rsid w:val="009B5E95"/>
    <w:rsid w:val="009B5EE3"/>
    <w:rsid w:val="009B600E"/>
    <w:rsid w:val="009B6134"/>
    <w:rsid w:val="009B6347"/>
    <w:rsid w:val="009B657B"/>
    <w:rsid w:val="009B664D"/>
    <w:rsid w:val="009B6902"/>
    <w:rsid w:val="009B69FC"/>
    <w:rsid w:val="009B6CDF"/>
    <w:rsid w:val="009B6ED6"/>
    <w:rsid w:val="009B7104"/>
    <w:rsid w:val="009B735B"/>
    <w:rsid w:val="009B74C4"/>
    <w:rsid w:val="009B761E"/>
    <w:rsid w:val="009B7740"/>
    <w:rsid w:val="009B781A"/>
    <w:rsid w:val="009B7A85"/>
    <w:rsid w:val="009B7BA2"/>
    <w:rsid w:val="009B7C01"/>
    <w:rsid w:val="009B7DD5"/>
    <w:rsid w:val="009B7FA8"/>
    <w:rsid w:val="009C0093"/>
    <w:rsid w:val="009C0199"/>
    <w:rsid w:val="009C01C3"/>
    <w:rsid w:val="009C02DB"/>
    <w:rsid w:val="009C0402"/>
    <w:rsid w:val="009C0556"/>
    <w:rsid w:val="009C07E3"/>
    <w:rsid w:val="009C0948"/>
    <w:rsid w:val="009C097F"/>
    <w:rsid w:val="009C0ABF"/>
    <w:rsid w:val="009C0AE6"/>
    <w:rsid w:val="009C0CEF"/>
    <w:rsid w:val="009C0D70"/>
    <w:rsid w:val="009C0EBE"/>
    <w:rsid w:val="009C0FB0"/>
    <w:rsid w:val="009C10CD"/>
    <w:rsid w:val="009C1199"/>
    <w:rsid w:val="009C1271"/>
    <w:rsid w:val="009C1593"/>
    <w:rsid w:val="009C16C5"/>
    <w:rsid w:val="009C17E5"/>
    <w:rsid w:val="009C1826"/>
    <w:rsid w:val="009C1885"/>
    <w:rsid w:val="009C1A83"/>
    <w:rsid w:val="009C1AEE"/>
    <w:rsid w:val="009C1B20"/>
    <w:rsid w:val="009C1D75"/>
    <w:rsid w:val="009C1FE4"/>
    <w:rsid w:val="009C208B"/>
    <w:rsid w:val="009C2351"/>
    <w:rsid w:val="009C23AB"/>
    <w:rsid w:val="009C2415"/>
    <w:rsid w:val="009C241E"/>
    <w:rsid w:val="009C2552"/>
    <w:rsid w:val="009C2748"/>
    <w:rsid w:val="009C2A45"/>
    <w:rsid w:val="009C2BC3"/>
    <w:rsid w:val="009C2C41"/>
    <w:rsid w:val="009C2C71"/>
    <w:rsid w:val="009C2CB0"/>
    <w:rsid w:val="009C301A"/>
    <w:rsid w:val="009C318A"/>
    <w:rsid w:val="009C319D"/>
    <w:rsid w:val="009C31C5"/>
    <w:rsid w:val="009C31E0"/>
    <w:rsid w:val="009C3245"/>
    <w:rsid w:val="009C324C"/>
    <w:rsid w:val="009C32C6"/>
    <w:rsid w:val="009C32EC"/>
    <w:rsid w:val="009C3325"/>
    <w:rsid w:val="009C3370"/>
    <w:rsid w:val="009C3409"/>
    <w:rsid w:val="009C342F"/>
    <w:rsid w:val="009C3448"/>
    <w:rsid w:val="009C348A"/>
    <w:rsid w:val="009C355B"/>
    <w:rsid w:val="009C35FA"/>
    <w:rsid w:val="009C36A8"/>
    <w:rsid w:val="009C36F8"/>
    <w:rsid w:val="009C3706"/>
    <w:rsid w:val="009C374A"/>
    <w:rsid w:val="009C3A3A"/>
    <w:rsid w:val="009C3CAF"/>
    <w:rsid w:val="009C3CCB"/>
    <w:rsid w:val="009C3F1E"/>
    <w:rsid w:val="009C410B"/>
    <w:rsid w:val="009C414B"/>
    <w:rsid w:val="009C426B"/>
    <w:rsid w:val="009C44A9"/>
    <w:rsid w:val="009C44E6"/>
    <w:rsid w:val="009C45BF"/>
    <w:rsid w:val="009C4636"/>
    <w:rsid w:val="009C46C4"/>
    <w:rsid w:val="009C47FA"/>
    <w:rsid w:val="009C4937"/>
    <w:rsid w:val="009C4C53"/>
    <w:rsid w:val="009C4C61"/>
    <w:rsid w:val="009C4CFA"/>
    <w:rsid w:val="009C4EBF"/>
    <w:rsid w:val="009C4F7A"/>
    <w:rsid w:val="009C4F9C"/>
    <w:rsid w:val="009C51C6"/>
    <w:rsid w:val="009C5278"/>
    <w:rsid w:val="009C5425"/>
    <w:rsid w:val="009C5557"/>
    <w:rsid w:val="009C5641"/>
    <w:rsid w:val="009C567A"/>
    <w:rsid w:val="009C5777"/>
    <w:rsid w:val="009C5834"/>
    <w:rsid w:val="009C5A5E"/>
    <w:rsid w:val="009C5B5D"/>
    <w:rsid w:val="009C5C0B"/>
    <w:rsid w:val="009C5F42"/>
    <w:rsid w:val="009C5FE4"/>
    <w:rsid w:val="009C6255"/>
    <w:rsid w:val="009C630D"/>
    <w:rsid w:val="009C648C"/>
    <w:rsid w:val="009C6645"/>
    <w:rsid w:val="009C669B"/>
    <w:rsid w:val="009C679B"/>
    <w:rsid w:val="009C6895"/>
    <w:rsid w:val="009C68B6"/>
    <w:rsid w:val="009C6AB6"/>
    <w:rsid w:val="009C6AFD"/>
    <w:rsid w:val="009C6BB3"/>
    <w:rsid w:val="009C6BEC"/>
    <w:rsid w:val="009C6C47"/>
    <w:rsid w:val="009C6CEA"/>
    <w:rsid w:val="009C6E53"/>
    <w:rsid w:val="009C75EE"/>
    <w:rsid w:val="009C76EE"/>
    <w:rsid w:val="009C78CD"/>
    <w:rsid w:val="009C79E4"/>
    <w:rsid w:val="009C7A4A"/>
    <w:rsid w:val="009C7A8F"/>
    <w:rsid w:val="009C7B85"/>
    <w:rsid w:val="009C7CCE"/>
    <w:rsid w:val="009C7D20"/>
    <w:rsid w:val="009C7EA4"/>
    <w:rsid w:val="009C7F11"/>
    <w:rsid w:val="009C7F1F"/>
    <w:rsid w:val="009D020A"/>
    <w:rsid w:val="009D0254"/>
    <w:rsid w:val="009D0272"/>
    <w:rsid w:val="009D02C4"/>
    <w:rsid w:val="009D02DC"/>
    <w:rsid w:val="009D0490"/>
    <w:rsid w:val="009D04B5"/>
    <w:rsid w:val="009D0AB7"/>
    <w:rsid w:val="009D0C31"/>
    <w:rsid w:val="009D0D65"/>
    <w:rsid w:val="009D0D8D"/>
    <w:rsid w:val="009D0DCA"/>
    <w:rsid w:val="009D0E8A"/>
    <w:rsid w:val="009D0EDA"/>
    <w:rsid w:val="009D11C7"/>
    <w:rsid w:val="009D1283"/>
    <w:rsid w:val="009D13BB"/>
    <w:rsid w:val="009D1940"/>
    <w:rsid w:val="009D1A64"/>
    <w:rsid w:val="009D1D00"/>
    <w:rsid w:val="009D1DB5"/>
    <w:rsid w:val="009D1F0E"/>
    <w:rsid w:val="009D1F3A"/>
    <w:rsid w:val="009D212E"/>
    <w:rsid w:val="009D21EF"/>
    <w:rsid w:val="009D225C"/>
    <w:rsid w:val="009D24D9"/>
    <w:rsid w:val="009D25A4"/>
    <w:rsid w:val="009D25C0"/>
    <w:rsid w:val="009D260C"/>
    <w:rsid w:val="009D26AD"/>
    <w:rsid w:val="009D284D"/>
    <w:rsid w:val="009D285A"/>
    <w:rsid w:val="009D29FB"/>
    <w:rsid w:val="009D2A03"/>
    <w:rsid w:val="009D2CDF"/>
    <w:rsid w:val="009D2D2E"/>
    <w:rsid w:val="009D2E51"/>
    <w:rsid w:val="009D3138"/>
    <w:rsid w:val="009D3237"/>
    <w:rsid w:val="009D3379"/>
    <w:rsid w:val="009D3498"/>
    <w:rsid w:val="009D34A0"/>
    <w:rsid w:val="009D371A"/>
    <w:rsid w:val="009D3730"/>
    <w:rsid w:val="009D37B5"/>
    <w:rsid w:val="009D38B2"/>
    <w:rsid w:val="009D393B"/>
    <w:rsid w:val="009D3AE8"/>
    <w:rsid w:val="009D3C66"/>
    <w:rsid w:val="009D3DA4"/>
    <w:rsid w:val="009D3E68"/>
    <w:rsid w:val="009D3F1F"/>
    <w:rsid w:val="009D3FCE"/>
    <w:rsid w:val="009D425B"/>
    <w:rsid w:val="009D45B4"/>
    <w:rsid w:val="009D48B6"/>
    <w:rsid w:val="009D4A61"/>
    <w:rsid w:val="009D4C4C"/>
    <w:rsid w:val="009D4D04"/>
    <w:rsid w:val="009D4DD3"/>
    <w:rsid w:val="009D4DF2"/>
    <w:rsid w:val="009D4EAA"/>
    <w:rsid w:val="009D4EB0"/>
    <w:rsid w:val="009D4F0B"/>
    <w:rsid w:val="009D5439"/>
    <w:rsid w:val="009D54B7"/>
    <w:rsid w:val="009D56D2"/>
    <w:rsid w:val="009D59F0"/>
    <w:rsid w:val="009D5B91"/>
    <w:rsid w:val="009D5BA8"/>
    <w:rsid w:val="009D5D3B"/>
    <w:rsid w:val="009D5EC8"/>
    <w:rsid w:val="009D5F25"/>
    <w:rsid w:val="009D61B9"/>
    <w:rsid w:val="009D62D7"/>
    <w:rsid w:val="009D674F"/>
    <w:rsid w:val="009D67C9"/>
    <w:rsid w:val="009D67CA"/>
    <w:rsid w:val="009D6922"/>
    <w:rsid w:val="009D6AA5"/>
    <w:rsid w:val="009D6C8A"/>
    <w:rsid w:val="009D6D80"/>
    <w:rsid w:val="009D6E48"/>
    <w:rsid w:val="009D6E9C"/>
    <w:rsid w:val="009D7280"/>
    <w:rsid w:val="009D7454"/>
    <w:rsid w:val="009D7481"/>
    <w:rsid w:val="009D75E9"/>
    <w:rsid w:val="009D75FE"/>
    <w:rsid w:val="009D7600"/>
    <w:rsid w:val="009D7606"/>
    <w:rsid w:val="009D76A0"/>
    <w:rsid w:val="009D77E3"/>
    <w:rsid w:val="009D77F9"/>
    <w:rsid w:val="009D792E"/>
    <w:rsid w:val="009D79D7"/>
    <w:rsid w:val="009D7A02"/>
    <w:rsid w:val="009D7A2E"/>
    <w:rsid w:val="009D7ACF"/>
    <w:rsid w:val="009D7E1C"/>
    <w:rsid w:val="009D7FB7"/>
    <w:rsid w:val="009E005E"/>
    <w:rsid w:val="009E0077"/>
    <w:rsid w:val="009E00B8"/>
    <w:rsid w:val="009E013E"/>
    <w:rsid w:val="009E0191"/>
    <w:rsid w:val="009E01C1"/>
    <w:rsid w:val="009E026C"/>
    <w:rsid w:val="009E0512"/>
    <w:rsid w:val="009E0602"/>
    <w:rsid w:val="009E062A"/>
    <w:rsid w:val="009E079A"/>
    <w:rsid w:val="009E0809"/>
    <w:rsid w:val="009E0823"/>
    <w:rsid w:val="009E085E"/>
    <w:rsid w:val="009E0B82"/>
    <w:rsid w:val="009E0C0D"/>
    <w:rsid w:val="009E0DFE"/>
    <w:rsid w:val="009E0E34"/>
    <w:rsid w:val="009E1008"/>
    <w:rsid w:val="009E103D"/>
    <w:rsid w:val="009E111B"/>
    <w:rsid w:val="009E112B"/>
    <w:rsid w:val="009E11A5"/>
    <w:rsid w:val="009E139A"/>
    <w:rsid w:val="009E13E8"/>
    <w:rsid w:val="009E1469"/>
    <w:rsid w:val="009E1479"/>
    <w:rsid w:val="009E149B"/>
    <w:rsid w:val="009E15A5"/>
    <w:rsid w:val="009E160B"/>
    <w:rsid w:val="009E16F1"/>
    <w:rsid w:val="009E1713"/>
    <w:rsid w:val="009E1784"/>
    <w:rsid w:val="009E1A95"/>
    <w:rsid w:val="009E1CA1"/>
    <w:rsid w:val="009E1FDF"/>
    <w:rsid w:val="009E2098"/>
    <w:rsid w:val="009E215C"/>
    <w:rsid w:val="009E23A5"/>
    <w:rsid w:val="009E2428"/>
    <w:rsid w:val="009E26A5"/>
    <w:rsid w:val="009E26C6"/>
    <w:rsid w:val="009E26E3"/>
    <w:rsid w:val="009E282F"/>
    <w:rsid w:val="009E2898"/>
    <w:rsid w:val="009E2A3E"/>
    <w:rsid w:val="009E2A64"/>
    <w:rsid w:val="009E2C86"/>
    <w:rsid w:val="009E2D57"/>
    <w:rsid w:val="009E2DE2"/>
    <w:rsid w:val="009E2DFC"/>
    <w:rsid w:val="009E2E66"/>
    <w:rsid w:val="009E2EEF"/>
    <w:rsid w:val="009E302C"/>
    <w:rsid w:val="009E3049"/>
    <w:rsid w:val="009E30CD"/>
    <w:rsid w:val="009E31F6"/>
    <w:rsid w:val="009E342B"/>
    <w:rsid w:val="009E3468"/>
    <w:rsid w:val="009E34B7"/>
    <w:rsid w:val="009E34BA"/>
    <w:rsid w:val="009E359B"/>
    <w:rsid w:val="009E37DE"/>
    <w:rsid w:val="009E39D8"/>
    <w:rsid w:val="009E3A30"/>
    <w:rsid w:val="009E3E3F"/>
    <w:rsid w:val="009E3ED8"/>
    <w:rsid w:val="009E3F69"/>
    <w:rsid w:val="009E4077"/>
    <w:rsid w:val="009E40F9"/>
    <w:rsid w:val="009E417D"/>
    <w:rsid w:val="009E42A7"/>
    <w:rsid w:val="009E4512"/>
    <w:rsid w:val="009E473F"/>
    <w:rsid w:val="009E47BD"/>
    <w:rsid w:val="009E4B7B"/>
    <w:rsid w:val="009E4C07"/>
    <w:rsid w:val="009E4E3E"/>
    <w:rsid w:val="009E4E43"/>
    <w:rsid w:val="009E4EEE"/>
    <w:rsid w:val="009E50B3"/>
    <w:rsid w:val="009E50C9"/>
    <w:rsid w:val="009E5102"/>
    <w:rsid w:val="009E5133"/>
    <w:rsid w:val="009E5138"/>
    <w:rsid w:val="009E5145"/>
    <w:rsid w:val="009E51B4"/>
    <w:rsid w:val="009E52E2"/>
    <w:rsid w:val="009E52F0"/>
    <w:rsid w:val="009E5443"/>
    <w:rsid w:val="009E555A"/>
    <w:rsid w:val="009E55C8"/>
    <w:rsid w:val="009E5825"/>
    <w:rsid w:val="009E5A3B"/>
    <w:rsid w:val="009E5B54"/>
    <w:rsid w:val="009E5F7B"/>
    <w:rsid w:val="009E6098"/>
    <w:rsid w:val="009E61CA"/>
    <w:rsid w:val="009E634E"/>
    <w:rsid w:val="009E6691"/>
    <w:rsid w:val="009E6A80"/>
    <w:rsid w:val="009E6C6A"/>
    <w:rsid w:val="009E6C85"/>
    <w:rsid w:val="009E6E8C"/>
    <w:rsid w:val="009E711A"/>
    <w:rsid w:val="009E71BA"/>
    <w:rsid w:val="009E71C7"/>
    <w:rsid w:val="009E727E"/>
    <w:rsid w:val="009E76AD"/>
    <w:rsid w:val="009E777F"/>
    <w:rsid w:val="009E783A"/>
    <w:rsid w:val="009E7A41"/>
    <w:rsid w:val="009E7AF7"/>
    <w:rsid w:val="009E7B66"/>
    <w:rsid w:val="009E7BEE"/>
    <w:rsid w:val="009E7D67"/>
    <w:rsid w:val="009E7E6E"/>
    <w:rsid w:val="009E7ED0"/>
    <w:rsid w:val="009E7F29"/>
    <w:rsid w:val="009E7F55"/>
    <w:rsid w:val="009F019A"/>
    <w:rsid w:val="009F0309"/>
    <w:rsid w:val="009F04F5"/>
    <w:rsid w:val="009F060F"/>
    <w:rsid w:val="009F0808"/>
    <w:rsid w:val="009F0829"/>
    <w:rsid w:val="009F083E"/>
    <w:rsid w:val="009F0BA8"/>
    <w:rsid w:val="009F0C0F"/>
    <w:rsid w:val="009F115F"/>
    <w:rsid w:val="009F11B0"/>
    <w:rsid w:val="009F1346"/>
    <w:rsid w:val="009F145B"/>
    <w:rsid w:val="009F1529"/>
    <w:rsid w:val="009F1943"/>
    <w:rsid w:val="009F1E05"/>
    <w:rsid w:val="009F1E41"/>
    <w:rsid w:val="009F1E51"/>
    <w:rsid w:val="009F1EB0"/>
    <w:rsid w:val="009F1F5E"/>
    <w:rsid w:val="009F1F65"/>
    <w:rsid w:val="009F2071"/>
    <w:rsid w:val="009F244C"/>
    <w:rsid w:val="009F24BF"/>
    <w:rsid w:val="009F256C"/>
    <w:rsid w:val="009F298F"/>
    <w:rsid w:val="009F2A08"/>
    <w:rsid w:val="009F2C5F"/>
    <w:rsid w:val="009F2C98"/>
    <w:rsid w:val="009F2CED"/>
    <w:rsid w:val="009F2D6B"/>
    <w:rsid w:val="009F2F8F"/>
    <w:rsid w:val="009F3151"/>
    <w:rsid w:val="009F33CF"/>
    <w:rsid w:val="009F3409"/>
    <w:rsid w:val="009F3491"/>
    <w:rsid w:val="009F34BF"/>
    <w:rsid w:val="009F359E"/>
    <w:rsid w:val="009F3608"/>
    <w:rsid w:val="009F3684"/>
    <w:rsid w:val="009F380C"/>
    <w:rsid w:val="009F385D"/>
    <w:rsid w:val="009F3927"/>
    <w:rsid w:val="009F39D7"/>
    <w:rsid w:val="009F3AFD"/>
    <w:rsid w:val="009F3C1A"/>
    <w:rsid w:val="009F3E16"/>
    <w:rsid w:val="009F3F67"/>
    <w:rsid w:val="009F41E3"/>
    <w:rsid w:val="009F4207"/>
    <w:rsid w:val="009F43D7"/>
    <w:rsid w:val="009F4413"/>
    <w:rsid w:val="009F44C6"/>
    <w:rsid w:val="009F46D0"/>
    <w:rsid w:val="009F476D"/>
    <w:rsid w:val="009F4882"/>
    <w:rsid w:val="009F49FD"/>
    <w:rsid w:val="009F4B20"/>
    <w:rsid w:val="009F4C96"/>
    <w:rsid w:val="009F4DE2"/>
    <w:rsid w:val="009F50E7"/>
    <w:rsid w:val="009F5118"/>
    <w:rsid w:val="009F5478"/>
    <w:rsid w:val="009F5561"/>
    <w:rsid w:val="009F565D"/>
    <w:rsid w:val="009F57DA"/>
    <w:rsid w:val="009F5859"/>
    <w:rsid w:val="009F5A6F"/>
    <w:rsid w:val="009F5AE1"/>
    <w:rsid w:val="009F5D2F"/>
    <w:rsid w:val="009F5E42"/>
    <w:rsid w:val="009F5EC9"/>
    <w:rsid w:val="009F5FDB"/>
    <w:rsid w:val="009F6055"/>
    <w:rsid w:val="009F6120"/>
    <w:rsid w:val="009F6141"/>
    <w:rsid w:val="009F63B7"/>
    <w:rsid w:val="009F6463"/>
    <w:rsid w:val="009F655F"/>
    <w:rsid w:val="009F657A"/>
    <w:rsid w:val="009F6646"/>
    <w:rsid w:val="009F6732"/>
    <w:rsid w:val="009F673E"/>
    <w:rsid w:val="009F6919"/>
    <w:rsid w:val="009F6A63"/>
    <w:rsid w:val="009F6F5C"/>
    <w:rsid w:val="009F7007"/>
    <w:rsid w:val="009F7071"/>
    <w:rsid w:val="009F707D"/>
    <w:rsid w:val="009F71B7"/>
    <w:rsid w:val="009F72D7"/>
    <w:rsid w:val="009F744D"/>
    <w:rsid w:val="009F75F5"/>
    <w:rsid w:val="009F7666"/>
    <w:rsid w:val="009F7876"/>
    <w:rsid w:val="009F7955"/>
    <w:rsid w:val="009F7A3C"/>
    <w:rsid w:val="009F7C00"/>
    <w:rsid w:val="009F7C34"/>
    <w:rsid w:val="009F7C7E"/>
    <w:rsid w:val="009F7C8D"/>
    <w:rsid w:val="009F7C93"/>
    <w:rsid w:val="009F7CA5"/>
    <w:rsid w:val="009F7D74"/>
    <w:rsid w:val="009F7E63"/>
    <w:rsid w:val="009F7EF7"/>
    <w:rsid w:val="009F7FE7"/>
    <w:rsid w:val="00A001CA"/>
    <w:rsid w:val="00A002C8"/>
    <w:rsid w:val="00A002CD"/>
    <w:rsid w:val="00A003F4"/>
    <w:rsid w:val="00A00456"/>
    <w:rsid w:val="00A0045B"/>
    <w:rsid w:val="00A00516"/>
    <w:rsid w:val="00A0054B"/>
    <w:rsid w:val="00A005A5"/>
    <w:rsid w:val="00A00988"/>
    <w:rsid w:val="00A00D76"/>
    <w:rsid w:val="00A00DDB"/>
    <w:rsid w:val="00A00E2E"/>
    <w:rsid w:val="00A00E4C"/>
    <w:rsid w:val="00A0110E"/>
    <w:rsid w:val="00A01184"/>
    <w:rsid w:val="00A0128F"/>
    <w:rsid w:val="00A012D9"/>
    <w:rsid w:val="00A01347"/>
    <w:rsid w:val="00A01449"/>
    <w:rsid w:val="00A0185B"/>
    <w:rsid w:val="00A01864"/>
    <w:rsid w:val="00A01897"/>
    <w:rsid w:val="00A018CE"/>
    <w:rsid w:val="00A0191F"/>
    <w:rsid w:val="00A01AE0"/>
    <w:rsid w:val="00A01B59"/>
    <w:rsid w:val="00A01BD9"/>
    <w:rsid w:val="00A01BE3"/>
    <w:rsid w:val="00A01CA7"/>
    <w:rsid w:val="00A01D2C"/>
    <w:rsid w:val="00A01D57"/>
    <w:rsid w:val="00A01D58"/>
    <w:rsid w:val="00A01EA2"/>
    <w:rsid w:val="00A01EBF"/>
    <w:rsid w:val="00A01F93"/>
    <w:rsid w:val="00A02234"/>
    <w:rsid w:val="00A023CB"/>
    <w:rsid w:val="00A0247C"/>
    <w:rsid w:val="00A02589"/>
    <w:rsid w:val="00A02704"/>
    <w:rsid w:val="00A02791"/>
    <w:rsid w:val="00A02800"/>
    <w:rsid w:val="00A0284E"/>
    <w:rsid w:val="00A028A4"/>
    <w:rsid w:val="00A02AD2"/>
    <w:rsid w:val="00A02B1D"/>
    <w:rsid w:val="00A02B7A"/>
    <w:rsid w:val="00A02C0C"/>
    <w:rsid w:val="00A02D0D"/>
    <w:rsid w:val="00A02F19"/>
    <w:rsid w:val="00A02FB3"/>
    <w:rsid w:val="00A030B0"/>
    <w:rsid w:val="00A03340"/>
    <w:rsid w:val="00A037C2"/>
    <w:rsid w:val="00A038A6"/>
    <w:rsid w:val="00A039BF"/>
    <w:rsid w:val="00A03AB8"/>
    <w:rsid w:val="00A03AEC"/>
    <w:rsid w:val="00A03C0C"/>
    <w:rsid w:val="00A03D43"/>
    <w:rsid w:val="00A04156"/>
    <w:rsid w:val="00A041CE"/>
    <w:rsid w:val="00A04380"/>
    <w:rsid w:val="00A04571"/>
    <w:rsid w:val="00A0468D"/>
    <w:rsid w:val="00A04786"/>
    <w:rsid w:val="00A0497A"/>
    <w:rsid w:val="00A049F6"/>
    <w:rsid w:val="00A04A03"/>
    <w:rsid w:val="00A04A60"/>
    <w:rsid w:val="00A04CF6"/>
    <w:rsid w:val="00A04DBE"/>
    <w:rsid w:val="00A04E6E"/>
    <w:rsid w:val="00A04F16"/>
    <w:rsid w:val="00A05183"/>
    <w:rsid w:val="00A051DE"/>
    <w:rsid w:val="00A052A4"/>
    <w:rsid w:val="00A052F5"/>
    <w:rsid w:val="00A05472"/>
    <w:rsid w:val="00A054E9"/>
    <w:rsid w:val="00A05633"/>
    <w:rsid w:val="00A05672"/>
    <w:rsid w:val="00A0571B"/>
    <w:rsid w:val="00A05790"/>
    <w:rsid w:val="00A0583E"/>
    <w:rsid w:val="00A05A2A"/>
    <w:rsid w:val="00A05AEE"/>
    <w:rsid w:val="00A05C32"/>
    <w:rsid w:val="00A05D12"/>
    <w:rsid w:val="00A05D3D"/>
    <w:rsid w:val="00A05E09"/>
    <w:rsid w:val="00A061DF"/>
    <w:rsid w:val="00A06208"/>
    <w:rsid w:val="00A0636A"/>
    <w:rsid w:val="00A063CB"/>
    <w:rsid w:val="00A064A7"/>
    <w:rsid w:val="00A0653F"/>
    <w:rsid w:val="00A066C7"/>
    <w:rsid w:val="00A06870"/>
    <w:rsid w:val="00A068D2"/>
    <w:rsid w:val="00A06A62"/>
    <w:rsid w:val="00A06BC0"/>
    <w:rsid w:val="00A06D4C"/>
    <w:rsid w:val="00A071F7"/>
    <w:rsid w:val="00A0729E"/>
    <w:rsid w:val="00A07373"/>
    <w:rsid w:val="00A0743B"/>
    <w:rsid w:val="00A076B5"/>
    <w:rsid w:val="00A079D4"/>
    <w:rsid w:val="00A07A56"/>
    <w:rsid w:val="00A07B1B"/>
    <w:rsid w:val="00A07B45"/>
    <w:rsid w:val="00A07B99"/>
    <w:rsid w:val="00A07C11"/>
    <w:rsid w:val="00A07D14"/>
    <w:rsid w:val="00A100C3"/>
    <w:rsid w:val="00A101BA"/>
    <w:rsid w:val="00A102C4"/>
    <w:rsid w:val="00A10401"/>
    <w:rsid w:val="00A10480"/>
    <w:rsid w:val="00A10587"/>
    <w:rsid w:val="00A105F3"/>
    <w:rsid w:val="00A10800"/>
    <w:rsid w:val="00A10B0B"/>
    <w:rsid w:val="00A10B21"/>
    <w:rsid w:val="00A10BF0"/>
    <w:rsid w:val="00A10E04"/>
    <w:rsid w:val="00A10F43"/>
    <w:rsid w:val="00A11441"/>
    <w:rsid w:val="00A11517"/>
    <w:rsid w:val="00A11526"/>
    <w:rsid w:val="00A11604"/>
    <w:rsid w:val="00A119B1"/>
    <w:rsid w:val="00A11A48"/>
    <w:rsid w:val="00A11B24"/>
    <w:rsid w:val="00A11B3D"/>
    <w:rsid w:val="00A11C05"/>
    <w:rsid w:val="00A11C8E"/>
    <w:rsid w:val="00A11CD0"/>
    <w:rsid w:val="00A11CE4"/>
    <w:rsid w:val="00A11CFC"/>
    <w:rsid w:val="00A11D0D"/>
    <w:rsid w:val="00A11D83"/>
    <w:rsid w:val="00A11FDD"/>
    <w:rsid w:val="00A12152"/>
    <w:rsid w:val="00A121AF"/>
    <w:rsid w:val="00A121B9"/>
    <w:rsid w:val="00A12381"/>
    <w:rsid w:val="00A125CB"/>
    <w:rsid w:val="00A1266F"/>
    <w:rsid w:val="00A1279B"/>
    <w:rsid w:val="00A127C9"/>
    <w:rsid w:val="00A1289A"/>
    <w:rsid w:val="00A12A05"/>
    <w:rsid w:val="00A12B45"/>
    <w:rsid w:val="00A12B91"/>
    <w:rsid w:val="00A12BA2"/>
    <w:rsid w:val="00A12BE4"/>
    <w:rsid w:val="00A12C6B"/>
    <w:rsid w:val="00A12CB2"/>
    <w:rsid w:val="00A12CB8"/>
    <w:rsid w:val="00A12D49"/>
    <w:rsid w:val="00A13145"/>
    <w:rsid w:val="00A131E4"/>
    <w:rsid w:val="00A131F7"/>
    <w:rsid w:val="00A132B6"/>
    <w:rsid w:val="00A1333F"/>
    <w:rsid w:val="00A13628"/>
    <w:rsid w:val="00A137DD"/>
    <w:rsid w:val="00A137F0"/>
    <w:rsid w:val="00A13826"/>
    <w:rsid w:val="00A138FF"/>
    <w:rsid w:val="00A13948"/>
    <w:rsid w:val="00A139E6"/>
    <w:rsid w:val="00A139F8"/>
    <w:rsid w:val="00A13D16"/>
    <w:rsid w:val="00A13D88"/>
    <w:rsid w:val="00A13E85"/>
    <w:rsid w:val="00A13FC5"/>
    <w:rsid w:val="00A14071"/>
    <w:rsid w:val="00A141F5"/>
    <w:rsid w:val="00A143E2"/>
    <w:rsid w:val="00A1457C"/>
    <w:rsid w:val="00A14664"/>
    <w:rsid w:val="00A1466D"/>
    <w:rsid w:val="00A146FD"/>
    <w:rsid w:val="00A149E0"/>
    <w:rsid w:val="00A149FE"/>
    <w:rsid w:val="00A14D7D"/>
    <w:rsid w:val="00A14E02"/>
    <w:rsid w:val="00A14E0A"/>
    <w:rsid w:val="00A14EEF"/>
    <w:rsid w:val="00A14F37"/>
    <w:rsid w:val="00A15040"/>
    <w:rsid w:val="00A1507C"/>
    <w:rsid w:val="00A151F5"/>
    <w:rsid w:val="00A15364"/>
    <w:rsid w:val="00A1555B"/>
    <w:rsid w:val="00A155C5"/>
    <w:rsid w:val="00A15600"/>
    <w:rsid w:val="00A15912"/>
    <w:rsid w:val="00A15E45"/>
    <w:rsid w:val="00A15E46"/>
    <w:rsid w:val="00A15F4A"/>
    <w:rsid w:val="00A15FAA"/>
    <w:rsid w:val="00A1614E"/>
    <w:rsid w:val="00A161A4"/>
    <w:rsid w:val="00A16372"/>
    <w:rsid w:val="00A16375"/>
    <w:rsid w:val="00A163CC"/>
    <w:rsid w:val="00A164E3"/>
    <w:rsid w:val="00A166B7"/>
    <w:rsid w:val="00A16731"/>
    <w:rsid w:val="00A168B2"/>
    <w:rsid w:val="00A169D6"/>
    <w:rsid w:val="00A16A8D"/>
    <w:rsid w:val="00A16AD8"/>
    <w:rsid w:val="00A16BBB"/>
    <w:rsid w:val="00A16E68"/>
    <w:rsid w:val="00A16F64"/>
    <w:rsid w:val="00A1701C"/>
    <w:rsid w:val="00A1721F"/>
    <w:rsid w:val="00A172CE"/>
    <w:rsid w:val="00A17301"/>
    <w:rsid w:val="00A17516"/>
    <w:rsid w:val="00A17791"/>
    <w:rsid w:val="00A177A5"/>
    <w:rsid w:val="00A177D2"/>
    <w:rsid w:val="00A177EC"/>
    <w:rsid w:val="00A1783C"/>
    <w:rsid w:val="00A17A58"/>
    <w:rsid w:val="00A17AEC"/>
    <w:rsid w:val="00A17C2D"/>
    <w:rsid w:val="00A17C3B"/>
    <w:rsid w:val="00A17CCA"/>
    <w:rsid w:val="00A200E5"/>
    <w:rsid w:val="00A2010B"/>
    <w:rsid w:val="00A201BC"/>
    <w:rsid w:val="00A201F9"/>
    <w:rsid w:val="00A2021E"/>
    <w:rsid w:val="00A20227"/>
    <w:rsid w:val="00A2024B"/>
    <w:rsid w:val="00A2049D"/>
    <w:rsid w:val="00A204D0"/>
    <w:rsid w:val="00A205D8"/>
    <w:rsid w:val="00A20652"/>
    <w:rsid w:val="00A2088A"/>
    <w:rsid w:val="00A2095B"/>
    <w:rsid w:val="00A209B8"/>
    <w:rsid w:val="00A209F8"/>
    <w:rsid w:val="00A20C01"/>
    <w:rsid w:val="00A20F78"/>
    <w:rsid w:val="00A210F4"/>
    <w:rsid w:val="00A21230"/>
    <w:rsid w:val="00A21390"/>
    <w:rsid w:val="00A213C0"/>
    <w:rsid w:val="00A213E5"/>
    <w:rsid w:val="00A214C2"/>
    <w:rsid w:val="00A21627"/>
    <w:rsid w:val="00A216B8"/>
    <w:rsid w:val="00A2190F"/>
    <w:rsid w:val="00A21944"/>
    <w:rsid w:val="00A219C9"/>
    <w:rsid w:val="00A219FA"/>
    <w:rsid w:val="00A21A58"/>
    <w:rsid w:val="00A21ACE"/>
    <w:rsid w:val="00A21B31"/>
    <w:rsid w:val="00A21B3F"/>
    <w:rsid w:val="00A21C2E"/>
    <w:rsid w:val="00A21C95"/>
    <w:rsid w:val="00A21CF3"/>
    <w:rsid w:val="00A21D6E"/>
    <w:rsid w:val="00A22024"/>
    <w:rsid w:val="00A220E7"/>
    <w:rsid w:val="00A22252"/>
    <w:rsid w:val="00A2226A"/>
    <w:rsid w:val="00A22752"/>
    <w:rsid w:val="00A2275E"/>
    <w:rsid w:val="00A228AD"/>
    <w:rsid w:val="00A2293A"/>
    <w:rsid w:val="00A22984"/>
    <w:rsid w:val="00A22CC2"/>
    <w:rsid w:val="00A22FA7"/>
    <w:rsid w:val="00A23110"/>
    <w:rsid w:val="00A231D4"/>
    <w:rsid w:val="00A2352A"/>
    <w:rsid w:val="00A236FC"/>
    <w:rsid w:val="00A23835"/>
    <w:rsid w:val="00A23864"/>
    <w:rsid w:val="00A238D4"/>
    <w:rsid w:val="00A23B2C"/>
    <w:rsid w:val="00A23B58"/>
    <w:rsid w:val="00A23B6A"/>
    <w:rsid w:val="00A23B79"/>
    <w:rsid w:val="00A23DFF"/>
    <w:rsid w:val="00A24058"/>
    <w:rsid w:val="00A24177"/>
    <w:rsid w:val="00A241E1"/>
    <w:rsid w:val="00A24280"/>
    <w:rsid w:val="00A242D9"/>
    <w:rsid w:val="00A2438A"/>
    <w:rsid w:val="00A24509"/>
    <w:rsid w:val="00A24813"/>
    <w:rsid w:val="00A24C31"/>
    <w:rsid w:val="00A24D03"/>
    <w:rsid w:val="00A24E99"/>
    <w:rsid w:val="00A24F56"/>
    <w:rsid w:val="00A24FA5"/>
    <w:rsid w:val="00A250F7"/>
    <w:rsid w:val="00A25230"/>
    <w:rsid w:val="00A253BE"/>
    <w:rsid w:val="00A253E4"/>
    <w:rsid w:val="00A25402"/>
    <w:rsid w:val="00A25493"/>
    <w:rsid w:val="00A254E9"/>
    <w:rsid w:val="00A255B3"/>
    <w:rsid w:val="00A25826"/>
    <w:rsid w:val="00A25AD3"/>
    <w:rsid w:val="00A25B02"/>
    <w:rsid w:val="00A25B14"/>
    <w:rsid w:val="00A25B17"/>
    <w:rsid w:val="00A25C18"/>
    <w:rsid w:val="00A25C37"/>
    <w:rsid w:val="00A25D45"/>
    <w:rsid w:val="00A25E5B"/>
    <w:rsid w:val="00A25EF7"/>
    <w:rsid w:val="00A25F2D"/>
    <w:rsid w:val="00A25FF9"/>
    <w:rsid w:val="00A2614D"/>
    <w:rsid w:val="00A262AA"/>
    <w:rsid w:val="00A26446"/>
    <w:rsid w:val="00A266C7"/>
    <w:rsid w:val="00A26B27"/>
    <w:rsid w:val="00A26DDB"/>
    <w:rsid w:val="00A26E3D"/>
    <w:rsid w:val="00A26E5E"/>
    <w:rsid w:val="00A26EE8"/>
    <w:rsid w:val="00A2714B"/>
    <w:rsid w:val="00A27197"/>
    <w:rsid w:val="00A272B4"/>
    <w:rsid w:val="00A27306"/>
    <w:rsid w:val="00A2733C"/>
    <w:rsid w:val="00A27415"/>
    <w:rsid w:val="00A27440"/>
    <w:rsid w:val="00A27505"/>
    <w:rsid w:val="00A2755E"/>
    <w:rsid w:val="00A2760C"/>
    <w:rsid w:val="00A27717"/>
    <w:rsid w:val="00A2776B"/>
    <w:rsid w:val="00A2779C"/>
    <w:rsid w:val="00A2779D"/>
    <w:rsid w:val="00A277C7"/>
    <w:rsid w:val="00A27845"/>
    <w:rsid w:val="00A2791F"/>
    <w:rsid w:val="00A27A1F"/>
    <w:rsid w:val="00A27AEC"/>
    <w:rsid w:val="00A27F28"/>
    <w:rsid w:val="00A27F73"/>
    <w:rsid w:val="00A27FFC"/>
    <w:rsid w:val="00A300C1"/>
    <w:rsid w:val="00A30100"/>
    <w:rsid w:val="00A30188"/>
    <w:rsid w:val="00A3020B"/>
    <w:rsid w:val="00A3031A"/>
    <w:rsid w:val="00A30361"/>
    <w:rsid w:val="00A30417"/>
    <w:rsid w:val="00A304B7"/>
    <w:rsid w:val="00A30623"/>
    <w:rsid w:val="00A309CB"/>
    <w:rsid w:val="00A30A29"/>
    <w:rsid w:val="00A30A5B"/>
    <w:rsid w:val="00A30AD3"/>
    <w:rsid w:val="00A30ADC"/>
    <w:rsid w:val="00A30D27"/>
    <w:rsid w:val="00A30D7A"/>
    <w:rsid w:val="00A30DC0"/>
    <w:rsid w:val="00A30E11"/>
    <w:rsid w:val="00A30E2D"/>
    <w:rsid w:val="00A310D3"/>
    <w:rsid w:val="00A310E9"/>
    <w:rsid w:val="00A3114D"/>
    <w:rsid w:val="00A3122C"/>
    <w:rsid w:val="00A312E5"/>
    <w:rsid w:val="00A313A7"/>
    <w:rsid w:val="00A3142B"/>
    <w:rsid w:val="00A31461"/>
    <w:rsid w:val="00A315D2"/>
    <w:rsid w:val="00A315E2"/>
    <w:rsid w:val="00A317AD"/>
    <w:rsid w:val="00A317B4"/>
    <w:rsid w:val="00A317C3"/>
    <w:rsid w:val="00A317D7"/>
    <w:rsid w:val="00A319D0"/>
    <w:rsid w:val="00A31A48"/>
    <w:rsid w:val="00A31B05"/>
    <w:rsid w:val="00A31B39"/>
    <w:rsid w:val="00A31B70"/>
    <w:rsid w:val="00A31CE8"/>
    <w:rsid w:val="00A31DA7"/>
    <w:rsid w:val="00A31FD9"/>
    <w:rsid w:val="00A320DB"/>
    <w:rsid w:val="00A3211A"/>
    <w:rsid w:val="00A32271"/>
    <w:rsid w:val="00A3241B"/>
    <w:rsid w:val="00A32438"/>
    <w:rsid w:val="00A3271C"/>
    <w:rsid w:val="00A328DF"/>
    <w:rsid w:val="00A328F0"/>
    <w:rsid w:val="00A32A52"/>
    <w:rsid w:val="00A32BA5"/>
    <w:rsid w:val="00A32D0D"/>
    <w:rsid w:val="00A32FB1"/>
    <w:rsid w:val="00A331A1"/>
    <w:rsid w:val="00A33263"/>
    <w:rsid w:val="00A3333F"/>
    <w:rsid w:val="00A334A9"/>
    <w:rsid w:val="00A33509"/>
    <w:rsid w:val="00A336DC"/>
    <w:rsid w:val="00A33A41"/>
    <w:rsid w:val="00A33A4D"/>
    <w:rsid w:val="00A33AAE"/>
    <w:rsid w:val="00A33B5F"/>
    <w:rsid w:val="00A33BC7"/>
    <w:rsid w:val="00A340A4"/>
    <w:rsid w:val="00A341D8"/>
    <w:rsid w:val="00A341EE"/>
    <w:rsid w:val="00A34292"/>
    <w:rsid w:val="00A34663"/>
    <w:rsid w:val="00A346A9"/>
    <w:rsid w:val="00A346CA"/>
    <w:rsid w:val="00A3472C"/>
    <w:rsid w:val="00A3488E"/>
    <w:rsid w:val="00A348A4"/>
    <w:rsid w:val="00A34C96"/>
    <w:rsid w:val="00A34CDF"/>
    <w:rsid w:val="00A34D95"/>
    <w:rsid w:val="00A34DD9"/>
    <w:rsid w:val="00A34DE9"/>
    <w:rsid w:val="00A34EE3"/>
    <w:rsid w:val="00A35019"/>
    <w:rsid w:val="00A3503E"/>
    <w:rsid w:val="00A3507E"/>
    <w:rsid w:val="00A35088"/>
    <w:rsid w:val="00A3511C"/>
    <w:rsid w:val="00A35354"/>
    <w:rsid w:val="00A35492"/>
    <w:rsid w:val="00A354DE"/>
    <w:rsid w:val="00A35778"/>
    <w:rsid w:val="00A358CB"/>
    <w:rsid w:val="00A35B5A"/>
    <w:rsid w:val="00A35BDB"/>
    <w:rsid w:val="00A35CB3"/>
    <w:rsid w:val="00A35D16"/>
    <w:rsid w:val="00A36203"/>
    <w:rsid w:val="00A3624C"/>
    <w:rsid w:val="00A3628A"/>
    <w:rsid w:val="00A365F7"/>
    <w:rsid w:val="00A36623"/>
    <w:rsid w:val="00A368AB"/>
    <w:rsid w:val="00A36A04"/>
    <w:rsid w:val="00A36A66"/>
    <w:rsid w:val="00A36A6F"/>
    <w:rsid w:val="00A36AA8"/>
    <w:rsid w:val="00A36CEC"/>
    <w:rsid w:val="00A36F82"/>
    <w:rsid w:val="00A37257"/>
    <w:rsid w:val="00A3728C"/>
    <w:rsid w:val="00A372ED"/>
    <w:rsid w:val="00A3734F"/>
    <w:rsid w:val="00A37671"/>
    <w:rsid w:val="00A377B3"/>
    <w:rsid w:val="00A37826"/>
    <w:rsid w:val="00A37B0F"/>
    <w:rsid w:val="00A37BCD"/>
    <w:rsid w:val="00A37F90"/>
    <w:rsid w:val="00A37FB5"/>
    <w:rsid w:val="00A4033A"/>
    <w:rsid w:val="00A40577"/>
    <w:rsid w:val="00A40584"/>
    <w:rsid w:val="00A405C5"/>
    <w:rsid w:val="00A406A2"/>
    <w:rsid w:val="00A40793"/>
    <w:rsid w:val="00A408AE"/>
    <w:rsid w:val="00A4097A"/>
    <w:rsid w:val="00A40B10"/>
    <w:rsid w:val="00A40B7E"/>
    <w:rsid w:val="00A40C93"/>
    <w:rsid w:val="00A40DCE"/>
    <w:rsid w:val="00A40EC4"/>
    <w:rsid w:val="00A412B5"/>
    <w:rsid w:val="00A4167D"/>
    <w:rsid w:val="00A41689"/>
    <w:rsid w:val="00A416F8"/>
    <w:rsid w:val="00A41925"/>
    <w:rsid w:val="00A41930"/>
    <w:rsid w:val="00A4195F"/>
    <w:rsid w:val="00A41963"/>
    <w:rsid w:val="00A41AF6"/>
    <w:rsid w:val="00A41B1A"/>
    <w:rsid w:val="00A41B31"/>
    <w:rsid w:val="00A41B36"/>
    <w:rsid w:val="00A41E3D"/>
    <w:rsid w:val="00A41E8B"/>
    <w:rsid w:val="00A41EF5"/>
    <w:rsid w:val="00A41F16"/>
    <w:rsid w:val="00A4203D"/>
    <w:rsid w:val="00A42061"/>
    <w:rsid w:val="00A4244C"/>
    <w:rsid w:val="00A42467"/>
    <w:rsid w:val="00A4254F"/>
    <w:rsid w:val="00A42592"/>
    <w:rsid w:val="00A425F0"/>
    <w:rsid w:val="00A426AB"/>
    <w:rsid w:val="00A4288F"/>
    <w:rsid w:val="00A42A77"/>
    <w:rsid w:val="00A42A85"/>
    <w:rsid w:val="00A42F79"/>
    <w:rsid w:val="00A43165"/>
    <w:rsid w:val="00A43434"/>
    <w:rsid w:val="00A4352B"/>
    <w:rsid w:val="00A43761"/>
    <w:rsid w:val="00A4376A"/>
    <w:rsid w:val="00A437A7"/>
    <w:rsid w:val="00A437BE"/>
    <w:rsid w:val="00A43924"/>
    <w:rsid w:val="00A43AE4"/>
    <w:rsid w:val="00A43AE8"/>
    <w:rsid w:val="00A43AF9"/>
    <w:rsid w:val="00A43C59"/>
    <w:rsid w:val="00A44078"/>
    <w:rsid w:val="00A440AD"/>
    <w:rsid w:val="00A440F2"/>
    <w:rsid w:val="00A4415E"/>
    <w:rsid w:val="00A44198"/>
    <w:rsid w:val="00A442D1"/>
    <w:rsid w:val="00A4461E"/>
    <w:rsid w:val="00A4475C"/>
    <w:rsid w:val="00A4478F"/>
    <w:rsid w:val="00A44801"/>
    <w:rsid w:val="00A4481E"/>
    <w:rsid w:val="00A4497A"/>
    <w:rsid w:val="00A44B41"/>
    <w:rsid w:val="00A44C2F"/>
    <w:rsid w:val="00A44E34"/>
    <w:rsid w:val="00A450BE"/>
    <w:rsid w:val="00A4537D"/>
    <w:rsid w:val="00A45995"/>
    <w:rsid w:val="00A45C4D"/>
    <w:rsid w:val="00A45D5E"/>
    <w:rsid w:val="00A45E3F"/>
    <w:rsid w:val="00A45F77"/>
    <w:rsid w:val="00A45FB9"/>
    <w:rsid w:val="00A46045"/>
    <w:rsid w:val="00A46094"/>
    <w:rsid w:val="00A460E1"/>
    <w:rsid w:val="00A46171"/>
    <w:rsid w:val="00A461A5"/>
    <w:rsid w:val="00A46359"/>
    <w:rsid w:val="00A4637A"/>
    <w:rsid w:val="00A46499"/>
    <w:rsid w:val="00A46689"/>
    <w:rsid w:val="00A466DC"/>
    <w:rsid w:val="00A46972"/>
    <w:rsid w:val="00A46A7C"/>
    <w:rsid w:val="00A46C81"/>
    <w:rsid w:val="00A46D04"/>
    <w:rsid w:val="00A46DC7"/>
    <w:rsid w:val="00A46DCA"/>
    <w:rsid w:val="00A46DDE"/>
    <w:rsid w:val="00A46DEB"/>
    <w:rsid w:val="00A46E25"/>
    <w:rsid w:val="00A46E3A"/>
    <w:rsid w:val="00A472AC"/>
    <w:rsid w:val="00A473CC"/>
    <w:rsid w:val="00A474B5"/>
    <w:rsid w:val="00A475AD"/>
    <w:rsid w:val="00A475C5"/>
    <w:rsid w:val="00A47608"/>
    <w:rsid w:val="00A47A49"/>
    <w:rsid w:val="00A47BC5"/>
    <w:rsid w:val="00A47C20"/>
    <w:rsid w:val="00A47CAB"/>
    <w:rsid w:val="00A47EEA"/>
    <w:rsid w:val="00A47F30"/>
    <w:rsid w:val="00A50022"/>
    <w:rsid w:val="00A501A7"/>
    <w:rsid w:val="00A50278"/>
    <w:rsid w:val="00A504A2"/>
    <w:rsid w:val="00A504C2"/>
    <w:rsid w:val="00A50786"/>
    <w:rsid w:val="00A50A4F"/>
    <w:rsid w:val="00A50A51"/>
    <w:rsid w:val="00A50D89"/>
    <w:rsid w:val="00A50DE2"/>
    <w:rsid w:val="00A50E94"/>
    <w:rsid w:val="00A50ECD"/>
    <w:rsid w:val="00A5108D"/>
    <w:rsid w:val="00A51443"/>
    <w:rsid w:val="00A51466"/>
    <w:rsid w:val="00A514AB"/>
    <w:rsid w:val="00A515B0"/>
    <w:rsid w:val="00A516E1"/>
    <w:rsid w:val="00A5173E"/>
    <w:rsid w:val="00A5187D"/>
    <w:rsid w:val="00A5188A"/>
    <w:rsid w:val="00A518F3"/>
    <w:rsid w:val="00A5191C"/>
    <w:rsid w:val="00A51A6A"/>
    <w:rsid w:val="00A51C6D"/>
    <w:rsid w:val="00A51CE9"/>
    <w:rsid w:val="00A5203D"/>
    <w:rsid w:val="00A520AA"/>
    <w:rsid w:val="00A52156"/>
    <w:rsid w:val="00A52313"/>
    <w:rsid w:val="00A52413"/>
    <w:rsid w:val="00A52455"/>
    <w:rsid w:val="00A52469"/>
    <w:rsid w:val="00A524B7"/>
    <w:rsid w:val="00A52652"/>
    <w:rsid w:val="00A52708"/>
    <w:rsid w:val="00A52729"/>
    <w:rsid w:val="00A5288B"/>
    <w:rsid w:val="00A52C16"/>
    <w:rsid w:val="00A52F0E"/>
    <w:rsid w:val="00A52F6D"/>
    <w:rsid w:val="00A52FD6"/>
    <w:rsid w:val="00A52FE1"/>
    <w:rsid w:val="00A5341A"/>
    <w:rsid w:val="00A53675"/>
    <w:rsid w:val="00A536AC"/>
    <w:rsid w:val="00A536D2"/>
    <w:rsid w:val="00A537F9"/>
    <w:rsid w:val="00A539D3"/>
    <w:rsid w:val="00A53C93"/>
    <w:rsid w:val="00A53DA5"/>
    <w:rsid w:val="00A53ECC"/>
    <w:rsid w:val="00A53F25"/>
    <w:rsid w:val="00A54126"/>
    <w:rsid w:val="00A54179"/>
    <w:rsid w:val="00A541D5"/>
    <w:rsid w:val="00A542EE"/>
    <w:rsid w:val="00A544A9"/>
    <w:rsid w:val="00A544AD"/>
    <w:rsid w:val="00A54546"/>
    <w:rsid w:val="00A545BC"/>
    <w:rsid w:val="00A548BD"/>
    <w:rsid w:val="00A548FB"/>
    <w:rsid w:val="00A54B94"/>
    <w:rsid w:val="00A54E6B"/>
    <w:rsid w:val="00A54F4A"/>
    <w:rsid w:val="00A55084"/>
    <w:rsid w:val="00A55094"/>
    <w:rsid w:val="00A550A1"/>
    <w:rsid w:val="00A5510A"/>
    <w:rsid w:val="00A55130"/>
    <w:rsid w:val="00A55268"/>
    <w:rsid w:val="00A55270"/>
    <w:rsid w:val="00A55777"/>
    <w:rsid w:val="00A557FB"/>
    <w:rsid w:val="00A5592E"/>
    <w:rsid w:val="00A55A75"/>
    <w:rsid w:val="00A55B02"/>
    <w:rsid w:val="00A55B55"/>
    <w:rsid w:val="00A55CAB"/>
    <w:rsid w:val="00A55D00"/>
    <w:rsid w:val="00A55EDB"/>
    <w:rsid w:val="00A56171"/>
    <w:rsid w:val="00A561D2"/>
    <w:rsid w:val="00A5633D"/>
    <w:rsid w:val="00A564D7"/>
    <w:rsid w:val="00A56599"/>
    <w:rsid w:val="00A5662B"/>
    <w:rsid w:val="00A56703"/>
    <w:rsid w:val="00A56759"/>
    <w:rsid w:val="00A5697A"/>
    <w:rsid w:val="00A56AB1"/>
    <w:rsid w:val="00A56ACC"/>
    <w:rsid w:val="00A56B6A"/>
    <w:rsid w:val="00A56F54"/>
    <w:rsid w:val="00A56FE3"/>
    <w:rsid w:val="00A57069"/>
    <w:rsid w:val="00A570DD"/>
    <w:rsid w:val="00A57161"/>
    <w:rsid w:val="00A5734F"/>
    <w:rsid w:val="00A57425"/>
    <w:rsid w:val="00A5753D"/>
    <w:rsid w:val="00A577DD"/>
    <w:rsid w:val="00A578DC"/>
    <w:rsid w:val="00A57A91"/>
    <w:rsid w:val="00A57AFE"/>
    <w:rsid w:val="00A57C87"/>
    <w:rsid w:val="00A57C8A"/>
    <w:rsid w:val="00A57D47"/>
    <w:rsid w:val="00A57DE7"/>
    <w:rsid w:val="00A57F07"/>
    <w:rsid w:val="00A57F1B"/>
    <w:rsid w:val="00A60140"/>
    <w:rsid w:val="00A602A3"/>
    <w:rsid w:val="00A602CF"/>
    <w:rsid w:val="00A6038E"/>
    <w:rsid w:val="00A603D5"/>
    <w:rsid w:val="00A603DD"/>
    <w:rsid w:val="00A604ED"/>
    <w:rsid w:val="00A607A3"/>
    <w:rsid w:val="00A60D25"/>
    <w:rsid w:val="00A60F92"/>
    <w:rsid w:val="00A6109A"/>
    <w:rsid w:val="00A61118"/>
    <w:rsid w:val="00A61156"/>
    <w:rsid w:val="00A61615"/>
    <w:rsid w:val="00A616F5"/>
    <w:rsid w:val="00A61745"/>
    <w:rsid w:val="00A617DA"/>
    <w:rsid w:val="00A61824"/>
    <w:rsid w:val="00A619F9"/>
    <w:rsid w:val="00A61A13"/>
    <w:rsid w:val="00A61B2B"/>
    <w:rsid w:val="00A61C7D"/>
    <w:rsid w:val="00A61D75"/>
    <w:rsid w:val="00A61E08"/>
    <w:rsid w:val="00A620C4"/>
    <w:rsid w:val="00A620CD"/>
    <w:rsid w:val="00A6211D"/>
    <w:rsid w:val="00A62187"/>
    <w:rsid w:val="00A623DC"/>
    <w:rsid w:val="00A623E6"/>
    <w:rsid w:val="00A6241E"/>
    <w:rsid w:val="00A6253F"/>
    <w:rsid w:val="00A62667"/>
    <w:rsid w:val="00A62AA8"/>
    <w:rsid w:val="00A62AE3"/>
    <w:rsid w:val="00A62C46"/>
    <w:rsid w:val="00A62D3A"/>
    <w:rsid w:val="00A62DF2"/>
    <w:rsid w:val="00A63245"/>
    <w:rsid w:val="00A63327"/>
    <w:rsid w:val="00A633B8"/>
    <w:rsid w:val="00A6384B"/>
    <w:rsid w:val="00A63A7A"/>
    <w:rsid w:val="00A63C2F"/>
    <w:rsid w:val="00A63D79"/>
    <w:rsid w:val="00A63D86"/>
    <w:rsid w:val="00A63DC2"/>
    <w:rsid w:val="00A63F0F"/>
    <w:rsid w:val="00A640E2"/>
    <w:rsid w:val="00A64127"/>
    <w:rsid w:val="00A6413A"/>
    <w:rsid w:val="00A64322"/>
    <w:rsid w:val="00A644A5"/>
    <w:rsid w:val="00A647DA"/>
    <w:rsid w:val="00A64804"/>
    <w:rsid w:val="00A648FC"/>
    <w:rsid w:val="00A64A17"/>
    <w:rsid w:val="00A64BF3"/>
    <w:rsid w:val="00A64D22"/>
    <w:rsid w:val="00A64D65"/>
    <w:rsid w:val="00A64E5A"/>
    <w:rsid w:val="00A64F41"/>
    <w:rsid w:val="00A64FE2"/>
    <w:rsid w:val="00A650A4"/>
    <w:rsid w:val="00A652DC"/>
    <w:rsid w:val="00A6531E"/>
    <w:rsid w:val="00A65440"/>
    <w:rsid w:val="00A655B1"/>
    <w:rsid w:val="00A6562B"/>
    <w:rsid w:val="00A656F3"/>
    <w:rsid w:val="00A657C0"/>
    <w:rsid w:val="00A65992"/>
    <w:rsid w:val="00A659D8"/>
    <w:rsid w:val="00A65B34"/>
    <w:rsid w:val="00A65B63"/>
    <w:rsid w:val="00A65C16"/>
    <w:rsid w:val="00A65F0E"/>
    <w:rsid w:val="00A66074"/>
    <w:rsid w:val="00A66181"/>
    <w:rsid w:val="00A66370"/>
    <w:rsid w:val="00A6648C"/>
    <w:rsid w:val="00A66618"/>
    <w:rsid w:val="00A666E1"/>
    <w:rsid w:val="00A66771"/>
    <w:rsid w:val="00A66BC6"/>
    <w:rsid w:val="00A66CD9"/>
    <w:rsid w:val="00A66D1E"/>
    <w:rsid w:val="00A66D55"/>
    <w:rsid w:val="00A66E35"/>
    <w:rsid w:val="00A66E4F"/>
    <w:rsid w:val="00A66E71"/>
    <w:rsid w:val="00A67060"/>
    <w:rsid w:val="00A67136"/>
    <w:rsid w:val="00A67237"/>
    <w:rsid w:val="00A6725B"/>
    <w:rsid w:val="00A675C4"/>
    <w:rsid w:val="00A676EF"/>
    <w:rsid w:val="00A67785"/>
    <w:rsid w:val="00A67892"/>
    <w:rsid w:val="00A678AF"/>
    <w:rsid w:val="00A678DA"/>
    <w:rsid w:val="00A67931"/>
    <w:rsid w:val="00A67949"/>
    <w:rsid w:val="00A67CFA"/>
    <w:rsid w:val="00A67D23"/>
    <w:rsid w:val="00A67D87"/>
    <w:rsid w:val="00A702A7"/>
    <w:rsid w:val="00A70490"/>
    <w:rsid w:val="00A7056D"/>
    <w:rsid w:val="00A70605"/>
    <w:rsid w:val="00A70730"/>
    <w:rsid w:val="00A7074A"/>
    <w:rsid w:val="00A70802"/>
    <w:rsid w:val="00A7082C"/>
    <w:rsid w:val="00A70BD7"/>
    <w:rsid w:val="00A70BE5"/>
    <w:rsid w:val="00A70CEE"/>
    <w:rsid w:val="00A70DC5"/>
    <w:rsid w:val="00A71072"/>
    <w:rsid w:val="00A71299"/>
    <w:rsid w:val="00A713EA"/>
    <w:rsid w:val="00A714AE"/>
    <w:rsid w:val="00A714E1"/>
    <w:rsid w:val="00A71564"/>
    <w:rsid w:val="00A71974"/>
    <w:rsid w:val="00A71CB6"/>
    <w:rsid w:val="00A71CB9"/>
    <w:rsid w:val="00A71E0A"/>
    <w:rsid w:val="00A71F3F"/>
    <w:rsid w:val="00A71FD8"/>
    <w:rsid w:val="00A721CD"/>
    <w:rsid w:val="00A72476"/>
    <w:rsid w:val="00A724CE"/>
    <w:rsid w:val="00A7253A"/>
    <w:rsid w:val="00A728A9"/>
    <w:rsid w:val="00A72A99"/>
    <w:rsid w:val="00A72AB5"/>
    <w:rsid w:val="00A72B40"/>
    <w:rsid w:val="00A72BE4"/>
    <w:rsid w:val="00A72C7F"/>
    <w:rsid w:val="00A72C85"/>
    <w:rsid w:val="00A72D4D"/>
    <w:rsid w:val="00A72D58"/>
    <w:rsid w:val="00A730B3"/>
    <w:rsid w:val="00A7311F"/>
    <w:rsid w:val="00A73134"/>
    <w:rsid w:val="00A73169"/>
    <w:rsid w:val="00A733A9"/>
    <w:rsid w:val="00A7340B"/>
    <w:rsid w:val="00A73618"/>
    <w:rsid w:val="00A7365A"/>
    <w:rsid w:val="00A73707"/>
    <w:rsid w:val="00A73728"/>
    <w:rsid w:val="00A737B5"/>
    <w:rsid w:val="00A73869"/>
    <w:rsid w:val="00A7395E"/>
    <w:rsid w:val="00A7395F"/>
    <w:rsid w:val="00A73A5B"/>
    <w:rsid w:val="00A73AFF"/>
    <w:rsid w:val="00A74050"/>
    <w:rsid w:val="00A74167"/>
    <w:rsid w:val="00A745DD"/>
    <w:rsid w:val="00A74770"/>
    <w:rsid w:val="00A748E9"/>
    <w:rsid w:val="00A74957"/>
    <w:rsid w:val="00A74A63"/>
    <w:rsid w:val="00A74C32"/>
    <w:rsid w:val="00A74FAC"/>
    <w:rsid w:val="00A74FE1"/>
    <w:rsid w:val="00A7560C"/>
    <w:rsid w:val="00A75665"/>
    <w:rsid w:val="00A75688"/>
    <w:rsid w:val="00A75786"/>
    <w:rsid w:val="00A75973"/>
    <w:rsid w:val="00A75A3B"/>
    <w:rsid w:val="00A75C15"/>
    <w:rsid w:val="00A75C5D"/>
    <w:rsid w:val="00A75E75"/>
    <w:rsid w:val="00A75E96"/>
    <w:rsid w:val="00A76001"/>
    <w:rsid w:val="00A76123"/>
    <w:rsid w:val="00A7671F"/>
    <w:rsid w:val="00A7676E"/>
    <w:rsid w:val="00A76895"/>
    <w:rsid w:val="00A76996"/>
    <w:rsid w:val="00A76B30"/>
    <w:rsid w:val="00A76C31"/>
    <w:rsid w:val="00A76E2B"/>
    <w:rsid w:val="00A76FFC"/>
    <w:rsid w:val="00A77437"/>
    <w:rsid w:val="00A7772A"/>
    <w:rsid w:val="00A77795"/>
    <w:rsid w:val="00A777B2"/>
    <w:rsid w:val="00A777D9"/>
    <w:rsid w:val="00A77829"/>
    <w:rsid w:val="00A77889"/>
    <w:rsid w:val="00A778EA"/>
    <w:rsid w:val="00A77938"/>
    <w:rsid w:val="00A77C3C"/>
    <w:rsid w:val="00A77E69"/>
    <w:rsid w:val="00A801DD"/>
    <w:rsid w:val="00A8050C"/>
    <w:rsid w:val="00A80554"/>
    <w:rsid w:val="00A805EA"/>
    <w:rsid w:val="00A8068A"/>
    <w:rsid w:val="00A80766"/>
    <w:rsid w:val="00A80A9D"/>
    <w:rsid w:val="00A80B57"/>
    <w:rsid w:val="00A80CBE"/>
    <w:rsid w:val="00A812E2"/>
    <w:rsid w:val="00A8150A"/>
    <w:rsid w:val="00A81524"/>
    <w:rsid w:val="00A8156C"/>
    <w:rsid w:val="00A81597"/>
    <w:rsid w:val="00A81719"/>
    <w:rsid w:val="00A817EC"/>
    <w:rsid w:val="00A81961"/>
    <w:rsid w:val="00A81F21"/>
    <w:rsid w:val="00A821F7"/>
    <w:rsid w:val="00A823CE"/>
    <w:rsid w:val="00A8248F"/>
    <w:rsid w:val="00A825D4"/>
    <w:rsid w:val="00A827D2"/>
    <w:rsid w:val="00A82839"/>
    <w:rsid w:val="00A828F6"/>
    <w:rsid w:val="00A82B34"/>
    <w:rsid w:val="00A82B73"/>
    <w:rsid w:val="00A82D89"/>
    <w:rsid w:val="00A82F7A"/>
    <w:rsid w:val="00A82FA8"/>
    <w:rsid w:val="00A831D3"/>
    <w:rsid w:val="00A83269"/>
    <w:rsid w:val="00A833FE"/>
    <w:rsid w:val="00A83570"/>
    <w:rsid w:val="00A8377A"/>
    <w:rsid w:val="00A8393C"/>
    <w:rsid w:val="00A83A5C"/>
    <w:rsid w:val="00A83E00"/>
    <w:rsid w:val="00A83F99"/>
    <w:rsid w:val="00A840C3"/>
    <w:rsid w:val="00A842FC"/>
    <w:rsid w:val="00A84415"/>
    <w:rsid w:val="00A845BC"/>
    <w:rsid w:val="00A84609"/>
    <w:rsid w:val="00A84689"/>
    <w:rsid w:val="00A84769"/>
    <w:rsid w:val="00A84912"/>
    <w:rsid w:val="00A84A72"/>
    <w:rsid w:val="00A84B54"/>
    <w:rsid w:val="00A84B95"/>
    <w:rsid w:val="00A84D99"/>
    <w:rsid w:val="00A84DB3"/>
    <w:rsid w:val="00A84E28"/>
    <w:rsid w:val="00A8510D"/>
    <w:rsid w:val="00A851C1"/>
    <w:rsid w:val="00A851CE"/>
    <w:rsid w:val="00A8532B"/>
    <w:rsid w:val="00A85794"/>
    <w:rsid w:val="00A858C9"/>
    <w:rsid w:val="00A85920"/>
    <w:rsid w:val="00A85970"/>
    <w:rsid w:val="00A85AAB"/>
    <w:rsid w:val="00A85C41"/>
    <w:rsid w:val="00A85DAD"/>
    <w:rsid w:val="00A85E70"/>
    <w:rsid w:val="00A85F83"/>
    <w:rsid w:val="00A86017"/>
    <w:rsid w:val="00A861D8"/>
    <w:rsid w:val="00A86351"/>
    <w:rsid w:val="00A8636D"/>
    <w:rsid w:val="00A86438"/>
    <w:rsid w:val="00A865EA"/>
    <w:rsid w:val="00A86609"/>
    <w:rsid w:val="00A86613"/>
    <w:rsid w:val="00A86A61"/>
    <w:rsid w:val="00A86C6B"/>
    <w:rsid w:val="00A86D94"/>
    <w:rsid w:val="00A86E20"/>
    <w:rsid w:val="00A86E8B"/>
    <w:rsid w:val="00A86EC2"/>
    <w:rsid w:val="00A86EF6"/>
    <w:rsid w:val="00A86F57"/>
    <w:rsid w:val="00A86F7D"/>
    <w:rsid w:val="00A87063"/>
    <w:rsid w:val="00A870CA"/>
    <w:rsid w:val="00A87164"/>
    <w:rsid w:val="00A871A1"/>
    <w:rsid w:val="00A871A9"/>
    <w:rsid w:val="00A8723B"/>
    <w:rsid w:val="00A8726F"/>
    <w:rsid w:val="00A87286"/>
    <w:rsid w:val="00A872D7"/>
    <w:rsid w:val="00A87302"/>
    <w:rsid w:val="00A873DD"/>
    <w:rsid w:val="00A8755D"/>
    <w:rsid w:val="00A875D7"/>
    <w:rsid w:val="00A875EB"/>
    <w:rsid w:val="00A87A56"/>
    <w:rsid w:val="00A87E6D"/>
    <w:rsid w:val="00A87F5C"/>
    <w:rsid w:val="00A901E9"/>
    <w:rsid w:val="00A9031E"/>
    <w:rsid w:val="00A90390"/>
    <w:rsid w:val="00A90394"/>
    <w:rsid w:val="00A90470"/>
    <w:rsid w:val="00A905B8"/>
    <w:rsid w:val="00A90735"/>
    <w:rsid w:val="00A907A3"/>
    <w:rsid w:val="00A907A6"/>
    <w:rsid w:val="00A90A52"/>
    <w:rsid w:val="00A90B78"/>
    <w:rsid w:val="00A90D3B"/>
    <w:rsid w:val="00A90FDD"/>
    <w:rsid w:val="00A91082"/>
    <w:rsid w:val="00A91200"/>
    <w:rsid w:val="00A9122E"/>
    <w:rsid w:val="00A91267"/>
    <w:rsid w:val="00A913FA"/>
    <w:rsid w:val="00A9162F"/>
    <w:rsid w:val="00A91685"/>
    <w:rsid w:val="00A916B3"/>
    <w:rsid w:val="00A9190C"/>
    <w:rsid w:val="00A91920"/>
    <w:rsid w:val="00A919A7"/>
    <w:rsid w:val="00A91ABC"/>
    <w:rsid w:val="00A91CE1"/>
    <w:rsid w:val="00A91D30"/>
    <w:rsid w:val="00A91DFC"/>
    <w:rsid w:val="00A92134"/>
    <w:rsid w:val="00A92159"/>
    <w:rsid w:val="00A92273"/>
    <w:rsid w:val="00A9233E"/>
    <w:rsid w:val="00A924FC"/>
    <w:rsid w:val="00A925A5"/>
    <w:rsid w:val="00A925B8"/>
    <w:rsid w:val="00A92660"/>
    <w:rsid w:val="00A926EE"/>
    <w:rsid w:val="00A927EE"/>
    <w:rsid w:val="00A928A9"/>
    <w:rsid w:val="00A928E8"/>
    <w:rsid w:val="00A92941"/>
    <w:rsid w:val="00A93072"/>
    <w:rsid w:val="00A931A9"/>
    <w:rsid w:val="00A93383"/>
    <w:rsid w:val="00A933B8"/>
    <w:rsid w:val="00A93478"/>
    <w:rsid w:val="00A934B6"/>
    <w:rsid w:val="00A93746"/>
    <w:rsid w:val="00A938BD"/>
    <w:rsid w:val="00A93953"/>
    <w:rsid w:val="00A93A2B"/>
    <w:rsid w:val="00A93D27"/>
    <w:rsid w:val="00A941A8"/>
    <w:rsid w:val="00A94302"/>
    <w:rsid w:val="00A943C9"/>
    <w:rsid w:val="00A944B1"/>
    <w:rsid w:val="00A944D6"/>
    <w:rsid w:val="00A944F0"/>
    <w:rsid w:val="00A945CD"/>
    <w:rsid w:val="00A94631"/>
    <w:rsid w:val="00A94648"/>
    <w:rsid w:val="00A94966"/>
    <w:rsid w:val="00A94A40"/>
    <w:rsid w:val="00A94AFB"/>
    <w:rsid w:val="00A94BB6"/>
    <w:rsid w:val="00A94C0C"/>
    <w:rsid w:val="00A94C39"/>
    <w:rsid w:val="00A94C3C"/>
    <w:rsid w:val="00A94D16"/>
    <w:rsid w:val="00A94D39"/>
    <w:rsid w:val="00A95006"/>
    <w:rsid w:val="00A956CD"/>
    <w:rsid w:val="00A95730"/>
    <w:rsid w:val="00A957E8"/>
    <w:rsid w:val="00A95829"/>
    <w:rsid w:val="00A9591C"/>
    <w:rsid w:val="00A959D8"/>
    <w:rsid w:val="00A95A01"/>
    <w:rsid w:val="00A95C24"/>
    <w:rsid w:val="00A95D6B"/>
    <w:rsid w:val="00A95D96"/>
    <w:rsid w:val="00A9609F"/>
    <w:rsid w:val="00A960B0"/>
    <w:rsid w:val="00A961C1"/>
    <w:rsid w:val="00A96461"/>
    <w:rsid w:val="00A964A5"/>
    <w:rsid w:val="00A966A9"/>
    <w:rsid w:val="00A969D6"/>
    <w:rsid w:val="00A96B80"/>
    <w:rsid w:val="00A96D2C"/>
    <w:rsid w:val="00A96D46"/>
    <w:rsid w:val="00A96E16"/>
    <w:rsid w:val="00A97008"/>
    <w:rsid w:val="00A9701F"/>
    <w:rsid w:val="00A9702F"/>
    <w:rsid w:val="00A9711C"/>
    <w:rsid w:val="00A97193"/>
    <w:rsid w:val="00A971B5"/>
    <w:rsid w:val="00A971D2"/>
    <w:rsid w:val="00A9722A"/>
    <w:rsid w:val="00A9725B"/>
    <w:rsid w:val="00A976B6"/>
    <w:rsid w:val="00A9778B"/>
    <w:rsid w:val="00A9780B"/>
    <w:rsid w:val="00A97997"/>
    <w:rsid w:val="00A97B33"/>
    <w:rsid w:val="00A97BAF"/>
    <w:rsid w:val="00A97EE7"/>
    <w:rsid w:val="00AA0009"/>
    <w:rsid w:val="00AA003F"/>
    <w:rsid w:val="00AA011A"/>
    <w:rsid w:val="00AA02A3"/>
    <w:rsid w:val="00AA040F"/>
    <w:rsid w:val="00AA04C7"/>
    <w:rsid w:val="00AA04DF"/>
    <w:rsid w:val="00AA0514"/>
    <w:rsid w:val="00AA06F5"/>
    <w:rsid w:val="00AA0A30"/>
    <w:rsid w:val="00AA10C7"/>
    <w:rsid w:val="00AA1107"/>
    <w:rsid w:val="00AA113D"/>
    <w:rsid w:val="00AA13AE"/>
    <w:rsid w:val="00AA1405"/>
    <w:rsid w:val="00AA1444"/>
    <w:rsid w:val="00AA16DE"/>
    <w:rsid w:val="00AA18A0"/>
    <w:rsid w:val="00AA18D9"/>
    <w:rsid w:val="00AA19E8"/>
    <w:rsid w:val="00AA1D05"/>
    <w:rsid w:val="00AA1EFB"/>
    <w:rsid w:val="00AA1F9F"/>
    <w:rsid w:val="00AA20E1"/>
    <w:rsid w:val="00AA21B1"/>
    <w:rsid w:val="00AA221D"/>
    <w:rsid w:val="00AA2663"/>
    <w:rsid w:val="00AA267C"/>
    <w:rsid w:val="00AA26A4"/>
    <w:rsid w:val="00AA28E8"/>
    <w:rsid w:val="00AA2AC6"/>
    <w:rsid w:val="00AA2BE4"/>
    <w:rsid w:val="00AA2F1F"/>
    <w:rsid w:val="00AA30B7"/>
    <w:rsid w:val="00AA30CA"/>
    <w:rsid w:val="00AA3216"/>
    <w:rsid w:val="00AA322E"/>
    <w:rsid w:val="00AA34A6"/>
    <w:rsid w:val="00AA35D4"/>
    <w:rsid w:val="00AA3635"/>
    <w:rsid w:val="00AA3839"/>
    <w:rsid w:val="00AA3B5A"/>
    <w:rsid w:val="00AA3DB9"/>
    <w:rsid w:val="00AA3EF4"/>
    <w:rsid w:val="00AA3FEA"/>
    <w:rsid w:val="00AA40A0"/>
    <w:rsid w:val="00AA4131"/>
    <w:rsid w:val="00AA4393"/>
    <w:rsid w:val="00AA4488"/>
    <w:rsid w:val="00AA4508"/>
    <w:rsid w:val="00AA453D"/>
    <w:rsid w:val="00AA45BC"/>
    <w:rsid w:val="00AA46D8"/>
    <w:rsid w:val="00AA46FF"/>
    <w:rsid w:val="00AA4720"/>
    <w:rsid w:val="00AA4727"/>
    <w:rsid w:val="00AA47A1"/>
    <w:rsid w:val="00AA4828"/>
    <w:rsid w:val="00AA48AA"/>
    <w:rsid w:val="00AA48C9"/>
    <w:rsid w:val="00AA48EF"/>
    <w:rsid w:val="00AA498D"/>
    <w:rsid w:val="00AA4A56"/>
    <w:rsid w:val="00AA4A94"/>
    <w:rsid w:val="00AA4B15"/>
    <w:rsid w:val="00AA4B4B"/>
    <w:rsid w:val="00AA4C2B"/>
    <w:rsid w:val="00AA4C42"/>
    <w:rsid w:val="00AA503E"/>
    <w:rsid w:val="00AA52D4"/>
    <w:rsid w:val="00AA53B5"/>
    <w:rsid w:val="00AA546F"/>
    <w:rsid w:val="00AA54EC"/>
    <w:rsid w:val="00AA5562"/>
    <w:rsid w:val="00AA5957"/>
    <w:rsid w:val="00AA5B4E"/>
    <w:rsid w:val="00AA5B6B"/>
    <w:rsid w:val="00AA5D1E"/>
    <w:rsid w:val="00AA5E60"/>
    <w:rsid w:val="00AA5E94"/>
    <w:rsid w:val="00AA5EF9"/>
    <w:rsid w:val="00AA5F95"/>
    <w:rsid w:val="00AA5FA9"/>
    <w:rsid w:val="00AA61A7"/>
    <w:rsid w:val="00AA62F8"/>
    <w:rsid w:val="00AA66BB"/>
    <w:rsid w:val="00AA6BD5"/>
    <w:rsid w:val="00AA6BD8"/>
    <w:rsid w:val="00AA6C7D"/>
    <w:rsid w:val="00AA6DAB"/>
    <w:rsid w:val="00AA6EA5"/>
    <w:rsid w:val="00AA6F41"/>
    <w:rsid w:val="00AA7098"/>
    <w:rsid w:val="00AA753B"/>
    <w:rsid w:val="00AA75E5"/>
    <w:rsid w:val="00AA7622"/>
    <w:rsid w:val="00AA772C"/>
    <w:rsid w:val="00AA77EA"/>
    <w:rsid w:val="00AA7889"/>
    <w:rsid w:val="00AA79BE"/>
    <w:rsid w:val="00AA79FD"/>
    <w:rsid w:val="00AA7A30"/>
    <w:rsid w:val="00AA7D4B"/>
    <w:rsid w:val="00AA7D8D"/>
    <w:rsid w:val="00AA7EBB"/>
    <w:rsid w:val="00AA7FA3"/>
    <w:rsid w:val="00AA7FD6"/>
    <w:rsid w:val="00AB02C9"/>
    <w:rsid w:val="00AB037F"/>
    <w:rsid w:val="00AB042A"/>
    <w:rsid w:val="00AB0502"/>
    <w:rsid w:val="00AB061B"/>
    <w:rsid w:val="00AB0634"/>
    <w:rsid w:val="00AB067E"/>
    <w:rsid w:val="00AB0BDA"/>
    <w:rsid w:val="00AB0CD8"/>
    <w:rsid w:val="00AB0CE3"/>
    <w:rsid w:val="00AB0CFD"/>
    <w:rsid w:val="00AB0D66"/>
    <w:rsid w:val="00AB1010"/>
    <w:rsid w:val="00AB1036"/>
    <w:rsid w:val="00AB1038"/>
    <w:rsid w:val="00AB119B"/>
    <w:rsid w:val="00AB11AD"/>
    <w:rsid w:val="00AB1229"/>
    <w:rsid w:val="00AB130D"/>
    <w:rsid w:val="00AB147C"/>
    <w:rsid w:val="00AB16B6"/>
    <w:rsid w:val="00AB19EF"/>
    <w:rsid w:val="00AB1AA0"/>
    <w:rsid w:val="00AB1B85"/>
    <w:rsid w:val="00AB1BA2"/>
    <w:rsid w:val="00AB1F3D"/>
    <w:rsid w:val="00AB2063"/>
    <w:rsid w:val="00AB20FE"/>
    <w:rsid w:val="00AB2495"/>
    <w:rsid w:val="00AB2563"/>
    <w:rsid w:val="00AB2594"/>
    <w:rsid w:val="00AB265F"/>
    <w:rsid w:val="00AB27A3"/>
    <w:rsid w:val="00AB2802"/>
    <w:rsid w:val="00AB2842"/>
    <w:rsid w:val="00AB2A65"/>
    <w:rsid w:val="00AB2A8F"/>
    <w:rsid w:val="00AB2B54"/>
    <w:rsid w:val="00AB2B7A"/>
    <w:rsid w:val="00AB2D34"/>
    <w:rsid w:val="00AB2E20"/>
    <w:rsid w:val="00AB319B"/>
    <w:rsid w:val="00AB326E"/>
    <w:rsid w:val="00AB32F7"/>
    <w:rsid w:val="00AB3430"/>
    <w:rsid w:val="00AB3472"/>
    <w:rsid w:val="00AB3519"/>
    <w:rsid w:val="00AB351C"/>
    <w:rsid w:val="00AB36F0"/>
    <w:rsid w:val="00AB37B9"/>
    <w:rsid w:val="00AB3943"/>
    <w:rsid w:val="00AB3C44"/>
    <w:rsid w:val="00AB3C55"/>
    <w:rsid w:val="00AB3CBA"/>
    <w:rsid w:val="00AB40D9"/>
    <w:rsid w:val="00AB40EF"/>
    <w:rsid w:val="00AB410B"/>
    <w:rsid w:val="00AB4302"/>
    <w:rsid w:val="00AB44B1"/>
    <w:rsid w:val="00AB467C"/>
    <w:rsid w:val="00AB46D8"/>
    <w:rsid w:val="00AB48C5"/>
    <w:rsid w:val="00AB4952"/>
    <w:rsid w:val="00AB4AD1"/>
    <w:rsid w:val="00AB4B14"/>
    <w:rsid w:val="00AB4E6B"/>
    <w:rsid w:val="00AB4F24"/>
    <w:rsid w:val="00AB51D6"/>
    <w:rsid w:val="00AB534A"/>
    <w:rsid w:val="00AB559B"/>
    <w:rsid w:val="00AB58B1"/>
    <w:rsid w:val="00AB5A13"/>
    <w:rsid w:val="00AB5AE8"/>
    <w:rsid w:val="00AB5BFB"/>
    <w:rsid w:val="00AB5C46"/>
    <w:rsid w:val="00AB5CF7"/>
    <w:rsid w:val="00AB5E07"/>
    <w:rsid w:val="00AB5E9C"/>
    <w:rsid w:val="00AB5F01"/>
    <w:rsid w:val="00AB6231"/>
    <w:rsid w:val="00AB641A"/>
    <w:rsid w:val="00AB64EC"/>
    <w:rsid w:val="00AB6530"/>
    <w:rsid w:val="00AB6742"/>
    <w:rsid w:val="00AB6884"/>
    <w:rsid w:val="00AB68AB"/>
    <w:rsid w:val="00AB6EFE"/>
    <w:rsid w:val="00AB705E"/>
    <w:rsid w:val="00AB7174"/>
    <w:rsid w:val="00AB722F"/>
    <w:rsid w:val="00AB7367"/>
    <w:rsid w:val="00AB7698"/>
    <w:rsid w:val="00AB76CE"/>
    <w:rsid w:val="00AB76F7"/>
    <w:rsid w:val="00AB7B19"/>
    <w:rsid w:val="00AB7CFA"/>
    <w:rsid w:val="00AB7D98"/>
    <w:rsid w:val="00AB7EF5"/>
    <w:rsid w:val="00AB7FD2"/>
    <w:rsid w:val="00AC0009"/>
    <w:rsid w:val="00AC0172"/>
    <w:rsid w:val="00AC02BB"/>
    <w:rsid w:val="00AC041E"/>
    <w:rsid w:val="00AC0583"/>
    <w:rsid w:val="00AC06E2"/>
    <w:rsid w:val="00AC08BA"/>
    <w:rsid w:val="00AC0934"/>
    <w:rsid w:val="00AC09BB"/>
    <w:rsid w:val="00AC09CB"/>
    <w:rsid w:val="00AC0EAE"/>
    <w:rsid w:val="00AC0EC5"/>
    <w:rsid w:val="00AC1026"/>
    <w:rsid w:val="00AC1028"/>
    <w:rsid w:val="00AC1042"/>
    <w:rsid w:val="00AC10E2"/>
    <w:rsid w:val="00AC1355"/>
    <w:rsid w:val="00AC184C"/>
    <w:rsid w:val="00AC19F1"/>
    <w:rsid w:val="00AC1A42"/>
    <w:rsid w:val="00AC1A85"/>
    <w:rsid w:val="00AC1E0C"/>
    <w:rsid w:val="00AC1E2D"/>
    <w:rsid w:val="00AC209A"/>
    <w:rsid w:val="00AC2204"/>
    <w:rsid w:val="00AC2578"/>
    <w:rsid w:val="00AC279A"/>
    <w:rsid w:val="00AC28DB"/>
    <w:rsid w:val="00AC29DB"/>
    <w:rsid w:val="00AC2A85"/>
    <w:rsid w:val="00AC2AAC"/>
    <w:rsid w:val="00AC2C56"/>
    <w:rsid w:val="00AC2C89"/>
    <w:rsid w:val="00AC2D43"/>
    <w:rsid w:val="00AC30E3"/>
    <w:rsid w:val="00AC31A1"/>
    <w:rsid w:val="00AC32A1"/>
    <w:rsid w:val="00AC3407"/>
    <w:rsid w:val="00AC3649"/>
    <w:rsid w:val="00AC371D"/>
    <w:rsid w:val="00AC3926"/>
    <w:rsid w:val="00AC3C4C"/>
    <w:rsid w:val="00AC3D60"/>
    <w:rsid w:val="00AC3F65"/>
    <w:rsid w:val="00AC4054"/>
    <w:rsid w:val="00AC4093"/>
    <w:rsid w:val="00AC4408"/>
    <w:rsid w:val="00AC44C4"/>
    <w:rsid w:val="00AC47C6"/>
    <w:rsid w:val="00AC49B7"/>
    <w:rsid w:val="00AC49C9"/>
    <w:rsid w:val="00AC4A28"/>
    <w:rsid w:val="00AC4DAF"/>
    <w:rsid w:val="00AC4E98"/>
    <w:rsid w:val="00AC4F91"/>
    <w:rsid w:val="00AC541D"/>
    <w:rsid w:val="00AC56C4"/>
    <w:rsid w:val="00AC5931"/>
    <w:rsid w:val="00AC5940"/>
    <w:rsid w:val="00AC5991"/>
    <w:rsid w:val="00AC5A15"/>
    <w:rsid w:val="00AC5ADD"/>
    <w:rsid w:val="00AC5B42"/>
    <w:rsid w:val="00AC5B48"/>
    <w:rsid w:val="00AC5B7D"/>
    <w:rsid w:val="00AC5C2E"/>
    <w:rsid w:val="00AC5CD2"/>
    <w:rsid w:val="00AC5D11"/>
    <w:rsid w:val="00AC5D8B"/>
    <w:rsid w:val="00AC5EB3"/>
    <w:rsid w:val="00AC6030"/>
    <w:rsid w:val="00AC6109"/>
    <w:rsid w:val="00AC6123"/>
    <w:rsid w:val="00AC625C"/>
    <w:rsid w:val="00AC62D0"/>
    <w:rsid w:val="00AC6353"/>
    <w:rsid w:val="00AC6440"/>
    <w:rsid w:val="00AC6762"/>
    <w:rsid w:val="00AC6803"/>
    <w:rsid w:val="00AC681F"/>
    <w:rsid w:val="00AC689D"/>
    <w:rsid w:val="00AC6971"/>
    <w:rsid w:val="00AC6983"/>
    <w:rsid w:val="00AC6B7F"/>
    <w:rsid w:val="00AC6C01"/>
    <w:rsid w:val="00AC6D66"/>
    <w:rsid w:val="00AC6E03"/>
    <w:rsid w:val="00AC7056"/>
    <w:rsid w:val="00AC7074"/>
    <w:rsid w:val="00AC70F0"/>
    <w:rsid w:val="00AC72E0"/>
    <w:rsid w:val="00AC72E1"/>
    <w:rsid w:val="00AC7371"/>
    <w:rsid w:val="00AC7391"/>
    <w:rsid w:val="00AC763B"/>
    <w:rsid w:val="00AC7777"/>
    <w:rsid w:val="00AC77F2"/>
    <w:rsid w:val="00AC7820"/>
    <w:rsid w:val="00AC786F"/>
    <w:rsid w:val="00AC79B7"/>
    <w:rsid w:val="00AC7D50"/>
    <w:rsid w:val="00AC7D93"/>
    <w:rsid w:val="00AC7ED2"/>
    <w:rsid w:val="00AC7EFF"/>
    <w:rsid w:val="00AD0056"/>
    <w:rsid w:val="00AD04B4"/>
    <w:rsid w:val="00AD04CF"/>
    <w:rsid w:val="00AD066C"/>
    <w:rsid w:val="00AD067B"/>
    <w:rsid w:val="00AD06A0"/>
    <w:rsid w:val="00AD06A7"/>
    <w:rsid w:val="00AD085B"/>
    <w:rsid w:val="00AD08DC"/>
    <w:rsid w:val="00AD09F9"/>
    <w:rsid w:val="00AD0B74"/>
    <w:rsid w:val="00AD0D0D"/>
    <w:rsid w:val="00AD0E92"/>
    <w:rsid w:val="00AD10D1"/>
    <w:rsid w:val="00AD1294"/>
    <w:rsid w:val="00AD1317"/>
    <w:rsid w:val="00AD1450"/>
    <w:rsid w:val="00AD157C"/>
    <w:rsid w:val="00AD15E8"/>
    <w:rsid w:val="00AD15ED"/>
    <w:rsid w:val="00AD1643"/>
    <w:rsid w:val="00AD1680"/>
    <w:rsid w:val="00AD16CF"/>
    <w:rsid w:val="00AD1715"/>
    <w:rsid w:val="00AD17B6"/>
    <w:rsid w:val="00AD191B"/>
    <w:rsid w:val="00AD1966"/>
    <w:rsid w:val="00AD19BB"/>
    <w:rsid w:val="00AD1BFE"/>
    <w:rsid w:val="00AD1C1E"/>
    <w:rsid w:val="00AD1D54"/>
    <w:rsid w:val="00AD1EF5"/>
    <w:rsid w:val="00AD203E"/>
    <w:rsid w:val="00AD2304"/>
    <w:rsid w:val="00AD2373"/>
    <w:rsid w:val="00AD27B6"/>
    <w:rsid w:val="00AD299B"/>
    <w:rsid w:val="00AD29BB"/>
    <w:rsid w:val="00AD2C99"/>
    <w:rsid w:val="00AD2DB9"/>
    <w:rsid w:val="00AD2EED"/>
    <w:rsid w:val="00AD2F54"/>
    <w:rsid w:val="00AD2FFC"/>
    <w:rsid w:val="00AD308A"/>
    <w:rsid w:val="00AD30B6"/>
    <w:rsid w:val="00AD32F0"/>
    <w:rsid w:val="00AD32F2"/>
    <w:rsid w:val="00AD337F"/>
    <w:rsid w:val="00AD33AA"/>
    <w:rsid w:val="00AD348F"/>
    <w:rsid w:val="00AD356D"/>
    <w:rsid w:val="00AD3866"/>
    <w:rsid w:val="00AD38C9"/>
    <w:rsid w:val="00AD3A9C"/>
    <w:rsid w:val="00AD3B21"/>
    <w:rsid w:val="00AD3C00"/>
    <w:rsid w:val="00AD3E07"/>
    <w:rsid w:val="00AD3E37"/>
    <w:rsid w:val="00AD411F"/>
    <w:rsid w:val="00AD41CF"/>
    <w:rsid w:val="00AD463D"/>
    <w:rsid w:val="00AD464B"/>
    <w:rsid w:val="00AD4749"/>
    <w:rsid w:val="00AD47BD"/>
    <w:rsid w:val="00AD4ACF"/>
    <w:rsid w:val="00AD4C09"/>
    <w:rsid w:val="00AD4D59"/>
    <w:rsid w:val="00AD4F79"/>
    <w:rsid w:val="00AD5009"/>
    <w:rsid w:val="00AD50B5"/>
    <w:rsid w:val="00AD52FD"/>
    <w:rsid w:val="00AD5364"/>
    <w:rsid w:val="00AD551F"/>
    <w:rsid w:val="00AD5637"/>
    <w:rsid w:val="00AD569E"/>
    <w:rsid w:val="00AD56B3"/>
    <w:rsid w:val="00AD582E"/>
    <w:rsid w:val="00AD586D"/>
    <w:rsid w:val="00AD5C25"/>
    <w:rsid w:val="00AD5D40"/>
    <w:rsid w:val="00AD5DC2"/>
    <w:rsid w:val="00AD5EE4"/>
    <w:rsid w:val="00AD603F"/>
    <w:rsid w:val="00AD60F0"/>
    <w:rsid w:val="00AD6502"/>
    <w:rsid w:val="00AD6520"/>
    <w:rsid w:val="00AD666C"/>
    <w:rsid w:val="00AD66B2"/>
    <w:rsid w:val="00AD66C6"/>
    <w:rsid w:val="00AD67CC"/>
    <w:rsid w:val="00AD6962"/>
    <w:rsid w:val="00AD698A"/>
    <w:rsid w:val="00AD6AEF"/>
    <w:rsid w:val="00AD6BFD"/>
    <w:rsid w:val="00AD6C75"/>
    <w:rsid w:val="00AD6D78"/>
    <w:rsid w:val="00AD6F0C"/>
    <w:rsid w:val="00AD6F44"/>
    <w:rsid w:val="00AD71A3"/>
    <w:rsid w:val="00AD73E2"/>
    <w:rsid w:val="00AD73FC"/>
    <w:rsid w:val="00AD75FE"/>
    <w:rsid w:val="00AD7638"/>
    <w:rsid w:val="00AD79B8"/>
    <w:rsid w:val="00AD79C2"/>
    <w:rsid w:val="00AD7BFC"/>
    <w:rsid w:val="00AD7C96"/>
    <w:rsid w:val="00AD7FCA"/>
    <w:rsid w:val="00AE0034"/>
    <w:rsid w:val="00AE0145"/>
    <w:rsid w:val="00AE0269"/>
    <w:rsid w:val="00AE030E"/>
    <w:rsid w:val="00AE0423"/>
    <w:rsid w:val="00AE0619"/>
    <w:rsid w:val="00AE0695"/>
    <w:rsid w:val="00AE07CD"/>
    <w:rsid w:val="00AE0949"/>
    <w:rsid w:val="00AE0988"/>
    <w:rsid w:val="00AE0C76"/>
    <w:rsid w:val="00AE0E3B"/>
    <w:rsid w:val="00AE0E76"/>
    <w:rsid w:val="00AE0EC7"/>
    <w:rsid w:val="00AE101B"/>
    <w:rsid w:val="00AE10DB"/>
    <w:rsid w:val="00AE1229"/>
    <w:rsid w:val="00AE135F"/>
    <w:rsid w:val="00AE1392"/>
    <w:rsid w:val="00AE151B"/>
    <w:rsid w:val="00AE1606"/>
    <w:rsid w:val="00AE1612"/>
    <w:rsid w:val="00AE1900"/>
    <w:rsid w:val="00AE1C73"/>
    <w:rsid w:val="00AE1FE7"/>
    <w:rsid w:val="00AE20CF"/>
    <w:rsid w:val="00AE24D9"/>
    <w:rsid w:val="00AE25FA"/>
    <w:rsid w:val="00AE29CC"/>
    <w:rsid w:val="00AE2D7A"/>
    <w:rsid w:val="00AE2EFC"/>
    <w:rsid w:val="00AE301C"/>
    <w:rsid w:val="00AE3154"/>
    <w:rsid w:val="00AE32FF"/>
    <w:rsid w:val="00AE337C"/>
    <w:rsid w:val="00AE33BC"/>
    <w:rsid w:val="00AE397E"/>
    <w:rsid w:val="00AE3C93"/>
    <w:rsid w:val="00AE3E7E"/>
    <w:rsid w:val="00AE3EEF"/>
    <w:rsid w:val="00AE3F23"/>
    <w:rsid w:val="00AE436D"/>
    <w:rsid w:val="00AE4573"/>
    <w:rsid w:val="00AE4579"/>
    <w:rsid w:val="00AE45C7"/>
    <w:rsid w:val="00AE45F7"/>
    <w:rsid w:val="00AE478B"/>
    <w:rsid w:val="00AE4843"/>
    <w:rsid w:val="00AE498E"/>
    <w:rsid w:val="00AE4F31"/>
    <w:rsid w:val="00AE5105"/>
    <w:rsid w:val="00AE521D"/>
    <w:rsid w:val="00AE5354"/>
    <w:rsid w:val="00AE5490"/>
    <w:rsid w:val="00AE54AA"/>
    <w:rsid w:val="00AE54EF"/>
    <w:rsid w:val="00AE5579"/>
    <w:rsid w:val="00AE560E"/>
    <w:rsid w:val="00AE5800"/>
    <w:rsid w:val="00AE5941"/>
    <w:rsid w:val="00AE5B0F"/>
    <w:rsid w:val="00AE5B49"/>
    <w:rsid w:val="00AE5CFF"/>
    <w:rsid w:val="00AE5DDF"/>
    <w:rsid w:val="00AE5E31"/>
    <w:rsid w:val="00AE5EE5"/>
    <w:rsid w:val="00AE6055"/>
    <w:rsid w:val="00AE6099"/>
    <w:rsid w:val="00AE61FC"/>
    <w:rsid w:val="00AE6233"/>
    <w:rsid w:val="00AE6362"/>
    <w:rsid w:val="00AE6365"/>
    <w:rsid w:val="00AE6376"/>
    <w:rsid w:val="00AE63A6"/>
    <w:rsid w:val="00AE6500"/>
    <w:rsid w:val="00AE6926"/>
    <w:rsid w:val="00AE6A47"/>
    <w:rsid w:val="00AE6B0F"/>
    <w:rsid w:val="00AE6D9E"/>
    <w:rsid w:val="00AE6E62"/>
    <w:rsid w:val="00AE6EF5"/>
    <w:rsid w:val="00AE6F00"/>
    <w:rsid w:val="00AE710D"/>
    <w:rsid w:val="00AE72BB"/>
    <w:rsid w:val="00AE730D"/>
    <w:rsid w:val="00AE7444"/>
    <w:rsid w:val="00AE7586"/>
    <w:rsid w:val="00AE76E4"/>
    <w:rsid w:val="00AE7868"/>
    <w:rsid w:val="00AE7896"/>
    <w:rsid w:val="00AE79B8"/>
    <w:rsid w:val="00AE7B5C"/>
    <w:rsid w:val="00AE7C13"/>
    <w:rsid w:val="00AE7C52"/>
    <w:rsid w:val="00AE7D94"/>
    <w:rsid w:val="00AE7E53"/>
    <w:rsid w:val="00AF01B6"/>
    <w:rsid w:val="00AF01CA"/>
    <w:rsid w:val="00AF0589"/>
    <w:rsid w:val="00AF05CC"/>
    <w:rsid w:val="00AF0613"/>
    <w:rsid w:val="00AF0646"/>
    <w:rsid w:val="00AF0647"/>
    <w:rsid w:val="00AF0699"/>
    <w:rsid w:val="00AF09F8"/>
    <w:rsid w:val="00AF0AC9"/>
    <w:rsid w:val="00AF0B85"/>
    <w:rsid w:val="00AF0B9D"/>
    <w:rsid w:val="00AF0BC8"/>
    <w:rsid w:val="00AF0C18"/>
    <w:rsid w:val="00AF0D79"/>
    <w:rsid w:val="00AF0F99"/>
    <w:rsid w:val="00AF1031"/>
    <w:rsid w:val="00AF103E"/>
    <w:rsid w:val="00AF1074"/>
    <w:rsid w:val="00AF1122"/>
    <w:rsid w:val="00AF11A2"/>
    <w:rsid w:val="00AF1315"/>
    <w:rsid w:val="00AF1468"/>
    <w:rsid w:val="00AF1595"/>
    <w:rsid w:val="00AF15BE"/>
    <w:rsid w:val="00AF1704"/>
    <w:rsid w:val="00AF18DD"/>
    <w:rsid w:val="00AF19B0"/>
    <w:rsid w:val="00AF19BF"/>
    <w:rsid w:val="00AF1B3B"/>
    <w:rsid w:val="00AF1D63"/>
    <w:rsid w:val="00AF1DE1"/>
    <w:rsid w:val="00AF1F6F"/>
    <w:rsid w:val="00AF1FE2"/>
    <w:rsid w:val="00AF207E"/>
    <w:rsid w:val="00AF212A"/>
    <w:rsid w:val="00AF21EA"/>
    <w:rsid w:val="00AF276E"/>
    <w:rsid w:val="00AF27B7"/>
    <w:rsid w:val="00AF2874"/>
    <w:rsid w:val="00AF2943"/>
    <w:rsid w:val="00AF2A60"/>
    <w:rsid w:val="00AF2AC7"/>
    <w:rsid w:val="00AF2B8B"/>
    <w:rsid w:val="00AF2DC3"/>
    <w:rsid w:val="00AF2FF3"/>
    <w:rsid w:val="00AF3037"/>
    <w:rsid w:val="00AF31C3"/>
    <w:rsid w:val="00AF31CD"/>
    <w:rsid w:val="00AF3490"/>
    <w:rsid w:val="00AF3620"/>
    <w:rsid w:val="00AF37B5"/>
    <w:rsid w:val="00AF39FD"/>
    <w:rsid w:val="00AF3A07"/>
    <w:rsid w:val="00AF3AC9"/>
    <w:rsid w:val="00AF3B6E"/>
    <w:rsid w:val="00AF414F"/>
    <w:rsid w:val="00AF44BB"/>
    <w:rsid w:val="00AF47BA"/>
    <w:rsid w:val="00AF4820"/>
    <w:rsid w:val="00AF48A0"/>
    <w:rsid w:val="00AF4974"/>
    <w:rsid w:val="00AF4A87"/>
    <w:rsid w:val="00AF4AE7"/>
    <w:rsid w:val="00AF4B98"/>
    <w:rsid w:val="00AF4BCC"/>
    <w:rsid w:val="00AF4C78"/>
    <w:rsid w:val="00AF4D3A"/>
    <w:rsid w:val="00AF4E13"/>
    <w:rsid w:val="00AF4F8A"/>
    <w:rsid w:val="00AF4FB1"/>
    <w:rsid w:val="00AF52B5"/>
    <w:rsid w:val="00AF544C"/>
    <w:rsid w:val="00AF578D"/>
    <w:rsid w:val="00AF5D69"/>
    <w:rsid w:val="00AF5F55"/>
    <w:rsid w:val="00AF5FD7"/>
    <w:rsid w:val="00AF626F"/>
    <w:rsid w:val="00AF63F5"/>
    <w:rsid w:val="00AF6407"/>
    <w:rsid w:val="00AF648E"/>
    <w:rsid w:val="00AF6562"/>
    <w:rsid w:val="00AF6626"/>
    <w:rsid w:val="00AF6754"/>
    <w:rsid w:val="00AF67B5"/>
    <w:rsid w:val="00AF6856"/>
    <w:rsid w:val="00AF6887"/>
    <w:rsid w:val="00AF6969"/>
    <w:rsid w:val="00AF69ED"/>
    <w:rsid w:val="00AF6A4F"/>
    <w:rsid w:val="00AF6B98"/>
    <w:rsid w:val="00AF6C45"/>
    <w:rsid w:val="00AF6CC8"/>
    <w:rsid w:val="00AF6CEA"/>
    <w:rsid w:val="00AF6DBB"/>
    <w:rsid w:val="00AF6F83"/>
    <w:rsid w:val="00AF7205"/>
    <w:rsid w:val="00AF72A5"/>
    <w:rsid w:val="00AF72C6"/>
    <w:rsid w:val="00AF73C1"/>
    <w:rsid w:val="00AF74BA"/>
    <w:rsid w:val="00AF757B"/>
    <w:rsid w:val="00AF7A3B"/>
    <w:rsid w:val="00AF7B91"/>
    <w:rsid w:val="00AF7CD9"/>
    <w:rsid w:val="00B00164"/>
    <w:rsid w:val="00B001DD"/>
    <w:rsid w:val="00B001FD"/>
    <w:rsid w:val="00B00463"/>
    <w:rsid w:val="00B00466"/>
    <w:rsid w:val="00B00533"/>
    <w:rsid w:val="00B005BA"/>
    <w:rsid w:val="00B0066C"/>
    <w:rsid w:val="00B00847"/>
    <w:rsid w:val="00B00A51"/>
    <w:rsid w:val="00B00A55"/>
    <w:rsid w:val="00B00A66"/>
    <w:rsid w:val="00B00AF6"/>
    <w:rsid w:val="00B00B58"/>
    <w:rsid w:val="00B00CFC"/>
    <w:rsid w:val="00B00F15"/>
    <w:rsid w:val="00B00F7B"/>
    <w:rsid w:val="00B01216"/>
    <w:rsid w:val="00B01244"/>
    <w:rsid w:val="00B012FE"/>
    <w:rsid w:val="00B013C7"/>
    <w:rsid w:val="00B01457"/>
    <w:rsid w:val="00B0152C"/>
    <w:rsid w:val="00B015C4"/>
    <w:rsid w:val="00B0162A"/>
    <w:rsid w:val="00B0173C"/>
    <w:rsid w:val="00B01782"/>
    <w:rsid w:val="00B01831"/>
    <w:rsid w:val="00B01845"/>
    <w:rsid w:val="00B01977"/>
    <w:rsid w:val="00B01C14"/>
    <w:rsid w:val="00B01D0E"/>
    <w:rsid w:val="00B01FAC"/>
    <w:rsid w:val="00B020B4"/>
    <w:rsid w:val="00B02483"/>
    <w:rsid w:val="00B025AD"/>
    <w:rsid w:val="00B02870"/>
    <w:rsid w:val="00B02924"/>
    <w:rsid w:val="00B029D4"/>
    <w:rsid w:val="00B02A93"/>
    <w:rsid w:val="00B03035"/>
    <w:rsid w:val="00B030E7"/>
    <w:rsid w:val="00B03154"/>
    <w:rsid w:val="00B0321E"/>
    <w:rsid w:val="00B033E5"/>
    <w:rsid w:val="00B03420"/>
    <w:rsid w:val="00B034B9"/>
    <w:rsid w:val="00B03831"/>
    <w:rsid w:val="00B03838"/>
    <w:rsid w:val="00B03A63"/>
    <w:rsid w:val="00B03B20"/>
    <w:rsid w:val="00B03DCF"/>
    <w:rsid w:val="00B03DFE"/>
    <w:rsid w:val="00B04030"/>
    <w:rsid w:val="00B0415B"/>
    <w:rsid w:val="00B04436"/>
    <w:rsid w:val="00B044DB"/>
    <w:rsid w:val="00B04782"/>
    <w:rsid w:val="00B048FE"/>
    <w:rsid w:val="00B04972"/>
    <w:rsid w:val="00B04A17"/>
    <w:rsid w:val="00B04B98"/>
    <w:rsid w:val="00B04E19"/>
    <w:rsid w:val="00B04E1E"/>
    <w:rsid w:val="00B04EA7"/>
    <w:rsid w:val="00B04FFA"/>
    <w:rsid w:val="00B050F5"/>
    <w:rsid w:val="00B05149"/>
    <w:rsid w:val="00B0526E"/>
    <w:rsid w:val="00B05283"/>
    <w:rsid w:val="00B052CF"/>
    <w:rsid w:val="00B052ED"/>
    <w:rsid w:val="00B053BF"/>
    <w:rsid w:val="00B0545A"/>
    <w:rsid w:val="00B0558D"/>
    <w:rsid w:val="00B055A9"/>
    <w:rsid w:val="00B0573B"/>
    <w:rsid w:val="00B05779"/>
    <w:rsid w:val="00B057A0"/>
    <w:rsid w:val="00B057EF"/>
    <w:rsid w:val="00B058DB"/>
    <w:rsid w:val="00B05922"/>
    <w:rsid w:val="00B05A49"/>
    <w:rsid w:val="00B05B50"/>
    <w:rsid w:val="00B05BB6"/>
    <w:rsid w:val="00B05C4F"/>
    <w:rsid w:val="00B05CAD"/>
    <w:rsid w:val="00B05D11"/>
    <w:rsid w:val="00B05E89"/>
    <w:rsid w:val="00B05ED9"/>
    <w:rsid w:val="00B060A0"/>
    <w:rsid w:val="00B061EC"/>
    <w:rsid w:val="00B06439"/>
    <w:rsid w:val="00B065B7"/>
    <w:rsid w:val="00B067C4"/>
    <w:rsid w:val="00B068E1"/>
    <w:rsid w:val="00B069BD"/>
    <w:rsid w:val="00B06A61"/>
    <w:rsid w:val="00B06C53"/>
    <w:rsid w:val="00B07059"/>
    <w:rsid w:val="00B07219"/>
    <w:rsid w:val="00B07220"/>
    <w:rsid w:val="00B0737D"/>
    <w:rsid w:val="00B07422"/>
    <w:rsid w:val="00B07569"/>
    <w:rsid w:val="00B07594"/>
    <w:rsid w:val="00B077D0"/>
    <w:rsid w:val="00B077F8"/>
    <w:rsid w:val="00B078C9"/>
    <w:rsid w:val="00B078F6"/>
    <w:rsid w:val="00B079A6"/>
    <w:rsid w:val="00B07A1B"/>
    <w:rsid w:val="00B07C13"/>
    <w:rsid w:val="00B07CB8"/>
    <w:rsid w:val="00B07E78"/>
    <w:rsid w:val="00B07E96"/>
    <w:rsid w:val="00B07EFA"/>
    <w:rsid w:val="00B102A1"/>
    <w:rsid w:val="00B102F7"/>
    <w:rsid w:val="00B10647"/>
    <w:rsid w:val="00B106A6"/>
    <w:rsid w:val="00B108EA"/>
    <w:rsid w:val="00B10992"/>
    <w:rsid w:val="00B10A6D"/>
    <w:rsid w:val="00B10AF3"/>
    <w:rsid w:val="00B10B4F"/>
    <w:rsid w:val="00B10B65"/>
    <w:rsid w:val="00B10B84"/>
    <w:rsid w:val="00B10C1F"/>
    <w:rsid w:val="00B10EA5"/>
    <w:rsid w:val="00B10ED9"/>
    <w:rsid w:val="00B10F76"/>
    <w:rsid w:val="00B10F9D"/>
    <w:rsid w:val="00B11048"/>
    <w:rsid w:val="00B11305"/>
    <w:rsid w:val="00B113EB"/>
    <w:rsid w:val="00B11465"/>
    <w:rsid w:val="00B1149F"/>
    <w:rsid w:val="00B11531"/>
    <w:rsid w:val="00B1165E"/>
    <w:rsid w:val="00B116AE"/>
    <w:rsid w:val="00B11930"/>
    <w:rsid w:val="00B119E7"/>
    <w:rsid w:val="00B11C0A"/>
    <w:rsid w:val="00B11E11"/>
    <w:rsid w:val="00B11E75"/>
    <w:rsid w:val="00B11EE2"/>
    <w:rsid w:val="00B11FAE"/>
    <w:rsid w:val="00B12063"/>
    <w:rsid w:val="00B1246D"/>
    <w:rsid w:val="00B124A5"/>
    <w:rsid w:val="00B124BE"/>
    <w:rsid w:val="00B1278F"/>
    <w:rsid w:val="00B127C9"/>
    <w:rsid w:val="00B12983"/>
    <w:rsid w:val="00B12992"/>
    <w:rsid w:val="00B129A4"/>
    <w:rsid w:val="00B12A9F"/>
    <w:rsid w:val="00B12C78"/>
    <w:rsid w:val="00B12CDF"/>
    <w:rsid w:val="00B12FF0"/>
    <w:rsid w:val="00B130F5"/>
    <w:rsid w:val="00B1316F"/>
    <w:rsid w:val="00B1327F"/>
    <w:rsid w:val="00B1334B"/>
    <w:rsid w:val="00B13353"/>
    <w:rsid w:val="00B134BD"/>
    <w:rsid w:val="00B1356A"/>
    <w:rsid w:val="00B135CF"/>
    <w:rsid w:val="00B13C60"/>
    <w:rsid w:val="00B13CF3"/>
    <w:rsid w:val="00B13E1F"/>
    <w:rsid w:val="00B13FB1"/>
    <w:rsid w:val="00B14105"/>
    <w:rsid w:val="00B14154"/>
    <w:rsid w:val="00B141CB"/>
    <w:rsid w:val="00B14221"/>
    <w:rsid w:val="00B14249"/>
    <w:rsid w:val="00B1429E"/>
    <w:rsid w:val="00B145E0"/>
    <w:rsid w:val="00B145FD"/>
    <w:rsid w:val="00B1461A"/>
    <w:rsid w:val="00B149D9"/>
    <w:rsid w:val="00B149DB"/>
    <w:rsid w:val="00B14AB8"/>
    <w:rsid w:val="00B14B1A"/>
    <w:rsid w:val="00B14C9A"/>
    <w:rsid w:val="00B14D0E"/>
    <w:rsid w:val="00B14FEF"/>
    <w:rsid w:val="00B1502D"/>
    <w:rsid w:val="00B15088"/>
    <w:rsid w:val="00B1516D"/>
    <w:rsid w:val="00B15219"/>
    <w:rsid w:val="00B1529E"/>
    <w:rsid w:val="00B152F9"/>
    <w:rsid w:val="00B1551F"/>
    <w:rsid w:val="00B15577"/>
    <w:rsid w:val="00B155CB"/>
    <w:rsid w:val="00B156A7"/>
    <w:rsid w:val="00B158FA"/>
    <w:rsid w:val="00B1591B"/>
    <w:rsid w:val="00B15A71"/>
    <w:rsid w:val="00B15AA6"/>
    <w:rsid w:val="00B15B2C"/>
    <w:rsid w:val="00B15B90"/>
    <w:rsid w:val="00B15D25"/>
    <w:rsid w:val="00B15DE9"/>
    <w:rsid w:val="00B15E5C"/>
    <w:rsid w:val="00B1609A"/>
    <w:rsid w:val="00B1629C"/>
    <w:rsid w:val="00B163A8"/>
    <w:rsid w:val="00B1673F"/>
    <w:rsid w:val="00B168AE"/>
    <w:rsid w:val="00B168C3"/>
    <w:rsid w:val="00B16912"/>
    <w:rsid w:val="00B16AB7"/>
    <w:rsid w:val="00B16BB2"/>
    <w:rsid w:val="00B16CE9"/>
    <w:rsid w:val="00B16D61"/>
    <w:rsid w:val="00B17021"/>
    <w:rsid w:val="00B17179"/>
    <w:rsid w:val="00B171E5"/>
    <w:rsid w:val="00B17221"/>
    <w:rsid w:val="00B17484"/>
    <w:rsid w:val="00B17706"/>
    <w:rsid w:val="00B1773A"/>
    <w:rsid w:val="00B17788"/>
    <w:rsid w:val="00B177A2"/>
    <w:rsid w:val="00B17842"/>
    <w:rsid w:val="00B17959"/>
    <w:rsid w:val="00B17A4D"/>
    <w:rsid w:val="00B17AFD"/>
    <w:rsid w:val="00B17C27"/>
    <w:rsid w:val="00B17D21"/>
    <w:rsid w:val="00B17EC3"/>
    <w:rsid w:val="00B17F32"/>
    <w:rsid w:val="00B17F3A"/>
    <w:rsid w:val="00B2001A"/>
    <w:rsid w:val="00B20099"/>
    <w:rsid w:val="00B201A4"/>
    <w:rsid w:val="00B201D1"/>
    <w:rsid w:val="00B2030D"/>
    <w:rsid w:val="00B20474"/>
    <w:rsid w:val="00B20611"/>
    <w:rsid w:val="00B20661"/>
    <w:rsid w:val="00B20859"/>
    <w:rsid w:val="00B210A4"/>
    <w:rsid w:val="00B210FF"/>
    <w:rsid w:val="00B211B8"/>
    <w:rsid w:val="00B211FF"/>
    <w:rsid w:val="00B21259"/>
    <w:rsid w:val="00B2136F"/>
    <w:rsid w:val="00B21382"/>
    <w:rsid w:val="00B213A6"/>
    <w:rsid w:val="00B21426"/>
    <w:rsid w:val="00B2156B"/>
    <w:rsid w:val="00B21627"/>
    <w:rsid w:val="00B21869"/>
    <w:rsid w:val="00B21883"/>
    <w:rsid w:val="00B218E6"/>
    <w:rsid w:val="00B219B1"/>
    <w:rsid w:val="00B21D0A"/>
    <w:rsid w:val="00B21EC5"/>
    <w:rsid w:val="00B21F0B"/>
    <w:rsid w:val="00B21F5D"/>
    <w:rsid w:val="00B21F73"/>
    <w:rsid w:val="00B22070"/>
    <w:rsid w:val="00B22192"/>
    <w:rsid w:val="00B221AE"/>
    <w:rsid w:val="00B22265"/>
    <w:rsid w:val="00B2227C"/>
    <w:rsid w:val="00B2257B"/>
    <w:rsid w:val="00B225A4"/>
    <w:rsid w:val="00B227B4"/>
    <w:rsid w:val="00B22816"/>
    <w:rsid w:val="00B228D9"/>
    <w:rsid w:val="00B2295D"/>
    <w:rsid w:val="00B229BE"/>
    <w:rsid w:val="00B22DBF"/>
    <w:rsid w:val="00B22F5D"/>
    <w:rsid w:val="00B22F60"/>
    <w:rsid w:val="00B23074"/>
    <w:rsid w:val="00B233AB"/>
    <w:rsid w:val="00B235B0"/>
    <w:rsid w:val="00B237B6"/>
    <w:rsid w:val="00B23D3A"/>
    <w:rsid w:val="00B23D51"/>
    <w:rsid w:val="00B23E06"/>
    <w:rsid w:val="00B23E08"/>
    <w:rsid w:val="00B241C9"/>
    <w:rsid w:val="00B24507"/>
    <w:rsid w:val="00B2461B"/>
    <w:rsid w:val="00B2464B"/>
    <w:rsid w:val="00B246F5"/>
    <w:rsid w:val="00B2483B"/>
    <w:rsid w:val="00B249DF"/>
    <w:rsid w:val="00B24A28"/>
    <w:rsid w:val="00B24A5C"/>
    <w:rsid w:val="00B24ADF"/>
    <w:rsid w:val="00B24B35"/>
    <w:rsid w:val="00B24DA6"/>
    <w:rsid w:val="00B24DB8"/>
    <w:rsid w:val="00B24DF6"/>
    <w:rsid w:val="00B24E39"/>
    <w:rsid w:val="00B24E74"/>
    <w:rsid w:val="00B24EE2"/>
    <w:rsid w:val="00B24F62"/>
    <w:rsid w:val="00B24F73"/>
    <w:rsid w:val="00B2509E"/>
    <w:rsid w:val="00B2510A"/>
    <w:rsid w:val="00B2520E"/>
    <w:rsid w:val="00B2523E"/>
    <w:rsid w:val="00B25399"/>
    <w:rsid w:val="00B25463"/>
    <w:rsid w:val="00B2556D"/>
    <w:rsid w:val="00B255A0"/>
    <w:rsid w:val="00B25668"/>
    <w:rsid w:val="00B25805"/>
    <w:rsid w:val="00B2587C"/>
    <w:rsid w:val="00B25AE2"/>
    <w:rsid w:val="00B25C50"/>
    <w:rsid w:val="00B25E68"/>
    <w:rsid w:val="00B25E8E"/>
    <w:rsid w:val="00B25EEA"/>
    <w:rsid w:val="00B25F8C"/>
    <w:rsid w:val="00B25FBA"/>
    <w:rsid w:val="00B26007"/>
    <w:rsid w:val="00B26047"/>
    <w:rsid w:val="00B26130"/>
    <w:rsid w:val="00B26341"/>
    <w:rsid w:val="00B2657A"/>
    <w:rsid w:val="00B265C3"/>
    <w:rsid w:val="00B26908"/>
    <w:rsid w:val="00B26B7C"/>
    <w:rsid w:val="00B26F05"/>
    <w:rsid w:val="00B26FC4"/>
    <w:rsid w:val="00B2708F"/>
    <w:rsid w:val="00B270DC"/>
    <w:rsid w:val="00B27390"/>
    <w:rsid w:val="00B27418"/>
    <w:rsid w:val="00B274F0"/>
    <w:rsid w:val="00B27605"/>
    <w:rsid w:val="00B276DF"/>
    <w:rsid w:val="00B27A61"/>
    <w:rsid w:val="00B27C27"/>
    <w:rsid w:val="00B27C5F"/>
    <w:rsid w:val="00B27CAC"/>
    <w:rsid w:val="00B27D54"/>
    <w:rsid w:val="00B27D6F"/>
    <w:rsid w:val="00B27DA3"/>
    <w:rsid w:val="00B27DFA"/>
    <w:rsid w:val="00B27E74"/>
    <w:rsid w:val="00B27F83"/>
    <w:rsid w:val="00B30024"/>
    <w:rsid w:val="00B30097"/>
    <w:rsid w:val="00B300BC"/>
    <w:rsid w:val="00B3012E"/>
    <w:rsid w:val="00B304EC"/>
    <w:rsid w:val="00B304EE"/>
    <w:rsid w:val="00B305CC"/>
    <w:rsid w:val="00B306B0"/>
    <w:rsid w:val="00B306B6"/>
    <w:rsid w:val="00B306DA"/>
    <w:rsid w:val="00B306FB"/>
    <w:rsid w:val="00B3074B"/>
    <w:rsid w:val="00B307FE"/>
    <w:rsid w:val="00B309F0"/>
    <w:rsid w:val="00B30A16"/>
    <w:rsid w:val="00B30BCE"/>
    <w:rsid w:val="00B30C56"/>
    <w:rsid w:val="00B30CFD"/>
    <w:rsid w:val="00B30D02"/>
    <w:rsid w:val="00B30D0F"/>
    <w:rsid w:val="00B30DBD"/>
    <w:rsid w:val="00B30F66"/>
    <w:rsid w:val="00B3117F"/>
    <w:rsid w:val="00B31183"/>
    <w:rsid w:val="00B3136A"/>
    <w:rsid w:val="00B31379"/>
    <w:rsid w:val="00B313A5"/>
    <w:rsid w:val="00B31476"/>
    <w:rsid w:val="00B316E5"/>
    <w:rsid w:val="00B31802"/>
    <w:rsid w:val="00B3193B"/>
    <w:rsid w:val="00B31ABB"/>
    <w:rsid w:val="00B31BE5"/>
    <w:rsid w:val="00B31CDC"/>
    <w:rsid w:val="00B31D65"/>
    <w:rsid w:val="00B31ED1"/>
    <w:rsid w:val="00B32044"/>
    <w:rsid w:val="00B320CF"/>
    <w:rsid w:val="00B320D9"/>
    <w:rsid w:val="00B321DE"/>
    <w:rsid w:val="00B325AF"/>
    <w:rsid w:val="00B325BA"/>
    <w:rsid w:val="00B32755"/>
    <w:rsid w:val="00B32821"/>
    <w:rsid w:val="00B328E5"/>
    <w:rsid w:val="00B32B6F"/>
    <w:rsid w:val="00B32CCF"/>
    <w:rsid w:val="00B32E66"/>
    <w:rsid w:val="00B3324E"/>
    <w:rsid w:val="00B33293"/>
    <w:rsid w:val="00B33380"/>
    <w:rsid w:val="00B335FD"/>
    <w:rsid w:val="00B3360F"/>
    <w:rsid w:val="00B33790"/>
    <w:rsid w:val="00B33E4D"/>
    <w:rsid w:val="00B33F20"/>
    <w:rsid w:val="00B34066"/>
    <w:rsid w:val="00B3416F"/>
    <w:rsid w:val="00B3450E"/>
    <w:rsid w:val="00B34511"/>
    <w:rsid w:val="00B346D1"/>
    <w:rsid w:val="00B3491C"/>
    <w:rsid w:val="00B349A0"/>
    <w:rsid w:val="00B349A9"/>
    <w:rsid w:val="00B349B2"/>
    <w:rsid w:val="00B349C9"/>
    <w:rsid w:val="00B34B1D"/>
    <w:rsid w:val="00B34B45"/>
    <w:rsid w:val="00B34C6E"/>
    <w:rsid w:val="00B34D3D"/>
    <w:rsid w:val="00B34DAE"/>
    <w:rsid w:val="00B34FE2"/>
    <w:rsid w:val="00B35046"/>
    <w:rsid w:val="00B350F2"/>
    <w:rsid w:val="00B35166"/>
    <w:rsid w:val="00B35209"/>
    <w:rsid w:val="00B354F1"/>
    <w:rsid w:val="00B355F9"/>
    <w:rsid w:val="00B35798"/>
    <w:rsid w:val="00B357D8"/>
    <w:rsid w:val="00B359AB"/>
    <w:rsid w:val="00B35A76"/>
    <w:rsid w:val="00B35AAA"/>
    <w:rsid w:val="00B35AB5"/>
    <w:rsid w:val="00B35B94"/>
    <w:rsid w:val="00B35D66"/>
    <w:rsid w:val="00B35DC1"/>
    <w:rsid w:val="00B35EEF"/>
    <w:rsid w:val="00B35F2C"/>
    <w:rsid w:val="00B3605F"/>
    <w:rsid w:val="00B360F4"/>
    <w:rsid w:val="00B3613B"/>
    <w:rsid w:val="00B3623F"/>
    <w:rsid w:val="00B36379"/>
    <w:rsid w:val="00B36411"/>
    <w:rsid w:val="00B36444"/>
    <w:rsid w:val="00B3661D"/>
    <w:rsid w:val="00B367F1"/>
    <w:rsid w:val="00B3680C"/>
    <w:rsid w:val="00B36854"/>
    <w:rsid w:val="00B368A2"/>
    <w:rsid w:val="00B36920"/>
    <w:rsid w:val="00B36A00"/>
    <w:rsid w:val="00B36C7B"/>
    <w:rsid w:val="00B36C9E"/>
    <w:rsid w:val="00B37259"/>
    <w:rsid w:val="00B373D1"/>
    <w:rsid w:val="00B3740B"/>
    <w:rsid w:val="00B3741C"/>
    <w:rsid w:val="00B374ED"/>
    <w:rsid w:val="00B3753F"/>
    <w:rsid w:val="00B376E5"/>
    <w:rsid w:val="00B3773E"/>
    <w:rsid w:val="00B3792B"/>
    <w:rsid w:val="00B37959"/>
    <w:rsid w:val="00B37960"/>
    <w:rsid w:val="00B37972"/>
    <w:rsid w:val="00B37A1B"/>
    <w:rsid w:val="00B37AB8"/>
    <w:rsid w:val="00B37B7A"/>
    <w:rsid w:val="00B37BCC"/>
    <w:rsid w:val="00B37BFC"/>
    <w:rsid w:val="00B37C8D"/>
    <w:rsid w:val="00B37D87"/>
    <w:rsid w:val="00B37D96"/>
    <w:rsid w:val="00B37DAE"/>
    <w:rsid w:val="00B37FE5"/>
    <w:rsid w:val="00B40137"/>
    <w:rsid w:val="00B40164"/>
    <w:rsid w:val="00B40358"/>
    <w:rsid w:val="00B404C9"/>
    <w:rsid w:val="00B4065F"/>
    <w:rsid w:val="00B406E3"/>
    <w:rsid w:val="00B40770"/>
    <w:rsid w:val="00B407BF"/>
    <w:rsid w:val="00B4096C"/>
    <w:rsid w:val="00B40B3E"/>
    <w:rsid w:val="00B40CCE"/>
    <w:rsid w:val="00B40D3B"/>
    <w:rsid w:val="00B41041"/>
    <w:rsid w:val="00B410C9"/>
    <w:rsid w:val="00B410F1"/>
    <w:rsid w:val="00B41113"/>
    <w:rsid w:val="00B41174"/>
    <w:rsid w:val="00B41473"/>
    <w:rsid w:val="00B4158E"/>
    <w:rsid w:val="00B41614"/>
    <w:rsid w:val="00B419C3"/>
    <w:rsid w:val="00B41CC4"/>
    <w:rsid w:val="00B41E4B"/>
    <w:rsid w:val="00B41E71"/>
    <w:rsid w:val="00B41E76"/>
    <w:rsid w:val="00B41F09"/>
    <w:rsid w:val="00B41FA9"/>
    <w:rsid w:val="00B41FD6"/>
    <w:rsid w:val="00B42273"/>
    <w:rsid w:val="00B4234D"/>
    <w:rsid w:val="00B426CA"/>
    <w:rsid w:val="00B42703"/>
    <w:rsid w:val="00B42708"/>
    <w:rsid w:val="00B427B1"/>
    <w:rsid w:val="00B42836"/>
    <w:rsid w:val="00B42842"/>
    <w:rsid w:val="00B42851"/>
    <w:rsid w:val="00B428F1"/>
    <w:rsid w:val="00B428F9"/>
    <w:rsid w:val="00B42975"/>
    <w:rsid w:val="00B42977"/>
    <w:rsid w:val="00B42A12"/>
    <w:rsid w:val="00B42AF3"/>
    <w:rsid w:val="00B42C1F"/>
    <w:rsid w:val="00B42DD9"/>
    <w:rsid w:val="00B42DEF"/>
    <w:rsid w:val="00B42E30"/>
    <w:rsid w:val="00B42F03"/>
    <w:rsid w:val="00B42F80"/>
    <w:rsid w:val="00B431A7"/>
    <w:rsid w:val="00B432D9"/>
    <w:rsid w:val="00B434ED"/>
    <w:rsid w:val="00B43522"/>
    <w:rsid w:val="00B435CB"/>
    <w:rsid w:val="00B436D7"/>
    <w:rsid w:val="00B4397D"/>
    <w:rsid w:val="00B43A46"/>
    <w:rsid w:val="00B43C9B"/>
    <w:rsid w:val="00B43DCC"/>
    <w:rsid w:val="00B43EA3"/>
    <w:rsid w:val="00B43FE9"/>
    <w:rsid w:val="00B44534"/>
    <w:rsid w:val="00B44582"/>
    <w:rsid w:val="00B445AD"/>
    <w:rsid w:val="00B445CD"/>
    <w:rsid w:val="00B445FC"/>
    <w:rsid w:val="00B448F5"/>
    <w:rsid w:val="00B44DFA"/>
    <w:rsid w:val="00B44F89"/>
    <w:rsid w:val="00B45042"/>
    <w:rsid w:val="00B45290"/>
    <w:rsid w:val="00B454CB"/>
    <w:rsid w:val="00B454FD"/>
    <w:rsid w:val="00B45502"/>
    <w:rsid w:val="00B455C7"/>
    <w:rsid w:val="00B4599B"/>
    <w:rsid w:val="00B459F8"/>
    <w:rsid w:val="00B45A2F"/>
    <w:rsid w:val="00B45AC5"/>
    <w:rsid w:val="00B45BE2"/>
    <w:rsid w:val="00B45BEA"/>
    <w:rsid w:val="00B45C36"/>
    <w:rsid w:val="00B45CE0"/>
    <w:rsid w:val="00B45E81"/>
    <w:rsid w:val="00B45EDF"/>
    <w:rsid w:val="00B45F1E"/>
    <w:rsid w:val="00B45FE7"/>
    <w:rsid w:val="00B46018"/>
    <w:rsid w:val="00B4603F"/>
    <w:rsid w:val="00B465EC"/>
    <w:rsid w:val="00B46768"/>
    <w:rsid w:val="00B4680F"/>
    <w:rsid w:val="00B4690B"/>
    <w:rsid w:val="00B469EF"/>
    <w:rsid w:val="00B46AD7"/>
    <w:rsid w:val="00B46B3E"/>
    <w:rsid w:val="00B47251"/>
    <w:rsid w:val="00B472C5"/>
    <w:rsid w:val="00B472F6"/>
    <w:rsid w:val="00B47585"/>
    <w:rsid w:val="00B476AF"/>
    <w:rsid w:val="00B476C1"/>
    <w:rsid w:val="00B4775D"/>
    <w:rsid w:val="00B477A5"/>
    <w:rsid w:val="00B478FC"/>
    <w:rsid w:val="00B47A92"/>
    <w:rsid w:val="00B47C12"/>
    <w:rsid w:val="00B47C24"/>
    <w:rsid w:val="00B5005F"/>
    <w:rsid w:val="00B50444"/>
    <w:rsid w:val="00B505C8"/>
    <w:rsid w:val="00B506EE"/>
    <w:rsid w:val="00B5074F"/>
    <w:rsid w:val="00B5077D"/>
    <w:rsid w:val="00B50813"/>
    <w:rsid w:val="00B508E0"/>
    <w:rsid w:val="00B50A38"/>
    <w:rsid w:val="00B50C5D"/>
    <w:rsid w:val="00B50C81"/>
    <w:rsid w:val="00B50D67"/>
    <w:rsid w:val="00B50DB8"/>
    <w:rsid w:val="00B50E0D"/>
    <w:rsid w:val="00B51270"/>
    <w:rsid w:val="00B512B1"/>
    <w:rsid w:val="00B51346"/>
    <w:rsid w:val="00B51354"/>
    <w:rsid w:val="00B514D4"/>
    <w:rsid w:val="00B51543"/>
    <w:rsid w:val="00B515FE"/>
    <w:rsid w:val="00B517E0"/>
    <w:rsid w:val="00B51C1A"/>
    <w:rsid w:val="00B51C96"/>
    <w:rsid w:val="00B51D14"/>
    <w:rsid w:val="00B51D4F"/>
    <w:rsid w:val="00B51E9C"/>
    <w:rsid w:val="00B52110"/>
    <w:rsid w:val="00B523D2"/>
    <w:rsid w:val="00B52497"/>
    <w:rsid w:val="00B52636"/>
    <w:rsid w:val="00B52709"/>
    <w:rsid w:val="00B528DC"/>
    <w:rsid w:val="00B52D17"/>
    <w:rsid w:val="00B52E1A"/>
    <w:rsid w:val="00B52F60"/>
    <w:rsid w:val="00B52FE7"/>
    <w:rsid w:val="00B53004"/>
    <w:rsid w:val="00B53139"/>
    <w:rsid w:val="00B53255"/>
    <w:rsid w:val="00B53416"/>
    <w:rsid w:val="00B53654"/>
    <w:rsid w:val="00B538A7"/>
    <w:rsid w:val="00B53905"/>
    <w:rsid w:val="00B5396F"/>
    <w:rsid w:val="00B539BE"/>
    <w:rsid w:val="00B53AB4"/>
    <w:rsid w:val="00B53AD4"/>
    <w:rsid w:val="00B53C4A"/>
    <w:rsid w:val="00B53FC3"/>
    <w:rsid w:val="00B54048"/>
    <w:rsid w:val="00B5426A"/>
    <w:rsid w:val="00B54299"/>
    <w:rsid w:val="00B544A1"/>
    <w:rsid w:val="00B546DB"/>
    <w:rsid w:val="00B54713"/>
    <w:rsid w:val="00B54727"/>
    <w:rsid w:val="00B548A9"/>
    <w:rsid w:val="00B54A07"/>
    <w:rsid w:val="00B54B5B"/>
    <w:rsid w:val="00B54C91"/>
    <w:rsid w:val="00B54E0E"/>
    <w:rsid w:val="00B54E12"/>
    <w:rsid w:val="00B54E5D"/>
    <w:rsid w:val="00B54E68"/>
    <w:rsid w:val="00B54EE6"/>
    <w:rsid w:val="00B550C4"/>
    <w:rsid w:val="00B552B7"/>
    <w:rsid w:val="00B55373"/>
    <w:rsid w:val="00B553A8"/>
    <w:rsid w:val="00B555D5"/>
    <w:rsid w:val="00B5562E"/>
    <w:rsid w:val="00B5570F"/>
    <w:rsid w:val="00B55779"/>
    <w:rsid w:val="00B557AD"/>
    <w:rsid w:val="00B55862"/>
    <w:rsid w:val="00B55897"/>
    <w:rsid w:val="00B558D6"/>
    <w:rsid w:val="00B55B12"/>
    <w:rsid w:val="00B55C31"/>
    <w:rsid w:val="00B55CCD"/>
    <w:rsid w:val="00B55D10"/>
    <w:rsid w:val="00B55D1C"/>
    <w:rsid w:val="00B55D65"/>
    <w:rsid w:val="00B55FE4"/>
    <w:rsid w:val="00B5602B"/>
    <w:rsid w:val="00B56305"/>
    <w:rsid w:val="00B56311"/>
    <w:rsid w:val="00B5641E"/>
    <w:rsid w:val="00B5650E"/>
    <w:rsid w:val="00B5666C"/>
    <w:rsid w:val="00B56796"/>
    <w:rsid w:val="00B5684A"/>
    <w:rsid w:val="00B568D9"/>
    <w:rsid w:val="00B5694A"/>
    <w:rsid w:val="00B56CE8"/>
    <w:rsid w:val="00B56F87"/>
    <w:rsid w:val="00B57000"/>
    <w:rsid w:val="00B570BC"/>
    <w:rsid w:val="00B571C2"/>
    <w:rsid w:val="00B571EC"/>
    <w:rsid w:val="00B572AA"/>
    <w:rsid w:val="00B573B0"/>
    <w:rsid w:val="00B575A2"/>
    <w:rsid w:val="00B57876"/>
    <w:rsid w:val="00B578BF"/>
    <w:rsid w:val="00B57A90"/>
    <w:rsid w:val="00B57AB6"/>
    <w:rsid w:val="00B57B16"/>
    <w:rsid w:val="00B57DCB"/>
    <w:rsid w:val="00B57DD8"/>
    <w:rsid w:val="00B600F0"/>
    <w:rsid w:val="00B601ED"/>
    <w:rsid w:val="00B604DB"/>
    <w:rsid w:val="00B6051D"/>
    <w:rsid w:val="00B60679"/>
    <w:rsid w:val="00B6089C"/>
    <w:rsid w:val="00B608B4"/>
    <w:rsid w:val="00B60939"/>
    <w:rsid w:val="00B60987"/>
    <w:rsid w:val="00B60A6F"/>
    <w:rsid w:val="00B60AFD"/>
    <w:rsid w:val="00B60B8B"/>
    <w:rsid w:val="00B60CD7"/>
    <w:rsid w:val="00B60DDB"/>
    <w:rsid w:val="00B60E6C"/>
    <w:rsid w:val="00B60E6D"/>
    <w:rsid w:val="00B60F5D"/>
    <w:rsid w:val="00B61036"/>
    <w:rsid w:val="00B61115"/>
    <w:rsid w:val="00B6139A"/>
    <w:rsid w:val="00B614AE"/>
    <w:rsid w:val="00B617CB"/>
    <w:rsid w:val="00B619BE"/>
    <w:rsid w:val="00B61A38"/>
    <w:rsid w:val="00B61C11"/>
    <w:rsid w:val="00B61F04"/>
    <w:rsid w:val="00B620C4"/>
    <w:rsid w:val="00B62177"/>
    <w:rsid w:val="00B62217"/>
    <w:rsid w:val="00B622E7"/>
    <w:rsid w:val="00B6254E"/>
    <w:rsid w:val="00B62715"/>
    <w:rsid w:val="00B6282F"/>
    <w:rsid w:val="00B6288D"/>
    <w:rsid w:val="00B62CEA"/>
    <w:rsid w:val="00B62D45"/>
    <w:rsid w:val="00B63042"/>
    <w:rsid w:val="00B630E8"/>
    <w:rsid w:val="00B63368"/>
    <w:rsid w:val="00B63394"/>
    <w:rsid w:val="00B633F9"/>
    <w:rsid w:val="00B63441"/>
    <w:rsid w:val="00B63912"/>
    <w:rsid w:val="00B63E67"/>
    <w:rsid w:val="00B640AC"/>
    <w:rsid w:val="00B6411A"/>
    <w:rsid w:val="00B64210"/>
    <w:rsid w:val="00B64308"/>
    <w:rsid w:val="00B644D8"/>
    <w:rsid w:val="00B644F2"/>
    <w:rsid w:val="00B64577"/>
    <w:rsid w:val="00B648A4"/>
    <w:rsid w:val="00B64D30"/>
    <w:rsid w:val="00B64EC9"/>
    <w:rsid w:val="00B64EFE"/>
    <w:rsid w:val="00B64FF7"/>
    <w:rsid w:val="00B65128"/>
    <w:rsid w:val="00B651B7"/>
    <w:rsid w:val="00B6522C"/>
    <w:rsid w:val="00B65311"/>
    <w:rsid w:val="00B654F2"/>
    <w:rsid w:val="00B65575"/>
    <w:rsid w:val="00B655B5"/>
    <w:rsid w:val="00B65611"/>
    <w:rsid w:val="00B656EB"/>
    <w:rsid w:val="00B65911"/>
    <w:rsid w:val="00B65A27"/>
    <w:rsid w:val="00B65A9F"/>
    <w:rsid w:val="00B65B56"/>
    <w:rsid w:val="00B65B59"/>
    <w:rsid w:val="00B65B7D"/>
    <w:rsid w:val="00B65BB8"/>
    <w:rsid w:val="00B65C93"/>
    <w:rsid w:val="00B65D88"/>
    <w:rsid w:val="00B65E75"/>
    <w:rsid w:val="00B65F00"/>
    <w:rsid w:val="00B6609D"/>
    <w:rsid w:val="00B6619A"/>
    <w:rsid w:val="00B661CF"/>
    <w:rsid w:val="00B66329"/>
    <w:rsid w:val="00B663D8"/>
    <w:rsid w:val="00B66600"/>
    <w:rsid w:val="00B666AE"/>
    <w:rsid w:val="00B667D2"/>
    <w:rsid w:val="00B66A07"/>
    <w:rsid w:val="00B66B2C"/>
    <w:rsid w:val="00B66F33"/>
    <w:rsid w:val="00B66F41"/>
    <w:rsid w:val="00B66FC1"/>
    <w:rsid w:val="00B67006"/>
    <w:rsid w:val="00B670C3"/>
    <w:rsid w:val="00B6711E"/>
    <w:rsid w:val="00B672CD"/>
    <w:rsid w:val="00B6743E"/>
    <w:rsid w:val="00B6748D"/>
    <w:rsid w:val="00B6750D"/>
    <w:rsid w:val="00B67684"/>
    <w:rsid w:val="00B67829"/>
    <w:rsid w:val="00B67897"/>
    <w:rsid w:val="00B67AAC"/>
    <w:rsid w:val="00B67B0D"/>
    <w:rsid w:val="00B67B15"/>
    <w:rsid w:val="00B67C46"/>
    <w:rsid w:val="00B67CAF"/>
    <w:rsid w:val="00B67CD7"/>
    <w:rsid w:val="00B67DAC"/>
    <w:rsid w:val="00B700BC"/>
    <w:rsid w:val="00B70170"/>
    <w:rsid w:val="00B704E3"/>
    <w:rsid w:val="00B70527"/>
    <w:rsid w:val="00B70647"/>
    <w:rsid w:val="00B70690"/>
    <w:rsid w:val="00B70824"/>
    <w:rsid w:val="00B708A2"/>
    <w:rsid w:val="00B70A67"/>
    <w:rsid w:val="00B70A96"/>
    <w:rsid w:val="00B70AF8"/>
    <w:rsid w:val="00B70C1D"/>
    <w:rsid w:val="00B70D09"/>
    <w:rsid w:val="00B70D3A"/>
    <w:rsid w:val="00B70D8D"/>
    <w:rsid w:val="00B70E47"/>
    <w:rsid w:val="00B70E59"/>
    <w:rsid w:val="00B70E8E"/>
    <w:rsid w:val="00B70F95"/>
    <w:rsid w:val="00B71066"/>
    <w:rsid w:val="00B71083"/>
    <w:rsid w:val="00B71117"/>
    <w:rsid w:val="00B7123C"/>
    <w:rsid w:val="00B71281"/>
    <w:rsid w:val="00B712A9"/>
    <w:rsid w:val="00B71302"/>
    <w:rsid w:val="00B713D1"/>
    <w:rsid w:val="00B715F1"/>
    <w:rsid w:val="00B7180D"/>
    <w:rsid w:val="00B71A1A"/>
    <w:rsid w:val="00B71A5C"/>
    <w:rsid w:val="00B71A95"/>
    <w:rsid w:val="00B71AB0"/>
    <w:rsid w:val="00B71AC3"/>
    <w:rsid w:val="00B71ADB"/>
    <w:rsid w:val="00B71ADF"/>
    <w:rsid w:val="00B71B47"/>
    <w:rsid w:val="00B71C86"/>
    <w:rsid w:val="00B71E24"/>
    <w:rsid w:val="00B71F7C"/>
    <w:rsid w:val="00B72027"/>
    <w:rsid w:val="00B72063"/>
    <w:rsid w:val="00B721EA"/>
    <w:rsid w:val="00B72214"/>
    <w:rsid w:val="00B725F3"/>
    <w:rsid w:val="00B72662"/>
    <w:rsid w:val="00B72883"/>
    <w:rsid w:val="00B729DE"/>
    <w:rsid w:val="00B72A93"/>
    <w:rsid w:val="00B72B9A"/>
    <w:rsid w:val="00B72BEF"/>
    <w:rsid w:val="00B73397"/>
    <w:rsid w:val="00B735F9"/>
    <w:rsid w:val="00B735FE"/>
    <w:rsid w:val="00B739CA"/>
    <w:rsid w:val="00B73A3F"/>
    <w:rsid w:val="00B73C16"/>
    <w:rsid w:val="00B73C66"/>
    <w:rsid w:val="00B73EE9"/>
    <w:rsid w:val="00B741E5"/>
    <w:rsid w:val="00B742DB"/>
    <w:rsid w:val="00B742EA"/>
    <w:rsid w:val="00B742FF"/>
    <w:rsid w:val="00B74424"/>
    <w:rsid w:val="00B745DA"/>
    <w:rsid w:val="00B74709"/>
    <w:rsid w:val="00B7488A"/>
    <w:rsid w:val="00B74A2A"/>
    <w:rsid w:val="00B74A46"/>
    <w:rsid w:val="00B74DCC"/>
    <w:rsid w:val="00B74E4F"/>
    <w:rsid w:val="00B74EE6"/>
    <w:rsid w:val="00B74F41"/>
    <w:rsid w:val="00B752C8"/>
    <w:rsid w:val="00B7534C"/>
    <w:rsid w:val="00B75606"/>
    <w:rsid w:val="00B75615"/>
    <w:rsid w:val="00B756A1"/>
    <w:rsid w:val="00B758C3"/>
    <w:rsid w:val="00B75986"/>
    <w:rsid w:val="00B759B1"/>
    <w:rsid w:val="00B75AE2"/>
    <w:rsid w:val="00B75BD7"/>
    <w:rsid w:val="00B75C71"/>
    <w:rsid w:val="00B75D70"/>
    <w:rsid w:val="00B75F58"/>
    <w:rsid w:val="00B75FC8"/>
    <w:rsid w:val="00B7603D"/>
    <w:rsid w:val="00B76578"/>
    <w:rsid w:val="00B76622"/>
    <w:rsid w:val="00B76A18"/>
    <w:rsid w:val="00B76B0E"/>
    <w:rsid w:val="00B76B41"/>
    <w:rsid w:val="00B76BAE"/>
    <w:rsid w:val="00B76C7B"/>
    <w:rsid w:val="00B76C92"/>
    <w:rsid w:val="00B76D4F"/>
    <w:rsid w:val="00B76E26"/>
    <w:rsid w:val="00B76FD7"/>
    <w:rsid w:val="00B7701B"/>
    <w:rsid w:val="00B770D6"/>
    <w:rsid w:val="00B7727C"/>
    <w:rsid w:val="00B77499"/>
    <w:rsid w:val="00B77653"/>
    <w:rsid w:val="00B7772A"/>
    <w:rsid w:val="00B77AFE"/>
    <w:rsid w:val="00B77C27"/>
    <w:rsid w:val="00B77C5D"/>
    <w:rsid w:val="00B77D4F"/>
    <w:rsid w:val="00B77D8C"/>
    <w:rsid w:val="00B77DCE"/>
    <w:rsid w:val="00B77DD3"/>
    <w:rsid w:val="00B77FF6"/>
    <w:rsid w:val="00B800F8"/>
    <w:rsid w:val="00B801F6"/>
    <w:rsid w:val="00B80363"/>
    <w:rsid w:val="00B803B9"/>
    <w:rsid w:val="00B80528"/>
    <w:rsid w:val="00B806C3"/>
    <w:rsid w:val="00B80855"/>
    <w:rsid w:val="00B808A3"/>
    <w:rsid w:val="00B809F4"/>
    <w:rsid w:val="00B80AC6"/>
    <w:rsid w:val="00B80AED"/>
    <w:rsid w:val="00B80CC0"/>
    <w:rsid w:val="00B80D46"/>
    <w:rsid w:val="00B80EFD"/>
    <w:rsid w:val="00B8125A"/>
    <w:rsid w:val="00B81279"/>
    <w:rsid w:val="00B812D3"/>
    <w:rsid w:val="00B812E3"/>
    <w:rsid w:val="00B81359"/>
    <w:rsid w:val="00B8137E"/>
    <w:rsid w:val="00B81450"/>
    <w:rsid w:val="00B8146E"/>
    <w:rsid w:val="00B8149F"/>
    <w:rsid w:val="00B814A1"/>
    <w:rsid w:val="00B815AA"/>
    <w:rsid w:val="00B81645"/>
    <w:rsid w:val="00B81678"/>
    <w:rsid w:val="00B816D9"/>
    <w:rsid w:val="00B8179B"/>
    <w:rsid w:val="00B817DF"/>
    <w:rsid w:val="00B8180C"/>
    <w:rsid w:val="00B81873"/>
    <w:rsid w:val="00B818A4"/>
    <w:rsid w:val="00B81930"/>
    <w:rsid w:val="00B81ADF"/>
    <w:rsid w:val="00B81B49"/>
    <w:rsid w:val="00B81C63"/>
    <w:rsid w:val="00B81CEA"/>
    <w:rsid w:val="00B81DAF"/>
    <w:rsid w:val="00B81E17"/>
    <w:rsid w:val="00B820F7"/>
    <w:rsid w:val="00B82146"/>
    <w:rsid w:val="00B8218D"/>
    <w:rsid w:val="00B82285"/>
    <w:rsid w:val="00B822CD"/>
    <w:rsid w:val="00B82413"/>
    <w:rsid w:val="00B82557"/>
    <w:rsid w:val="00B82617"/>
    <w:rsid w:val="00B826A9"/>
    <w:rsid w:val="00B82810"/>
    <w:rsid w:val="00B82869"/>
    <w:rsid w:val="00B828D6"/>
    <w:rsid w:val="00B82A3D"/>
    <w:rsid w:val="00B82DC9"/>
    <w:rsid w:val="00B82F73"/>
    <w:rsid w:val="00B83046"/>
    <w:rsid w:val="00B8317A"/>
    <w:rsid w:val="00B83199"/>
    <w:rsid w:val="00B832BE"/>
    <w:rsid w:val="00B83372"/>
    <w:rsid w:val="00B83404"/>
    <w:rsid w:val="00B834DE"/>
    <w:rsid w:val="00B83698"/>
    <w:rsid w:val="00B83739"/>
    <w:rsid w:val="00B837B5"/>
    <w:rsid w:val="00B83860"/>
    <w:rsid w:val="00B83C40"/>
    <w:rsid w:val="00B8400E"/>
    <w:rsid w:val="00B8408F"/>
    <w:rsid w:val="00B84117"/>
    <w:rsid w:val="00B841BC"/>
    <w:rsid w:val="00B84212"/>
    <w:rsid w:val="00B8423D"/>
    <w:rsid w:val="00B842FB"/>
    <w:rsid w:val="00B844BC"/>
    <w:rsid w:val="00B846F6"/>
    <w:rsid w:val="00B84B65"/>
    <w:rsid w:val="00B84C78"/>
    <w:rsid w:val="00B84E82"/>
    <w:rsid w:val="00B84EA9"/>
    <w:rsid w:val="00B84F01"/>
    <w:rsid w:val="00B85028"/>
    <w:rsid w:val="00B852F9"/>
    <w:rsid w:val="00B852FD"/>
    <w:rsid w:val="00B85360"/>
    <w:rsid w:val="00B85485"/>
    <w:rsid w:val="00B858CE"/>
    <w:rsid w:val="00B858F0"/>
    <w:rsid w:val="00B859D4"/>
    <w:rsid w:val="00B85AA2"/>
    <w:rsid w:val="00B85B23"/>
    <w:rsid w:val="00B85D94"/>
    <w:rsid w:val="00B85E92"/>
    <w:rsid w:val="00B85F99"/>
    <w:rsid w:val="00B860C1"/>
    <w:rsid w:val="00B86245"/>
    <w:rsid w:val="00B8633B"/>
    <w:rsid w:val="00B863DC"/>
    <w:rsid w:val="00B86477"/>
    <w:rsid w:val="00B8649C"/>
    <w:rsid w:val="00B8663A"/>
    <w:rsid w:val="00B86707"/>
    <w:rsid w:val="00B86753"/>
    <w:rsid w:val="00B8695D"/>
    <w:rsid w:val="00B8696B"/>
    <w:rsid w:val="00B86998"/>
    <w:rsid w:val="00B86D39"/>
    <w:rsid w:val="00B86F4B"/>
    <w:rsid w:val="00B8701F"/>
    <w:rsid w:val="00B8708B"/>
    <w:rsid w:val="00B872BB"/>
    <w:rsid w:val="00B87332"/>
    <w:rsid w:val="00B8734A"/>
    <w:rsid w:val="00B87429"/>
    <w:rsid w:val="00B874C0"/>
    <w:rsid w:val="00B87747"/>
    <w:rsid w:val="00B87975"/>
    <w:rsid w:val="00B87B41"/>
    <w:rsid w:val="00B87B77"/>
    <w:rsid w:val="00B87BE9"/>
    <w:rsid w:val="00B87D82"/>
    <w:rsid w:val="00B87D93"/>
    <w:rsid w:val="00B87DF2"/>
    <w:rsid w:val="00B87F0A"/>
    <w:rsid w:val="00B87F58"/>
    <w:rsid w:val="00B90019"/>
    <w:rsid w:val="00B901EC"/>
    <w:rsid w:val="00B9021E"/>
    <w:rsid w:val="00B90272"/>
    <w:rsid w:val="00B90360"/>
    <w:rsid w:val="00B9042C"/>
    <w:rsid w:val="00B90472"/>
    <w:rsid w:val="00B9053F"/>
    <w:rsid w:val="00B905E8"/>
    <w:rsid w:val="00B90699"/>
    <w:rsid w:val="00B90887"/>
    <w:rsid w:val="00B909B2"/>
    <w:rsid w:val="00B90B39"/>
    <w:rsid w:val="00B90CF8"/>
    <w:rsid w:val="00B90E82"/>
    <w:rsid w:val="00B91001"/>
    <w:rsid w:val="00B91037"/>
    <w:rsid w:val="00B91366"/>
    <w:rsid w:val="00B9149D"/>
    <w:rsid w:val="00B91896"/>
    <w:rsid w:val="00B91B20"/>
    <w:rsid w:val="00B91BD2"/>
    <w:rsid w:val="00B91DE4"/>
    <w:rsid w:val="00B92150"/>
    <w:rsid w:val="00B921C4"/>
    <w:rsid w:val="00B92738"/>
    <w:rsid w:val="00B92799"/>
    <w:rsid w:val="00B92965"/>
    <w:rsid w:val="00B92A13"/>
    <w:rsid w:val="00B92BFF"/>
    <w:rsid w:val="00B92D0B"/>
    <w:rsid w:val="00B92E47"/>
    <w:rsid w:val="00B93070"/>
    <w:rsid w:val="00B93124"/>
    <w:rsid w:val="00B93208"/>
    <w:rsid w:val="00B9325A"/>
    <w:rsid w:val="00B932F9"/>
    <w:rsid w:val="00B93319"/>
    <w:rsid w:val="00B9360A"/>
    <w:rsid w:val="00B9371C"/>
    <w:rsid w:val="00B9381E"/>
    <w:rsid w:val="00B9382E"/>
    <w:rsid w:val="00B93861"/>
    <w:rsid w:val="00B938F3"/>
    <w:rsid w:val="00B9397F"/>
    <w:rsid w:val="00B93AE3"/>
    <w:rsid w:val="00B93C67"/>
    <w:rsid w:val="00B93CA6"/>
    <w:rsid w:val="00B93F84"/>
    <w:rsid w:val="00B93F9B"/>
    <w:rsid w:val="00B94064"/>
    <w:rsid w:val="00B940C4"/>
    <w:rsid w:val="00B943C7"/>
    <w:rsid w:val="00B94581"/>
    <w:rsid w:val="00B945F7"/>
    <w:rsid w:val="00B94674"/>
    <w:rsid w:val="00B946D0"/>
    <w:rsid w:val="00B94945"/>
    <w:rsid w:val="00B949AF"/>
    <w:rsid w:val="00B94A67"/>
    <w:rsid w:val="00B94BFF"/>
    <w:rsid w:val="00B94CC0"/>
    <w:rsid w:val="00B94D41"/>
    <w:rsid w:val="00B94DD4"/>
    <w:rsid w:val="00B94DD6"/>
    <w:rsid w:val="00B94E15"/>
    <w:rsid w:val="00B94EED"/>
    <w:rsid w:val="00B9515E"/>
    <w:rsid w:val="00B95189"/>
    <w:rsid w:val="00B952B9"/>
    <w:rsid w:val="00B95331"/>
    <w:rsid w:val="00B954A0"/>
    <w:rsid w:val="00B955BE"/>
    <w:rsid w:val="00B956E7"/>
    <w:rsid w:val="00B957A1"/>
    <w:rsid w:val="00B95AF5"/>
    <w:rsid w:val="00B95B2E"/>
    <w:rsid w:val="00B95B34"/>
    <w:rsid w:val="00B95BB6"/>
    <w:rsid w:val="00B9601B"/>
    <w:rsid w:val="00B960F6"/>
    <w:rsid w:val="00B96115"/>
    <w:rsid w:val="00B96155"/>
    <w:rsid w:val="00B96322"/>
    <w:rsid w:val="00B9636D"/>
    <w:rsid w:val="00B963FA"/>
    <w:rsid w:val="00B96529"/>
    <w:rsid w:val="00B966C8"/>
    <w:rsid w:val="00B96704"/>
    <w:rsid w:val="00B96956"/>
    <w:rsid w:val="00B96B9C"/>
    <w:rsid w:val="00B96CC4"/>
    <w:rsid w:val="00B96EB0"/>
    <w:rsid w:val="00B96F33"/>
    <w:rsid w:val="00B96FAF"/>
    <w:rsid w:val="00B9703E"/>
    <w:rsid w:val="00B970CD"/>
    <w:rsid w:val="00B9714B"/>
    <w:rsid w:val="00B971D3"/>
    <w:rsid w:val="00B9725B"/>
    <w:rsid w:val="00B9733A"/>
    <w:rsid w:val="00B97376"/>
    <w:rsid w:val="00B973E4"/>
    <w:rsid w:val="00B97590"/>
    <w:rsid w:val="00B975F7"/>
    <w:rsid w:val="00B97880"/>
    <w:rsid w:val="00B97895"/>
    <w:rsid w:val="00B97936"/>
    <w:rsid w:val="00B97A74"/>
    <w:rsid w:val="00B97C49"/>
    <w:rsid w:val="00BA0064"/>
    <w:rsid w:val="00BA0098"/>
    <w:rsid w:val="00BA0589"/>
    <w:rsid w:val="00BA065B"/>
    <w:rsid w:val="00BA065E"/>
    <w:rsid w:val="00BA06DB"/>
    <w:rsid w:val="00BA0894"/>
    <w:rsid w:val="00BA08B5"/>
    <w:rsid w:val="00BA0A03"/>
    <w:rsid w:val="00BA0A92"/>
    <w:rsid w:val="00BA0AE2"/>
    <w:rsid w:val="00BA1072"/>
    <w:rsid w:val="00BA10F9"/>
    <w:rsid w:val="00BA118D"/>
    <w:rsid w:val="00BA123E"/>
    <w:rsid w:val="00BA1295"/>
    <w:rsid w:val="00BA12E3"/>
    <w:rsid w:val="00BA13CA"/>
    <w:rsid w:val="00BA157B"/>
    <w:rsid w:val="00BA15B0"/>
    <w:rsid w:val="00BA16C7"/>
    <w:rsid w:val="00BA1793"/>
    <w:rsid w:val="00BA199A"/>
    <w:rsid w:val="00BA1B92"/>
    <w:rsid w:val="00BA1BD0"/>
    <w:rsid w:val="00BA1E3F"/>
    <w:rsid w:val="00BA1FFB"/>
    <w:rsid w:val="00BA21AD"/>
    <w:rsid w:val="00BA22A4"/>
    <w:rsid w:val="00BA235E"/>
    <w:rsid w:val="00BA23FF"/>
    <w:rsid w:val="00BA247C"/>
    <w:rsid w:val="00BA2559"/>
    <w:rsid w:val="00BA25FE"/>
    <w:rsid w:val="00BA2653"/>
    <w:rsid w:val="00BA29A2"/>
    <w:rsid w:val="00BA2B9C"/>
    <w:rsid w:val="00BA3044"/>
    <w:rsid w:val="00BA304F"/>
    <w:rsid w:val="00BA31A7"/>
    <w:rsid w:val="00BA322D"/>
    <w:rsid w:val="00BA3283"/>
    <w:rsid w:val="00BA3B2F"/>
    <w:rsid w:val="00BA3C61"/>
    <w:rsid w:val="00BA3CA1"/>
    <w:rsid w:val="00BA3DC8"/>
    <w:rsid w:val="00BA3E6D"/>
    <w:rsid w:val="00BA3EA7"/>
    <w:rsid w:val="00BA3ED0"/>
    <w:rsid w:val="00BA416A"/>
    <w:rsid w:val="00BA418F"/>
    <w:rsid w:val="00BA41D5"/>
    <w:rsid w:val="00BA4360"/>
    <w:rsid w:val="00BA43DE"/>
    <w:rsid w:val="00BA474C"/>
    <w:rsid w:val="00BA4861"/>
    <w:rsid w:val="00BA4B8C"/>
    <w:rsid w:val="00BA4FDB"/>
    <w:rsid w:val="00BA544F"/>
    <w:rsid w:val="00BA55FC"/>
    <w:rsid w:val="00BA578C"/>
    <w:rsid w:val="00BA57B1"/>
    <w:rsid w:val="00BA57D3"/>
    <w:rsid w:val="00BA58D9"/>
    <w:rsid w:val="00BA5C16"/>
    <w:rsid w:val="00BA5CD3"/>
    <w:rsid w:val="00BA5DAE"/>
    <w:rsid w:val="00BA5DB2"/>
    <w:rsid w:val="00BA5DB8"/>
    <w:rsid w:val="00BA612B"/>
    <w:rsid w:val="00BA6356"/>
    <w:rsid w:val="00BA63FA"/>
    <w:rsid w:val="00BA64C9"/>
    <w:rsid w:val="00BA6596"/>
    <w:rsid w:val="00BA66E8"/>
    <w:rsid w:val="00BA67B0"/>
    <w:rsid w:val="00BA6829"/>
    <w:rsid w:val="00BA6950"/>
    <w:rsid w:val="00BA6B7F"/>
    <w:rsid w:val="00BA6B8A"/>
    <w:rsid w:val="00BA6F2B"/>
    <w:rsid w:val="00BA6FEF"/>
    <w:rsid w:val="00BA705C"/>
    <w:rsid w:val="00BA7113"/>
    <w:rsid w:val="00BA711B"/>
    <w:rsid w:val="00BA71F7"/>
    <w:rsid w:val="00BA72BF"/>
    <w:rsid w:val="00BA72D9"/>
    <w:rsid w:val="00BA7313"/>
    <w:rsid w:val="00BA7384"/>
    <w:rsid w:val="00BA7410"/>
    <w:rsid w:val="00BA74DD"/>
    <w:rsid w:val="00BA75A6"/>
    <w:rsid w:val="00BA77E0"/>
    <w:rsid w:val="00BA7B47"/>
    <w:rsid w:val="00BA7F48"/>
    <w:rsid w:val="00BB004E"/>
    <w:rsid w:val="00BB0081"/>
    <w:rsid w:val="00BB00B3"/>
    <w:rsid w:val="00BB0105"/>
    <w:rsid w:val="00BB04C4"/>
    <w:rsid w:val="00BB04DA"/>
    <w:rsid w:val="00BB05FE"/>
    <w:rsid w:val="00BB0766"/>
    <w:rsid w:val="00BB0795"/>
    <w:rsid w:val="00BB0798"/>
    <w:rsid w:val="00BB07E3"/>
    <w:rsid w:val="00BB0B54"/>
    <w:rsid w:val="00BB0BA0"/>
    <w:rsid w:val="00BB0BAA"/>
    <w:rsid w:val="00BB0BDD"/>
    <w:rsid w:val="00BB0C08"/>
    <w:rsid w:val="00BB0C6B"/>
    <w:rsid w:val="00BB0FE9"/>
    <w:rsid w:val="00BB1176"/>
    <w:rsid w:val="00BB1323"/>
    <w:rsid w:val="00BB13EB"/>
    <w:rsid w:val="00BB15AB"/>
    <w:rsid w:val="00BB16B7"/>
    <w:rsid w:val="00BB176C"/>
    <w:rsid w:val="00BB1DC1"/>
    <w:rsid w:val="00BB1FD6"/>
    <w:rsid w:val="00BB20BD"/>
    <w:rsid w:val="00BB20C5"/>
    <w:rsid w:val="00BB20D9"/>
    <w:rsid w:val="00BB2900"/>
    <w:rsid w:val="00BB2A01"/>
    <w:rsid w:val="00BB2A73"/>
    <w:rsid w:val="00BB2DF9"/>
    <w:rsid w:val="00BB2EE4"/>
    <w:rsid w:val="00BB2F3D"/>
    <w:rsid w:val="00BB2F5C"/>
    <w:rsid w:val="00BB2F6F"/>
    <w:rsid w:val="00BB2FAA"/>
    <w:rsid w:val="00BB31A6"/>
    <w:rsid w:val="00BB31E0"/>
    <w:rsid w:val="00BB326E"/>
    <w:rsid w:val="00BB32D8"/>
    <w:rsid w:val="00BB32F2"/>
    <w:rsid w:val="00BB34AF"/>
    <w:rsid w:val="00BB351D"/>
    <w:rsid w:val="00BB3600"/>
    <w:rsid w:val="00BB3A45"/>
    <w:rsid w:val="00BB3A48"/>
    <w:rsid w:val="00BB3AA6"/>
    <w:rsid w:val="00BB3AC4"/>
    <w:rsid w:val="00BB3AE0"/>
    <w:rsid w:val="00BB3C2B"/>
    <w:rsid w:val="00BB3C97"/>
    <w:rsid w:val="00BB3F61"/>
    <w:rsid w:val="00BB40AD"/>
    <w:rsid w:val="00BB4157"/>
    <w:rsid w:val="00BB4253"/>
    <w:rsid w:val="00BB4724"/>
    <w:rsid w:val="00BB476D"/>
    <w:rsid w:val="00BB47D3"/>
    <w:rsid w:val="00BB4ACC"/>
    <w:rsid w:val="00BB4AFA"/>
    <w:rsid w:val="00BB4CF7"/>
    <w:rsid w:val="00BB4D8F"/>
    <w:rsid w:val="00BB4E65"/>
    <w:rsid w:val="00BB4E77"/>
    <w:rsid w:val="00BB5014"/>
    <w:rsid w:val="00BB502D"/>
    <w:rsid w:val="00BB50A8"/>
    <w:rsid w:val="00BB5100"/>
    <w:rsid w:val="00BB52D5"/>
    <w:rsid w:val="00BB5300"/>
    <w:rsid w:val="00BB53B3"/>
    <w:rsid w:val="00BB546D"/>
    <w:rsid w:val="00BB54C8"/>
    <w:rsid w:val="00BB55C3"/>
    <w:rsid w:val="00BB567E"/>
    <w:rsid w:val="00BB56A4"/>
    <w:rsid w:val="00BB5788"/>
    <w:rsid w:val="00BB5888"/>
    <w:rsid w:val="00BB588E"/>
    <w:rsid w:val="00BB58D0"/>
    <w:rsid w:val="00BB5A5A"/>
    <w:rsid w:val="00BB5C27"/>
    <w:rsid w:val="00BB5C3A"/>
    <w:rsid w:val="00BB5C8E"/>
    <w:rsid w:val="00BB5D54"/>
    <w:rsid w:val="00BB5D88"/>
    <w:rsid w:val="00BB5DC2"/>
    <w:rsid w:val="00BB607F"/>
    <w:rsid w:val="00BB60A9"/>
    <w:rsid w:val="00BB60EA"/>
    <w:rsid w:val="00BB6241"/>
    <w:rsid w:val="00BB650E"/>
    <w:rsid w:val="00BB6607"/>
    <w:rsid w:val="00BB660B"/>
    <w:rsid w:val="00BB6626"/>
    <w:rsid w:val="00BB66C4"/>
    <w:rsid w:val="00BB6907"/>
    <w:rsid w:val="00BB69FB"/>
    <w:rsid w:val="00BB6B01"/>
    <w:rsid w:val="00BB6C84"/>
    <w:rsid w:val="00BB6D4B"/>
    <w:rsid w:val="00BB6E2B"/>
    <w:rsid w:val="00BB703E"/>
    <w:rsid w:val="00BB7130"/>
    <w:rsid w:val="00BB71A4"/>
    <w:rsid w:val="00BB721A"/>
    <w:rsid w:val="00BB732D"/>
    <w:rsid w:val="00BB73D2"/>
    <w:rsid w:val="00BB7405"/>
    <w:rsid w:val="00BB7708"/>
    <w:rsid w:val="00BB7C39"/>
    <w:rsid w:val="00BB7D14"/>
    <w:rsid w:val="00BB7DC6"/>
    <w:rsid w:val="00BB7E5E"/>
    <w:rsid w:val="00BB7EC0"/>
    <w:rsid w:val="00BC001A"/>
    <w:rsid w:val="00BC0216"/>
    <w:rsid w:val="00BC0403"/>
    <w:rsid w:val="00BC0406"/>
    <w:rsid w:val="00BC06AE"/>
    <w:rsid w:val="00BC0BFF"/>
    <w:rsid w:val="00BC0C29"/>
    <w:rsid w:val="00BC0C59"/>
    <w:rsid w:val="00BC0E12"/>
    <w:rsid w:val="00BC0E1D"/>
    <w:rsid w:val="00BC0E31"/>
    <w:rsid w:val="00BC0F76"/>
    <w:rsid w:val="00BC101E"/>
    <w:rsid w:val="00BC11E1"/>
    <w:rsid w:val="00BC123F"/>
    <w:rsid w:val="00BC12A6"/>
    <w:rsid w:val="00BC132E"/>
    <w:rsid w:val="00BC1425"/>
    <w:rsid w:val="00BC166F"/>
    <w:rsid w:val="00BC1933"/>
    <w:rsid w:val="00BC1E7F"/>
    <w:rsid w:val="00BC2054"/>
    <w:rsid w:val="00BC20DB"/>
    <w:rsid w:val="00BC21B5"/>
    <w:rsid w:val="00BC21D0"/>
    <w:rsid w:val="00BC21E3"/>
    <w:rsid w:val="00BC21FE"/>
    <w:rsid w:val="00BC2425"/>
    <w:rsid w:val="00BC244D"/>
    <w:rsid w:val="00BC25C5"/>
    <w:rsid w:val="00BC25CB"/>
    <w:rsid w:val="00BC26AC"/>
    <w:rsid w:val="00BC2970"/>
    <w:rsid w:val="00BC2B8F"/>
    <w:rsid w:val="00BC2E61"/>
    <w:rsid w:val="00BC2F88"/>
    <w:rsid w:val="00BC2F8E"/>
    <w:rsid w:val="00BC2FBA"/>
    <w:rsid w:val="00BC3099"/>
    <w:rsid w:val="00BC324D"/>
    <w:rsid w:val="00BC3631"/>
    <w:rsid w:val="00BC365B"/>
    <w:rsid w:val="00BC3852"/>
    <w:rsid w:val="00BC3988"/>
    <w:rsid w:val="00BC3B09"/>
    <w:rsid w:val="00BC3B51"/>
    <w:rsid w:val="00BC3CC8"/>
    <w:rsid w:val="00BC3D1A"/>
    <w:rsid w:val="00BC3D74"/>
    <w:rsid w:val="00BC3EF5"/>
    <w:rsid w:val="00BC3F74"/>
    <w:rsid w:val="00BC42FA"/>
    <w:rsid w:val="00BC4416"/>
    <w:rsid w:val="00BC458C"/>
    <w:rsid w:val="00BC4608"/>
    <w:rsid w:val="00BC48E8"/>
    <w:rsid w:val="00BC4B73"/>
    <w:rsid w:val="00BC4B99"/>
    <w:rsid w:val="00BC4B9C"/>
    <w:rsid w:val="00BC4C1C"/>
    <w:rsid w:val="00BC4C8A"/>
    <w:rsid w:val="00BC4CC6"/>
    <w:rsid w:val="00BC4D12"/>
    <w:rsid w:val="00BC4D25"/>
    <w:rsid w:val="00BC4DFE"/>
    <w:rsid w:val="00BC4E4B"/>
    <w:rsid w:val="00BC4EF0"/>
    <w:rsid w:val="00BC4FE8"/>
    <w:rsid w:val="00BC518F"/>
    <w:rsid w:val="00BC554B"/>
    <w:rsid w:val="00BC56ED"/>
    <w:rsid w:val="00BC58FC"/>
    <w:rsid w:val="00BC5918"/>
    <w:rsid w:val="00BC591F"/>
    <w:rsid w:val="00BC59A3"/>
    <w:rsid w:val="00BC59E7"/>
    <w:rsid w:val="00BC5A54"/>
    <w:rsid w:val="00BC5A95"/>
    <w:rsid w:val="00BC5B35"/>
    <w:rsid w:val="00BC5FA9"/>
    <w:rsid w:val="00BC60D7"/>
    <w:rsid w:val="00BC615E"/>
    <w:rsid w:val="00BC6199"/>
    <w:rsid w:val="00BC6213"/>
    <w:rsid w:val="00BC6298"/>
    <w:rsid w:val="00BC636F"/>
    <w:rsid w:val="00BC64B0"/>
    <w:rsid w:val="00BC65F6"/>
    <w:rsid w:val="00BC662A"/>
    <w:rsid w:val="00BC6685"/>
    <w:rsid w:val="00BC66C2"/>
    <w:rsid w:val="00BC67D7"/>
    <w:rsid w:val="00BC68DB"/>
    <w:rsid w:val="00BC6A94"/>
    <w:rsid w:val="00BC6D4D"/>
    <w:rsid w:val="00BC6D81"/>
    <w:rsid w:val="00BC6E1D"/>
    <w:rsid w:val="00BC70AA"/>
    <w:rsid w:val="00BC781C"/>
    <w:rsid w:val="00BC7AF3"/>
    <w:rsid w:val="00BC7D36"/>
    <w:rsid w:val="00BC7D6D"/>
    <w:rsid w:val="00BC7EEB"/>
    <w:rsid w:val="00BD0100"/>
    <w:rsid w:val="00BD021C"/>
    <w:rsid w:val="00BD034C"/>
    <w:rsid w:val="00BD039F"/>
    <w:rsid w:val="00BD0523"/>
    <w:rsid w:val="00BD05BF"/>
    <w:rsid w:val="00BD06C4"/>
    <w:rsid w:val="00BD06C5"/>
    <w:rsid w:val="00BD089B"/>
    <w:rsid w:val="00BD0943"/>
    <w:rsid w:val="00BD095A"/>
    <w:rsid w:val="00BD09BC"/>
    <w:rsid w:val="00BD0AF0"/>
    <w:rsid w:val="00BD0BF2"/>
    <w:rsid w:val="00BD0C89"/>
    <w:rsid w:val="00BD0CC8"/>
    <w:rsid w:val="00BD0DDF"/>
    <w:rsid w:val="00BD0E6F"/>
    <w:rsid w:val="00BD0F01"/>
    <w:rsid w:val="00BD138A"/>
    <w:rsid w:val="00BD1691"/>
    <w:rsid w:val="00BD174F"/>
    <w:rsid w:val="00BD1A41"/>
    <w:rsid w:val="00BD1AEF"/>
    <w:rsid w:val="00BD1BA7"/>
    <w:rsid w:val="00BD2108"/>
    <w:rsid w:val="00BD2324"/>
    <w:rsid w:val="00BD232D"/>
    <w:rsid w:val="00BD239B"/>
    <w:rsid w:val="00BD23BE"/>
    <w:rsid w:val="00BD23EB"/>
    <w:rsid w:val="00BD2436"/>
    <w:rsid w:val="00BD24BC"/>
    <w:rsid w:val="00BD2524"/>
    <w:rsid w:val="00BD283D"/>
    <w:rsid w:val="00BD2C8A"/>
    <w:rsid w:val="00BD2E7B"/>
    <w:rsid w:val="00BD30CD"/>
    <w:rsid w:val="00BD30FF"/>
    <w:rsid w:val="00BD336C"/>
    <w:rsid w:val="00BD3629"/>
    <w:rsid w:val="00BD36F0"/>
    <w:rsid w:val="00BD37F4"/>
    <w:rsid w:val="00BD387A"/>
    <w:rsid w:val="00BD388A"/>
    <w:rsid w:val="00BD3970"/>
    <w:rsid w:val="00BD3A09"/>
    <w:rsid w:val="00BD3CCC"/>
    <w:rsid w:val="00BD3E36"/>
    <w:rsid w:val="00BD424D"/>
    <w:rsid w:val="00BD424F"/>
    <w:rsid w:val="00BD42DE"/>
    <w:rsid w:val="00BD4433"/>
    <w:rsid w:val="00BD445E"/>
    <w:rsid w:val="00BD4892"/>
    <w:rsid w:val="00BD4ADD"/>
    <w:rsid w:val="00BD4BFD"/>
    <w:rsid w:val="00BD4DE6"/>
    <w:rsid w:val="00BD4E07"/>
    <w:rsid w:val="00BD4E5D"/>
    <w:rsid w:val="00BD4FFB"/>
    <w:rsid w:val="00BD51B9"/>
    <w:rsid w:val="00BD51C4"/>
    <w:rsid w:val="00BD51DD"/>
    <w:rsid w:val="00BD5405"/>
    <w:rsid w:val="00BD5425"/>
    <w:rsid w:val="00BD5452"/>
    <w:rsid w:val="00BD5512"/>
    <w:rsid w:val="00BD554F"/>
    <w:rsid w:val="00BD56D7"/>
    <w:rsid w:val="00BD5992"/>
    <w:rsid w:val="00BD5BDD"/>
    <w:rsid w:val="00BD5D29"/>
    <w:rsid w:val="00BD6169"/>
    <w:rsid w:val="00BD62C1"/>
    <w:rsid w:val="00BD6421"/>
    <w:rsid w:val="00BD649B"/>
    <w:rsid w:val="00BD654D"/>
    <w:rsid w:val="00BD6575"/>
    <w:rsid w:val="00BD662A"/>
    <w:rsid w:val="00BD6699"/>
    <w:rsid w:val="00BD6784"/>
    <w:rsid w:val="00BD685B"/>
    <w:rsid w:val="00BD68A3"/>
    <w:rsid w:val="00BD6938"/>
    <w:rsid w:val="00BD6A20"/>
    <w:rsid w:val="00BD6BC6"/>
    <w:rsid w:val="00BD6CDD"/>
    <w:rsid w:val="00BD6CF3"/>
    <w:rsid w:val="00BD6EE2"/>
    <w:rsid w:val="00BD71A4"/>
    <w:rsid w:val="00BD7389"/>
    <w:rsid w:val="00BD74B0"/>
    <w:rsid w:val="00BD74E5"/>
    <w:rsid w:val="00BD7650"/>
    <w:rsid w:val="00BD76D5"/>
    <w:rsid w:val="00BD7798"/>
    <w:rsid w:val="00BD77FB"/>
    <w:rsid w:val="00BD781B"/>
    <w:rsid w:val="00BD7909"/>
    <w:rsid w:val="00BD79A0"/>
    <w:rsid w:val="00BD79B5"/>
    <w:rsid w:val="00BD7AD7"/>
    <w:rsid w:val="00BD7B24"/>
    <w:rsid w:val="00BD7C61"/>
    <w:rsid w:val="00BD7CBA"/>
    <w:rsid w:val="00BD7CFE"/>
    <w:rsid w:val="00BD7F72"/>
    <w:rsid w:val="00BE0967"/>
    <w:rsid w:val="00BE0A61"/>
    <w:rsid w:val="00BE0ACE"/>
    <w:rsid w:val="00BE0B06"/>
    <w:rsid w:val="00BE0BF4"/>
    <w:rsid w:val="00BE0BF8"/>
    <w:rsid w:val="00BE0C6D"/>
    <w:rsid w:val="00BE0E94"/>
    <w:rsid w:val="00BE0ECA"/>
    <w:rsid w:val="00BE1393"/>
    <w:rsid w:val="00BE1441"/>
    <w:rsid w:val="00BE180A"/>
    <w:rsid w:val="00BE184C"/>
    <w:rsid w:val="00BE1915"/>
    <w:rsid w:val="00BE1A9F"/>
    <w:rsid w:val="00BE1ACD"/>
    <w:rsid w:val="00BE1E2A"/>
    <w:rsid w:val="00BE2042"/>
    <w:rsid w:val="00BE20B0"/>
    <w:rsid w:val="00BE2180"/>
    <w:rsid w:val="00BE21F2"/>
    <w:rsid w:val="00BE22B3"/>
    <w:rsid w:val="00BE22B6"/>
    <w:rsid w:val="00BE230D"/>
    <w:rsid w:val="00BE235D"/>
    <w:rsid w:val="00BE27F2"/>
    <w:rsid w:val="00BE2927"/>
    <w:rsid w:val="00BE29F9"/>
    <w:rsid w:val="00BE2DCA"/>
    <w:rsid w:val="00BE2F43"/>
    <w:rsid w:val="00BE2FA5"/>
    <w:rsid w:val="00BE3015"/>
    <w:rsid w:val="00BE305E"/>
    <w:rsid w:val="00BE3115"/>
    <w:rsid w:val="00BE3163"/>
    <w:rsid w:val="00BE3204"/>
    <w:rsid w:val="00BE325A"/>
    <w:rsid w:val="00BE3285"/>
    <w:rsid w:val="00BE332E"/>
    <w:rsid w:val="00BE3490"/>
    <w:rsid w:val="00BE362F"/>
    <w:rsid w:val="00BE367D"/>
    <w:rsid w:val="00BE37DD"/>
    <w:rsid w:val="00BE3879"/>
    <w:rsid w:val="00BE3939"/>
    <w:rsid w:val="00BE3A81"/>
    <w:rsid w:val="00BE3B69"/>
    <w:rsid w:val="00BE3C6B"/>
    <w:rsid w:val="00BE3D9D"/>
    <w:rsid w:val="00BE3DAF"/>
    <w:rsid w:val="00BE40E7"/>
    <w:rsid w:val="00BE4275"/>
    <w:rsid w:val="00BE4339"/>
    <w:rsid w:val="00BE43D2"/>
    <w:rsid w:val="00BE453E"/>
    <w:rsid w:val="00BE457F"/>
    <w:rsid w:val="00BE48A9"/>
    <w:rsid w:val="00BE49F7"/>
    <w:rsid w:val="00BE4D2F"/>
    <w:rsid w:val="00BE4D57"/>
    <w:rsid w:val="00BE4F34"/>
    <w:rsid w:val="00BE5051"/>
    <w:rsid w:val="00BE518A"/>
    <w:rsid w:val="00BE5326"/>
    <w:rsid w:val="00BE5327"/>
    <w:rsid w:val="00BE553B"/>
    <w:rsid w:val="00BE56E0"/>
    <w:rsid w:val="00BE5790"/>
    <w:rsid w:val="00BE57EF"/>
    <w:rsid w:val="00BE59A0"/>
    <w:rsid w:val="00BE5D59"/>
    <w:rsid w:val="00BE5DFC"/>
    <w:rsid w:val="00BE5F9D"/>
    <w:rsid w:val="00BE6301"/>
    <w:rsid w:val="00BE639A"/>
    <w:rsid w:val="00BE63CE"/>
    <w:rsid w:val="00BE64F0"/>
    <w:rsid w:val="00BE661B"/>
    <w:rsid w:val="00BE685F"/>
    <w:rsid w:val="00BE6951"/>
    <w:rsid w:val="00BE69A1"/>
    <w:rsid w:val="00BE6B8C"/>
    <w:rsid w:val="00BE7113"/>
    <w:rsid w:val="00BE7141"/>
    <w:rsid w:val="00BE72D2"/>
    <w:rsid w:val="00BE7313"/>
    <w:rsid w:val="00BE7337"/>
    <w:rsid w:val="00BE7345"/>
    <w:rsid w:val="00BE73D1"/>
    <w:rsid w:val="00BE74EE"/>
    <w:rsid w:val="00BE7630"/>
    <w:rsid w:val="00BE7A14"/>
    <w:rsid w:val="00BE7ADC"/>
    <w:rsid w:val="00BE7B8E"/>
    <w:rsid w:val="00BE7BA2"/>
    <w:rsid w:val="00BE7BB0"/>
    <w:rsid w:val="00BE7C08"/>
    <w:rsid w:val="00BE7E34"/>
    <w:rsid w:val="00BE7E4A"/>
    <w:rsid w:val="00BF00F7"/>
    <w:rsid w:val="00BF0141"/>
    <w:rsid w:val="00BF030D"/>
    <w:rsid w:val="00BF0469"/>
    <w:rsid w:val="00BF0470"/>
    <w:rsid w:val="00BF050A"/>
    <w:rsid w:val="00BF062E"/>
    <w:rsid w:val="00BF06AE"/>
    <w:rsid w:val="00BF09F0"/>
    <w:rsid w:val="00BF0AEB"/>
    <w:rsid w:val="00BF0C89"/>
    <w:rsid w:val="00BF0F95"/>
    <w:rsid w:val="00BF0FA6"/>
    <w:rsid w:val="00BF137D"/>
    <w:rsid w:val="00BF179C"/>
    <w:rsid w:val="00BF19DA"/>
    <w:rsid w:val="00BF1BE7"/>
    <w:rsid w:val="00BF1DFC"/>
    <w:rsid w:val="00BF1F81"/>
    <w:rsid w:val="00BF1FAD"/>
    <w:rsid w:val="00BF20E4"/>
    <w:rsid w:val="00BF23BA"/>
    <w:rsid w:val="00BF2433"/>
    <w:rsid w:val="00BF2504"/>
    <w:rsid w:val="00BF25EA"/>
    <w:rsid w:val="00BF28D3"/>
    <w:rsid w:val="00BF2A03"/>
    <w:rsid w:val="00BF2E6E"/>
    <w:rsid w:val="00BF2E87"/>
    <w:rsid w:val="00BF2F82"/>
    <w:rsid w:val="00BF3164"/>
    <w:rsid w:val="00BF31AE"/>
    <w:rsid w:val="00BF327A"/>
    <w:rsid w:val="00BF3400"/>
    <w:rsid w:val="00BF3455"/>
    <w:rsid w:val="00BF35F9"/>
    <w:rsid w:val="00BF377D"/>
    <w:rsid w:val="00BF37C9"/>
    <w:rsid w:val="00BF3914"/>
    <w:rsid w:val="00BF391B"/>
    <w:rsid w:val="00BF3A8A"/>
    <w:rsid w:val="00BF3BE7"/>
    <w:rsid w:val="00BF3D29"/>
    <w:rsid w:val="00BF3D3E"/>
    <w:rsid w:val="00BF3DB8"/>
    <w:rsid w:val="00BF40C2"/>
    <w:rsid w:val="00BF4177"/>
    <w:rsid w:val="00BF43B3"/>
    <w:rsid w:val="00BF442F"/>
    <w:rsid w:val="00BF44F6"/>
    <w:rsid w:val="00BF45DA"/>
    <w:rsid w:val="00BF4611"/>
    <w:rsid w:val="00BF489E"/>
    <w:rsid w:val="00BF48D0"/>
    <w:rsid w:val="00BF4A45"/>
    <w:rsid w:val="00BF4A61"/>
    <w:rsid w:val="00BF4B19"/>
    <w:rsid w:val="00BF4D3D"/>
    <w:rsid w:val="00BF4E24"/>
    <w:rsid w:val="00BF4E77"/>
    <w:rsid w:val="00BF4EA6"/>
    <w:rsid w:val="00BF4EE6"/>
    <w:rsid w:val="00BF4F5D"/>
    <w:rsid w:val="00BF5166"/>
    <w:rsid w:val="00BF5225"/>
    <w:rsid w:val="00BF5457"/>
    <w:rsid w:val="00BF559B"/>
    <w:rsid w:val="00BF55F6"/>
    <w:rsid w:val="00BF5809"/>
    <w:rsid w:val="00BF5848"/>
    <w:rsid w:val="00BF5959"/>
    <w:rsid w:val="00BF5B0A"/>
    <w:rsid w:val="00BF5B1B"/>
    <w:rsid w:val="00BF5CAC"/>
    <w:rsid w:val="00BF5D02"/>
    <w:rsid w:val="00BF5D0E"/>
    <w:rsid w:val="00BF5D98"/>
    <w:rsid w:val="00BF5EB4"/>
    <w:rsid w:val="00BF5F02"/>
    <w:rsid w:val="00BF5F10"/>
    <w:rsid w:val="00BF5F46"/>
    <w:rsid w:val="00BF5FD0"/>
    <w:rsid w:val="00BF6129"/>
    <w:rsid w:val="00BF61C9"/>
    <w:rsid w:val="00BF6258"/>
    <w:rsid w:val="00BF62C2"/>
    <w:rsid w:val="00BF649F"/>
    <w:rsid w:val="00BF65E1"/>
    <w:rsid w:val="00BF66F5"/>
    <w:rsid w:val="00BF675B"/>
    <w:rsid w:val="00BF67B4"/>
    <w:rsid w:val="00BF67BF"/>
    <w:rsid w:val="00BF68D5"/>
    <w:rsid w:val="00BF6BE8"/>
    <w:rsid w:val="00BF6C94"/>
    <w:rsid w:val="00BF7192"/>
    <w:rsid w:val="00BF71C3"/>
    <w:rsid w:val="00BF7289"/>
    <w:rsid w:val="00BF72C4"/>
    <w:rsid w:val="00BF763E"/>
    <w:rsid w:val="00BF7728"/>
    <w:rsid w:val="00BF773F"/>
    <w:rsid w:val="00BF7774"/>
    <w:rsid w:val="00BF787C"/>
    <w:rsid w:val="00BF7BC1"/>
    <w:rsid w:val="00BF7CFF"/>
    <w:rsid w:val="00BF7DC5"/>
    <w:rsid w:val="00BF7E0A"/>
    <w:rsid w:val="00BF7F09"/>
    <w:rsid w:val="00BF7FB3"/>
    <w:rsid w:val="00C0005B"/>
    <w:rsid w:val="00C0014C"/>
    <w:rsid w:val="00C00281"/>
    <w:rsid w:val="00C002DE"/>
    <w:rsid w:val="00C002E9"/>
    <w:rsid w:val="00C0035D"/>
    <w:rsid w:val="00C00424"/>
    <w:rsid w:val="00C00482"/>
    <w:rsid w:val="00C00584"/>
    <w:rsid w:val="00C006FD"/>
    <w:rsid w:val="00C00757"/>
    <w:rsid w:val="00C0096B"/>
    <w:rsid w:val="00C009A4"/>
    <w:rsid w:val="00C009AB"/>
    <w:rsid w:val="00C00BB0"/>
    <w:rsid w:val="00C00C98"/>
    <w:rsid w:val="00C00FE7"/>
    <w:rsid w:val="00C01010"/>
    <w:rsid w:val="00C010B0"/>
    <w:rsid w:val="00C010B6"/>
    <w:rsid w:val="00C011F4"/>
    <w:rsid w:val="00C012F4"/>
    <w:rsid w:val="00C01348"/>
    <w:rsid w:val="00C014D5"/>
    <w:rsid w:val="00C015AF"/>
    <w:rsid w:val="00C01B21"/>
    <w:rsid w:val="00C01B49"/>
    <w:rsid w:val="00C01D51"/>
    <w:rsid w:val="00C01E35"/>
    <w:rsid w:val="00C01EDB"/>
    <w:rsid w:val="00C01F44"/>
    <w:rsid w:val="00C02038"/>
    <w:rsid w:val="00C021D2"/>
    <w:rsid w:val="00C02328"/>
    <w:rsid w:val="00C02674"/>
    <w:rsid w:val="00C0272A"/>
    <w:rsid w:val="00C0277F"/>
    <w:rsid w:val="00C027C4"/>
    <w:rsid w:val="00C02833"/>
    <w:rsid w:val="00C02908"/>
    <w:rsid w:val="00C029B0"/>
    <w:rsid w:val="00C02BD2"/>
    <w:rsid w:val="00C03048"/>
    <w:rsid w:val="00C03099"/>
    <w:rsid w:val="00C031A0"/>
    <w:rsid w:val="00C031F1"/>
    <w:rsid w:val="00C03314"/>
    <w:rsid w:val="00C035B5"/>
    <w:rsid w:val="00C0389A"/>
    <w:rsid w:val="00C03971"/>
    <w:rsid w:val="00C03A1A"/>
    <w:rsid w:val="00C03C57"/>
    <w:rsid w:val="00C03DEC"/>
    <w:rsid w:val="00C03ED1"/>
    <w:rsid w:val="00C03F39"/>
    <w:rsid w:val="00C03F77"/>
    <w:rsid w:val="00C03FFC"/>
    <w:rsid w:val="00C0412F"/>
    <w:rsid w:val="00C04186"/>
    <w:rsid w:val="00C04251"/>
    <w:rsid w:val="00C0430D"/>
    <w:rsid w:val="00C04358"/>
    <w:rsid w:val="00C049BC"/>
    <w:rsid w:val="00C05294"/>
    <w:rsid w:val="00C0531A"/>
    <w:rsid w:val="00C053FA"/>
    <w:rsid w:val="00C0554D"/>
    <w:rsid w:val="00C05599"/>
    <w:rsid w:val="00C05635"/>
    <w:rsid w:val="00C056AE"/>
    <w:rsid w:val="00C05776"/>
    <w:rsid w:val="00C05896"/>
    <w:rsid w:val="00C059FB"/>
    <w:rsid w:val="00C05BED"/>
    <w:rsid w:val="00C05C53"/>
    <w:rsid w:val="00C05D58"/>
    <w:rsid w:val="00C05FB3"/>
    <w:rsid w:val="00C0628F"/>
    <w:rsid w:val="00C0629A"/>
    <w:rsid w:val="00C062AB"/>
    <w:rsid w:val="00C062B6"/>
    <w:rsid w:val="00C063C7"/>
    <w:rsid w:val="00C064AA"/>
    <w:rsid w:val="00C064C2"/>
    <w:rsid w:val="00C06603"/>
    <w:rsid w:val="00C06701"/>
    <w:rsid w:val="00C0670A"/>
    <w:rsid w:val="00C068FB"/>
    <w:rsid w:val="00C06B2A"/>
    <w:rsid w:val="00C06B45"/>
    <w:rsid w:val="00C06C0C"/>
    <w:rsid w:val="00C06F68"/>
    <w:rsid w:val="00C07041"/>
    <w:rsid w:val="00C07444"/>
    <w:rsid w:val="00C074ED"/>
    <w:rsid w:val="00C0762B"/>
    <w:rsid w:val="00C07789"/>
    <w:rsid w:val="00C0778E"/>
    <w:rsid w:val="00C077A3"/>
    <w:rsid w:val="00C07842"/>
    <w:rsid w:val="00C07892"/>
    <w:rsid w:val="00C0791F"/>
    <w:rsid w:val="00C0795C"/>
    <w:rsid w:val="00C07B00"/>
    <w:rsid w:val="00C07CE3"/>
    <w:rsid w:val="00C07CF9"/>
    <w:rsid w:val="00C07E5A"/>
    <w:rsid w:val="00C10105"/>
    <w:rsid w:val="00C1010F"/>
    <w:rsid w:val="00C10125"/>
    <w:rsid w:val="00C101A2"/>
    <w:rsid w:val="00C1045B"/>
    <w:rsid w:val="00C10480"/>
    <w:rsid w:val="00C104D5"/>
    <w:rsid w:val="00C10515"/>
    <w:rsid w:val="00C1059F"/>
    <w:rsid w:val="00C10CB4"/>
    <w:rsid w:val="00C10DC2"/>
    <w:rsid w:val="00C10FF9"/>
    <w:rsid w:val="00C11003"/>
    <w:rsid w:val="00C113C5"/>
    <w:rsid w:val="00C1145F"/>
    <w:rsid w:val="00C1165A"/>
    <w:rsid w:val="00C11712"/>
    <w:rsid w:val="00C1179C"/>
    <w:rsid w:val="00C1179F"/>
    <w:rsid w:val="00C11850"/>
    <w:rsid w:val="00C11B3A"/>
    <w:rsid w:val="00C11C38"/>
    <w:rsid w:val="00C11EE3"/>
    <w:rsid w:val="00C120CF"/>
    <w:rsid w:val="00C1212E"/>
    <w:rsid w:val="00C121DC"/>
    <w:rsid w:val="00C12256"/>
    <w:rsid w:val="00C12290"/>
    <w:rsid w:val="00C12564"/>
    <w:rsid w:val="00C127B9"/>
    <w:rsid w:val="00C128FA"/>
    <w:rsid w:val="00C12911"/>
    <w:rsid w:val="00C129AD"/>
    <w:rsid w:val="00C12A39"/>
    <w:rsid w:val="00C12B42"/>
    <w:rsid w:val="00C12C14"/>
    <w:rsid w:val="00C12EAB"/>
    <w:rsid w:val="00C12F1B"/>
    <w:rsid w:val="00C13107"/>
    <w:rsid w:val="00C1310A"/>
    <w:rsid w:val="00C132B6"/>
    <w:rsid w:val="00C1337E"/>
    <w:rsid w:val="00C134A8"/>
    <w:rsid w:val="00C1375E"/>
    <w:rsid w:val="00C13809"/>
    <w:rsid w:val="00C13992"/>
    <w:rsid w:val="00C13A4B"/>
    <w:rsid w:val="00C13C66"/>
    <w:rsid w:val="00C13D09"/>
    <w:rsid w:val="00C13EAC"/>
    <w:rsid w:val="00C140AA"/>
    <w:rsid w:val="00C14266"/>
    <w:rsid w:val="00C14460"/>
    <w:rsid w:val="00C149EB"/>
    <w:rsid w:val="00C14E43"/>
    <w:rsid w:val="00C15129"/>
    <w:rsid w:val="00C15502"/>
    <w:rsid w:val="00C155ED"/>
    <w:rsid w:val="00C156DF"/>
    <w:rsid w:val="00C1575A"/>
    <w:rsid w:val="00C158B1"/>
    <w:rsid w:val="00C15ABA"/>
    <w:rsid w:val="00C15D10"/>
    <w:rsid w:val="00C15E93"/>
    <w:rsid w:val="00C15F04"/>
    <w:rsid w:val="00C15F53"/>
    <w:rsid w:val="00C1630F"/>
    <w:rsid w:val="00C1633E"/>
    <w:rsid w:val="00C16351"/>
    <w:rsid w:val="00C16391"/>
    <w:rsid w:val="00C1646F"/>
    <w:rsid w:val="00C166D2"/>
    <w:rsid w:val="00C16732"/>
    <w:rsid w:val="00C167DB"/>
    <w:rsid w:val="00C16C90"/>
    <w:rsid w:val="00C16CB0"/>
    <w:rsid w:val="00C16D52"/>
    <w:rsid w:val="00C16D5D"/>
    <w:rsid w:val="00C16F31"/>
    <w:rsid w:val="00C16F7C"/>
    <w:rsid w:val="00C1704C"/>
    <w:rsid w:val="00C1712D"/>
    <w:rsid w:val="00C1714E"/>
    <w:rsid w:val="00C17333"/>
    <w:rsid w:val="00C1738F"/>
    <w:rsid w:val="00C17555"/>
    <w:rsid w:val="00C17567"/>
    <w:rsid w:val="00C17609"/>
    <w:rsid w:val="00C17843"/>
    <w:rsid w:val="00C178A1"/>
    <w:rsid w:val="00C1795C"/>
    <w:rsid w:val="00C1796F"/>
    <w:rsid w:val="00C179B0"/>
    <w:rsid w:val="00C179B3"/>
    <w:rsid w:val="00C179E0"/>
    <w:rsid w:val="00C17CF5"/>
    <w:rsid w:val="00C17E3F"/>
    <w:rsid w:val="00C17E5B"/>
    <w:rsid w:val="00C17F48"/>
    <w:rsid w:val="00C20062"/>
    <w:rsid w:val="00C20093"/>
    <w:rsid w:val="00C200AA"/>
    <w:rsid w:val="00C20186"/>
    <w:rsid w:val="00C201A7"/>
    <w:rsid w:val="00C2028C"/>
    <w:rsid w:val="00C203B6"/>
    <w:rsid w:val="00C20447"/>
    <w:rsid w:val="00C20568"/>
    <w:rsid w:val="00C205F9"/>
    <w:rsid w:val="00C206E7"/>
    <w:rsid w:val="00C207D4"/>
    <w:rsid w:val="00C207FC"/>
    <w:rsid w:val="00C20909"/>
    <w:rsid w:val="00C20B43"/>
    <w:rsid w:val="00C20DDA"/>
    <w:rsid w:val="00C20E36"/>
    <w:rsid w:val="00C21188"/>
    <w:rsid w:val="00C211E6"/>
    <w:rsid w:val="00C21273"/>
    <w:rsid w:val="00C2130C"/>
    <w:rsid w:val="00C21658"/>
    <w:rsid w:val="00C21796"/>
    <w:rsid w:val="00C218FD"/>
    <w:rsid w:val="00C21A69"/>
    <w:rsid w:val="00C21B67"/>
    <w:rsid w:val="00C21D12"/>
    <w:rsid w:val="00C21D40"/>
    <w:rsid w:val="00C221EE"/>
    <w:rsid w:val="00C22221"/>
    <w:rsid w:val="00C22236"/>
    <w:rsid w:val="00C22812"/>
    <w:rsid w:val="00C22A6C"/>
    <w:rsid w:val="00C22AF5"/>
    <w:rsid w:val="00C22B41"/>
    <w:rsid w:val="00C22DEC"/>
    <w:rsid w:val="00C22E43"/>
    <w:rsid w:val="00C22EF8"/>
    <w:rsid w:val="00C230DA"/>
    <w:rsid w:val="00C230E4"/>
    <w:rsid w:val="00C231B3"/>
    <w:rsid w:val="00C232C2"/>
    <w:rsid w:val="00C232EB"/>
    <w:rsid w:val="00C23410"/>
    <w:rsid w:val="00C234E1"/>
    <w:rsid w:val="00C2368E"/>
    <w:rsid w:val="00C237ED"/>
    <w:rsid w:val="00C23AD2"/>
    <w:rsid w:val="00C23D07"/>
    <w:rsid w:val="00C23D1E"/>
    <w:rsid w:val="00C23E32"/>
    <w:rsid w:val="00C23EFC"/>
    <w:rsid w:val="00C24078"/>
    <w:rsid w:val="00C2408D"/>
    <w:rsid w:val="00C240C7"/>
    <w:rsid w:val="00C24262"/>
    <w:rsid w:val="00C24340"/>
    <w:rsid w:val="00C24431"/>
    <w:rsid w:val="00C2451B"/>
    <w:rsid w:val="00C24632"/>
    <w:rsid w:val="00C2479D"/>
    <w:rsid w:val="00C24A50"/>
    <w:rsid w:val="00C24B32"/>
    <w:rsid w:val="00C24D7D"/>
    <w:rsid w:val="00C24DD8"/>
    <w:rsid w:val="00C24E26"/>
    <w:rsid w:val="00C24F68"/>
    <w:rsid w:val="00C2503F"/>
    <w:rsid w:val="00C2508E"/>
    <w:rsid w:val="00C2513F"/>
    <w:rsid w:val="00C252D7"/>
    <w:rsid w:val="00C25343"/>
    <w:rsid w:val="00C25418"/>
    <w:rsid w:val="00C258A7"/>
    <w:rsid w:val="00C25C5A"/>
    <w:rsid w:val="00C25C71"/>
    <w:rsid w:val="00C25D9C"/>
    <w:rsid w:val="00C25E21"/>
    <w:rsid w:val="00C25EDA"/>
    <w:rsid w:val="00C25F0A"/>
    <w:rsid w:val="00C25F17"/>
    <w:rsid w:val="00C260C9"/>
    <w:rsid w:val="00C261FD"/>
    <w:rsid w:val="00C26245"/>
    <w:rsid w:val="00C26754"/>
    <w:rsid w:val="00C26928"/>
    <w:rsid w:val="00C26B9D"/>
    <w:rsid w:val="00C26BCB"/>
    <w:rsid w:val="00C27041"/>
    <w:rsid w:val="00C27214"/>
    <w:rsid w:val="00C27368"/>
    <w:rsid w:val="00C274D7"/>
    <w:rsid w:val="00C2756A"/>
    <w:rsid w:val="00C2778B"/>
    <w:rsid w:val="00C27AAF"/>
    <w:rsid w:val="00C27AC2"/>
    <w:rsid w:val="00C27AFB"/>
    <w:rsid w:val="00C27B0A"/>
    <w:rsid w:val="00C27B13"/>
    <w:rsid w:val="00C27C5D"/>
    <w:rsid w:val="00C27C87"/>
    <w:rsid w:val="00C27D4F"/>
    <w:rsid w:val="00C27E18"/>
    <w:rsid w:val="00C27ECA"/>
    <w:rsid w:val="00C27F99"/>
    <w:rsid w:val="00C30083"/>
    <w:rsid w:val="00C30238"/>
    <w:rsid w:val="00C30242"/>
    <w:rsid w:val="00C30406"/>
    <w:rsid w:val="00C304F7"/>
    <w:rsid w:val="00C3056E"/>
    <w:rsid w:val="00C30679"/>
    <w:rsid w:val="00C309E7"/>
    <w:rsid w:val="00C30A35"/>
    <w:rsid w:val="00C30A78"/>
    <w:rsid w:val="00C30A8F"/>
    <w:rsid w:val="00C30B94"/>
    <w:rsid w:val="00C30C34"/>
    <w:rsid w:val="00C30F09"/>
    <w:rsid w:val="00C30F46"/>
    <w:rsid w:val="00C30F53"/>
    <w:rsid w:val="00C31599"/>
    <w:rsid w:val="00C31649"/>
    <w:rsid w:val="00C31AC2"/>
    <w:rsid w:val="00C31B33"/>
    <w:rsid w:val="00C31B6B"/>
    <w:rsid w:val="00C31D07"/>
    <w:rsid w:val="00C31D3B"/>
    <w:rsid w:val="00C31D45"/>
    <w:rsid w:val="00C31DB9"/>
    <w:rsid w:val="00C31E5E"/>
    <w:rsid w:val="00C32031"/>
    <w:rsid w:val="00C3216B"/>
    <w:rsid w:val="00C3218E"/>
    <w:rsid w:val="00C322FA"/>
    <w:rsid w:val="00C32664"/>
    <w:rsid w:val="00C32686"/>
    <w:rsid w:val="00C32A41"/>
    <w:rsid w:val="00C32BD4"/>
    <w:rsid w:val="00C32DC1"/>
    <w:rsid w:val="00C32F9C"/>
    <w:rsid w:val="00C3306C"/>
    <w:rsid w:val="00C330A6"/>
    <w:rsid w:val="00C331C6"/>
    <w:rsid w:val="00C33290"/>
    <w:rsid w:val="00C33471"/>
    <w:rsid w:val="00C334AB"/>
    <w:rsid w:val="00C334FD"/>
    <w:rsid w:val="00C33509"/>
    <w:rsid w:val="00C3364E"/>
    <w:rsid w:val="00C3390C"/>
    <w:rsid w:val="00C33960"/>
    <w:rsid w:val="00C33A6F"/>
    <w:rsid w:val="00C33AA6"/>
    <w:rsid w:val="00C33BAB"/>
    <w:rsid w:val="00C33C89"/>
    <w:rsid w:val="00C33CC4"/>
    <w:rsid w:val="00C33DB6"/>
    <w:rsid w:val="00C33E82"/>
    <w:rsid w:val="00C33F2A"/>
    <w:rsid w:val="00C34111"/>
    <w:rsid w:val="00C34269"/>
    <w:rsid w:val="00C3434C"/>
    <w:rsid w:val="00C34456"/>
    <w:rsid w:val="00C344CD"/>
    <w:rsid w:val="00C34767"/>
    <w:rsid w:val="00C34784"/>
    <w:rsid w:val="00C348C2"/>
    <w:rsid w:val="00C348C5"/>
    <w:rsid w:val="00C3499F"/>
    <w:rsid w:val="00C349CD"/>
    <w:rsid w:val="00C34AA4"/>
    <w:rsid w:val="00C34ADF"/>
    <w:rsid w:val="00C34C68"/>
    <w:rsid w:val="00C34DD1"/>
    <w:rsid w:val="00C34F83"/>
    <w:rsid w:val="00C3507A"/>
    <w:rsid w:val="00C35134"/>
    <w:rsid w:val="00C351ED"/>
    <w:rsid w:val="00C35284"/>
    <w:rsid w:val="00C353DA"/>
    <w:rsid w:val="00C354A5"/>
    <w:rsid w:val="00C3550C"/>
    <w:rsid w:val="00C356C4"/>
    <w:rsid w:val="00C35865"/>
    <w:rsid w:val="00C35A46"/>
    <w:rsid w:val="00C35B58"/>
    <w:rsid w:val="00C35C49"/>
    <w:rsid w:val="00C35D78"/>
    <w:rsid w:val="00C35EC3"/>
    <w:rsid w:val="00C35EF1"/>
    <w:rsid w:val="00C35F0C"/>
    <w:rsid w:val="00C36394"/>
    <w:rsid w:val="00C363E3"/>
    <w:rsid w:val="00C36468"/>
    <w:rsid w:val="00C36480"/>
    <w:rsid w:val="00C364E8"/>
    <w:rsid w:val="00C3662D"/>
    <w:rsid w:val="00C3666F"/>
    <w:rsid w:val="00C36781"/>
    <w:rsid w:val="00C36A66"/>
    <w:rsid w:val="00C36A75"/>
    <w:rsid w:val="00C36ACA"/>
    <w:rsid w:val="00C36ADE"/>
    <w:rsid w:val="00C36AE1"/>
    <w:rsid w:val="00C36B01"/>
    <w:rsid w:val="00C36C7D"/>
    <w:rsid w:val="00C36CE1"/>
    <w:rsid w:val="00C36D5D"/>
    <w:rsid w:val="00C36DE2"/>
    <w:rsid w:val="00C36DEC"/>
    <w:rsid w:val="00C36E47"/>
    <w:rsid w:val="00C36F04"/>
    <w:rsid w:val="00C3770F"/>
    <w:rsid w:val="00C377C0"/>
    <w:rsid w:val="00C3791F"/>
    <w:rsid w:val="00C37A6A"/>
    <w:rsid w:val="00C37BBF"/>
    <w:rsid w:val="00C37BFC"/>
    <w:rsid w:val="00C40385"/>
    <w:rsid w:val="00C4040D"/>
    <w:rsid w:val="00C40A46"/>
    <w:rsid w:val="00C40B51"/>
    <w:rsid w:val="00C40B52"/>
    <w:rsid w:val="00C40E50"/>
    <w:rsid w:val="00C41091"/>
    <w:rsid w:val="00C41249"/>
    <w:rsid w:val="00C413BE"/>
    <w:rsid w:val="00C414D4"/>
    <w:rsid w:val="00C4156D"/>
    <w:rsid w:val="00C41621"/>
    <w:rsid w:val="00C41648"/>
    <w:rsid w:val="00C41768"/>
    <w:rsid w:val="00C417B1"/>
    <w:rsid w:val="00C4184A"/>
    <w:rsid w:val="00C4184D"/>
    <w:rsid w:val="00C418C5"/>
    <w:rsid w:val="00C419D3"/>
    <w:rsid w:val="00C41A9F"/>
    <w:rsid w:val="00C41AA1"/>
    <w:rsid w:val="00C41AEF"/>
    <w:rsid w:val="00C41AF8"/>
    <w:rsid w:val="00C41B38"/>
    <w:rsid w:val="00C41C43"/>
    <w:rsid w:val="00C41D1C"/>
    <w:rsid w:val="00C41E14"/>
    <w:rsid w:val="00C41EAA"/>
    <w:rsid w:val="00C41EC5"/>
    <w:rsid w:val="00C42535"/>
    <w:rsid w:val="00C42693"/>
    <w:rsid w:val="00C42B30"/>
    <w:rsid w:val="00C42CB8"/>
    <w:rsid w:val="00C42D53"/>
    <w:rsid w:val="00C42E00"/>
    <w:rsid w:val="00C42F9C"/>
    <w:rsid w:val="00C42FE7"/>
    <w:rsid w:val="00C4307B"/>
    <w:rsid w:val="00C43096"/>
    <w:rsid w:val="00C4385B"/>
    <w:rsid w:val="00C439F3"/>
    <w:rsid w:val="00C43BD2"/>
    <w:rsid w:val="00C43C89"/>
    <w:rsid w:val="00C43EFF"/>
    <w:rsid w:val="00C43F99"/>
    <w:rsid w:val="00C43FF0"/>
    <w:rsid w:val="00C44297"/>
    <w:rsid w:val="00C44A06"/>
    <w:rsid w:val="00C44BAC"/>
    <w:rsid w:val="00C44C12"/>
    <w:rsid w:val="00C44D3B"/>
    <w:rsid w:val="00C44E5D"/>
    <w:rsid w:val="00C44E66"/>
    <w:rsid w:val="00C44EAE"/>
    <w:rsid w:val="00C44F78"/>
    <w:rsid w:val="00C44FD2"/>
    <w:rsid w:val="00C45013"/>
    <w:rsid w:val="00C450FF"/>
    <w:rsid w:val="00C4514B"/>
    <w:rsid w:val="00C451A1"/>
    <w:rsid w:val="00C45201"/>
    <w:rsid w:val="00C4535B"/>
    <w:rsid w:val="00C45590"/>
    <w:rsid w:val="00C455BE"/>
    <w:rsid w:val="00C45CC1"/>
    <w:rsid w:val="00C45D0F"/>
    <w:rsid w:val="00C45F01"/>
    <w:rsid w:val="00C45F16"/>
    <w:rsid w:val="00C460D2"/>
    <w:rsid w:val="00C4621E"/>
    <w:rsid w:val="00C465C1"/>
    <w:rsid w:val="00C4661A"/>
    <w:rsid w:val="00C467A5"/>
    <w:rsid w:val="00C46880"/>
    <w:rsid w:val="00C46AAA"/>
    <w:rsid w:val="00C46B19"/>
    <w:rsid w:val="00C46DC8"/>
    <w:rsid w:val="00C47077"/>
    <w:rsid w:val="00C471E8"/>
    <w:rsid w:val="00C47511"/>
    <w:rsid w:val="00C47594"/>
    <w:rsid w:val="00C475AA"/>
    <w:rsid w:val="00C47817"/>
    <w:rsid w:val="00C47A44"/>
    <w:rsid w:val="00C47D18"/>
    <w:rsid w:val="00C47D49"/>
    <w:rsid w:val="00C47DA4"/>
    <w:rsid w:val="00C47F11"/>
    <w:rsid w:val="00C50091"/>
    <w:rsid w:val="00C500C5"/>
    <w:rsid w:val="00C50295"/>
    <w:rsid w:val="00C5036D"/>
    <w:rsid w:val="00C5044D"/>
    <w:rsid w:val="00C50754"/>
    <w:rsid w:val="00C50860"/>
    <w:rsid w:val="00C5090F"/>
    <w:rsid w:val="00C50AAC"/>
    <w:rsid w:val="00C50E0F"/>
    <w:rsid w:val="00C51002"/>
    <w:rsid w:val="00C5113E"/>
    <w:rsid w:val="00C511E5"/>
    <w:rsid w:val="00C511F6"/>
    <w:rsid w:val="00C51321"/>
    <w:rsid w:val="00C51344"/>
    <w:rsid w:val="00C514F2"/>
    <w:rsid w:val="00C515FE"/>
    <w:rsid w:val="00C5168D"/>
    <w:rsid w:val="00C518AA"/>
    <w:rsid w:val="00C518B8"/>
    <w:rsid w:val="00C5190F"/>
    <w:rsid w:val="00C51A46"/>
    <w:rsid w:val="00C51AEF"/>
    <w:rsid w:val="00C51B17"/>
    <w:rsid w:val="00C51C84"/>
    <w:rsid w:val="00C51EF9"/>
    <w:rsid w:val="00C51FA8"/>
    <w:rsid w:val="00C51FAB"/>
    <w:rsid w:val="00C5219E"/>
    <w:rsid w:val="00C52263"/>
    <w:rsid w:val="00C52357"/>
    <w:rsid w:val="00C5245F"/>
    <w:rsid w:val="00C5279A"/>
    <w:rsid w:val="00C527C7"/>
    <w:rsid w:val="00C52A45"/>
    <w:rsid w:val="00C52B62"/>
    <w:rsid w:val="00C52BA7"/>
    <w:rsid w:val="00C52BFE"/>
    <w:rsid w:val="00C52C52"/>
    <w:rsid w:val="00C52DC4"/>
    <w:rsid w:val="00C52E30"/>
    <w:rsid w:val="00C52EB6"/>
    <w:rsid w:val="00C52EED"/>
    <w:rsid w:val="00C52F01"/>
    <w:rsid w:val="00C530EA"/>
    <w:rsid w:val="00C533D3"/>
    <w:rsid w:val="00C53428"/>
    <w:rsid w:val="00C53560"/>
    <w:rsid w:val="00C535B2"/>
    <w:rsid w:val="00C53676"/>
    <w:rsid w:val="00C53723"/>
    <w:rsid w:val="00C53800"/>
    <w:rsid w:val="00C5384C"/>
    <w:rsid w:val="00C53A88"/>
    <w:rsid w:val="00C53B78"/>
    <w:rsid w:val="00C53B96"/>
    <w:rsid w:val="00C53C98"/>
    <w:rsid w:val="00C53CBB"/>
    <w:rsid w:val="00C53E23"/>
    <w:rsid w:val="00C53E64"/>
    <w:rsid w:val="00C53EF1"/>
    <w:rsid w:val="00C53F6A"/>
    <w:rsid w:val="00C54279"/>
    <w:rsid w:val="00C5448A"/>
    <w:rsid w:val="00C5448F"/>
    <w:rsid w:val="00C546F6"/>
    <w:rsid w:val="00C547F4"/>
    <w:rsid w:val="00C5485C"/>
    <w:rsid w:val="00C54B6A"/>
    <w:rsid w:val="00C54C52"/>
    <w:rsid w:val="00C54D4C"/>
    <w:rsid w:val="00C54D74"/>
    <w:rsid w:val="00C54EC1"/>
    <w:rsid w:val="00C54EE0"/>
    <w:rsid w:val="00C54F32"/>
    <w:rsid w:val="00C54F8B"/>
    <w:rsid w:val="00C550B2"/>
    <w:rsid w:val="00C55184"/>
    <w:rsid w:val="00C555AF"/>
    <w:rsid w:val="00C55632"/>
    <w:rsid w:val="00C55733"/>
    <w:rsid w:val="00C5592E"/>
    <w:rsid w:val="00C55978"/>
    <w:rsid w:val="00C55B6C"/>
    <w:rsid w:val="00C55BC2"/>
    <w:rsid w:val="00C55E35"/>
    <w:rsid w:val="00C55E43"/>
    <w:rsid w:val="00C55E9D"/>
    <w:rsid w:val="00C55EF6"/>
    <w:rsid w:val="00C5608D"/>
    <w:rsid w:val="00C560B7"/>
    <w:rsid w:val="00C560EF"/>
    <w:rsid w:val="00C5624E"/>
    <w:rsid w:val="00C562FC"/>
    <w:rsid w:val="00C563B1"/>
    <w:rsid w:val="00C564C8"/>
    <w:rsid w:val="00C56ABC"/>
    <w:rsid w:val="00C56B6B"/>
    <w:rsid w:val="00C56BA2"/>
    <w:rsid w:val="00C56F99"/>
    <w:rsid w:val="00C56FCF"/>
    <w:rsid w:val="00C57166"/>
    <w:rsid w:val="00C572F6"/>
    <w:rsid w:val="00C573AF"/>
    <w:rsid w:val="00C573F1"/>
    <w:rsid w:val="00C57540"/>
    <w:rsid w:val="00C57645"/>
    <w:rsid w:val="00C57B6C"/>
    <w:rsid w:val="00C57B7C"/>
    <w:rsid w:val="00C57FD0"/>
    <w:rsid w:val="00C60006"/>
    <w:rsid w:val="00C60138"/>
    <w:rsid w:val="00C60191"/>
    <w:rsid w:val="00C6023C"/>
    <w:rsid w:val="00C602DD"/>
    <w:rsid w:val="00C604FE"/>
    <w:rsid w:val="00C60507"/>
    <w:rsid w:val="00C605F9"/>
    <w:rsid w:val="00C60704"/>
    <w:rsid w:val="00C6070E"/>
    <w:rsid w:val="00C6074A"/>
    <w:rsid w:val="00C60A46"/>
    <w:rsid w:val="00C60A50"/>
    <w:rsid w:val="00C60A5F"/>
    <w:rsid w:val="00C60CD3"/>
    <w:rsid w:val="00C60EA2"/>
    <w:rsid w:val="00C6109C"/>
    <w:rsid w:val="00C6137F"/>
    <w:rsid w:val="00C6143F"/>
    <w:rsid w:val="00C614AE"/>
    <w:rsid w:val="00C61501"/>
    <w:rsid w:val="00C61827"/>
    <w:rsid w:val="00C61879"/>
    <w:rsid w:val="00C6189D"/>
    <w:rsid w:val="00C61913"/>
    <w:rsid w:val="00C61A59"/>
    <w:rsid w:val="00C61C57"/>
    <w:rsid w:val="00C61C5A"/>
    <w:rsid w:val="00C61E12"/>
    <w:rsid w:val="00C61F14"/>
    <w:rsid w:val="00C620FF"/>
    <w:rsid w:val="00C62258"/>
    <w:rsid w:val="00C623F1"/>
    <w:rsid w:val="00C62453"/>
    <w:rsid w:val="00C627A9"/>
    <w:rsid w:val="00C6289C"/>
    <w:rsid w:val="00C628A6"/>
    <w:rsid w:val="00C6295C"/>
    <w:rsid w:val="00C629A2"/>
    <w:rsid w:val="00C62ABF"/>
    <w:rsid w:val="00C62AE9"/>
    <w:rsid w:val="00C62B09"/>
    <w:rsid w:val="00C62B32"/>
    <w:rsid w:val="00C62B35"/>
    <w:rsid w:val="00C62BC5"/>
    <w:rsid w:val="00C62C40"/>
    <w:rsid w:val="00C6301F"/>
    <w:rsid w:val="00C630A8"/>
    <w:rsid w:val="00C631AD"/>
    <w:rsid w:val="00C631BD"/>
    <w:rsid w:val="00C63360"/>
    <w:rsid w:val="00C63412"/>
    <w:rsid w:val="00C63451"/>
    <w:rsid w:val="00C634D8"/>
    <w:rsid w:val="00C63870"/>
    <w:rsid w:val="00C63944"/>
    <w:rsid w:val="00C63AAD"/>
    <w:rsid w:val="00C63AC3"/>
    <w:rsid w:val="00C63B54"/>
    <w:rsid w:val="00C63B8E"/>
    <w:rsid w:val="00C63B9C"/>
    <w:rsid w:val="00C63C20"/>
    <w:rsid w:val="00C63F42"/>
    <w:rsid w:val="00C63FC6"/>
    <w:rsid w:val="00C63FF2"/>
    <w:rsid w:val="00C6407C"/>
    <w:rsid w:val="00C64142"/>
    <w:rsid w:val="00C64191"/>
    <w:rsid w:val="00C64267"/>
    <w:rsid w:val="00C64344"/>
    <w:rsid w:val="00C6436A"/>
    <w:rsid w:val="00C643FA"/>
    <w:rsid w:val="00C64459"/>
    <w:rsid w:val="00C6455D"/>
    <w:rsid w:val="00C64725"/>
    <w:rsid w:val="00C647C9"/>
    <w:rsid w:val="00C6482D"/>
    <w:rsid w:val="00C64C21"/>
    <w:rsid w:val="00C64DD4"/>
    <w:rsid w:val="00C64E18"/>
    <w:rsid w:val="00C65108"/>
    <w:rsid w:val="00C65183"/>
    <w:rsid w:val="00C652EF"/>
    <w:rsid w:val="00C653A3"/>
    <w:rsid w:val="00C654A8"/>
    <w:rsid w:val="00C65576"/>
    <w:rsid w:val="00C6557A"/>
    <w:rsid w:val="00C655AA"/>
    <w:rsid w:val="00C65612"/>
    <w:rsid w:val="00C65676"/>
    <w:rsid w:val="00C657FE"/>
    <w:rsid w:val="00C65C56"/>
    <w:rsid w:val="00C65D48"/>
    <w:rsid w:val="00C65F43"/>
    <w:rsid w:val="00C65FAB"/>
    <w:rsid w:val="00C66009"/>
    <w:rsid w:val="00C66165"/>
    <w:rsid w:val="00C661E1"/>
    <w:rsid w:val="00C66206"/>
    <w:rsid w:val="00C66210"/>
    <w:rsid w:val="00C6646F"/>
    <w:rsid w:val="00C6649F"/>
    <w:rsid w:val="00C665D3"/>
    <w:rsid w:val="00C666E1"/>
    <w:rsid w:val="00C669A5"/>
    <w:rsid w:val="00C669E4"/>
    <w:rsid w:val="00C66AE9"/>
    <w:rsid w:val="00C66B69"/>
    <w:rsid w:val="00C66C1D"/>
    <w:rsid w:val="00C66E70"/>
    <w:rsid w:val="00C6711E"/>
    <w:rsid w:val="00C6727B"/>
    <w:rsid w:val="00C672E4"/>
    <w:rsid w:val="00C6737A"/>
    <w:rsid w:val="00C6738A"/>
    <w:rsid w:val="00C6772C"/>
    <w:rsid w:val="00C6778E"/>
    <w:rsid w:val="00C67D68"/>
    <w:rsid w:val="00C67E30"/>
    <w:rsid w:val="00C67E66"/>
    <w:rsid w:val="00C67FEB"/>
    <w:rsid w:val="00C70035"/>
    <w:rsid w:val="00C70167"/>
    <w:rsid w:val="00C70196"/>
    <w:rsid w:val="00C701F5"/>
    <w:rsid w:val="00C70279"/>
    <w:rsid w:val="00C702CA"/>
    <w:rsid w:val="00C704DE"/>
    <w:rsid w:val="00C70506"/>
    <w:rsid w:val="00C7060A"/>
    <w:rsid w:val="00C7069D"/>
    <w:rsid w:val="00C708E6"/>
    <w:rsid w:val="00C70A8E"/>
    <w:rsid w:val="00C70BE1"/>
    <w:rsid w:val="00C70D21"/>
    <w:rsid w:val="00C70D41"/>
    <w:rsid w:val="00C70DF6"/>
    <w:rsid w:val="00C70E89"/>
    <w:rsid w:val="00C7111E"/>
    <w:rsid w:val="00C71127"/>
    <w:rsid w:val="00C7112D"/>
    <w:rsid w:val="00C7122F"/>
    <w:rsid w:val="00C71253"/>
    <w:rsid w:val="00C71285"/>
    <w:rsid w:val="00C712CC"/>
    <w:rsid w:val="00C714A4"/>
    <w:rsid w:val="00C7151A"/>
    <w:rsid w:val="00C71797"/>
    <w:rsid w:val="00C717B0"/>
    <w:rsid w:val="00C717E3"/>
    <w:rsid w:val="00C718DE"/>
    <w:rsid w:val="00C718F3"/>
    <w:rsid w:val="00C71959"/>
    <w:rsid w:val="00C719EB"/>
    <w:rsid w:val="00C71A64"/>
    <w:rsid w:val="00C71B57"/>
    <w:rsid w:val="00C71D31"/>
    <w:rsid w:val="00C71E77"/>
    <w:rsid w:val="00C71F60"/>
    <w:rsid w:val="00C71FA9"/>
    <w:rsid w:val="00C72030"/>
    <w:rsid w:val="00C72241"/>
    <w:rsid w:val="00C722DA"/>
    <w:rsid w:val="00C723DF"/>
    <w:rsid w:val="00C724F7"/>
    <w:rsid w:val="00C7268B"/>
    <w:rsid w:val="00C72A46"/>
    <w:rsid w:val="00C72D56"/>
    <w:rsid w:val="00C72FBB"/>
    <w:rsid w:val="00C7337B"/>
    <w:rsid w:val="00C733CA"/>
    <w:rsid w:val="00C738EC"/>
    <w:rsid w:val="00C739AE"/>
    <w:rsid w:val="00C73B65"/>
    <w:rsid w:val="00C73D9E"/>
    <w:rsid w:val="00C73ED2"/>
    <w:rsid w:val="00C73F12"/>
    <w:rsid w:val="00C73F2F"/>
    <w:rsid w:val="00C73F8B"/>
    <w:rsid w:val="00C7408E"/>
    <w:rsid w:val="00C741BA"/>
    <w:rsid w:val="00C745CA"/>
    <w:rsid w:val="00C749CE"/>
    <w:rsid w:val="00C74B08"/>
    <w:rsid w:val="00C74BF9"/>
    <w:rsid w:val="00C74C0B"/>
    <w:rsid w:val="00C74D00"/>
    <w:rsid w:val="00C74D8D"/>
    <w:rsid w:val="00C74E26"/>
    <w:rsid w:val="00C74EEB"/>
    <w:rsid w:val="00C74F6B"/>
    <w:rsid w:val="00C75044"/>
    <w:rsid w:val="00C750C8"/>
    <w:rsid w:val="00C75152"/>
    <w:rsid w:val="00C75206"/>
    <w:rsid w:val="00C75363"/>
    <w:rsid w:val="00C753EA"/>
    <w:rsid w:val="00C7560F"/>
    <w:rsid w:val="00C75795"/>
    <w:rsid w:val="00C7582F"/>
    <w:rsid w:val="00C75844"/>
    <w:rsid w:val="00C758A0"/>
    <w:rsid w:val="00C758B2"/>
    <w:rsid w:val="00C758C8"/>
    <w:rsid w:val="00C7592D"/>
    <w:rsid w:val="00C75965"/>
    <w:rsid w:val="00C75AA4"/>
    <w:rsid w:val="00C75BD6"/>
    <w:rsid w:val="00C75CBF"/>
    <w:rsid w:val="00C75CDF"/>
    <w:rsid w:val="00C7606F"/>
    <w:rsid w:val="00C760C7"/>
    <w:rsid w:val="00C76214"/>
    <w:rsid w:val="00C7635E"/>
    <w:rsid w:val="00C7697F"/>
    <w:rsid w:val="00C76BF5"/>
    <w:rsid w:val="00C76D8F"/>
    <w:rsid w:val="00C76DFB"/>
    <w:rsid w:val="00C76F87"/>
    <w:rsid w:val="00C76FE2"/>
    <w:rsid w:val="00C76FFD"/>
    <w:rsid w:val="00C77077"/>
    <w:rsid w:val="00C770B2"/>
    <w:rsid w:val="00C7724E"/>
    <w:rsid w:val="00C7729A"/>
    <w:rsid w:val="00C773D9"/>
    <w:rsid w:val="00C77562"/>
    <w:rsid w:val="00C7762A"/>
    <w:rsid w:val="00C776FD"/>
    <w:rsid w:val="00C77912"/>
    <w:rsid w:val="00C77ACD"/>
    <w:rsid w:val="00C77D10"/>
    <w:rsid w:val="00C77E3A"/>
    <w:rsid w:val="00C77E4A"/>
    <w:rsid w:val="00C77ECC"/>
    <w:rsid w:val="00C80043"/>
    <w:rsid w:val="00C80083"/>
    <w:rsid w:val="00C800EB"/>
    <w:rsid w:val="00C8027D"/>
    <w:rsid w:val="00C804B6"/>
    <w:rsid w:val="00C80A0E"/>
    <w:rsid w:val="00C8106D"/>
    <w:rsid w:val="00C8111C"/>
    <w:rsid w:val="00C81220"/>
    <w:rsid w:val="00C81268"/>
    <w:rsid w:val="00C81455"/>
    <w:rsid w:val="00C81570"/>
    <w:rsid w:val="00C815B2"/>
    <w:rsid w:val="00C8161F"/>
    <w:rsid w:val="00C81A2F"/>
    <w:rsid w:val="00C81AEF"/>
    <w:rsid w:val="00C81B7E"/>
    <w:rsid w:val="00C81BC5"/>
    <w:rsid w:val="00C81BC7"/>
    <w:rsid w:val="00C81CAB"/>
    <w:rsid w:val="00C81E63"/>
    <w:rsid w:val="00C82084"/>
    <w:rsid w:val="00C8211A"/>
    <w:rsid w:val="00C8213F"/>
    <w:rsid w:val="00C82300"/>
    <w:rsid w:val="00C828A0"/>
    <w:rsid w:val="00C829C7"/>
    <w:rsid w:val="00C82BD1"/>
    <w:rsid w:val="00C82C1F"/>
    <w:rsid w:val="00C82C8A"/>
    <w:rsid w:val="00C82D4E"/>
    <w:rsid w:val="00C82E19"/>
    <w:rsid w:val="00C82E75"/>
    <w:rsid w:val="00C82EB3"/>
    <w:rsid w:val="00C82F45"/>
    <w:rsid w:val="00C82F81"/>
    <w:rsid w:val="00C8303F"/>
    <w:rsid w:val="00C83083"/>
    <w:rsid w:val="00C8309E"/>
    <w:rsid w:val="00C8311E"/>
    <w:rsid w:val="00C831C7"/>
    <w:rsid w:val="00C8323F"/>
    <w:rsid w:val="00C832E3"/>
    <w:rsid w:val="00C832E7"/>
    <w:rsid w:val="00C833FC"/>
    <w:rsid w:val="00C83498"/>
    <w:rsid w:val="00C8369F"/>
    <w:rsid w:val="00C838B7"/>
    <w:rsid w:val="00C83E41"/>
    <w:rsid w:val="00C84039"/>
    <w:rsid w:val="00C841A8"/>
    <w:rsid w:val="00C84338"/>
    <w:rsid w:val="00C844F6"/>
    <w:rsid w:val="00C8452F"/>
    <w:rsid w:val="00C84547"/>
    <w:rsid w:val="00C848B2"/>
    <w:rsid w:val="00C8494B"/>
    <w:rsid w:val="00C849CF"/>
    <w:rsid w:val="00C84D2E"/>
    <w:rsid w:val="00C84EAE"/>
    <w:rsid w:val="00C84F3B"/>
    <w:rsid w:val="00C85154"/>
    <w:rsid w:val="00C852AD"/>
    <w:rsid w:val="00C85699"/>
    <w:rsid w:val="00C85838"/>
    <w:rsid w:val="00C858EF"/>
    <w:rsid w:val="00C85973"/>
    <w:rsid w:val="00C85A70"/>
    <w:rsid w:val="00C85C8D"/>
    <w:rsid w:val="00C85CE6"/>
    <w:rsid w:val="00C85D9E"/>
    <w:rsid w:val="00C85E21"/>
    <w:rsid w:val="00C85E8F"/>
    <w:rsid w:val="00C85F15"/>
    <w:rsid w:val="00C85F39"/>
    <w:rsid w:val="00C86165"/>
    <w:rsid w:val="00C8621D"/>
    <w:rsid w:val="00C8634C"/>
    <w:rsid w:val="00C86834"/>
    <w:rsid w:val="00C868B1"/>
    <w:rsid w:val="00C869DF"/>
    <w:rsid w:val="00C86C4B"/>
    <w:rsid w:val="00C86C54"/>
    <w:rsid w:val="00C86DD0"/>
    <w:rsid w:val="00C86E07"/>
    <w:rsid w:val="00C86E11"/>
    <w:rsid w:val="00C8706F"/>
    <w:rsid w:val="00C8714C"/>
    <w:rsid w:val="00C87266"/>
    <w:rsid w:val="00C872BA"/>
    <w:rsid w:val="00C873F1"/>
    <w:rsid w:val="00C87632"/>
    <w:rsid w:val="00C87747"/>
    <w:rsid w:val="00C87840"/>
    <w:rsid w:val="00C87856"/>
    <w:rsid w:val="00C8797A"/>
    <w:rsid w:val="00C87ABF"/>
    <w:rsid w:val="00C87BDE"/>
    <w:rsid w:val="00C87C18"/>
    <w:rsid w:val="00C87D9F"/>
    <w:rsid w:val="00C87E91"/>
    <w:rsid w:val="00C87FEB"/>
    <w:rsid w:val="00C90072"/>
    <w:rsid w:val="00C900B8"/>
    <w:rsid w:val="00C90197"/>
    <w:rsid w:val="00C9020E"/>
    <w:rsid w:val="00C9030A"/>
    <w:rsid w:val="00C9037A"/>
    <w:rsid w:val="00C904A5"/>
    <w:rsid w:val="00C90B8C"/>
    <w:rsid w:val="00C90BFF"/>
    <w:rsid w:val="00C90C71"/>
    <w:rsid w:val="00C90D8C"/>
    <w:rsid w:val="00C90E8F"/>
    <w:rsid w:val="00C90F72"/>
    <w:rsid w:val="00C9116B"/>
    <w:rsid w:val="00C91234"/>
    <w:rsid w:val="00C912DE"/>
    <w:rsid w:val="00C91420"/>
    <w:rsid w:val="00C91481"/>
    <w:rsid w:val="00C91515"/>
    <w:rsid w:val="00C91706"/>
    <w:rsid w:val="00C91763"/>
    <w:rsid w:val="00C917AC"/>
    <w:rsid w:val="00C91B75"/>
    <w:rsid w:val="00C91C25"/>
    <w:rsid w:val="00C91C4F"/>
    <w:rsid w:val="00C91C82"/>
    <w:rsid w:val="00C91D1B"/>
    <w:rsid w:val="00C91FD1"/>
    <w:rsid w:val="00C9203B"/>
    <w:rsid w:val="00C92128"/>
    <w:rsid w:val="00C92208"/>
    <w:rsid w:val="00C9226D"/>
    <w:rsid w:val="00C922F0"/>
    <w:rsid w:val="00C92730"/>
    <w:rsid w:val="00C9295B"/>
    <w:rsid w:val="00C92A2C"/>
    <w:rsid w:val="00C92B46"/>
    <w:rsid w:val="00C92E84"/>
    <w:rsid w:val="00C92E85"/>
    <w:rsid w:val="00C92FD0"/>
    <w:rsid w:val="00C931CF"/>
    <w:rsid w:val="00C932BA"/>
    <w:rsid w:val="00C9346D"/>
    <w:rsid w:val="00C934D1"/>
    <w:rsid w:val="00C9356D"/>
    <w:rsid w:val="00C938CF"/>
    <w:rsid w:val="00C9390B"/>
    <w:rsid w:val="00C9392E"/>
    <w:rsid w:val="00C9396F"/>
    <w:rsid w:val="00C93D4E"/>
    <w:rsid w:val="00C93E70"/>
    <w:rsid w:val="00C94053"/>
    <w:rsid w:val="00C94234"/>
    <w:rsid w:val="00C942F2"/>
    <w:rsid w:val="00C9453D"/>
    <w:rsid w:val="00C94563"/>
    <w:rsid w:val="00C947F4"/>
    <w:rsid w:val="00C94902"/>
    <w:rsid w:val="00C9494E"/>
    <w:rsid w:val="00C94990"/>
    <w:rsid w:val="00C94CF8"/>
    <w:rsid w:val="00C94FEC"/>
    <w:rsid w:val="00C9508F"/>
    <w:rsid w:val="00C9516D"/>
    <w:rsid w:val="00C9525F"/>
    <w:rsid w:val="00C95730"/>
    <w:rsid w:val="00C95AA0"/>
    <w:rsid w:val="00C95AEF"/>
    <w:rsid w:val="00C95BC5"/>
    <w:rsid w:val="00C95D40"/>
    <w:rsid w:val="00C95D7E"/>
    <w:rsid w:val="00C95E4B"/>
    <w:rsid w:val="00C95E9F"/>
    <w:rsid w:val="00C95EB8"/>
    <w:rsid w:val="00C95EBC"/>
    <w:rsid w:val="00C95F3F"/>
    <w:rsid w:val="00C95FCC"/>
    <w:rsid w:val="00C96144"/>
    <w:rsid w:val="00C96187"/>
    <w:rsid w:val="00C9624D"/>
    <w:rsid w:val="00C96260"/>
    <w:rsid w:val="00C96326"/>
    <w:rsid w:val="00C963D2"/>
    <w:rsid w:val="00C96413"/>
    <w:rsid w:val="00C966D2"/>
    <w:rsid w:val="00C9683B"/>
    <w:rsid w:val="00C969DA"/>
    <w:rsid w:val="00C96AAE"/>
    <w:rsid w:val="00C96AF4"/>
    <w:rsid w:val="00C96BF2"/>
    <w:rsid w:val="00C96C7F"/>
    <w:rsid w:val="00C96DDD"/>
    <w:rsid w:val="00C96E6B"/>
    <w:rsid w:val="00C96E8E"/>
    <w:rsid w:val="00C96FF5"/>
    <w:rsid w:val="00C970F1"/>
    <w:rsid w:val="00C975A3"/>
    <w:rsid w:val="00C975AD"/>
    <w:rsid w:val="00C975BC"/>
    <w:rsid w:val="00C97608"/>
    <w:rsid w:val="00C976C6"/>
    <w:rsid w:val="00C9772D"/>
    <w:rsid w:val="00C97B61"/>
    <w:rsid w:val="00C97D47"/>
    <w:rsid w:val="00C97DF6"/>
    <w:rsid w:val="00C97EBD"/>
    <w:rsid w:val="00CA01FE"/>
    <w:rsid w:val="00CA0273"/>
    <w:rsid w:val="00CA0281"/>
    <w:rsid w:val="00CA034B"/>
    <w:rsid w:val="00CA0438"/>
    <w:rsid w:val="00CA066A"/>
    <w:rsid w:val="00CA0A1A"/>
    <w:rsid w:val="00CA0C0C"/>
    <w:rsid w:val="00CA0C4F"/>
    <w:rsid w:val="00CA0FBE"/>
    <w:rsid w:val="00CA1089"/>
    <w:rsid w:val="00CA10A6"/>
    <w:rsid w:val="00CA119E"/>
    <w:rsid w:val="00CA1284"/>
    <w:rsid w:val="00CA1394"/>
    <w:rsid w:val="00CA13A7"/>
    <w:rsid w:val="00CA14CD"/>
    <w:rsid w:val="00CA15B8"/>
    <w:rsid w:val="00CA187C"/>
    <w:rsid w:val="00CA18AD"/>
    <w:rsid w:val="00CA1996"/>
    <w:rsid w:val="00CA1B70"/>
    <w:rsid w:val="00CA1BC5"/>
    <w:rsid w:val="00CA1CB1"/>
    <w:rsid w:val="00CA1E26"/>
    <w:rsid w:val="00CA1E3C"/>
    <w:rsid w:val="00CA1E96"/>
    <w:rsid w:val="00CA1F67"/>
    <w:rsid w:val="00CA1FA2"/>
    <w:rsid w:val="00CA21A9"/>
    <w:rsid w:val="00CA2424"/>
    <w:rsid w:val="00CA25FE"/>
    <w:rsid w:val="00CA2959"/>
    <w:rsid w:val="00CA295E"/>
    <w:rsid w:val="00CA29C4"/>
    <w:rsid w:val="00CA2A58"/>
    <w:rsid w:val="00CA2AAB"/>
    <w:rsid w:val="00CA2BE5"/>
    <w:rsid w:val="00CA2C77"/>
    <w:rsid w:val="00CA2E0B"/>
    <w:rsid w:val="00CA2EF8"/>
    <w:rsid w:val="00CA2F27"/>
    <w:rsid w:val="00CA2F8B"/>
    <w:rsid w:val="00CA3179"/>
    <w:rsid w:val="00CA3262"/>
    <w:rsid w:val="00CA359C"/>
    <w:rsid w:val="00CA3617"/>
    <w:rsid w:val="00CA3727"/>
    <w:rsid w:val="00CA385F"/>
    <w:rsid w:val="00CA38FE"/>
    <w:rsid w:val="00CA394C"/>
    <w:rsid w:val="00CA3985"/>
    <w:rsid w:val="00CA3A60"/>
    <w:rsid w:val="00CA3C06"/>
    <w:rsid w:val="00CA3C5B"/>
    <w:rsid w:val="00CA3D0B"/>
    <w:rsid w:val="00CA3D2E"/>
    <w:rsid w:val="00CA3DE0"/>
    <w:rsid w:val="00CA3E5A"/>
    <w:rsid w:val="00CA3E5C"/>
    <w:rsid w:val="00CA43E4"/>
    <w:rsid w:val="00CA444F"/>
    <w:rsid w:val="00CA4795"/>
    <w:rsid w:val="00CA48B4"/>
    <w:rsid w:val="00CA48DB"/>
    <w:rsid w:val="00CA4A7F"/>
    <w:rsid w:val="00CA4C5B"/>
    <w:rsid w:val="00CA4C8A"/>
    <w:rsid w:val="00CA4D27"/>
    <w:rsid w:val="00CA4D42"/>
    <w:rsid w:val="00CA4EC9"/>
    <w:rsid w:val="00CA510B"/>
    <w:rsid w:val="00CA5245"/>
    <w:rsid w:val="00CA5534"/>
    <w:rsid w:val="00CA5692"/>
    <w:rsid w:val="00CA5711"/>
    <w:rsid w:val="00CA581E"/>
    <w:rsid w:val="00CA58CD"/>
    <w:rsid w:val="00CA5A1F"/>
    <w:rsid w:val="00CA5A92"/>
    <w:rsid w:val="00CA5CB2"/>
    <w:rsid w:val="00CA5DC6"/>
    <w:rsid w:val="00CA5E34"/>
    <w:rsid w:val="00CA5E64"/>
    <w:rsid w:val="00CA6420"/>
    <w:rsid w:val="00CA657D"/>
    <w:rsid w:val="00CA65E4"/>
    <w:rsid w:val="00CA65F8"/>
    <w:rsid w:val="00CA68D6"/>
    <w:rsid w:val="00CA68F0"/>
    <w:rsid w:val="00CA6934"/>
    <w:rsid w:val="00CA6C68"/>
    <w:rsid w:val="00CA6DDB"/>
    <w:rsid w:val="00CA6DE5"/>
    <w:rsid w:val="00CA6ED6"/>
    <w:rsid w:val="00CA71AD"/>
    <w:rsid w:val="00CA71F4"/>
    <w:rsid w:val="00CA733E"/>
    <w:rsid w:val="00CA7422"/>
    <w:rsid w:val="00CA763E"/>
    <w:rsid w:val="00CA76C3"/>
    <w:rsid w:val="00CA7756"/>
    <w:rsid w:val="00CA7981"/>
    <w:rsid w:val="00CA79DB"/>
    <w:rsid w:val="00CA7ABE"/>
    <w:rsid w:val="00CA7B09"/>
    <w:rsid w:val="00CA7BD9"/>
    <w:rsid w:val="00CA7F8E"/>
    <w:rsid w:val="00CA7FC5"/>
    <w:rsid w:val="00CA7FD6"/>
    <w:rsid w:val="00CB027F"/>
    <w:rsid w:val="00CB0301"/>
    <w:rsid w:val="00CB04FF"/>
    <w:rsid w:val="00CB05F3"/>
    <w:rsid w:val="00CB06EF"/>
    <w:rsid w:val="00CB0876"/>
    <w:rsid w:val="00CB093E"/>
    <w:rsid w:val="00CB09BD"/>
    <w:rsid w:val="00CB0B07"/>
    <w:rsid w:val="00CB0B17"/>
    <w:rsid w:val="00CB0B32"/>
    <w:rsid w:val="00CB0DCF"/>
    <w:rsid w:val="00CB0FA0"/>
    <w:rsid w:val="00CB1025"/>
    <w:rsid w:val="00CB108B"/>
    <w:rsid w:val="00CB11E7"/>
    <w:rsid w:val="00CB12A5"/>
    <w:rsid w:val="00CB1543"/>
    <w:rsid w:val="00CB16D9"/>
    <w:rsid w:val="00CB17DF"/>
    <w:rsid w:val="00CB17E7"/>
    <w:rsid w:val="00CB1B5D"/>
    <w:rsid w:val="00CB1CAC"/>
    <w:rsid w:val="00CB1DD4"/>
    <w:rsid w:val="00CB1F8F"/>
    <w:rsid w:val="00CB1FA3"/>
    <w:rsid w:val="00CB202A"/>
    <w:rsid w:val="00CB2263"/>
    <w:rsid w:val="00CB226A"/>
    <w:rsid w:val="00CB257C"/>
    <w:rsid w:val="00CB276D"/>
    <w:rsid w:val="00CB2925"/>
    <w:rsid w:val="00CB2C63"/>
    <w:rsid w:val="00CB2C9B"/>
    <w:rsid w:val="00CB2D64"/>
    <w:rsid w:val="00CB2F2A"/>
    <w:rsid w:val="00CB308A"/>
    <w:rsid w:val="00CB309D"/>
    <w:rsid w:val="00CB30A3"/>
    <w:rsid w:val="00CB3123"/>
    <w:rsid w:val="00CB32B9"/>
    <w:rsid w:val="00CB338B"/>
    <w:rsid w:val="00CB33C0"/>
    <w:rsid w:val="00CB3411"/>
    <w:rsid w:val="00CB3618"/>
    <w:rsid w:val="00CB367B"/>
    <w:rsid w:val="00CB36A2"/>
    <w:rsid w:val="00CB36B1"/>
    <w:rsid w:val="00CB395F"/>
    <w:rsid w:val="00CB3A70"/>
    <w:rsid w:val="00CB3AD5"/>
    <w:rsid w:val="00CB3AEE"/>
    <w:rsid w:val="00CB3C91"/>
    <w:rsid w:val="00CB40D3"/>
    <w:rsid w:val="00CB4119"/>
    <w:rsid w:val="00CB4153"/>
    <w:rsid w:val="00CB4206"/>
    <w:rsid w:val="00CB42F5"/>
    <w:rsid w:val="00CB4480"/>
    <w:rsid w:val="00CB45A1"/>
    <w:rsid w:val="00CB45BB"/>
    <w:rsid w:val="00CB483B"/>
    <w:rsid w:val="00CB48AC"/>
    <w:rsid w:val="00CB48B6"/>
    <w:rsid w:val="00CB490F"/>
    <w:rsid w:val="00CB4B01"/>
    <w:rsid w:val="00CB519C"/>
    <w:rsid w:val="00CB51D9"/>
    <w:rsid w:val="00CB52A0"/>
    <w:rsid w:val="00CB52FB"/>
    <w:rsid w:val="00CB5326"/>
    <w:rsid w:val="00CB5440"/>
    <w:rsid w:val="00CB54A0"/>
    <w:rsid w:val="00CB54C5"/>
    <w:rsid w:val="00CB58C9"/>
    <w:rsid w:val="00CB5A25"/>
    <w:rsid w:val="00CB5B1A"/>
    <w:rsid w:val="00CB5B97"/>
    <w:rsid w:val="00CB5C16"/>
    <w:rsid w:val="00CB5CF0"/>
    <w:rsid w:val="00CB5E68"/>
    <w:rsid w:val="00CB5F41"/>
    <w:rsid w:val="00CB5FF9"/>
    <w:rsid w:val="00CB604E"/>
    <w:rsid w:val="00CB6555"/>
    <w:rsid w:val="00CB678F"/>
    <w:rsid w:val="00CB67C0"/>
    <w:rsid w:val="00CB6938"/>
    <w:rsid w:val="00CB6A70"/>
    <w:rsid w:val="00CB6B22"/>
    <w:rsid w:val="00CB6B7C"/>
    <w:rsid w:val="00CB6BBA"/>
    <w:rsid w:val="00CB6BC0"/>
    <w:rsid w:val="00CB6BE5"/>
    <w:rsid w:val="00CB6C32"/>
    <w:rsid w:val="00CB6F88"/>
    <w:rsid w:val="00CB72E7"/>
    <w:rsid w:val="00CB7556"/>
    <w:rsid w:val="00CB757B"/>
    <w:rsid w:val="00CB75F5"/>
    <w:rsid w:val="00CB7609"/>
    <w:rsid w:val="00CB7657"/>
    <w:rsid w:val="00CB7709"/>
    <w:rsid w:val="00CB77EB"/>
    <w:rsid w:val="00CB7839"/>
    <w:rsid w:val="00CB791C"/>
    <w:rsid w:val="00CB797A"/>
    <w:rsid w:val="00CB7A04"/>
    <w:rsid w:val="00CB7A98"/>
    <w:rsid w:val="00CB7CC7"/>
    <w:rsid w:val="00CB7D51"/>
    <w:rsid w:val="00CB7E94"/>
    <w:rsid w:val="00CB7EF8"/>
    <w:rsid w:val="00CB7F5F"/>
    <w:rsid w:val="00CC0003"/>
    <w:rsid w:val="00CC00E7"/>
    <w:rsid w:val="00CC027D"/>
    <w:rsid w:val="00CC040C"/>
    <w:rsid w:val="00CC0673"/>
    <w:rsid w:val="00CC0A7F"/>
    <w:rsid w:val="00CC0BDC"/>
    <w:rsid w:val="00CC0C79"/>
    <w:rsid w:val="00CC0D61"/>
    <w:rsid w:val="00CC0E2F"/>
    <w:rsid w:val="00CC1075"/>
    <w:rsid w:val="00CC10A0"/>
    <w:rsid w:val="00CC1168"/>
    <w:rsid w:val="00CC1198"/>
    <w:rsid w:val="00CC1346"/>
    <w:rsid w:val="00CC139B"/>
    <w:rsid w:val="00CC13C9"/>
    <w:rsid w:val="00CC1437"/>
    <w:rsid w:val="00CC1555"/>
    <w:rsid w:val="00CC1669"/>
    <w:rsid w:val="00CC185F"/>
    <w:rsid w:val="00CC19BC"/>
    <w:rsid w:val="00CC1A4A"/>
    <w:rsid w:val="00CC1A5B"/>
    <w:rsid w:val="00CC1AFE"/>
    <w:rsid w:val="00CC1B39"/>
    <w:rsid w:val="00CC1B64"/>
    <w:rsid w:val="00CC1B8E"/>
    <w:rsid w:val="00CC1BFA"/>
    <w:rsid w:val="00CC1D06"/>
    <w:rsid w:val="00CC1F25"/>
    <w:rsid w:val="00CC1FC8"/>
    <w:rsid w:val="00CC1FF8"/>
    <w:rsid w:val="00CC208F"/>
    <w:rsid w:val="00CC2193"/>
    <w:rsid w:val="00CC2259"/>
    <w:rsid w:val="00CC230C"/>
    <w:rsid w:val="00CC2380"/>
    <w:rsid w:val="00CC23D9"/>
    <w:rsid w:val="00CC242E"/>
    <w:rsid w:val="00CC260A"/>
    <w:rsid w:val="00CC2668"/>
    <w:rsid w:val="00CC267E"/>
    <w:rsid w:val="00CC2805"/>
    <w:rsid w:val="00CC288D"/>
    <w:rsid w:val="00CC2A5F"/>
    <w:rsid w:val="00CC2C8D"/>
    <w:rsid w:val="00CC2D49"/>
    <w:rsid w:val="00CC2D50"/>
    <w:rsid w:val="00CC2DDF"/>
    <w:rsid w:val="00CC2E2B"/>
    <w:rsid w:val="00CC2E72"/>
    <w:rsid w:val="00CC2E9F"/>
    <w:rsid w:val="00CC2FB4"/>
    <w:rsid w:val="00CC2FF9"/>
    <w:rsid w:val="00CC2FFA"/>
    <w:rsid w:val="00CC3002"/>
    <w:rsid w:val="00CC320B"/>
    <w:rsid w:val="00CC3346"/>
    <w:rsid w:val="00CC35EA"/>
    <w:rsid w:val="00CC35FC"/>
    <w:rsid w:val="00CC3626"/>
    <w:rsid w:val="00CC36B8"/>
    <w:rsid w:val="00CC379A"/>
    <w:rsid w:val="00CC3848"/>
    <w:rsid w:val="00CC3913"/>
    <w:rsid w:val="00CC3C74"/>
    <w:rsid w:val="00CC3E07"/>
    <w:rsid w:val="00CC3E4A"/>
    <w:rsid w:val="00CC3FC0"/>
    <w:rsid w:val="00CC4283"/>
    <w:rsid w:val="00CC429E"/>
    <w:rsid w:val="00CC434D"/>
    <w:rsid w:val="00CC4539"/>
    <w:rsid w:val="00CC45C9"/>
    <w:rsid w:val="00CC465B"/>
    <w:rsid w:val="00CC4751"/>
    <w:rsid w:val="00CC478E"/>
    <w:rsid w:val="00CC487D"/>
    <w:rsid w:val="00CC48C3"/>
    <w:rsid w:val="00CC48DD"/>
    <w:rsid w:val="00CC4A78"/>
    <w:rsid w:val="00CC4B5E"/>
    <w:rsid w:val="00CC4CA3"/>
    <w:rsid w:val="00CC4CEC"/>
    <w:rsid w:val="00CC4DBC"/>
    <w:rsid w:val="00CC5498"/>
    <w:rsid w:val="00CC55A8"/>
    <w:rsid w:val="00CC5603"/>
    <w:rsid w:val="00CC56DB"/>
    <w:rsid w:val="00CC57D2"/>
    <w:rsid w:val="00CC5809"/>
    <w:rsid w:val="00CC5D46"/>
    <w:rsid w:val="00CC5EBB"/>
    <w:rsid w:val="00CC5EF7"/>
    <w:rsid w:val="00CC5F74"/>
    <w:rsid w:val="00CC5F90"/>
    <w:rsid w:val="00CC6253"/>
    <w:rsid w:val="00CC6276"/>
    <w:rsid w:val="00CC630B"/>
    <w:rsid w:val="00CC64BA"/>
    <w:rsid w:val="00CC6702"/>
    <w:rsid w:val="00CC6748"/>
    <w:rsid w:val="00CC6B10"/>
    <w:rsid w:val="00CC6B3A"/>
    <w:rsid w:val="00CC6BA2"/>
    <w:rsid w:val="00CC6D5E"/>
    <w:rsid w:val="00CC6D9B"/>
    <w:rsid w:val="00CC6EA1"/>
    <w:rsid w:val="00CC6EC9"/>
    <w:rsid w:val="00CC6EE0"/>
    <w:rsid w:val="00CC6EFD"/>
    <w:rsid w:val="00CC700E"/>
    <w:rsid w:val="00CC70E3"/>
    <w:rsid w:val="00CC726C"/>
    <w:rsid w:val="00CC727B"/>
    <w:rsid w:val="00CC72F8"/>
    <w:rsid w:val="00CC7372"/>
    <w:rsid w:val="00CC73CD"/>
    <w:rsid w:val="00CC73CF"/>
    <w:rsid w:val="00CC73E1"/>
    <w:rsid w:val="00CC73FF"/>
    <w:rsid w:val="00CC7733"/>
    <w:rsid w:val="00CC7860"/>
    <w:rsid w:val="00CC790C"/>
    <w:rsid w:val="00CC7977"/>
    <w:rsid w:val="00CC7A8D"/>
    <w:rsid w:val="00CC7C58"/>
    <w:rsid w:val="00CC7C7B"/>
    <w:rsid w:val="00CC7EA4"/>
    <w:rsid w:val="00CC7F69"/>
    <w:rsid w:val="00CD005C"/>
    <w:rsid w:val="00CD0200"/>
    <w:rsid w:val="00CD03A5"/>
    <w:rsid w:val="00CD03B2"/>
    <w:rsid w:val="00CD03D9"/>
    <w:rsid w:val="00CD0586"/>
    <w:rsid w:val="00CD067E"/>
    <w:rsid w:val="00CD0740"/>
    <w:rsid w:val="00CD0A90"/>
    <w:rsid w:val="00CD0C28"/>
    <w:rsid w:val="00CD0DAB"/>
    <w:rsid w:val="00CD0EE9"/>
    <w:rsid w:val="00CD0FBE"/>
    <w:rsid w:val="00CD10DB"/>
    <w:rsid w:val="00CD10FA"/>
    <w:rsid w:val="00CD172A"/>
    <w:rsid w:val="00CD17BD"/>
    <w:rsid w:val="00CD17F1"/>
    <w:rsid w:val="00CD197E"/>
    <w:rsid w:val="00CD1AB0"/>
    <w:rsid w:val="00CD1AC9"/>
    <w:rsid w:val="00CD1B0F"/>
    <w:rsid w:val="00CD1B76"/>
    <w:rsid w:val="00CD1BCA"/>
    <w:rsid w:val="00CD1D74"/>
    <w:rsid w:val="00CD1DBC"/>
    <w:rsid w:val="00CD1DC6"/>
    <w:rsid w:val="00CD1E21"/>
    <w:rsid w:val="00CD1E90"/>
    <w:rsid w:val="00CD1F4A"/>
    <w:rsid w:val="00CD2038"/>
    <w:rsid w:val="00CD206D"/>
    <w:rsid w:val="00CD20FB"/>
    <w:rsid w:val="00CD2247"/>
    <w:rsid w:val="00CD24EE"/>
    <w:rsid w:val="00CD2670"/>
    <w:rsid w:val="00CD27EA"/>
    <w:rsid w:val="00CD2874"/>
    <w:rsid w:val="00CD2C3D"/>
    <w:rsid w:val="00CD2C6C"/>
    <w:rsid w:val="00CD2CE3"/>
    <w:rsid w:val="00CD2DCA"/>
    <w:rsid w:val="00CD2E2F"/>
    <w:rsid w:val="00CD30EE"/>
    <w:rsid w:val="00CD322D"/>
    <w:rsid w:val="00CD329A"/>
    <w:rsid w:val="00CD32DD"/>
    <w:rsid w:val="00CD33A0"/>
    <w:rsid w:val="00CD33DB"/>
    <w:rsid w:val="00CD3447"/>
    <w:rsid w:val="00CD35F4"/>
    <w:rsid w:val="00CD3624"/>
    <w:rsid w:val="00CD366B"/>
    <w:rsid w:val="00CD3951"/>
    <w:rsid w:val="00CD39B6"/>
    <w:rsid w:val="00CD3B68"/>
    <w:rsid w:val="00CD3D65"/>
    <w:rsid w:val="00CD3ECF"/>
    <w:rsid w:val="00CD3F77"/>
    <w:rsid w:val="00CD3FC1"/>
    <w:rsid w:val="00CD4059"/>
    <w:rsid w:val="00CD4061"/>
    <w:rsid w:val="00CD412A"/>
    <w:rsid w:val="00CD4314"/>
    <w:rsid w:val="00CD43DB"/>
    <w:rsid w:val="00CD454C"/>
    <w:rsid w:val="00CD4577"/>
    <w:rsid w:val="00CD4695"/>
    <w:rsid w:val="00CD488B"/>
    <w:rsid w:val="00CD489A"/>
    <w:rsid w:val="00CD497D"/>
    <w:rsid w:val="00CD497F"/>
    <w:rsid w:val="00CD4A58"/>
    <w:rsid w:val="00CD4B13"/>
    <w:rsid w:val="00CD4CF8"/>
    <w:rsid w:val="00CD4ED9"/>
    <w:rsid w:val="00CD520D"/>
    <w:rsid w:val="00CD535B"/>
    <w:rsid w:val="00CD54F7"/>
    <w:rsid w:val="00CD55BE"/>
    <w:rsid w:val="00CD5754"/>
    <w:rsid w:val="00CD57F2"/>
    <w:rsid w:val="00CD5B9D"/>
    <w:rsid w:val="00CD5BB1"/>
    <w:rsid w:val="00CD5CD1"/>
    <w:rsid w:val="00CD5D15"/>
    <w:rsid w:val="00CD5D5B"/>
    <w:rsid w:val="00CD5EEB"/>
    <w:rsid w:val="00CD6070"/>
    <w:rsid w:val="00CD611F"/>
    <w:rsid w:val="00CD613F"/>
    <w:rsid w:val="00CD621A"/>
    <w:rsid w:val="00CD6229"/>
    <w:rsid w:val="00CD6383"/>
    <w:rsid w:val="00CD63C3"/>
    <w:rsid w:val="00CD6449"/>
    <w:rsid w:val="00CD6571"/>
    <w:rsid w:val="00CD6865"/>
    <w:rsid w:val="00CD6ADC"/>
    <w:rsid w:val="00CD6DB6"/>
    <w:rsid w:val="00CD6E62"/>
    <w:rsid w:val="00CD6FE4"/>
    <w:rsid w:val="00CD7193"/>
    <w:rsid w:val="00CD7374"/>
    <w:rsid w:val="00CD739A"/>
    <w:rsid w:val="00CD7520"/>
    <w:rsid w:val="00CD7598"/>
    <w:rsid w:val="00CD78A2"/>
    <w:rsid w:val="00CD793F"/>
    <w:rsid w:val="00CD7A8B"/>
    <w:rsid w:val="00CD7CF0"/>
    <w:rsid w:val="00CD7EAC"/>
    <w:rsid w:val="00CD7FD3"/>
    <w:rsid w:val="00CE004E"/>
    <w:rsid w:val="00CE01C6"/>
    <w:rsid w:val="00CE030C"/>
    <w:rsid w:val="00CE0747"/>
    <w:rsid w:val="00CE0918"/>
    <w:rsid w:val="00CE09C6"/>
    <w:rsid w:val="00CE0B66"/>
    <w:rsid w:val="00CE0BFA"/>
    <w:rsid w:val="00CE0C19"/>
    <w:rsid w:val="00CE0F5D"/>
    <w:rsid w:val="00CE0FFA"/>
    <w:rsid w:val="00CE103C"/>
    <w:rsid w:val="00CE111C"/>
    <w:rsid w:val="00CE112F"/>
    <w:rsid w:val="00CE12BE"/>
    <w:rsid w:val="00CE12FE"/>
    <w:rsid w:val="00CE135D"/>
    <w:rsid w:val="00CE13FB"/>
    <w:rsid w:val="00CE1497"/>
    <w:rsid w:val="00CE1719"/>
    <w:rsid w:val="00CE177C"/>
    <w:rsid w:val="00CE17B1"/>
    <w:rsid w:val="00CE196A"/>
    <w:rsid w:val="00CE1AD7"/>
    <w:rsid w:val="00CE1B8F"/>
    <w:rsid w:val="00CE1C22"/>
    <w:rsid w:val="00CE1CEF"/>
    <w:rsid w:val="00CE1F34"/>
    <w:rsid w:val="00CE1F83"/>
    <w:rsid w:val="00CE1FB1"/>
    <w:rsid w:val="00CE20BB"/>
    <w:rsid w:val="00CE21D2"/>
    <w:rsid w:val="00CE21D5"/>
    <w:rsid w:val="00CE23EB"/>
    <w:rsid w:val="00CE2416"/>
    <w:rsid w:val="00CE2452"/>
    <w:rsid w:val="00CE25A6"/>
    <w:rsid w:val="00CE26DE"/>
    <w:rsid w:val="00CE2B32"/>
    <w:rsid w:val="00CE2CBC"/>
    <w:rsid w:val="00CE2DBF"/>
    <w:rsid w:val="00CE2DC2"/>
    <w:rsid w:val="00CE2E2B"/>
    <w:rsid w:val="00CE2E8A"/>
    <w:rsid w:val="00CE2FD4"/>
    <w:rsid w:val="00CE3050"/>
    <w:rsid w:val="00CE3114"/>
    <w:rsid w:val="00CE3515"/>
    <w:rsid w:val="00CE3562"/>
    <w:rsid w:val="00CE3626"/>
    <w:rsid w:val="00CE36B6"/>
    <w:rsid w:val="00CE380B"/>
    <w:rsid w:val="00CE38B8"/>
    <w:rsid w:val="00CE38C8"/>
    <w:rsid w:val="00CE38EC"/>
    <w:rsid w:val="00CE390D"/>
    <w:rsid w:val="00CE3967"/>
    <w:rsid w:val="00CE39E2"/>
    <w:rsid w:val="00CE3A12"/>
    <w:rsid w:val="00CE3A1E"/>
    <w:rsid w:val="00CE3AFF"/>
    <w:rsid w:val="00CE3C61"/>
    <w:rsid w:val="00CE3CD4"/>
    <w:rsid w:val="00CE3CD9"/>
    <w:rsid w:val="00CE3F22"/>
    <w:rsid w:val="00CE3F80"/>
    <w:rsid w:val="00CE42AC"/>
    <w:rsid w:val="00CE42ED"/>
    <w:rsid w:val="00CE4516"/>
    <w:rsid w:val="00CE4594"/>
    <w:rsid w:val="00CE45A1"/>
    <w:rsid w:val="00CE4734"/>
    <w:rsid w:val="00CE47E8"/>
    <w:rsid w:val="00CE487E"/>
    <w:rsid w:val="00CE489F"/>
    <w:rsid w:val="00CE48A8"/>
    <w:rsid w:val="00CE49CD"/>
    <w:rsid w:val="00CE4A2F"/>
    <w:rsid w:val="00CE4AD8"/>
    <w:rsid w:val="00CE4E30"/>
    <w:rsid w:val="00CE4E47"/>
    <w:rsid w:val="00CE4E60"/>
    <w:rsid w:val="00CE4F71"/>
    <w:rsid w:val="00CE524F"/>
    <w:rsid w:val="00CE5474"/>
    <w:rsid w:val="00CE568C"/>
    <w:rsid w:val="00CE57F8"/>
    <w:rsid w:val="00CE58CC"/>
    <w:rsid w:val="00CE58F0"/>
    <w:rsid w:val="00CE5D06"/>
    <w:rsid w:val="00CE5D73"/>
    <w:rsid w:val="00CE5DDA"/>
    <w:rsid w:val="00CE5F92"/>
    <w:rsid w:val="00CE5FC8"/>
    <w:rsid w:val="00CE600D"/>
    <w:rsid w:val="00CE6188"/>
    <w:rsid w:val="00CE61EE"/>
    <w:rsid w:val="00CE6274"/>
    <w:rsid w:val="00CE62BA"/>
    <w:rsid w:val="00CE62D8"/>
    <w:rsid w:val="00CE63A2"/>
    <w:rsid w:val="00CE65DF"/>
    <w:rsid w:val="00CE6623"/>
    <w:rsid w:val="00CE6704"/>
    <w:rsid w:val="00CE68A3"/>
    <w:rsid w:val="00CE6AF8"/>
    <w:rsid w:val="00CE6BBE"/>
    <w:rsid w:val="00CE6C3F"/>
    <w:rsid w:val="00CE6CA0"/>
    <w:rsid w:val="00CE6DAD"/>
    <w:rsid w:val="00CE7024"/>
    <w:rsid w:val="00CE712B"/>
    <w:rsid w:val="00CE726D"/>
    <w:rsid w:val="00CE7358"/>
    <w:rsid w:val="00CE7404"/>
    <w:rsid w:val="00CE744F"/>
    <w:rsid w:val="00CE7507"/>
    <w:rsid w:val="00CE77B6"/>
    <w:rsid w:val="00CE77C9"/>
    <w:rsid w:val="00CE7A02"/>
    <w:rsid w:val="00CE7A2B"/>
    <w:rsid w:val="00CE7AB7"/>
    <w:rsid w:val="00CE7B28"/>
    <w:rsid w:val="00CE7C98"/>
    <w:rsid w:val="00CE7CED"/>
    <w:rsid w:val="00CE7CFA"/>
    <w:rsid w:val="00CE7D61"/>
    <w:rsid w:val="00CF0116"/>
    <w:rsid w:val="00CF0125"/>
    <w:rsid w:val="00CF018D"/>
    <w:rsid w:val="00CF021A"/>
    <w:rsid w:val="00CF09BE"/>
    <w:rsid w:val="00CF0B9C"/>
    <w:rsid w:val="00CF0C87"/>
    <w:rsid w:val="00CF0DBD"/>
    <w:rsid w:val="00CF0EB8"/>
    <w:rsid w:val="00CF0F3D"/>
    <w:rsid w:val="00CF0F44"/>
    <w:rsid w:val="00CF11B9"/>
    <w:rsid w:val="00CF1209"/>
    <w:rsid w:val="00CF1365"/>
    <w:rsid w:val="00CF145D"/>
    <w:rsid w:val="00CF167E"/>
    <w:rsid w:val="00CF1690"/>
    <w:rsid w:val="00CF1754"/>
    <w:rsid w:val="00CF17F3"/>
    <w:rsid w:val="00CF1B84"/>
    <w:rsid w:val="00CF1D02"/>
    <w:rsid w:val="00CF1E3C"/>
    <w:rsid w:val="00CF1F6A"/>
    <w:rsid w:val="00CF1F91"/>
    <w:rsid w:val="00CF215E"/>
    <w:rsid w:val="00CF2268"/>
    <w:rsid w:val="00CF2297"/>
    <w:rsid w:val="00CF245A"/>
    <w:rsid w:val="00CF2556"/>
    <w:rsid w:val="00CF256A"/>
    <w:rsid w:val="00CF25B0"/>
    <w:rsid w:val="00CF27B6"/>
    <w:rsid w:val="00CF27F0"/>
    <w:rsid w:val="00CF2847"/>
    <w:rsid w:val="00CF2A8D"/>
    <w:rsid w:val="00CF2B71"/>
    <w:rsid w:val="00CF2B8D"/>
    <w:rsid w:val="00CF2B8F"/>
    <w:rsid w:val="00CF2E72"/>
    <w:rsid w:val="00CF2E8F"/>
    <w:rsid w:val="00CF2E9C"/>
    <w:rsid w:val="00CF2F42"/>
    <w:rsid w:val="00CF2FB5"/>
    <w:rsid w:val="00CF2FC8"/>
    <w:rsid w:val="00CF2FFF"/>
    <w:rsid w:val="00CF30B2"/>
    <w:rsid w:val="00CF30D7"/>
    <w:rsid w:val="00CF315A"/>
    <w:rsid w:val="00CF31D9"/>
    <w:rsid w:val="00CF3407"/>
    <w:rsid w:val="00CF353E"/>
    <w:rsid w:val="00CF361D"/>
    <w:rsid w:val="00CF3657"/>
    <w:rsid w:val="00CF36C4"/>
    <w:rsid w:val="00CF383A"/>
    <w:rsid w:val="00CF398C"/>
    <w:rsid w:val="00CF3A1B"/>
    <w:rsid w:val="00CF3C52"/>
    <w:rsid w:val="00CF41ED"/>
    <w:rsid w:val="00CF42A5"/>
    <w:rsid w:val="00CF4521"/>
    <w:rsid w:val="00CF456B"/>
    <w:rsid w:val="00CF499A"/>
    <w:rsid w:val="00CF499D"/>
    <w:rsid w:val="00CF4A92"/>
    <w:rsid w:val="00CF4B3D"/>
    <w:rsid w:val="00CF4BD3"/>
    <w:rsid w:val="00CF4C76"/>
    <w:rsid w:val="00CF4FAD"/>
    <w:rsid w:val="00CF4FC5"/>
    <w:rsid w:val="00CF5228"/>
    <w:rsid w:val="00CF53F3"/>
    <w:rsid w:val="00CF546C"/>
    <w:rsid w:val="00CF5710"/>
    <w:rsid w:val="00CF5888"/>
    <w:rsid w:val="00CF5A22"/>
    <w:rsid w:val="00CF5A41"/>
    <w:rsid w:val="00CF5A7E"/>
    <w:rsid w:val="00CF5B3D"/>
    <w:rsid w:val="00CF5C10"/>
    <w:rsid w:val="00CF5E21"/>
    <w:rsid w:val="00CF5E87"/>
    <w:rsid w:val="00CF5ED4"/>
    <w:rsid w:val="00CF5F03"/>
    <w:rsid w:val="00CF61B5"/>
    <w:rsid w:val="00CF622D"/>
    <w:rsid w:val="00CF62AB"/>
    <w:rsid w:val="00CF6496"/>
    <w:rsid w:val="00CF66D6"/>
    <w:rsid w:val="00CF6960"/>
    <w:rsid w:val="00CF6AF8"/>
    <w:rsid w:val="00CF6EB5"/>
    <w:rsid w:val="00CF6EFF"/>
    <w:rsid w:val="00CF70B2"/>
    <w:rsid w:val="00CF7100"/>
    <w:rsid w:val="00CF7188"/>
    <w:rsid w:val="00CF7415"/>
    <w:rsid w:val="00CF7426"/>
    <w:rsid w:val="00CF74B9"/>
    <w:rsid w:val="00CF7698"/>
    <w:rsid w:val="00CF77B4"/>
    <w:rsid w:val="00CF7849"/>
    <w:rsid w:val="00CF79B4"/>
    <w:rsid w:val="00CF7A37"/>
    <w:rsid w:val="00CF7A51"/>
    <w:rsid w:val="00CF7D72"/>
    <w:rsid w:val="00CF7ECB"/>
    <w:rsid w:val="00CF7EF8"/>
    <w:rsid w:val="00CF7F46"/>
    <w:rsid w:val="00CF7F88"/>
    <w:rsid w:val="00CF7FDC"/>
    <w:rsid w:val="00D00091"/>
    <w:rsid w:val="00D000BF"/>
    <w:rsid w:val="00D00295"/>
    <w:rsid w:val="00D002EE"/>
    <w:rsid w:val="00D00443"/>
    <w:rsid w:val="00D0045D"/>
    <w:rsid w:val="00D007CA"/>
    <w:rsid w:val="00D00834"/>
    <w:rsid w:val="00D008A5"/>
    <w:rsid w:val="00D00A87"/>
    <w:rsid w:val="00D00B1B"/>
    <w:rsid w:val="00D00B49"/>
    <w:rsid w:val="00D00BDA"/>
    <w:rsid w:val="00D00DD4"/>
    <w:rsid w:val="00D00E24"/>
    <w:rsid w:val="00D00EEE"/>
    <w:rsid w:val="00D01141"/>
    <w:rsid w:val="00D0137C"/>
    <w:rsid w:val="00D013E5"/>
    <w:rsid w:val="00D0140C"/>
    <w:rsid w:val="00D0141D"/>
    <w:rsid w:val="00D01433"/>
    <w:rsid w:val="00D01462"/>
    <w:rsid w:val="00D014BB"/>
    <w:rsid w:val="00D015E5"/>
    <w:rsid w:val="00D01715"/>
    <w:rsid w:val="00D019F5"/>
    <w:rsid w:val="00D019FC"/>
    <w:rsid w:val="00D01AD9"/>
    <w:rsid w:val="00D01B00"/>
    <w:rsid w:val="00D01B63"/>
    <w:rsid w:val="00D01CE3"/>
    <w:rsid w:val="00D01D03"/>
    <w:rsid w:val="00D01E0C"/>
    <w:rsid w:val="00D01E4D"/>
    <w:rsid w:val="00D0206E"/>
    <w:rsid w:val="00D02121"/>
    <w:rsid w:val="00D02387"/>
    <w:rsid w:val="00D02533"/>
    <w:rsid w:val="00D0253B"/>
    <w:rsid w:val="00D0262E"/>
    <w:rsid w:val="00D02ACD"/>
    <w:rsid w:val="00D02B28"/>
    <w:rsid w:val="00D02C23"/>
    <w:rsid w:val="00D02E08"/>
    <w:rsid w:val="00D02E2F"/>
    <w:rsid w:val="00D02F79"/>
    <w:rsid w:val="00D03144"/>
    <w:rsid w:val="00D0322C"/>
    <w:rsid w:val="00D032F7"/>
    <w:rsid w:val="00D03364"/>
    <w:rsid w:val="00D0340A"/>
    <w:rsid w:val="00D034DD"/>
    <w:rsid w:val="00D03679"/>
    <w:rsid w:val="00D036C2"/>
    <w:rsid w:val="00D03796"/>
    <w:rsid w:val="00D037E6"/>
    <w:rsid w:val="00D03BAF"/>
    <w:rsid w:val="00D03DDF"/>
    <w:rsid w:val="00D03E28"/>
    <w:rsid w:val="00D03E48"/>
    <w:rsid w:val="00D03F33"/>
    <w:rsid w:val="00D03FCD"/>
    <w:rsid w:val="00D03FF3"/>
    <w:rsid w:val="00D04184"/>
    <w:rsid w:val="00D041E8"/>
    <w:rsid w:val="00D04201"/>
    <w:rsid w:val="00D04207"/>
    <w:rsid w:val="00D04472"/>
    <w:rsid w:val="00D044F0"/>
    <w:rsid w:val="00D0465A"/>
    <w:rsid w:val="00D0469B"/>
    <w:rsid w:val="00D04829"/>
    <w:rsid w:val="00D04864"/>
    <w:rsid w:val="00D049E1"/>
    <w:rsid w:val="00D04B8C"/>
    <w:rsid w:val="00D04D0D"/>
    <w:rsid w:val="00D04D20"/>
    <w:rsid w:val="00D04D95"/>
    <w:rsid w:val="00D04F3A"/>
    <w:rsid w:val="00D04F52"/>
    <w:rsid w:val="00D0500F"/>
    <w:rsid w:val="00D0502A"/>
    <w:rsid w:val="00D050D7"/>
    <w:rsid w:val="00D052E5"/>
    <w:rsid w:val="00D05434"/>
    <w:rsid w:val="00D05536"/>
    <w:rsid w:val="00D0560B"/>
    <w:rsid w:val="00D05743"/>
    <w:rsid w:val="00D05762"/>
    <w:rsid w:val="00D058C7"/>
    <w:rsid w:val="00D058DF"/>
    <w:rsid w:val="00D0591F"/>
    <w:rsid w:val="00D059C5"/>
    <w:rsid w:val="00D05BD1"/>
    <w:rsid w:val="00D05CCF"/>
    <w:rsid w:val="00D05DB0"/>
    <w:rsid w:val="00D05E23"/>
    <w:rsid w:val="00D05E3D"/>
    <w:rsid w:val="00D05FBE"/>
    <w:rsid w:val="00D0610A"/>
    <w:rsid w:val="00D06139"/>
    <w:rsid w:val="00D06152"/>
    <w:rsid w:val="00D061DD"/>
    <w:rsid w:val="00D061F2"/>
    <w:rsid w:val="00D06361"/>
    <w:rsid w:val="00D06512"/>
    <w:rsid w:val="00D06521"/>
    <w:rsid w:val="00D065D4"/>
    <w:rsid w:val="00D06641"/>
    <w:rsid w:val="00D068D5"/>
    <w:rsid w:val="00D069A1"/>
    <w:rsid w:val="00D06A46"/>
    <w:rsid w:val="00D06C62"/>
    <w:rsid w:val="00D06EAA"/>
    <w:rsid w:val="00D07276"/>
    <w:rsid w:val="00D072F6"/>
    <w:rsid w:val="00D074BB"/>
    <w:rsid w:val="00D07613"/>
    <w:rsid w:val="00D0784F"/>
    <w:rsid w:val="00D079B8"/>
    <w:rsid w:val="00D07AA8"/>
    <w:rsid w:val="00D07B36"/>
    <w:rsid w:val="00D07CB3"/>
    <w:rsid w:val="00D07EEF"/>
    <w:rsid w:val="00D07FB6"/>
    <w:rsid w:val="00D100DF"/>
    <w:rsid w:val="00D10154"/>
    <w:rsid w:val="00D1022E"/>
    <w:rsid w:val="00D1030F"/>
    <w:rsid w:val="00D10526"/>
    <w:rsid w:val="00D10534"/>
    <w:rsid w:val="00D10578"/>
    <w:rsid w:val="00D10767"/>
    <w:rsid w:val="00D107FF"/>
    <w:rsid w:val="00D109B5"/>
    <w:rsid w:val="00D10A38"/>
    <w:rsid w:val="00D10B4F"/>
    <w:rsid w:val="00D10B69"/>
    <w:rsid w:val="00D10C42"/>
    <w:rsid w:val="00D10DC5"/>
    <w:rsid w:val="00D110BD"/>
    <w:rsid w:val="00D111F4"/>
    <w:rsid w:val="00D11435"/>
    <w:rsid w:val="00D118BA"/>
    <w:rsid w:val="00D11993"/>
    <w:rsid w:val="00D119A8"/>
    <w:rsid w:val="00D11D0F"/>
    <w:rsid w:val="00D11DC7"/>
    <w:rsid w:val="00D11E0B"/>
    <w:rsid w:val="00D11E7A"/>
    <w:rsid w:val="00D11F11"/>
    <w:rsid w:val="00D11FD4"/>
    <w:rsid w:val="00D120FB"/>
    <w:rsid w:val="00D12133"/>
    <w:rsid w:val="00D1221A"/>
    <w:rsid w:val="00D12296"/>
    <w:rsid w:val="00D12417"/>
    <w:rsid w:val="00D124A6"/>
    <w:rsid w:val="00D124BC"/>
    <w:rsid w:val="00D12526"/>
    <w:rsid w:val="00D12642"/>
    <w:rsid w:val="00D126AF"/>
    <w:rsid w:val="00D12797"/>
    <w:rsid w:val="00D127E7"/>
    <w:rsid w:val="00D12812"/>
    <w:rsid w:val="00D12889"/>
    <w:rsid w:val="00D128BC"/>
    <w:rsid w:val="00D12AF0"/>
    <w:rsid w:val="00D12B8F"/>
    <w:rsid w:val="00D12C9F"/>
    <w:rsid w:val="00D12D26"/>
    <w:rsid w:val="00D12F96"/>
    <w:rsid w:val="00D13098"/>
    <w:rsid w:val="00D130C7"/>
    <w:rsid w:val="00D1330B"/>
    <w:rsid w:val="00D1330E"/>
    <w:rsid w:val="00D13480"/>
    <w:rsid w:val="00D13650"/>
    <w:rsid w:val="00D13675"/>
    <w:rsid w:val="00D13858"/>
    <w:rsid w:val="00D139D7"/>
    <w:rsid w:val="00D13B98"/>
    <w:rsid w:val="00D1411A"/>
    <w:rsid w:val="00D141E1"/>
    <w:rsid w:val="00D142CD"/>
    <w:rsid w:val="00D142CF"/>
    <w:rsid w:val="00D142D6"/>
    <w:rsid w:val="00D14399"/>
    <w:rsid w:val="00D14713"/>
    <w:rsid w:val="00D1491D"/>
    <w:rsid w:val="00D14BE9"/>
    <w:rsid w:val="00D14CCD"/>
    <w:rsid w:val="00D14D89"/>
    <w:rsid w:val="00D1501C"/>
    <w:rsid w:val="00D150AF"/>
    <w:rsid w:val="00D15314"/>
    <w:rsid w:val="00D15759"/>
    <w:rsid w:val="00D15763"/>
    <w:rsid w:val="00D157F6"/>
    <w:rsid w:val="00D1587E"/>
    <w:rsid w:val="00D15B48"/>
    <w:rsid w:val="00D15B4A"/>
    <w:rsid w:val="00D15E50"/>
    <w:rsid w:val="00D15E6E"/>
    <w:rsid w:val="00D15EEA"/>
    <w:rsid w:val="00D160C8"/>
    <w:rsid w:val="00D160CD"/>
    <w:rsid w:val="00D160F0"/>
    <w:rsid w:val="00D16368"/>
    <w:rsid w:val="00D16658"/>
    <w:rsid w:val="00D16741"/>
    <w:rsid w:val="00D16742"/>
    <w:rsid w:val="00D16AF6"/>
    <w:rsid w:val="00D16B27"/>
    <w:rsid w:val="00D16CF8"/>
    <w:rsid w:val="00D16D91"/>
    <w:rsid w:val="00D16EFD"/>
    <w:rsid w:val="00D16F88"/>
    <w:rsid w:val="00D170EC"/>
    <w:rsid w:val="00D171FE"/>
    <w:rsid w:val="00D173E3"/>
    <w:rsid w:val="00D17656"/>
    <w:rsid w:val="00D17665"/>
    <w:rsid w:val="00D1769E"/>
    <w:rsid w:val="00D17859"/>
    <w:rsid w:val="00D179F0"/>
    <w:rsid w:val="00D17AAA"/>
    <w:rsid w:val="00D17C4C"/>
    <w:rsid w:val="00D17CD7"/>
    <w:rsid w:val="00D17D6C"/>
    <w:rsid w:val="00D17E4F"/>
    <w:rsid w:val="00D17EB7"/>
    <w:rsid w:val="00D201C4"/>
    <w:rsid w:val="00D20269"/>
    <w:rsid w:val="00D20581"/>
    <w:rsid w:val="00D20709"/>
    <w:rsid w:val="00D20738"/>
    <w:rsid w:val="00D20776"/>
    <w:rsid w:val="00D207B6"/>
    <w:rsid w:val="00D20878"/>
    <w:rsid w:val="00D20B8E"/>
    <w:rsid w:val="00D20F4E"/>
    <w:rsid w:val="00D20FB2"/>
    <w:rsid w:val="00D21005"/>
    <w:rsid w:val="00D2104D"/>
    <w:rsid w:val="00D2111E"/>
    <w:rsid w:val="00D213D3"/>
    <w:rsid w:val="00D2143E"/>
    <w:rsid w:val="00D2155B"/>
    <w:rsid w:val="00D217F9"/>
    <w:rsid w:val="00D2185D"/>
    <w:rsid w:val="00D2185E"/>
    <w:rsid w:val="00D21914"/>
    <w:rsid w:val="00D21A40"/>
    <w:rsid w:val="00D21B4E"/>
    <w:rsid w:val="00D21C15"/>
    <w:rsid w:val="00D21E16"/>
    <w:rsid w:val="00D21F69"/>
    <w:rsid w:val="00D2203D"/>
    <w:rsid w:val="00D221B2"/>
    <w:rsid w:val="00D22203"/>
    <w:rsid w:val="00D2220C"/>
    <w:rsid w:val="00D222B9"/>
    <w:rsid w:val="00D2235C"/>
    <w:rsid w:val="00D22444"/>
    <w:rsid w:val="00D22653"/>
    <w:rsid w:val="00D2267C"/>
    <w:rsid w:val="00D2278E"/>
    <w:rsid w:val="00D2281F"/>
    <w:rsid w:val="00D229AD"/>
    <w:rsid w:val="00D229E3"/>
    <w:rsid w:val="00D22A50"/>
    <w:rsid w:val="00D22AE0"/>
    <w:rsid w:val="00D22C3C"/>
    <w:rsid w:val="00D22C9E"/>
    <w:rsid w:val="00D22D91"/>
    <w:rsid w:val="00D22DA4"/>
    <w:rsid w:val="00D22EEF"/>
    <w:rsid w:val="00D22F11"/>
    <w:rsid w:val="00D22F1F"/>
    <w:rsid w:val="00D22F24"/>
    <w:rsid w:val="00D22FD7"/>
    <w:rsid w:val="00D2302F"/>
    <w:rsid w:val="00D231AE"/>
    <w:rsid w:val="00D233D5"/>
    <w:rsid w:val="00D23458"/>
    <w:rsid w:val="00D235D5"/>
    <w:rsid w:val="00D23689"/>
    <w:rsid w:val="00D2368D"/>
    <w:rsid w:val="00D236E0"/>
    <w:rsid w:val="00D2385D"/>
    <w:rsid w:val="00D23BCD"/>
    <w:rsid w:val="00D23D11"/>
    <w:rsid w:val="00D23E4D"/>
    <w:rsid w:val="00D240EB"/>
    <w:rsid w:val="00D242F4"/>
    <w:rsid w:val="00D243FD"/>
    <w:rsid w:val="00D244B6"/>
    <w:rsid w:val="00D24A2B"/>
    <w:rsid w:val="00D24A31"/>
    <w:rsid w:val="00D24A3B"/>
    <w:rsid w:val="00D24EB0"/>
    <w:rsid w:val="00D24F58"/>
    <w:rsid w:val="00D25024"/>
    <w:rsid w:val="00D2502F"/>
    <w:rsid w:val="00D25091"/>
    <w:rsid w:val="00D2513D"/>
    <w:rsid w:val="00D2546B"/>
    <w:rsid w:val="00D25632"/>
    <w:rsid w:val="00D257BD"/>
    <w:rsid w:val="00D25989"/>
    <w:rsid w:val="00D25A44"/>
    <w:rsid w:val="00D25AAF"/>
    <w:rsid w:val="00D25B35"/>
    <w:rsid w:val="00D25C23"/>
    <w:rsid w:val="00D25FC2"/>
    <w:rsid w:val="00D2600D"/>
    <w:rsid w:val="00D2606E"/>
    <w:rsid w:val="00D26168"/>
    <w:rsid w:val="00D26205"/>
    <w:rsid w:val="00D2631D"/>
    <w:rsid w:val="00D2637F"/>
    <w:rsid w:val="00D266B2"/>
    <w:rsid w:val="00D26833"/>
    <w:rsid w:val="00D26BBE"/>
    <w:rsid w:val="00D26D7E"/>
    <w:rsid w:val="00D26D99"/>
    <w:rsid w:val="00D26E9F"/>
    <w:rsid w:val="00D26F2D"/>
    <w:rsid w:val="00D26FE3"/>
    <w:rsid w:val="00D270E0"/>
    <w:rsid w:val="00D270E8"/>
    <w:rsid w:val="00D272DD"/>
    <w:rsid w:val="00D273D2"/>
    <w:rsid w:val="00D2754D"/>
    <w:rsid w:val="00D27671"/>
    <w:rsid w:val="00D276BA"/>
    <w:rsid w:val="00D27880"/>
    <w:rsid w:val="00D278E7"/>
    <w:rsid w:val="00D27B27"/>
    <w:rsid w:val="00D27BE2"/>
    <w:rsid w:val="00D30068"/>
    <w:rsid w:val="00D3035E"/>
    <w:rsid w:val="00D303D3"/>
    <w:rsid w:val="00D304EE"/>
    <w:rsid w:val="00D30702"/>
    <w:rsid w:val="00D307B7"/>
    <w:rsid w:val="00D3096F"/>
    <w:rsid w:val="00D309A3"/>
    <w:rsid w:val="00D30BFF"/>
    <w:rsid w:val="00D30C77"/>
    <w:rsid w:val="00D30D5B"/>
    <w:rsid w:val="00D30DD9"/>
    <w:rsid w:val="00D30E4F"/>
    <w:rsid w:val="00D30F57"/>
    <w:rsid w:val="00D30FF3"/>
    <w:rsid w:val="00D312CC"/>
    <w:rsid w:val="00D31337"/>
    <w:rsid w:val="00D3142F"/>
    <w:rsid w:val="00D314EA"/>
    <w:rsid w:val="00D317EA"/>
    <w:rsid w:val="00D31A35"/>
    <w:rsid w:val="00D31A52"/>
    <w:rsid w:val="00D31AB9"/>
    <w:rsid w:val="00D31BD9"/>
    <w:rsid w:val="00D31CA0"/>
    <w:rsid w:val="00D321F8"/>
    <w:rsid w:val="00D32652"/>
    <w:rsid w:val="00D32805"/>
    <w:rsid w:val="00D328D8"/>
    <w:rsid w:val="00D32A77"/>
    <w:rsid w:val="00D32ADF"/>
    <w:rsid w:val="00D32C29"/>
    <w:rsid w:val="00D32D79"/>
    <w:rsid w:val="00D32E0E"/>
    <w:rsid w:val="00D32EC7"/>
    <w:rsid w:val="00D32EEF"/>
    <w:rsid w:val="00D32FEB"/>
    <w:rsid w:val="00D33006"/>
    <w:rsid w:val="00D33177"/>
    <w:rsid w:val="00D333EA"/>
    <w:rsid w:val="00D3346A"/>
    <w:rsid w:val="00D334B9"/>
    <w:rsid w:val="00D334C1"/>
    <w:rsid w:val="00D33518"/>
    <w:rsid w:val="00D3374B"/>
    <w:rsid w:val="00D33A17"/>
    <w:rsid w:val="00D33BAB"/>
    <w:rsid w:val="00D33BE9"/>
    <w:rsid w:val="00D33DD9"/>
    <w:rsid w:val="00D33E29"/>
    <w:rsid w:val="00D33EC5"/>
    <w:rsid w:val="00D33F93"/>
    <w:rsid w:val="00D33FB2"/>
    <w:rsid w:val="00D34096"/>
    <w:rsid w:val="00D3413C"/>
    <w:rsid w:val="00D34331"/>
    <w:rsid w:val="00D344AF"/>
    <w:rsid w:val="00D345C2"/>
    <w:rsid w:val="00D34708"/>
    <w:rsid w:val="00D34875"/>
    <w:rsid w:val="00D348B4"/>
    <w:rsid w:val="00D3491F"/>
    <w:rsid w:val="00D349FA"/>
    <w:rsid w:val="00D34A40"/>
    <w:rsid w:val="00D34B4A"/>
    <w:rsid w:val="00D34B72"/>
    <w:rsid w:val="00D34C7C"/>
    <w:rsid w:val="00D34C99"/>
    <w:rsid w:val="00D34EE7"/>
    <w:rsid w:val="00D34F05"/>
    <w:rsid w:val="00D34F3F"/>
    <w:rsid w:val="00D34FDF"/>
    <w:rsid w:val="00D3512E"/>
    <w:rsid w:val="00D3534A"/>
    <w:rsid w:val="00D35640"/>
    <w:rsid w:val="00D357FF"/>
    <w:rsid w:val="00D35CC2"/>
    <w:rsid w:val="00D35CF0"/>
    <w:rsid w:val="00D35D8D"/>
    <w:rsid w:val="00D35EBF"/>
    <w:rsid w:val="00D35F26"/>
    <w:rsid w:val="00D35F9F"/>
    <w:rsid w:val="00D360CE"/>
    <w:rsid w:val="00D364CF"/>
    <w:rsid w:val="00D36575"/>
    <w:rsid w:val="00D36592"/>
    <w:rsid w:val="00D365D8"/>
    <w:rsid w:val="00D368E3"/>
    <w:rsid w:val="00D36A0D"/>
    <w:rsid w:val="00D36B64"/>
    <w:rsid w:val="00D36B99"/>
    <w:rsid w:val="00D36D1F"/>
    <w:rsid w:val="00D36E96"/>
    <w:rsid w:val="00D37011"/>
    <w:rsid w:val="00D370F1"/>
    <w:rsid w:val="00D37114"/>
    <w:rsid w:val="00D3722C"/>
    <w:rsid w:val="00D37475"/>
    <w:rsid w:val="00D37638"/>
    <w:rsid w:val="00D37992"/>
    <w:rsid w:val="00D37B21"/>
    <w:rsid w:val="00D37B41"/>
    <w:rsid w:val="00D37BD4"/>
    <w:rsid w:val="00D37C1C"/>
    <w:rsid w:val="00D37EA3"/>
    <w:rsid w:val="00D37F92"/>
    <w:rsid w:val="00D37FD8"/>
    <w:rsid w:val="00D40113"/>
    <w:rsid w:val="00D40160"/>
    <w:rsid w:val="00D40223"/>
    <w:rsid w:val="00D4044E"/>
    <w:rsid w:val="00D40613"/>
    <w:rsid w:val="00D40680"/>
    <w:rsid w:val="00D40877"/>
    <w:rsid w:val="00D40997"/>
    <w:rsid w:val="00D40A21"/>
    <w:rsid w:val="00D40B06"/>
    <w:rsid w:val="00D40B4D"/>
    <w:rsid w:val="00D40CB0"/>
    <w:rsid w:val="00D40CE7"/>
    <w:rsid w:val="00D40F1E"/>
    <w:rsid w:val="00D41157"/>
    <w:rsid w:val="00D4139E"/>
    <w:rsid w:val="00D41462"/>
    <w:rsid w:val="00D414C4"/>
    <w:rsid w:val="00D41524"/>
    <w:rsid w:val="00D416CD"/>
    <w:rsid w:val="00D41726"/>
    <w:rsid w:val="00D41A5F"/>
    <w:rsid w:val="00D41BCE"/>
    <w:rsid w:val="00D41C90"/>
    <w:rsid w:val="00D41F20"/>
    <w:rsid w:val="00D42076"/>
    <w:rsid w:val="00D42092"/>
    <w:rsid w:val="00D42209"/>
    <w:rsid w:val="00D42356"/>
    <w:rsid w:val="00D424C7"/>
    <w:rsid w:val="00D42561"/>
    <w:rsid w:val="00D427FF"/>
    <w:rsid w:val="00D429A4"/>
    <w:rsid w:val="00D42A04"/>
    <w:rsid w:val="00D42D92"/>
    <w:rsid w:val="00D42E9B"/>
    <w:rsid w:val="00D42F1C"/>
    <w:rsid w:val="00D42F24"/>
    <w:rsid w:val="00D42F92"/>
    <w:rsid w:val="00D4301C"/>
    <w:rsid w:val="00D43294"/>
    <w:rsid w:val="00D432AC"/>
    <w:rsid w:val="00D432D5"/>
    <w:rsid w:val="00D433F0"/>
    <w:rsid w:val="00D43890"/>
    <w:rsid w:val="00D438D4"/>
    <w:rsid w:val="00D4396B"/>
    <w:rsid w:val="00D43AB8"/>
    <w:rsid w:val="00D43B2A"/>
    <w:rsid w:val="00D43C66"/>
    <w:rsid w:val="00D43CF1"/>
    <w:rsid w:val="00D43D83"/>
    <w:rsid w:val="00D43E4C"/>
    <w:rsid w:val="00D43F20"/>
    <w:rsid w:val="00D44192"/>
    <w:rsid w:val="00D4450A"/>
    <w:rsid w:val="00D4468A"/>
    <w:rsid w:val="00D44711"/>
    <w:rsid w:val="00D447ED"/>
    <w:rsid w:val="00D44A0E"/>
    <w:rsid w:val="00D44B56"/>
    <w:rsid w:val="00D44BF3"/>
    <w:rsid w:val="00D44C62"/>
    <w:rsid w:val="00D44CFC"/>
    <w:rsid w:val="00D44D44"/>
    <w:rsid w:val="00D44E1B"/>
    <w:rsid w:val="00D45474"/>
    <w:rsid w:val="00D455EB"/>
    <w:rsid w:val="00D455F8"/>
    <w:rsid w:val="00D45823"/>
    <w:rsid w:val="00D45902"/>
    <w:rsid w:val="00D459E8"/>
    <w:rsid w:val="00D45BBD"/>
    <w:rsid w:val="00D45BD1"/>
    <w:rsid w:val="00D45CAD"/>
    <w:rsid w:val="00D45D47"/>
    <w:rsid w:val="00D45E59"/>
    <w:rsid w:val="00D45F09"/>
    <w:rsid w:val="00D461AF"/>
    <w:rsid w:val="00D461E6"/>
    <w:rsid w:val="00D4623C"/>
    <w:rsid w:val="00D46543"/>
    <w:rsid w:val="00D46585"/>
    <w:rsid w:val="00D4668F"/>
    <w:rsid w:val="00D46A47"/>
    <w:rsid w:val="00D46BA5"/>
    <w:rsid w:val="00D46DFD"/>
    <w:rsid w:val="00D46FDB"/>
    <w:rsid w:val="00D47092"/>
    <w:rsid w:val="00D47396"/>
    <w:rsid w:val="00D474E1"/>
    <w:rsid w:val="00D47575"/>
    <w:rsid w:val="00D4769B"/>
    <w:rsid w:val="00D47735"/>
    <w:rsid w:val="00D477AC"/>
    <w:rsid w:val="00D477D4"/>
    <w:rsid w:val="00D478DC"/>
    <w:rsid w:val="00D479B1"/>
    <w:rsid w:val="00D47A19"/>
    <w:rsid w:val="00D47AB7"/>
    <w:rsid w:val="00D47B46"/>
    <w:rsid w:val="00D47B7D"/>
    <w:rsid w:val="00D47EF2"/>
    <w:rsid w:val="00D47FBB"/>
    <w:rsid w:val="00D50134"/>
    <w:rsid w:val="00D501BB"/>
    <w:rsid w:val="00D502AE"/>
    <w:rsid w:val="00D50352"/>
    <w:rsid w:val="00D5044F"/>
    <w:rsid w:val="00D5046C"/>
    <w:rsid w:val="00D50646"/>
    <w:rsid w:val="00D506D4"/>
    <w:rsid w:val="00D50740"/>
    <w:rsid w:val="00D50778"/>
    <w:rsid w:val="00D5088E"/>
    <w:rsid w:val="00D508C6"/>
    <w:rsid w:val="00D509B2"/>
    <w:rsid w:val="00D50AED"/>
    <w:rsid w:val="00D50B69"/>
    <w:rsid w:val="00D50C62"/>
    <w:rsid w:val="00D50C8B"/>
    <w:rsid w:val="00D50DC0"/>
    <w:rsid w:val="00D50DE8"/>
    <w:rsid w:val="00D50E61"/>
    <w:rsid w:val="00D510FE"/>
    <w:rsid w:val="00D5112E"/>
    <w:rsid w:val="00D51138"/>
    <w:rsid w:val="00D512D6"/>
    <w:rsid w:val="00D5137D"/>
    <w:rsid w:val="00D513D6"/>
    <w:rsid w:val="00D516B1"/>
    <w:rsid w:val="00D517C2"/>
    <w:rsid w:val="00D518EA"/>
    <w:rsid w:val="00D519B5"/>
    <w:rsid w:val="00D519E3"/>
    <w:rsid w:val="00D51AD3"/>
    <w:rsid w:val="00D51C95"/>
    <w:rsid w:val="00D51CD3"/>
    <w:rsid w:val="00D51D11"/>
    <w:rsid w:val="00D51DCC"/>
    <w:rsid w:val="00D51DD6"/>
    <w:rsid w:val="00D51E23"/>
    <w:rsid w:val="00D51E53"/>
    <w:rsid w:val="00D51E91"/>
    <w:rsid w:val="00D51ECB"/>
    <w:rsid w:val="00D51F8D"/>
    <w:rsid w:val="00D51FDA"/>
    <w:rsid w:val="00D5203A"/>
    <w:rsid w:val="00D52225"/>
    <w:rsid w:val="00D52244"/>
    <w:rsid w:val="00D522FA"/>
    <w:rsid w:val="00D5236E"/>
    <w:rsid w:val="00D523D5"/>
    <w:rsid w:val="00D52436"/>
    <w:rsid w:val="00D5243B"/>
    <w:rsid w:val="00D525CE"/>
    <w:rsid w:val="00D525DF"/>
    <w:rsid w:val="00D52613"/>
    <w:rsid w:val="00D52676"/>
    <w:rsid w:val="00D52987"/>
    <w:rsid w:val="00D529C9"/>
    <w:rsid w:val="00D52C54"/>
    <w:rsid w:val="00D52D08"/>
    <w:rsid w:val="00D52FCA"/>
    <w:rsid w:val="00D5316A"/>
    <w:rsid w:val="00D53221"/>
    <w:rsid w:val="00D5324D"/>
    <w:rsid w:val="00D532AF"/>
    <w:rsid w:val="00D533EC"/>
    <w:rsid w:val="00D5346D"/>
    <w:rsid w:val="00D5352E"/>
    <w:rsid w:val="00D53557"/>
    <w:rsid w:val="00D535E7"/>
    <w:rsid w:val="00D53679"/>
    <w:rsid w:val="00D53A2C"/>
    <w:rsid w:val="00D53CEE"/>
    <w:rsid w:val="00D53D11"/>
    <w:rsid w:val="00D5409A"/>
    <w:rsid w:val="00D541B1"/>
    <w:rsid w:val="00D541F4"/>
    <w:rsid w:val="00D54332"/>
    <w:rsid w:val="00D5449C"/>
    <w:rsid w:val="00D54544"/>
    <w:rsid w:val="00D54566"/>
    <w:rsid w:val="00D545DA"/>
    <w:rsid w:val="00D54908"/>
    <w:rsid w:val="00D54988"/>
    <w:rsid w:val="00D549CC"/>
    <w:rsid w:val="00D54A51"/>
    <w:rsid w:val="00D54B5A"/>
    <w:rsid w:val="00D54CC9"/>
    <w:rsid w:val="00D54D70"/>
    <w:rsid w:val="00D54D73"/>
    <w:rsid w:val="00D54D79"/>
    <w:rsid w:val="00D5501F"/>
    <w:rsid w:val="00D5502D"/>
    <w:rsid w:val="00D553A7"/>
    <w:rsid w:val="00D554ED"/>
    <w:rsid w:val="00D555BB"/>
    <w:rsid w:val="00D556CF"/>
    <w:rsid w:val="00D556E7"/>
    <w:rsid w:val="00D558A5"/>
    <w:rsid w:val="00D5592E"/>
    <w:rsid w:val="00D5593C"/>
    <w:rsid w:val="00D55A24"/>
    <w:rsid w:val="00D55A6D"/>
    <w:rsid w:val="00D55AFF"/>
    <w:rsid w:val="00D55B60"/>
    <w:rsid w:val="00D55D17"/>
    <w:rsid w:val="00D55F42"/>
    <w:rsid w:val="00D563A5"/>
    <w:rsid w:val="00D56501"/>
    <w:rsid w:val="00D56508"/>
    <w:rsid w:val="00D56578"/>
    <w:rsid w:val="00D565A6"/>
    <w:rsid w:val="00D567BB"/>
    <w:rsid w:val="00D569BB"/>
    <w:rsid w:val="00D56A7D"/>
    <w:rsid w:val="00D56A95"/>
    <w:rsid w:val="00D56BBD"/>
    <w:rsid w:val="00D56C42"/>
    <w:rsid w:val="00D56E87"/>
    <w:rsid w:val="00D56E88"/>
    <w:rsid w:val="00D56EB3"/>
    <w:rsid w:val="00D56F48"/>
    <w:rsid w:val="00D5706E"/>
    <w:rsid w:val="00D57074"/>
    <w:rsid w:val="00D5708E"/>
    <w:rsid w:val="00D57479"/>
    <w:rsid w:val="00D574D7"/>
    <w:rsid w:val="00D5759C"/>
    <w:rsid w:val="00D5760A"/>
    <w:rsid w:val="00D576D4"/>
    <w:rsid w:val="00D578BE"/>
    <w:rsid w:val="00D57A78"/>
    <w:rsid w:val="00D57C19"/>
    <w:rsid w:val="00D57C99"/>
    <w:rsid w:val="00D600E6"/>
    <w:rsid w:val="00D6023C"/>
    <w:rsid w:val="00D60431"/>
    <w:rsid w:val="00D60454"/>
    <w:rsid w:val="00D60564"/>
    <w:rsid w:val="00D60580"/>
    <w:rsid w:val="00D605F8"/>
    <w:rsid w:val="00D606ED"/>
    <w:rsid w:val="00D6075B"/>
    <w:rsid w:val="00D6076E"/>
    <w:rsid w:val="00D60849"/>
    <w:rsid w:val="00D60854"/>
    <w:rsid w:val="00D60859"/>
    <w:rsid w:val="00D6098F"/>
    <w:rsid w:val="00D60A00"/>
    <w:rsid w:val="00D60A7A"/>
    <w:rsid w:val="00D60B13"/>
    <w:rsid w:val="00D60B39"/>
    <w:rsid w:val="00D60CF3"/>
    <w:rsid w:val="00D60E7D"/>
    <w:rsid w:val="00D60F0C"/>
    <w:rsid w:val="00D60FD7"/>
    <w:rsid w:val="00D610F7"/>
    <w:rsid w:val="00D61299"/>
    <w:rsid w:val="00D612C4"/>
    <w:rsid w:val="00D612E8"/>
    <w:rsid w:val="00D6173D"/>
    <w:rsid w:val="00D6176A"/>
    <w:rsid w:val="00D61793"/>
    <w:rsid w:val="00D61E32"/>
    <w:rsid w:val="00D61E9B"/>
    <w:rsid w:val="00D6216C"/>
    <w:rsid w:val="00D62A64"/>
    <w:rsid w:val="00D62AAA"/>
    <w:rsid w:val="00D62AC5"/>
    <w:rsid w:val="00D62B8D"/>
    <w:rsid w:val="00D62C50"/>
    <w:rsid w:val="00D62C66"/>
    <w:rsid w:val="00D62C81"/>
    <w:rsid w:val="00D62C8E"/>
    <w:rsid w:val="00D62D65"/>
    <w:rsid w:val="00D62D6A"/>
    <w:rsid w:val="00D62F35"/>
    <w:rsid w:val="00D6342C"/>
    <w:rsid w:val="00D63517"/>
    <w:rsid w:val="00D635EB"/>
    <w:rsid w:val="00D6374D"/>
    <w:rsid w:val="00D637C4"/>
    <w:rsid w:val="00D637D9"/>
    <w:rsid w:val="00D6381B"/>
    <w:rsid w:val="00D6387F"/>
    <w:rsid w:val="00D63943"/>
    <w:rsid w:val="00D63963"/>
    <w:rsid w:val="00D63D0A"/>
    <w:rsid w:val="00D63E51"/>
    <w:rsid w:val="00D63E5A"/>
    <w:rsid w:val="00D63E83"/>
    <w:rsid w:val="00D63EEE"/>
    <w:rsid w:val="00D63F4F"/>
    <w:rsid w:val="00D6405F"/>
    <w:rsid w:val="00D64260"/>
    <w:rsid w:val="00D64347"/>
    <w:rsid w:val="00D644B8"/>
    <w:rsid w:val="00D6453C"/>
    <w:rsid w:val="00D647A4"/>
    <w:rsid w:val="00D647D4"/>
    <w:rsid w:val="00D64818"/>
    <w:rsid w:val="00D6482D"/>
    <w:rsid w:val="00D64881"/>
    <w:rsid w:val="00D64B6A"/>
    <w:rsid w:val="00D64E2A"/>
    <w:rsid w:val="00D64E83"/>
    <w:rsid w:val="00D64E9F"/>
    <w:rsid w:val="00D64FC9"/>
    <w:rsid w:val="00D650DF"/>
    <w:rsid w:val="00D6563B"/>
    <w:rsid w:val="00D656A3"/>
    <w:rsid w:val="00D65B74"/>
    <w:rsid w:val="00D65BEC"/>
    <w:rsid w:val="00D65FCB"/>
    <w:rsid w:val="00D65FF1"/>
    <w:rsid w:val="00D660FB"/>
    <w:rsid w:val="00D661B0"/>
    <w:rsid w:val="00D661B4"/>
    <w:rsid w:val="00D662D8"/>
    <w:rsid w:val="00D66779"/>
    <w:rsid w:val="00D6687F"/>
    <w:rsid w:val="00D668D9"/>
    <w:rsid w:val="00D669C6"/>
    <w:rsid w:val="00D66BDA"/>
    <w:rsid w:val="00D66C89"/>
    <w:rsid w:val="00D66D4F"/>
    <w:rsid w:val="00D66E20"/>
    <w:rsid w:val="00D670C2"/>
    <w:rsid w:val="00D67255"/>
    <w:rsid w:val="00D67335"/>
    <w:rsid w:val="00D67439"/>
    <w:rsid w:val="00D6746E"/>
    <w:rsid w:val="00D674CE"/>
    <w:rsid w:val="00D67592"/>
    <w:rsid w:val="00D6763D"/>
    <w:rsid w:val="00D67683"/>
    <w:rsid w:val="00D676A4"/>
    <w:rsid w:val="00D677CD"/>
    <w:rsid w:val="00D67909"/>
    <w:rsid w:val="00D67B2B"/>
    <w:rsid w:val="00D67C6E"/>
    <w:rsid w:val="00D67C71"/>
    <w:rsid w:val="00D67CDE"/>
    <w:rsid w:val="00D67D2E"/>
    <w:rsid w:val="00D67D91"/>
    <w:rsid w:val="00D67DC4"/>
    <w:rsid w:val="00D67E1F"/>
    <w:rsid w:val="00D67F9B"/>
    <w:rsid w:val="00D70190"/>
    <w:rsid w:val="00D704E9"/>
    <w:rsid w:val="00D705D1"/>
    <w:rsid w:val="00D70717"/>
    <w:rsid w:val="00D7077A"/>
    <w:rsid w:val="00D70AF0"/>
    <w:rsid w:val="00D70B4C"/>
    <w:rsid w:val="00D70C90"/>
    <w:rsid w:val="00D70F16"/>
    <w:rsid w:val="00D70FC0"/>
    <w:rsid w:val="00D71018"/>
    <w:rsid w:val="00D71135"/>
    <w:rsid w:val="00D711D4"/>
    <w:rsid w:val="00D7121B"/>
    <w:rsid w:val="00D71288"/>
    <w:rsid w:val="00D712D5"/>
    <w:rsid w:val="00D7132C"/>
    <w:rsid w:val="00D7133B"/>
    <w:rsid w:val="00D7146C"/>
    <w:rsid w:val="00D714C9"/>
    <w:rsid w:val="00D7152A"/>
    <w:rsid w:val="00D71534"/>
    <w:rsid w:val="00D71574"/>
    <w:rsid w:val="00D71655"/>
    <w:rsid w:val="00D71743"/>
    <w:rsid w:val="00D71AF7"/>
    <w:rsid w:val="00D71C8B"/>
    <w:rsid w:val="00D71D0C"/>
    <w:rsid w:val="00D71D7B"/>
    <w:rsid w:val="00D71DA7"/>
    <w:rsid w:val="00D71DD3"/>
    <w:rsid w:val="00D71F17"/>
    <w:rsid w:val="00D71FB3"/>
    <w:rsid w:val="00D71FCA"/>
    <w:rsid w:val="00D720B0"/>
    <w:rsid w:val="00D720E6"/>
    <w:rsid w:val="00D7212B"/>
    <w:rsid w:val="00D7212F"/>
    <w:rsid w:val="00D72175"/>
    <w:rsid w:val="00D72379"/>
    <w:rsid w:val="00D7249D"/>
    <w:rsid w:val="00D72536"/>
    <w:rsid w:val="00D72610"/>
    <w:rsid w:val="00D72617"/>
    <w:rsid w:val="00D7266A"/>
    <w:rsid w:val="00D7295F"/>
    <w:rsid w:val="00D729B2"/>
    <w:rsid w:val="00D72A76"/>
    <w:rsid w:val="00D72DAD"/>
    <w:rsid w:val="00D72F57"/>
    <w:rsid w:val="00D73012"/>
    <w:rsid w:val="00D73598"/>
    <w:rsid w:val="00D7388F"/>
    <w:rsid w:val="00D73BB2"/>
    <w:rsid w:val="00D73D1B"/>
    <w:rsid w:val="00D73FE2"/>
    <w:rsid w:val="00D74363"/>
    <w:rsid w:val="00D74406"/>
    <w:rsid w:val="00D7444D"/>
    <w:rsid w:val="00D744B6"/>
    <w:rsid w:val="00D744C7"/>
    <w:rsid w:val="00D7454B"/>
    <w:rsid w:val="00D745E4"/>
    <w:rsid w:val="00D7477D"/>
    <w:rsid w:val="00D74DE3"/>
    <w:rsid w:val="00D74E0F"/>
    <w:rsid w:val="00D74E38"/>
    <w:rsid w:val="00D74FA6"/>
    <w:rsid w:val="00D75373"/>
    <w:rsid w:val="00D75390"/>
    <w:rsid w:val="00D75495"/>
    <w:rsid w:val="00D7553F"/>
    <w:rsid w:val="00D75639"/>
    <w:rsid w:val="00D7564A"/>
    <w:rsid w:val="00D7565A"/>
    <w:rsid w:val="00D75699"/>
    <w:rsid w:val="00D757BE"/>
    <w:rsid w:val="00D75B88"/>
    <w:rsid w:val="00D75D48"/>
    <w:rsid w:val="00D75D74"/>
    <w:rsid w:val="00D75DDF"/>
    <w:rsid w:val="00D75DFF"/>
    <w:rsid w:val="00D75EA3"/>
    <w:rsid w:val="00D75F75"/>
    <w:rsid w:val="00D760B1"/>
    <w:rsid w:val="00D760F1"/>
    <w:rsid w:val="00D76206"/>
    <w:rsid w:val="00D76278"/>
    <w:rsid w:val="00D76348"/>
    <w:rsid w:val="00D76459"/>
    <w:rsid w:val="00D76484"/>
    <w:rsid w:val="00D76541"/>
    <w:rsid w:val="00D76570"/>
    <w:rsid w:val="00D766D6"/>
    <w:rsid w:val="00D766ED"/>
    <w:rsid w:val="00D76882"/>
    <w:rsid w:val="00D76A44"/>
    <w:rsid w:val="00D76B43"/>
    <w:rsid w:val="00D76BB2"/>
    <w:rsid w:val="00D76CBF"/>
    <w:rsid w:val="00D76E1E"/>
    <w:rsid w:val="00D76EB9"/>
    <w:rsid w:val="00D76EF0"/>
    <w:rsid w:val="00D76F26"/>
    <w:rsid w:val="00D76F2A"/>
    <w:rsid w:val="00D76F4F"/>
    <w:rsid w:val="00D770C2"/>
    <w:rsid w:val="00D771DD"/>
    <w:rsid w:val="00D775C8"/>
    <w:rsid w:val="00D77606"/>
    <w:rsid w:val="00D77679"/>
    <w:rsid w:val="00D7768F"/>
    <w:rsid w:val="00D777A3"/>
    <w:rsid w:val="00D77863"/>
    <w:rsid w:val="00D779FE"/>
    <w:rsid w:val="00D77B7D"/>
    <w:rsid w:val="00D77B94"/>
    <w:rsid w:val="00D77D7E"/>
    <w:rsid w:val="00D77DFF"/>
    <w:rsid w:val="00D8050D"/>
    <w:rsid w:val="00D8064F"/>
    <w:rsid w:val="00D80716"/>
    <w:rsid w:val="00D8074A"/>
    <w:rsid w:val="00D808CD"/>
    <w:rsid w:val="00D80AF2"/>
    <w:rsid w:val="00D80BCC"/>
    <w:rsid w:val="00D80C0C"/>
    <w:rsid w:val="00D80E44"/>
    <w:rsid w:val="00D80F7D"/>
    <w:rsid w:val="00D80FCA"/>
    <w:rsid w:val="00D810AD"/>
    <w:rsid w:val="00D8112C"/>
    <w:rsid w:val="00D811A3"/>
    <w:rsid w:val="00D811CA"/>
    <w:rsid w:val="00D812B4"/>
    <w:rsid w:val="00D812C9"/>
    <w:rsid w:val="00D81464"/>
    <w:rsid w:val="00D814E7"/>
    <w:rsid w:val="00D815EF"/>
    <w:rsid w:val="00D8160A"/>
    <w:rsid w:val="00D8164C"/>
    <w:rsid w:val="00D816B1"/>
    <w:rsid w:val="00D8180B"/>
    <w:rsid w:val="00D8192A"/>
    <w:rsid w:val="00D81948"/>
    <w:rsid w:val="00D81949"/>
    <w:rsid w:val="00D81D3F"/>
    <w:rsid w:val="00D81D84"/>
    <w:rsid w:val="00D81DDD"/>
    <w:rsid w:val="00D81E15"/>
    <w:rsid w:val="00D81F26"/>
    <w:rsid w:val="00D81F2D"/>
    <w:rsid w:val="00D8207B"/>
    <w:rsid w:val="00D821EC"/>
    <w:rsid w:val="00D82217"/>
    <w:rsid w:val="00D822CF"/>
    <w:rsid w:val="00D822E2"/>
    <w:rsid w:val="00D82307"/>
    <w:rsid w:val="00D823FD"/>
    <w:rsid w:val="00D82466"/>
    <w:rsid w:val="00D82513"/>
    <w:rsid w:val="00D82721"/>
    <w:rsid w:val="00D8274B"/>
    <w:rsid w:val="00D827A0"/>
    <w:rsid w:val="00D827C3"/>
    <w:rsid w:val="00D828B6"/>
    <w:rsid w:val="00D8291C"/>
    <w:rsid w:val="00D82C0A"/>
    <w:rsid w:val="00D82DEC"/>
    <w:rsid w:val="00D83080"/>
    <w:rsid w:val="00D8349F"/>
    <w:rsid w:val="00D83598"/>
    <w:rsid w:val="00D8385B"/>
    <w:rsid w:val="00D83BA3"/>
    <w:rsid w:val="00D83D33"/>
    <w:rsid w:val="00D843BF"/>
    <w:rsid w:val="00D843F2"/>
    <w:rsid w:val="00D8447C"/>
    <w:rsid w:val="00D846DA"/>
    <w:rsid w:val="00D84888"/>
    <w:rsid w:val="00D84CA5"/>
    <w:rsid w:val="00D84E3A"/>
    <w:rsid w:val="00D8502E"/>
    <w:rsid w:val="00D85053"/>
    <w:rsid w:val="00D850CA"/>
    <w:rsid w:val="00D85177"/>
    <w:rsid w:val="00D851A0"/>
    <w:rsid w:val="00D851EE"/>
    <w:rsid w:val="00D85324"/>
    <w:rsid w:val="00D853A3"/>
    <w:rsid w:val="00D853FF"/>
    <w:rsid w:val="00D85471"/>
    <w:rsid w:val="00D854C2"/>
    <w:rsid w:val="00D85550"/>
    <w:rsid w:val="00D857B1"/>
    <w:rsid w:val="00D85866"/>
    <w:rsid w:val="00D858EA"/>
    <w:rsid w:val="00D8591B"/>
    <w:rsid w:val="00D85935"/>
    <w:rsid w:val="00D8594D"/>
    <w:rsid w:val="00D859BC"/>
    <w:rsid w:val="00D861B0"/>
    <w:rsid w:val="00D8620B"/>
    <w:rsid w:val="00D86231"/>
    <w:rsid w:val="00D86389"/>
    <w:rsid w:val="00D869AB"/>
    <w:rsid w:val="00D86EA6"/>
    <w:rsid w:val="00D86F0D"/>
    <w:rsid w:val="00D87148"/>
    <w:rsid w:val="00D871CB"/>
    <w:rsid w:val="00D873DD"/>
    <w:rsid w:val="00D87589"/>
    <w:rsid w:val="00D8765D"/>
    <w:rsid w:val="00D8777F"/>
    <w:rsid w:val="00D8782E"/>
    <w:rsid w:val="00D879B9"/>
    <w:rsid w:val="00D879BC"/>
    <w:rsid w:val="00D87AD0"/>
    <w:rsid w:val="00D87B1B"/>
    <w:rsid w:val="00D87D4D"/>
    <w:rsid w:val="00D87D9F"/>
    <w:rsid w:val="00D87E3E"/>
    <w:rsid w:val="00D87E49"/>
    <w:rsid w:val="00D87F33"/>
    <w:rsid w:val="00D87F56"/>
    <w:rsid w:val="00D90065"/>
    <w:rsid w:val="00D90100"/>
    <w:rsid w:val="00D901A5"/>
    <w:rsid w:val="00D9032C"/>
    <w:rsid w:val="00D904F8"/>
    <w:rsid w:val="00D9053E"/>
    <w:rsid w:val="00D90552"/>
    <w:rsid w:val="00D90655"/>
    <w:rsid w:val="00D90A35"/>
    <w:rsid w:val="00D90A3B"/>
    <w:rsid w:val="00D90C54"/>
    <w:rsid w:val="00D90CB3"/>
    <w:rsid w:val="00D90EF3"/>
    <w:rsid w:val="00D910A2"/>
    <w:rsid w:val="00D912AB"/>
    <w:rsid w:val="00D912EC"/>
    <w:rsid w:val="00D91315"/>
    <w:rsid w:val="00D915F8"/>
    <w:rsid w:val="00D91923"/>
    <w:rsid w:val="00D91A53"/>
    <w:rsid w:val="00D91AAF"/>
    <w:rsid w:val="00D91B4C"/>
    <w:rsid w:val="00D91BC4"/>
    <w:rsid w:val="00D91F1F"/>
    <w:rsid w:val="00D92219"/>
    <w:rsid w:val="00D922A9"/>
    <w:rsid w:val="00D922F4"/>
    <w:rsid w:val="00D925C5"/>
    <w:rsid w:val="00D9262E"/>
    <w:rsid w:val="00D92823"/>
    <w:rsid w:val="00D92BCB"/>
    <w:rsid w:val="00D92C16"/>
    <w:rsid w:val="00D92C66"/>
    <w:rsid w:val="00D92D9D"/>
    <w:rsid w:val="00D92EA0"/>
    <w:rsid w:val="00D93573"/>
    <w:rsid w:val="00D93753"/>
    <w:rsid w:val="00D9379E"/>
    <w:rsid w:val="00D938C6"/>
    <w:rsid w:val="00D9399E"/>
    <w:rsid w:val="00D93CED"/>
    <w:rsid w:val="00D93F20"/>
    <w:rsid w:val="00D93F55"/>
    <w:rsid w:val="00D93F83"/>
    <w:rsid w:val="00D93FD8"/>
    <w:rsid w:val="00D94029"/>
    <w:rsid w:val="00D9424E"/>
    <w:rsid w:val="00D94476"/>
    <w:rsid w:val="00D94714"/>
    <w:rsid w:val="00D9473A"/>
    <w:rsid w:val="00D94759"/>
    <w:rsid w:val="00D95062"/>
    <w:rsid w:val="00D950D6"/>
    <w:rsid w:val="00D9518B"/>
    <w:rsid w:val="00D951CE"/>
    <w:rsid w:val="00D95342"/>
    <w:rsid w:val="00D95350"/>
    <w:rsid w:val="00D953E9"/>
    <w:rsid w:val="00D955A7"/>
    <w:rsid w:val="00D955E6"/>
    <w:rsid w:val="00D9595A"/>
    <w:rsid w:val="00D95AD5"/>
    <w:rsid w:val="00D95B30"/>
    <w:rsid w:val="00D95C4B"/>
    <w:rsid w:val="00D95D38"/>
    <w:rsid w:val="00D960D5"/>
    <w:rsid w:val="00D96255"/>
    <w:rsid w:val="00D965F0"/>
    <w:rsid w:val="00D96985"/>
    <w:rsid w:val="00D96AC3"/>
    <w:rsid w:val="00D96D65"/>
    <w:rsid w:val="00D96DFA"/>
    <w:rsid w:val="00D96EA0"/>
    <w:rsid w:val="00D96F9E"/>
    <w:rsid w:val="00D9710B"/>
    <w:rsid w:val="00D97167"/>
    <w:rsid w:val="00D971E0"/>
    <w:rsid w:val="00D97312"/>
    <w:rsid w:val="00D973C6"/>
    <w:rsid w:val="00D973F2"/>
    <w:rsid w:val="00D975C4"/>
    <w:rsid w:val="00D97687"/>
    <w:rsid w:val="00D9769E"/>
    <w:rsid w:val="00D97801"/>
    <w:rsid w:val="00D97A37"/>
    <w:rsid w:val="00D97A9B"/>
    <w:rsid w:val="00D97AEF"/>
    <w:rsid w:val="00D97D7F"/>
    <w:rsid w:val="00D97D81"/>
    <w:rsid w:val="00D97DAB"/>
    <w:rsid w:val="00D97DD7"/>
    <w:rsid w:val="00D97DE4"/>
    <w:rsid w:val="00D97E5C"/>
    <w:rsid w:val="00D97E62"/>
    <w:rsid w:val="00D97F8C"/>
    <w:rsid w:val="00D97FE7"/>
    <w:rsid w:val="00DA00A5"/>
    <w:rsid w:val="00DA033F"/>
    <w:rsid w:val="00DA0511"/>
    <w:rsid w:val="00DA0790"/>
    <w:rsid w:val="00DA0872"/>
    <w:rsid w:val="00DA092E"/>
    <w:rsid w:val="00DA09CC"/>
    <w:rsid w:val="00DA0B1E"/>
    <w:rsid w:val="00DA0BC4"/>
    <w:rsid w:val="00DA0C9F"/>
    <w:rsid w:val="00DA0D02"/>
    <w:rsid w:val="00DA0E20"/>
    <w:rsid w:val="00DA0EBE"/>
    <w:rsid w:val="00DA0EDD"/>
    <w:rsid w:val="00DA10DD"/>
    <w:rsid w:val="00DA1243"/>
    <w:rsid w:val="00DA14A7"/>
    <w:rsid w:val="00DA155C"/>
    <w:rsid w:val="00DA16B2"/>
    <w:rsid w:val="00DA17CE"/>
    <w:rsid w:val="00DA17D8"/>
    <w:rsid w:val="00DA1A1C"/>
    <w:rsid w:val="00DA1A4C"/>
    <w:rsid w:val="00DA1A67"/>
    <w:rsid w:val="00DA1BD5"/>
    <w:rsid w:val="00DA1C23"/>
    <w:rsid w:val="00DA1CA3"/>
    <w:rsid w:val="00DA1CD0"/>
    <w:rsid w:val="00DA1CF0"/>
    <w:rsid w:val="00DA1D76"/>
    <w:rsid w:val="00DA20EE"/>
    <w:rsid w:val="00DA253C"/>
    <w:rsid w:val="00DA257A"/>
    <w:rsid w:val="00DA281E"/>
    <w:rsid w:val="00DA28E1"/>
    <w:rsid w:val="00DA291C"/>
    <w:rsid w:val="00DA295A"/>
    <w:rsid w:val="00DA2967"/>
    <w:rsid w:val="00DA2A9F"/>
    <w:rsid w:val="00DA2AAB"/>
    <w:rsid w:val="00DA2C4A"/>
    <w:rsid w:val="00DA2F78"/>
    <w:rsid w:val="00DA30F0"/>
    <w:rsid w:val="00DA3167"/>
    <w:rsid w:val="00DA3222"/>
    <w:rsid w:val="00DA3248"/>
    <w:rsid w:val="00DA3257"/>
    <w:rsid w:val="00DA32AC"/>
    <w:rsid w:val="00DA33B3"/>
    <w:rsid w:val="00DA38B4"/>
    <w:rsid w:val="00DA39B8"/>
    <w:rsid w:val="00DA39E1"/>
    <w:rsid w:val="00DA3A04"/>
    <w:rsid w:val="00DA3A81"/>
    <w:rsid w:val="00DA3AA9"/>
    <w:rsid w:val="00DA3AF8"/>
    <w:rsid w:val="00DA3CBF"/>
    <w:rsid w:val="00DA3E4F"/>
    <w:rsid w:val="00DA3E6E"/>
    <w:rsid w:val="00DA3EA9"/>
    <w:rsid w:val="00DA3EF9"/>
    <w:rsid w:val="00DA3FB3"/>
    <w:rsid w:val="00DA4013"/>
    <w:rsid w:val="00DA4050"/>
    <w:rsid w:val="00DA406E"/>
    <w:rsid w:val="00DA43DF"/>
    <w:rsid w:val="00DA45E5"/>
    <w:rsid w:val="00DA460D"/>
    <w:rsid w:val="00DA4631"/>
    <w:rsid w:val="00DA4653"/>
    <w:rsid w:val="00DA4750"/>
    <w:rsid w:val="00DA4918"/>
    <w:rsid w:val="00DA4A94"/>
    <w:rsid w:val="00DA4AE6"/>
    <w:rsid w:val="00DA4B2C"/>
    <w:rsid w:val="00DA4BE3"/>
    <w:rsid w:val="00DA4D08"/>
    <w:rsid w:val="00DA4D9E"/>
    <w:rsid w:val="00DA4DC3"/>
    <w:rsid w:val="00DA4E3D"/>
    <w:rsid w:val="00DA4F13"/>
    <w:rsid w:val="00DA4F52"/>
    <w:rsid w:val="00DA4FB0"/>
    <w:rsid w:val="00DA517B"/>
    <w:rsid w:val="00DA5318"/>
    <w:rsid w:val="00DA541D"/>
    <w:rsid w:val="00DA5544"/>
    <w:rsid w:val="00DA59BF"/>
    <w:rsid w:val="00DA59D8"/>
    <w:rsid w:val="00DA5A1A"/>
    <w:rsid w:val="00DA5AA0"/>
    <w:rsid w:val="00DA5AEE"/>
    <w:rsid w:val="00DA5C32"/>
    <w:rsid w:val="00DA5CDB"/>
    <w:rsid w:val="00DA5F13"/>
    <w:rsid w:val="00DA5FED"/>
    <w:rsid w:val="00DA60DA"/>
    <w:rsid w:val="00DA6146"/>
    <w:rsid w:val="00DA62B9"/>
    <w:rsid w:val="00DA62E2"/>
    <w:rsid w:val="00DA661F"/>
    <w:rsid w:val="00DA6625"/>
    <w:rsid w:val="00DA6663"/>
    <w:rsid w:val="00DA666C"/>
    <w:rsid w:val="00DA66B3"/>
    <w:rsid w:val="00DA6789"/>
    <w:rsid w:val="00DA6824"/>
    <w:rsid w:val="00DA6B55"/>
    <w:rsid w:val="00DA6C53"/>
    <w:rsid w:val="00DA6D44"/>
    <w:rsid w:val="00DA6E34"/>
    <w:rsid w:val="00DA6F7B"/>
    <w:rsid w:val="00DA720B"/>
    <w:rsid w:val="00DA7261"/>
    <w:rsid w:val="00DA735F"/>
    <w:rsid w:val="00DA747F"/>
    <w:rsid w:val="00DA7524"/>
    <w:rsid w:val="00DA7544"/>
    <w:rsid w:val="00DA75C0"/>
    <w:rsid w:val="00DA7601"/>
    <w:rsid w:val="00DA7648"/>
    <w:rsid w:val="00DA7789"/>
    <w:rsid w:val="00DA77A5"/>
    <w:rsid w:val="00DA7965"/>
    <w:rsid w:val="00DA7A26"/>
    <w:rsid w:val="00DA7B51"/>
    <w:rsid w:val="00DA7C14"/>
    <w:rsid w:val="00DA7C9D"/>
    <w:rsid w:val="00DA7D07"/>
    <w:rsid w:val="00DA7DA7"/>
    <w:rsid w:val="00DA7DF8"/>
    <w:rsid w:val="00DB0077"/>
    <w:rsid w:val="00DB008A"/>
    <w:rsid w:val="00DB012B"/>
    <w:rsid w:val="00DB01ED"/>
    <w:rsid w:val="00DB020C"/>
    <w:rsid w:val="00DB04B0"/>
    <w:rsid w:val="00DB099E"/>
    <w:rsid w:val="00DB09A6"/>
    <w:rsid w:val="00DB0CE3"/>
    <w:rsid w:val="00DB0E36"/>
    <w:rsid w:val="00DB1147"/>
    <w:rsid w:val="00DB134D"/>
    <w:rsid w:val="00DB1415"/>
    <w:rsid w:val="00DB16F5"/>
    <w:rsid w:val="00DB171D"/>
    <w:rsid w:val="00DB189B"/>
    <w:rsid w:val="00DB19DE"/>
    <w:rsid w:val="00DB1B47"/>
    <w:rsid w:val="00DB1E36"/>
    <w:rsid w:val="00DB1E9B"/>
    <w:rsid w:val="00DB1EFD"/>
    <w:rsid w:val="00DB1F20"/>
    <w:rsid w:val="00DB1F73"/>
    <w:rsid w:val="00DB21E3"/>
    <w:rsid w:val="00DB2215"/>
    <w:rsid w:val="00DB2388"/>
    <w:rsid w:val="00DB24F7"/>
    <w:rsid w:val="00DB268E"/>
    <w:rsid w:val="00DB2723"/>
    <w:rsid w:val="00DB279D"/>
    <w:rsid w:val="00DB27BD"/>
    <w:rsid w:val="00DB289A"/>
    <w:rsid w:val="00DB292B"/>
    <w:rsid w:val="00DB298B"/>
    <w:rsid w:val="00DB29EA"/>
    <w:rsid w:val="00DB2B44"/>
    <w:rsid w:val="00DB2BE2"/>
    <w:rsid w:val="00DB3213"/>
    <w:rsid w:val="00DB33D0"/>
    <w:rsid w:val="00DB34E8"/>
    <w:rsid w:val="00DB34FC"/>
    <w:rsid w:val="00DB3666"/>
    <w:rsid w:val="00DB381A"/>
    <w:rsid w:val="00DB38C4"/>
    <w:rsid w:val="00DB39BF"/>
    <w:rsid w:val="00DB3D1D"/>
    <w:rsid w:val="00DB3D3F"/>
    <w:rsid w:val="00DB3DB3"/>
    <w:rsid w:val="00DB3DBF"/>
    <w:rsid w:val="00DB3F49"/>
    <w:rsid w:val="00DB4070"/>
    <w:rsid w:val="00DB41E6"/>
    <w:rsid w:val="00DB42E6"/>
    <w:rsid w:val="00DB4345"/>
    <w:rsid w:val="00DB434D"/>
    <w:rsid w:val="00DB4350"/>
    <w:rsid w:val="00DB46BD"/>
    <w:rsid w:val="00DB484F"/>
    <w:rsid w:val="00DB4A8F"/>
    <w:rsid w:val="00DB4B1C"/>
    <w:rsid w:val="00DB4B36"/>
    <w:rsid w:val="00DB4DF7"/>
    <w:rsid w:val="00DB4F84"/>
    <w:rsid w:val="00DB4FFC"/>
    <w:rsid w:val="00DB51E0"/>
    <w:rsid w:val="00DB53D8"/>
    <w:rsid w:val="00DB54AC"/>
    <w:rsid w:val="00DB555F"/>
    <w:rsid w:val="00DB5912"/>
    <w:rsid w:val="00DB59A0"/>
    <w:rsid w:val="00DB5A3F"/>
    <w:rsid w:val="00DB5D82"/>
    <w:rsid w:val="00DB5EB7"/>
    <w:rsid w:val="00DB5F0F"/>
    <w:rsid w:val="00DB6380"/>
    <w:rsid w:val="00DB651E"/>
    <w:rsid w:val="00DB6733"/>
    <w:rsid w:val="00DB6757"/>
    <w:rsid w:val="00DB69BC"/>
    <w:rsid w:val="00DB6A77"/>
    <w:rsid w:val="00DB6A84"/>
    <w:rsid w:val="00DB6EDD"/>
    <w:rsid w:val="00DB70DA"/>
    <w:rsid w:val="00DB70EA"/>
    <w:rsid w:val="00DB7121"/>
    <w:rsid w:val="00DB7293"/>
    <w:rsid w:val="00DB72C5"/>
    <w:rsid w:val="00DB7341"/>
    <w:rsid w:val="00DB75E5"/>
    <w:rsid w:val="00DB76D5"/>
    <w:rsid w:val="00DB78C6"/>
    <w:rsid w:val="00DB78FA"/>
    <w:rsid w:val="00DB7A5B"/>
    <w:rsid w:val="00DB7A68"/>
    <w:rsid w:val="00DB7AC1"/>
    <w:rsid w:val="00DB7E22"/>
    <w:rsid w:val="00DC002E"/>
    <w:rsid w:val="00DC0196"/>
    <w:rsid w:val="00DC021F"/>
    <w:rsid w:val="00DC0246"/>
    <w:rsid w:val="00DC02DB"/>
    <w:rsid w:val="00DC03AC"/>
    <w:rsid w:val="00DC0474"/>
    <w:rsid w:val="00DC04F6"/>
    <w:rsid w:val="00DC0690"/>
    <w:rsid w:val="00DC079A"/>
    <w:rsid w:val="00DC091D"/>
    <w:rsid w:val="00DC09C8"/>
    <w:rsid w:val="00DC0A70"/>
    <w:rsid w:val="00DC0B5A"/>
    <w:rsid w:val="00DC0C44"/>
    <w:rsid w:val="00DC0C98"/>
    <w:rsid w:val="00DC0D8E"/>
    <w:rsid w:val="00DC0DCC"/>
    <w:rsid w:val="00DC0F40"/>
    <w:rsid w:val="00DC0F5D"/>
    <w:rsid w:val="00DC0FA9"/>
    <w:rsid w:val="00DC0FF9"/>
    <w:rsid w:val="00DC105E"/>
    <w:rsid w:val="00DC11A2"/>
    <w:rsid w:val="00DC11A3"/>
    <w:rsid w:val="00DC127E"/>
    <w:rsid w:val="00DC136C"/>
    <w:rsid w:val="00DC15CA"/>
    <w:rsid w:val="00DC185B"/>
    <w:rsid w:val="00DC1981"/>
    <w:rsid w:val="00DC19CA"/>
    <w:rsid w:val="00DC19E7"/>
    <w:rsid w:val="00DC1ABA"/>
    <w:rsid w:val="00DC1C00"/>
    <w:rsid w:val="00DC1C24"/>
    <w:rsid w:val="00DC1C67"/>
    <w:rsid w:val="00DC1D65"/>
    <w:rsid w:val="00DC1F1B"/>
    <w:rsid w:val="00DC1F7E"/>
    <w:rsid w:val="00DC2038"/>
    <w:rsid w:val="00DC219A"/>
    <w:rsid w:val="00DC21F4"/>
    <w:rsid w:val="00DC2256"/>
    <w:rsid w:val="00DC2316"/>
    <w:rsid w:val="00DC255B"/>
    <w:rsid w:val="00DC27A6"/>
    <w:rsid w:val="00DC2924"/>
    <w:rsid w:val="00DC2A38"/>
    <w:rsid w:val="00DC2CAC"/>
    <w:rsid w:val="00DC2F36"/>
    <w:rsid w:val="00DC2F47"/>
    <w:rsid w:val="00DC2FE2"/>
    <w:rsid w:val="00DC3015"/>
    <w:rsid w:val="00DC3025"/>
    <w:rsid w:val="00DC30F8"/>
    <w:rsid w:val="00DC315E"/>
    <w:rsid w:val="00DC31B2"/>
    <w:rsid w:val="00DC3265"/>
    <w:rsid w:val="00DC3272"/>
    <w:rsid w:val="00DC3416"/>
    <w:rsid w:val="00DC34B5"/>
    <w:rsid w:val="00DC3553"/>
    <w:rsid w:val="00DC3644"/>
    <w:rsid w:val="00DC367C"/>
    <w:rsid w:val="00DC36EC"/>
    <w:rsid w:val="00DC36FD"/>
    <w:rsid w:val="00DC3787"/>
    <w:rsid w:val="00DC3C57"/>
    <w:rsid w:val="00DC3FE0"/>
    <w:rsid w:val="00DC471E"/>
    <w:rsid w:val="00DC4726"/>
    <w:rsid w:val="00DC4751"/>
    <w:rsid w:val="00DC47D0"/>
    <w:rsid w:val="00DC4816"/>
    <w:rsid w:val="00DC48E2"/>
    <w:rsid w:val="00DC4960"/>
    <w:rsid w:val="00DC4A10"/>
    <w:rsid w:val="00DC4B27"/>
    <w:rsid w:val="00DC4BB0"/>
    <w:rsid w:val="00DC4BD8"/>
    <w:rsid w:val="00DC4C9A"/>
    <w:rsid w:val="00DC516F"/>
    <w:rsid w:val="00DC51C0"/>
    <w:rsid w:val="00DC51D9"/>
    <w:rsid w:val="00DC5216"/>
    <w:rsid w:val="00DC54ED"/>
    <w:rsid w:val="00DC5501"/>
    <w:rsid w:val="00DC55BE"/>
    <w:rsid w:val="00DC5760"/>
    <w:rsid w:val="00DC585A"/>
    <w:rsid w:val="00DC58F4"/>
    <w:rsid w:val="00DC5AC7"/>
    <w:rsid w:val="00DC5DE4"/>
    <w:rsid w:val="00DC5ECF"/>
    <w:rsid w:val="00DC5EFB"/>
    <w:rsid w:val="00DC6151"/>
    <w:rsid w:val="00DC640B"/>
    <w:rsid w:val="00DC65DC"/>
    <w:rsid w:val="00DC6647"/>
    <w:rsid w:val="00DC6648"/>
    <w:rsid w:val="00DC6685"/>
    <w:rsid w:val="00DC66B7"/>
    <w:rsid w:val="00DC6AD0"/>
    <w:rsid w:val="00DC6B4A"/>
    <w:rsid w:val="00DC6B73"/>
    <w:rsid w:val="00DC6BD9"/>
    <w:rsid w:val="00DC6E17"/>
    <w:rsid w:val="00DC6E38"/>
    <w:rsid w:val="00DC6F45"/>
    <w:rsid w:val="00DC707B"/>
    <w:rsid w:val="00DC70F7"/>
    <w:rsid w:val="00DC7154"/>
    <w:rsid w:val="00DC7492"/>
    <w:rsid w:val="00DC750B"/>
    <w:rsid w:val="00DC75BC"/>
    <w:rsid w:val="00DC7620"/>
    <w:rsid w:val="00DC780B"/>
    <w:rsid w:val="00DC7887"/>
    <w:rsid w:val="00DC7DCC"/>
    <w:rsid w:val="00DC7E8A"/>
    <w:rsid w:val="00DC7FE9"/>
    <w:rsid w:val="00DD01A8"/>
    <w:rsid w:val="00DD0254"/>
    <w:rsid w:val="00DD02B8"/>
    <w:rsid w:val="00DD04D0"/>
    <w:rsid w:val="00DD08EE"/>
    <w:rsid w:val="00DD09D5"/>
    <w:rsid w:val="00DD0DD3"/>
    <w:rsid w:val="00DD0E16"/>
    <w:rsid w:val="00DD0F78"/>
    <w:rsid w:val="00DD1141"/>
    <w:rsid w:val="00DD114A"/>
    <w:rsid w:val="00DD1163"/>
    <w:rsid w:val="00DD136F"/>
    <w:rsid w:val="00DD149E"/>
    <w:rsid w:val="00DD1581"/>
    <w:rsid w:val="00DD1749"/>
    <w:rsid w:val="00DD18A9"/>
    <w:rsid w:val="00DD1A27"/>
    <w:rsid w:val="00DD1A55"/>
    <w:rsid w:val="00DD1B63"/>
    <w:rsid w:val="00DD1D1E"/>
    <w:rsid w:val="00DD1DA5"/>
    <w:rsid w:val="00DD1DE6"/>
    <w:rsid w:val="00DD1E69"/>
    <w:rsid w:val="00DD20E3"/>
    <w:rsid w:val="00DD2256"/>
    <w:rsid w:val="00DD2365"/>
    <w:rsid w:val="00DD26A5"/>
    <w:rsid w:val="00DD273C"/>
    <w:rsid w:val="00DD290F"/>
    <w:rsid w:val="00DD2B80"/>
    <w:rsid w:val="00DD309A"/>
    <w:rsid w:val="00DD32BD"/>
    <w:rsid w:val="00DD32FE"/>
    <w:rsid w:val="00DD334A"/>
    <w:rsid w:val="00DD339B"/>
    <w:rsid w:val="00DD3421"/>
    <w:rsid w:val="00DD3554"/>
    <w:rsid w:val="00DD3728"/>
    <w:rsid w:val="00DD3B4D"/>
    <w:rsid w:val="00DD3C30"/>
    <w:rsid w:val="00DD3CAA"/>
    <w:rsid w:val="00DD3ED7"/>
    <w:rsid w:val="00DD3F28"/>
    <w:rsid w:val="00DD3F9E"/>
    <w:rsid w:val="00DD41B5"/>
    <w:rsid w:val="00DD432E"/>
    <w:rsid w:val="00DD4446"/>
    <w:rsid w:val="00DD4537"/>
    <w:rsid w:val="00DD471A"/>
    <w:rsid w:val="00DD482F"/>
    <w:rsid w:val="00DD4869"/>
    <w:rsid w:val="00DD48A9"/>
    <w:rsid w:val="00DD4972"/>
    <w:rsid w:val="00DD4A13"/>
    <w:rsid w:val="00DD4BB8"/>
    <w:rsid w:val="00DD4C1A"/>
    <w:rsid w:val="00DD4CE2"/>
    <w:rsid w:val="00DD4D6E"/>
    <w:rsid w:val="00DD4E15"/>
    <w:rsid w:val="00DD5274"/>
    <w:rsid w:val="00DD54E4"/>
    <w:rsid w:val="00DD5725"/>
    <w:rsid w:val="00DD590A"/>
    <w:rsid w:val="00DD5A0A"/>
    <w:rsid w:val="00DD5F21"/>
    <w:rsid w:val="00DD5F7E"/>
    <w:rsid w:val="00DD601C"/>
    <w:rsid w:val="00DD60D0"/>
    <w:rsid w:val="00DD610F"/>
    <w:rsid w:val="00DD6167"/>
    <w:rsid w:val="00DD62A0"/>
    <w:rsid w:val="00DD6475"/>
    <w:rsid w:val="00DD65C1"/>
    <w:rsid w:val="00DD669D"/>
    <w:rsid w:val="00DD67E3"/>
    <w:rsid w:val="00DD67F2"/>
    <w:rsid w:val="00DD68B1"/>
    <w:rsid w:val="00DD6942"/>
    <w:rsid w:val="00DD69B1"/>
    <w:rsid w:val="00DD69C9"/>
    <w:rsid w:val="00DD6A55"/>
    <w:rsid w:val="00DD6C97"/>
    <w:rsid w:val="00DD6FBE"/>
    <w:rsid w:val="00DD707D"/>
    <w:rsid w:val="00DD7294"/>
    <w:rsid w:val="00DD74EB"/>
    <w:rsid w:val="00DD75A5"/>
    <w:rsid w:val="00DD765A"/>
    <w:rsid w:val="00DD76F7"/>
    <w:rsid w:val="00DD7742"/>
    <w:rsid w:val="00DD78BB"/>
    <w:rsid w:val="00DD790E"/>
    <w:rsid w:val="00DD7BF9"/>
    <w:rsid w:val="00DD7C1C"/>
    <w:rsid w:val="00DD7DA8"/>
    <w:rsid w:val="00DD7DAD"/>
    <w:rsid w:val="00DD7E25"/>
    <w:rsid w:val="00DD7F66"/>
    <w:rsid w:val="00DE013F"/>
    <w:rsid w:val="00DE02A8"/>
    <w:rsid w:val="00DE0568"/>
    <w:rsid w:val="00DE05C5"/>
    <w:rsid w:val="00DE06FC"/>
    <w:rsid w:val="00DE086F"/>
    <w:rsid w:val="00DE09F6"/>
    <w:rsid w:val="00DE0BDA"/>
    <w:rsid w:val="00DE0D12"/>
    <w:rsid w:val="00DE0F57"/>
    <w:rsid w:val="00DE102D"/>
    <w:rsid w:val="00DE1259"/>
    <w:rsid w:val="00DE1265"/>
    <w:rsid w:val="00DE12B3"/>
    <w:rsid w:val="00DE150F"/>
    <w:rsid w:val="00DE1554"/>
    <w:rsid w:val="00DE1745"/>
    <w:rsid w:val="00DE1863"/>
    <w:rsid w:val="00DE192D"/>
    <w:rsid w:val="00DE1A04"/>
    <w:rsid w:val="00DE1AFE"/>
    <w:rsid w:val="00DE1B66"/>
    <w:rsid w:val="00DE1B76"/>
    <w:rsid w:val="00DE1C6D"/>
    <w:rsid w:val="00DE1C6E"/>
    <w:rsid w:val="00DE1F6E"/>
    <w:rsid w:val="00DE1F7B"/>
    <w:rsid w:val="00DE1FC7"/>
    <w:rsid w:val="00DE1FCA"/>
    <w:rsid w:val="00DE2304"/>
    <w:rsid w:val="00DE230F"/>
    <w:rsid w:val="00DE2541"/>
    <w:rsid w:val="00DE2746"/>
    <w:rsid w:val="00DE2919"/>
    <w:rsid w:val="00DE29B2"/>
    <w:rsid w:val="00DE29D8"/>
    <w:rsid w:val="00DE2BFC"/>
    <w:rsid w:val="00DE2F70"/>
    <w:rsid w:val="00DE3017"/>
    <w:rsid w:val="00DE3028"/>
    <w:rsid w:val="00DE3129"/>
    <w:rsid w:val="00DE3138"/>
    <w:rsid w:val="00DE3242"/>
    <w:rsid w:val="00DE336D"/>
    <w:rsid w:val="00DE3484"/>
    <w:rsid w:val="00DE34EC"/>
    <w:rsid w:val="00DE37F8"/>
    <w:rsid w:val="00DE382A"/>
    <w:rsid w:val="00DE38D5"/>
    <w:rsid w:val="00DE3AA7"/>
    <w:rsid w:val="00DE3B08"/>
    <w:rsid w:val="00DE3B52"/>
    <w:rsid w:val="00DE3B64"/>
    <w:rsid w:val="00DE3B7E"/>
    <w:rsid w:val="00DE3B98"/>
    <w:rsid w:val="00DE3C09"/>
    <w:rsid w:val="00DE3C1A"/>
    <w:rsid w:val="00DE3C75"/>
    <w:rsid w:val="00DE3C8F"/>
    <w:rsid w:val="00DE3D21"/>
    <w:rsid w:val="00DE3DBE"/>
    <w:rsid w:val="00DE3E10"/>
    <w:rsid w:val="00DE3F22"/>
    <w:rsid w:val="00DE423A"/>
    <w:rsid w:val="00DE4273"/>
    <w:rsid w:val="00DE42FE"/>
    <w:rsid w:val="00DE43DB"/>
    <w:rsid w:val="00DE43DC"/>
    <w:rsid w:val="00DE4465"/>
    <w:rsid w:val="00DE45F9"/>
    <w:rsid w:val="00DE4602"/>
    <w:rsid w:val="00DE492D"/>
    <w:rsid w:val="00DE4A8B"/>
    <w:rsid w:val="00DE4BA6"/>
    <w:rsid w:val="00DE4BC4"/>
    <w:rsid w:val="00DE4D18"/>
    <w:rsid w:val="00DE4D92"/>
    <w:rsid w:val="00DE4E1E"/>
    <w:rsid w:val="00DE4E78"/>
    <w:rsid w:val="00DE4EA3"/>
    <w:rsid w:val="00DE4EE3"/>
    <w:rsid w:val="00DE4FCB"/>
    <w:rsid w:val="00DE50A6"/>
    <w:rsid w:val="00DE5276"/>
    <w:rsid w:val="00DE5309"/>
    <w:rsid w:val="00DE53B1"/>
    <w:rsid w:val="00DE54BB"/>
    <w:rsid w:val="00DE56A2"/>
    <w:rsid w:val="00DE56A8"/>
    <w:rsid w:val="00DE57BC"/>
    <w:rsid w:val="00DE58B6"/>
    <w:rsid w:val="00DE5A23"/>
    <w:rsid w:val="00DE5AF3"/>
    <w:rsid w:val="00DE5D07"/>
    <w:rsid w:val="00DE5DD1"/>
    <w:rsid w:val="00DE5E99"/>
    <w:rsid w:val="00DE5F29"/>
    <w:rsid w:val="00DE6121"/>
    <w:rsid w:val="00DE6157"/>
    <w:rsid w:val="00DE6200"/>
    <w:rsid w:val="00DE631C"/>
    <w:rsid w:val="00DE644C"/>
    <w:rsid w:val="00DE6547"/>
    <w:rsid w:val="00DE67DB"/>
    <w:rsid w:val="00DE6894"/>
    <w:rsid w:val="00DE692C"/>
    <w:rsid w:val="00DE6A88"/>
    <w:rsid w:val="00DE6B14"/>
    <w:rsid w:val="00DE6BCC"/>
    <w:rsid w:val="00DE6C8F"/>
    <w:rsid w:val="00DE6DEE"/>
    <w:rsid w:val="00DE6EB7"/>
    <w:rsid w:val="00DE704F"/>
    <w:rsid w:val="00DE70C7"/>
    <w:rsid w:val="00DE7279"/>
    <w:rsid w:val="00DE72A7"/>
    <w:rsid w:val="00DE7832"/>
    <w:rsid w:val="00DE7B60"/>
    <w:rsid w:val="00DE7BB5"/>
    <w:rsid w:val="00DE7BE8"/>
    <w:rsid w:val="00DE7C25"/>
    <w:rsid w:val="00DE7D72"/>
    <w:rsid w:val="00DE7E3C"/>
    <w:rsid w:val="00DE7EDC"/>
    <w:rsid w:val="00DE7FA0"/>
    <w:rsid w:val="00DF0226"/>
    <w:rsid w:val="00DF0318"/>
    <w:rsid w:val="00DF0442"/>
    <w:rsid w:val="00DF04BE"/>
    <w:rsid w:val="00DF0739"/>
    <w:rsid w:val="00DF0762"/>
    <w:rsid w:val="00DF0ABC"/>
    <w:rsid w:val="00DF0B4A"/>
    <w:rsid w:val="00DF0B5C"/>
    <w:rsid w:val="00DF0B70"/>
    <w:rsid w:val="00DF0C14"/>
    <w:rsid w:val="00DF0C17"/>
    <w:rsid w:val="00DF0DC4"/>
    <w:rsid w:val="00DF0F9F"/>
    <w:rsid w:val="00DF118A"/>
    <w:rsid w:val="00DF1396"/>
    <w:rsid w:val="00DF1606"/>
    <w:rsid w:val="00DF179C"/>
    <w:rsid w:val="00DF1838"/>
    <w:rsid w:val="00DF18FC"/>
    <w:rsid w:val="00DF1909"/>
    <w:rsid w:val="00DF1E42"/>
    <w:rsid w:val="00DF1FE9"/>
    <w:rsid w:val="00DF202D"/>
    <w:rsid w:val="00DF2181"/>
    <w:rsid w:val="00DF2224"/>
    <w:rsid w:val="00DF236C"/>
    <w:rsid w:val="00DF23D3"/>
    <w:rsid w:val="00DF259E"/>
    <w:rsid w:val="00DF26C4"/>
    <w:rsid w:val="00DF2741"/>
    <w:rsid w:val="00DF282C"/>
    <w:rsid w:val="00DF2852"/>
    <w:rsid w:val="00DF299E"/>
    <w:rsid w:val="00DF2AF1"/>
    <w:rsid w:val="00DF2BEC"/>
    <w:rsid w:val="00DF2C4A"/>
    <w:rsid w:val="00DF2C75"/>
    <w:rsid w:val="00DF2CAE"/>
    <w:rsid w:val="00DF2DC9"/>
    <w:rsid w:val="00DF2E86"/>
    <w:rsid w:val="00DF2F8F"/>
    <w:rsid w:val="00DF314C"/>
    <w:rsid w:val="00DF3452"/>
    <w:rsid w:val="00DF355F"/>
    <w:rsid w:val="00DF35B2"/>
    <w:rsid w:val="00DF35D8"/>
    <w:rsid w:val="00DF3842"/>
    <w:rsid w:val="00DF3992"/>
    <w:rsid w:val="00DF39CF"/>
    <w:rsid w:val="00DF39E0"/>
    <w:rsid w:val="00DF3BBC"/>
    <w:rsid w:val="00DF3D48"/>
    <w:rsid w:val="00DF3DA9"/>
    <w:rsid w:val="00DF3E81"/>
    <w:rsid w:val="00DF3FE3"/>
    <w:rsid w:val="00DF40F6"/>
    <w:rsid w:val="00DF413A"/>
    <w:rsid w:val="00DF42F6"/>
    <w:rsid w:val="00DF45DE"/>
    <w:rsid w:val="00DF471D"/>
    <w:rsid w:val="00DF486F"/>
    <w:rsid w:val="00DF4987"/>
    <w:rsid w:val="00DF4AA3"/>
    <w:rsid w:val="00DF4C70"/>
    <w:rsid w:val="00DF4DB8"/>
    <w:rsid w:val="00DF5133"/>
    <w:rsid w:val="00DF5144"/>
    <w:rsid w:val="00DF51CD"/>
    <w:rsid w:val="00DF5328"/>
    <w:rsid w:val="00DF553A"/>
    <w:rsid w:val="00DF561B"/>
    <w:rsid w:val="00DF58BB"/>
    <w:rsid w:val="00DF58DC"/>
    <w:rsid w:val="00DF5904"/>
    <w:rsid w:val="00DF5D2B"/>
    <w:rsid w:val="00DF5D59"/>
    <w:rsid w:val="00DF60D5"/>
    <w:rsid w:val="00DF60E5"/>
    <w:rsid w:val="00DF6238"/>
    <w:rsid w:val="00DF6341"/>
    <w:rsid w:val="00DF642A"/>
    <w:rsid w:val="00DF65C4"/>
    <w:rsid w:val="00DF6907"/>
    <w:rsid w:val="00DF69C9"/>
    <w:rsid w:val="00DF6A15"/>
    <w:rsid w:val="00DF6C43"/>
    <w:rsid w:val="00DF6CC3"/>
    <w:rsid w:val="00DF6E04"/>
    <w:rsid w:val="00DF6E38"/>
    <w:rsid w:val="00DF6EBD"/>
    <w:rsid w:val="00DF72B5"/>
    <w:rsid w:val="00DF736B"/>
    <w:rsid w:val="00DF75C8"/>
    <w:rsid w:val="00DF76BA"/>
    <w:rsid w:val="00DF77BF"/>
    <w:rsid w:val="00DF7BEF"/>
    <w:rsid w:val="00DF7C11"/>
    <w:rsid w:val="00DF7D66"/>
    <w:rsid w:val="00DF7E38"/>
    <w:rsid w:val="00DF7E9B"/>
    <w:rsid w:val="00E00201"/>
    <w:rsid w:val="00E003D8"/>
    <w:rsid w:val="00E0040B"/>
    <w:rsid w:val="00E004A8"/>
    <w:rsid w:val="00E00951"/>
    <w:rsid w:val="00E0096D"/>
    <w:rsid w:val="00E009ED"/>
    <w:rsid w:val="00E00C18"/>
    <w:rsid w:val="00E00DD2"/>
    <w:rsid w:val="00E00DDC"/>
    <w:rsid w:val="00E00E8E"/>
    <w:rsid w:val="00E00EF7"/>
    <w:rsid w:val="00E012F1"/>
    <w:rsid w:val="00E0168B"/>
    <w:rsid w:val="00E016A5"/>
    <w:rsid w:val="00E017C9"/>
    <w:rsid w:val="00E01892"/>
    <w:rsid w:val="00E019AE"/>
    <w:rsid w:val="00E01A92"/>
    <w:rsid w:val="00E01ABE"/>
    <w:rsid w:val="00E01B81"/>
    <w:rsid w:val="00E01CCA"/>
    <w:rsid w:val="00E022A2"/>
    <w:rsid w:val="00E02321"/>
    <w:rsid w:val="00E02366"/>
    <w:rsid w:val="00E0236B"/>
    <w:rsid w:val="00E0256C"/>
    <w:rsid w:val="00E026DF"/>
    <w:rsid w:val="00E0273C"/>
    <w:rsid w:val="00E02757"/>
    <w:rsid w:val="00E0288F"/>
    <w:rsid w:val="00E029BD"/>
    <w:rsid w:val="00E02A59"/>
    <w:rsid w:val="00E02B4B"/>
    <w:rsid w:val="00E02C07"/>
    <w:rsid w:val="00E02D82"/>
    <w:rsid w:val="00E02D99"/>
    <w:rsid w:val="00E02E67"/>
    <w:rsid w:val="00E02EDF"/>
    <w:rsid w:val="00E02F4A"/>
    <w:rsid w:val="00E03275"/>
    <w:rsid w:val="00E033AB"/>
    <w:rsid w:val="00E034FB"/>
    <w:rsid w:val="00E0353E"/>
    <w:rsid w:val="00E035A4"/>
    <w:rsid w:val="00E03BFE"/>
    <w:rsid w:val="00E03CB2"/>
    <w:rsid w:val="00E03CFE"/>
    <w:rsid w:val="00E03EE2"/>
    <w:rsid w:val="00E040F8"/>
    <w:rsid w:val="00E043B7"/>
    <w:rsid w:val="00E043C1"/>
    <w:rsid w:val="00E043FF"/>
    <w:rsid w:val="00E0442A"/>
    <w:rsid w:val="00E044C5"/>
    <w:rsid w:val="00E0482F"/>
    <w:rsid w:val="00E0494A"/>
    <w:rsid w:val="00E04F37"/>
    <w:rsid w:val="00E05078"/>
    <w:rsid w:val="00E0507B"/>
    <w:rsid w:val="00E050F5"/>
    <w:rsid w:val="00E051F2"/>
    <w:rsid w:val="00E05214"/>
    <w:rsid w:val="00E0539C"/>
    <w:rsid w:val="00E054C0"/>
    <w:rsid w:val="00E05509"/>
    <w:rsid w:val="00E05580"/>
    <w:rsid w:val="00E05630"/>
    <w:rsid w:val="00E0575B"/>
    <w:rsid w:val="00E05810"/>
    <w:rsid w:val="00E0589B"/>
    <w:rsid w:val="00E058DA"/>
    <w:rsid w:val="00E05A29"/>
    <w:rsid w:val="00E05BA5"/>
    <w:rsid w:val="00E05CC2"/>
    <w:rsid w:val="00E05D07"/>
    <w:rsid w:val="00E05E49"/>
    <w:rsid w:val="00E05EA9"/>
    <w:rsid w:val="00E06085"/>
    <w:rsid w:val="00E06168"/>
    <w:rsid w:val="00E06488"/>
    <w:rsid w:val="00E06501"/>
    <w:rsid w:val="00E06585"/>
    <w:rsid w:val="00E066E6"/>
    <w:rsid w:val="00E06706"/>
    <w:rsid w:val="00E06741"/>
    <w:rsid w:val="00E068E0"/>
    <w:rsid w:val="00E06AB3"/>
    <w:rsid w:val="00E06DBB"/>
    <w:rsid w:val="00E06E5A"/>
    <w:rsid w:val="00E06E99"/>
    <w:rsid w:val="00E06F34"/>
    <w:rsid w:val="00E06F8A"/>
    <w:rsid w:val="00E06FC0"/>
    <w:rsid w:val="00E072F3"/>
    <w:rsid w:val="00E07349"/>
    <w:rsid w:val="00E0739C"/>
    <w:rsid w:val="00E073C9"/>
    <w:rsid w:val="00E07578"/>
    <w:rsid w:val="00E07604"/>
    <w:rsid w:val="00E07651"/>
    <w:rsid w:val="00E07673"/>
    <w:rsid w:val="00E07701"/>
    <w:rsid w:val="00E077BD"/>
    <w:rsid w:val="00E077D7"/>
    <w:rsid w:val="00E0782A"/>
    <w:rsid w:val="00E0782F"/>
    <w:rsid w:val="00E078CB"/>
    <w:rsid w:val="00E07DD6"/>
    <w:rsid w:val="00E07ED4"/>
    <w:rsid w:val="00E07F04"/>
    <w:rsid w:val="00E10083"/>
    <w:rsid w:val="00E10149"/>
    <w:rsid w:val="00E10265"/>
    <w:rsid w:val="00E10303"/>
    <w:rsid w:val="00E1042E"/>
    <w:rsid w:val="00E1063B"/>
    <w:rsid w:val="00E10A84"/>
    <w:rsid w:val="00E10C5D"/>
    <w:rsid w:val="00E10C62"/>
    <w:rsid w:val="00E10CF1"/>
    <w:rsid w:val="00E10D2C"/>
    <w:rsid w:val="00E10FFB"/>
    <w:rsid w:val="00E11041"/>
    <w:rsid w:val="00E11076"/>
    <w:rsid w:val="00E11195"/>
    <w:rsid w:val="00E111A4"/>
    <w:rsid w:val="00E111E1"/>
    <w:rsid w:val="00E11340"/>
    <w:rsid w:val="00E11369"/>
    <w:rsid w:val="00E113C5"/>
    <w:rsid w:val="00E11448"/>
    <w:rsid w:val="00E114B8"/>
    <w:rsid w:val="00E1171F"/>
    <w:rsid w:val="00E11737"/>
    <w:rsid w:val="00E1178A"/>
    <w:rsid w:val="00E1180C"/>
    <w:rsid w:val="00E11D12"/>
    <w:rsid w:val="00E11DD5"/>
    <w:rsid w:val="00E11E28"/>
    <w:rsid w:val="00E11E42"/>
    <w:rsid w:val="00E1204C"/>
    <w:rsid w:val="00E120B2"/>
    <w:rsid w:val="00E120CD"/>
    <w:rsid w:val="00E12158"/>
    <w:rsid w:val="00E1217B"/>
    <w:rsid w:val="00E121F1"/>
    <w:rsid w:val="00E122A1"/>
    <w:rsid w:val="00E1251F"/>
    <w:rsid w:val="00E12707"/>
    <w:rsid w:val="00E12788"/>
    <w:rsid w:val="00E12AAE"/>
    <w:rsid w:val="00E12C24"/>
    <w:rsid w:val="00E12CC0"/>
    <w:rsid w:val="00E12DE1"/>
    <w:rsid w:val="00E1303E"/>
    <w:rsid w:val="00E13179"/>
    <w:rsid w:val="00E1322A"/>
    <w:rsid w:val="00E13230"/>
    <w:rsid w:val="00E134D0"/>
    <w:rsid w:val="00E134D9"/>
    <w:rsid w:val="00E13549"/>
    <w:rsid w:val="00E13A66"/>
    <w:rsid w:val="00E13CD2"/>
    <w:rsid w:val="00E13E28"/>
    <w:rsid w:val="00E14277"/>
    <w:rsid w:val="00E1428E"/>
    <w:rsid w:val="00E142CE"/>
    <w:rsid w:val="00E142E6"/>
    <w:rsid w:val="00E143BF"/>
    <w:rsid w:val="00E144EA"/>
    <w:rsid w:val="00E1451D"/>
    <w:rsid w:val="00E14583"/>
    <w:rsid w:val="00E148E3"/>
    <w:rsid w:val="00E148E4"/>
    <w:rsid w:val="00E149D6"/>
    <w:rsid w:val="00E14AC9"/>
    <w:rsid w:val="00E14AEA"/>
    <w:rsid w:val="00E14CA3"/>
    <w:rsid w:val="00E14F58"/>
    <w:rsid w:val="00E14FB5"/>
    <w:rsid w:val="00E15155"/>
    <w:rsid w:val="00E1522C"/>
    <w:rsid w:val="00E15338"/>
    <w:rsid w:val="00E153EA"/>
    <w:rsid w:val="00E156AE"/>
    <w:rsid w:val="00E157A8"/>
    <w:rsid w:val="00E158EC"/>
    <w:rsid w:val="00E15A6E"/>
    <w:rsid w:val="00E15B48"/>
    <w:rsid w:val="00E15B6C"/>
    <w:rsid w:val="00E15BCB"/>
    <w:rsid w:val="00E15C44"/>
    <w:rsid w:val="00E15C56"/>
    <w:rsid w:val="00E15DFD"/>
    <w:rsid w:val="00E15E89"/>
    <w:rsid w:val="00E15F64"/>
    <w:rsid w:val="00E15FF4"/>
    <w:rsid w:val="00E16063"/>
    <w:rsid w:val="00E16372"/>
    <w:rsid w:val="00E163B5"/>
    <w:rsid w:val="00E16479"/>
    <w:rsid w:val="00E1669A"/>
    <w:rsid w:val="00E167B6"/>
    <w:rsid w:val="00E16993"/>
    <w:rsid w:val="00E16AD8"/>
    <w:rsid w:val="00E16C2F"/>
    <w:rsid w:val="00E16F21"/>
    <w:rsid w:val="00E17043"/>
    <w:rsid w:val="00E1721C"/>
    <w:rsid w:val="00E173A2"/>
    <w:rsid w:val="00E174F5"/>
    <w:rsid w:val="00E177A8"/>
    <w:rsid w:val="00E1783F"/>
    <w:rsid w:val="00E1785C"/>
    <w:rsid w:val="00E17C65"/>
    <w:rsid w:val="00E17FFA"/>
    <w:rsid w:val="00E20026"/>
    <w:rsid w:val="00E20284"/>
    <w:rsid w:val="00E20330"/>
    <w:rsid w:val="00E203C0"/>
    <w:rsid w:val="00E204FA"/>
    <w:rsid w:val="00E20961"/>
    <w:rsid w:val="00E20BC3"/>
    <w:rsid w:val="00E20CA6"/>
    <w:rsid w:val="00E20E4D"/>
    <w:rsid w:val="00E20ED6"/>
    <w:rsid w:val="00E2102D"/>
    <w:rsid w:val="00E210B7"/>
    <w:rsid w:val="00E2118D"/>
    <w:rsid w:val="00E2131A"/>
    <w:rsid w:val="00E21358"/>
    <w:rsid w:val="00E2149E"/>
    <w:rsid w:val="00E21681"/>
    <w:rsid w:val="00E2170A"/>
    <w:rsid w:val="00E21864"/>
    <w:rsid w:val="00E219A4"/>
    <w:rsid w:val="00E21BCB"/>
    <w:rsid w:val="00E21C6C"/>
    <w:rsid w:val="00E21D3C"/>
    <w:rsid w:val="00E21D8D"/>
    <w:rsid w:val="00E21E2C"/>
    <w:rsid w:val="00E21F9F"/>
    <w:rsid w:val="00E2206D"/>
    <w:rsid w:val="00E220CD"/>
    <w:rsid w:val="00E22368"/>
    <w:rsid w:val="00E2249B"/>
    <w:rsid w:val="00E2284D"/>
    <w:rsid w:val="00E2292D"/>
    <w:rsid w:val="00E22A0D"/>
    <w:rsid w:val="00E22AE5"/>
    <w:rsid w:val="00E22AE7"/>
    <w:rsid w:val="00E22C53"/>
    <w:rsid w:val="00E2346E"/>
    <w:rsid w:val="00E234B7"/>
    <w:rsid w:val="00E23546"/>
    <w:rsid w:val="00E23575"/>
    <w:rsid w:val="00E236DF"/>
    <w:rsid w:val="00E237E4"/>
    <w:rsid w:val="00E23AEC"/>
    <w:rsid w:val="00E23BBD"/>
    <w:rsid w:val="00E23BD2"/>
    <w:rsid w:val="00E23BE4"/>
    <w:rsid w:val="00E23D7B"/>
    <w:rsid w:val="00E23DD9"/>
    <w:rsid w:val="00E23F16"/>
    <w:rsid w:val="00E23F4A"/>
    <w:rsid w:val="00E23F6C"/>
    <w:rsid w:val="00E23F8F"/>
    <w:rsid w:val="00E24033"/>
    <w:rsid w:val="00E24040"/>
    <w:rsid w:val="00E241E5"/>
    <w:rsid w:val="00E2422A"/>
    <w:rsid w:val="00E24333"/>
    <w:rsid w:val="00E2439C"/>
    <w:rsid w:val="00E24403"/>
    <w:rsid w:val="00E244F6"/>
    <w:rsid w:val="00E245A4"/>
    <w:rsid w:val="00E24B6F"/>
    <w:rsid w:val="00E24BE1"/>
    <w:rsid w:val="00E24C03"/>
    <w:rsid w:val="00E24C7D"/>
    <w:rsid w:val="00E24E84"/>
    <w:rsid w:val="00E24E8A"/>
    <w:rsid w:val="00E24F54"/>
    <w:rsid w:val="00E25075"/>
    <w:rsid w:val="00E250F9"/>
    <w:rsid w:val="00E251CA"/>
    <w:rsid w:val="00E253FD"/>
    <w:rsid w:val="00E25592"/>
    <w:rsid w:val="00E255FB"/>
    <w:rsid w:val="00E25738"/>
    <w:rsid w:val="00E257A7"/>
    <w:rsid w:val="00E2588D"/>
    <w:rsid w:val="00E258DB"/>
    <w:rsid w:val="00E259C1"/>
    <w:rsid w:val="00E259EC"/>
    <w:rsid w:val="00E25A62"/>
    <w:rsid w:val="00E25C97"/>
    <w:rsid w:val="00E25CAB"/>
    <w:rsid w:val="00E25CFA"/>
    <w:rsid w:val="00E25E0A"/>
    <w:rsid w:val="00E25EE0"/>
    <w:rsid w:val="00E25EF2"/>
    <w:rsid w:val="00E2601A"/>
    <w:rsid w:val="00E26095"/>
    <w:rsid w:val="00E26175"/>
    <w:rsid w:val="00E261E0"/>
    <w:rsid w:val="00E262D4"/>
    <w:rsid w:val="00E264C2"/>
    <w:rsid w:val="00E26543"/>
    <w:rsid w:val="00E26590"/>
    <w:rsid w:val="00E265D2"/>
    <w:rsid w:val="00E266E5"/>
    <w:rsid w:val="00E26736"/>
    <w:rsid w:val="00E26855"/>
    <w:rsid w:val="00E2687C"/>
    <w:rsid w:val="00E2697E"/>
    <w:rsid w:val="00E26C92"/>
    <w:rsid w:val="00E26CE0"/>
    <w:rsid w:val="00E27000"/>
    <w:rsid w:val="00E270EE"/>
    <w:rsid w:val="00E2711F"/>
    <w:rsid w:val="00E2737F"/>
    <w:rsid w:val="00E27519"/>
    <w:rsid w:val="00E27526"/>
    <w:rsid w:val="00E275F5"/>
    <w:rsid w:val="00E27628"/>
    <w:rsid w:val="00E2771E"/>
    <w:rsid w:val="00E27877"/>
    <w:rsid w:val="00E27930"/>
    <w:rsid w:val="00E279B8"/>
    <w:rsid w:val="00E27D92"/>
    <w:rsid w:val="00E27F87"/>
    <w:rsid w:val="00E3004B"/>
    <w:rsid w:val="00E3009B"/>
    <w:rsid w:val="00E30121"/>
    <w:rsid w:val="00E3024A"/>
    <w:rsid w:val="00E3026E"/>
    <w:rsid w:val="00E302F8"/>
    <w:rsid w:val="00E30324"/>
    <w:rsid w:val="00E306F1"/>
    <w:rsid w:val="00E309B7"/>
    <w:rsid w:val="00E309FC"/>
    <w:rsid w:val="00E30A9F"/>
    <w:rsid w:val="00E30B98"/>
    <w:rsid w:val="00E30CBE"/>
    <w:rsid w:val="00E30D5D"/>
    <w:rsid w:val="00E30E7A"/>
    <w:rsid w:val="00E31025"/>
    <w:rsid w:val="00E31190"/>
    <w:rsid w:val="00E311EF"/>
    <w:rsid w:val="00E311F1"/>
    <w:rsid w:val="00E312D8"/>
    <w:rsid w:val="00E31382"/>
    <w:rsid w:val="00E314BA"/>
    <w:rsid w:val="00E31697"/>
    <w:rsid w:val="00E316EF"/>
    <w:rsid w:val="00E31736"/>
    <w:rsid w:val="00E31854"/>
    <w:rsid w:val="00E31864"/>
    <w:rsid w:val="00E31BFA"/>
    <w:rsid w:val="00E31E07"/>
    <w:rsid w:val="00E31E41"/>
    <w:rsid w:val="00E31F0B"/>
    <w:rsid w:val="00E32180"/>
    <w:rsid w:val="00E321C5"/>
    <w:rsid w:val="00E321EC"/>
    <w:rsid w:val="00E324B0"/>
    <w:rsid w:val="00E325EF"/>
    <w:rsid w:val="00E32873"/>
    <w:rsid w:val="00E3290B"/>
    <w:rsid w:val="00E32946"/>
    <w:rsid w:val="00E32FC6"/>
    <w:rsid w:val="00E32FE2"/>
    <w:rsid w:val="00E33115"/>
    <w:rsid w:val="00E33261"/>
    <w:rsid w:val="00E332B4"/>
    <w:rsid w:val="00E3341B"/>
    <w:rsid w:val="00E3361D"/>
    <w:rsid w:val="00E33A0C"/>
    <w:rsid w:val="00E33CE1"/>
    <w:rsid w:val="00E33D04"/>
    <w:rsid w:val="00E340D8"/>
    <w:rsid w:val="00E342F6"/>
    <w:rsid w:val="00E343CA"/>
    <w:rsid w:val="00E34412"/>
    <w:rsid w:val="00E34492"/>
    <w:rsid w:val="00E34586"/>
    <w:rsid w:val="00E347E0"/>
    <w:rsid w:val="00E34948"/>
    <w:rsid w:val="00E34C51"/>
    <w:rsid w:val="00E34D58"/>
    <w:rsid w:val="00E34F11"/>
    <w:rsid w:val="00E35043"/>
    <w:rsid w:val="00E352A8"/>
    <w:rsid w:val="00E3562E"/>
    <w:rsid w:val="00E356BC"/>
    <w:rsid w:val="00E35773"/>
    <w:rsid w:val="00E357AD"/>
    <w:rsid w:val="00E35971"/>
    <w:rsid w:val="00E3597A"/>
    <w:rsid w:val="00E35ABE"/>
    <w:rsid w:val="00E35AC2"/>
    <w:rsid w:val="00E35B4E"/>
    <w:rsid w:val="00E35C3B"/>
    <w:rsid w:val="00E35E93"/>
    <w:rsid w:val="00E36036"/>
    <w:rsid w:val="00E36094"/>
    <w:rsid w:val="00E362A5"/>
    <w:rsid w:val="00E36739"/>
    <w:rsid w:val="00E3676D"/>
    <w:rsid w:val="00E367BF"/>
    <w:rsid w:val="00E3687D"/>
    <w:rsid w:val="00E36A58"/>
    <w:rsid w:val="00E36A75"/>
    <w:rsid w:val="00E36B20"/>
    <w:rsid w:val="00E3736C"/>
    <w:rsid w:val="00E37569"/>
    <w:rsid w:val="00E377FC"/>
    <w:rsid w:val="00E37964"/>
    <w:rsid w:val="00E37965"/>
    <w:rsid w:val="00E37BE6"/>
    <w:rsid w:val="00E37DD9"/>
    <w:rsid w:val="00E37EC2"/>
    <w:rsid w:val="00E40013"/>
    <w:rsid w:val="00E401B2"/>
    <w:rsid w:val="00E40877"/>
    <w:rsid w:val="00E408C7"/>
    <w:rsid w:val="00E40942"/>
    <w:rsid w:val="00E409C8"/>
    <w:rsid w:val="00E40B22"/>
    <w:rsid w:val="00E40BF2"/>
    <w:rsid w:val="00E40C98"/>
    <w:rsid w:val="00E40D9D"/>
    <w:rsid w:val="00E40DD4"/>
    <w:rsid w:val="00E40E5B"/>
    <w:rsid w:val="00E410AD"/>
    <w:rsid w:val="00E410AE"/>
    <w:rsid w:val="00E41106"/>
    <w:rsid w:val="00E41107"/>
    <w:rsid w:val="00E41431"/>
    <w:rsid w:val="00E416A1"/>
    <w:rsid w:val="00E41727"/>
    <w:rsid w:val="00E41798"/>
    <w:rsid w:val="00E4183E"/>
    <w:rsid w:val="00E4186E"/>
    <w:rsid w:val="00E419B9"/>
    <w:rsid w:val="00E41B4D"/>
    <w:rsid w:val="00E41C19"/>
    <w:rsid w:val="00E41CB3"/>
    <w:rsid w:val="00E41E30"/>
    <w:rsid w:val="00E41F6A"/>
    <w:rsid w:val="00E42154"/>
    <w:rsid w:val="00E4215B"/>
    <w:rsid w:val="00E4216B"/>
    <w:rsid w:val="00E424F7"/>
    <w:rsid w:val="00E427D9"/>
    <w:rsid w:val="00E4293C"/>
    <w:rsid w:val="00E42ABE"/>
    <w:rsid w:val="00E42C69"/>
    <w:rsid w:val="00E42C6C"/>
    <w:rsid w:val="00E42F73"/>
    <w:rsid w:val="00E43020"/>
    <w:rsid w:val="00E43181"/>
    <w:rsid w:val="00E43187"/>
    <w:rsid w:val="00E43274"/>
    <w:rsid w:val="00E433F3"/>
    <w:rsid w:val="00E4353F"/>
    <w:rsid w:val="00E436A0"/>
    <w:rsid w:val="00E43821"/>
    <w:rsid w:val="00E4393D"/>
    <w:rsid w:val="00E43D70"/>
    <w:rsid w:val="00E43EED"/>
    <w:rsid w:val="00E4408D"/>
    <w:rsid w:val="00E4409A"/>
    <w:rsid w:val="00E4409B"/>
    <w:rsid w:val="00E44125"/>
    <w:rsid w:val="00E44428"/>
    <w:rsid w:val="00E4454E"/>
    <w:rsid w:val="00E445E6"/>
    <w:rsid w:val="00E44640"/>
    <w:rsid w:val="00E446E3"/>
    <w:rsid w:val="00E44785"/>
    <w:rsid w:val="00E447F7"/>
    <w:rsid w:val="00E4482B"/>
    <w:rsid w:val="00E44849"/>
    <w:rsid w:val="00E448F8"/>
    <w:rsid w:val="00E4499F"/>
    <w:rsid w:val="00E44BB7"/>
    <w:rsid w:val="00E44EA7"/>
    <w:rsid w:val="00E450E7"/>
    <w:rsid w:val="00E450E8"/>
    <w:rsid w:val="00E450FA"/>
    <w:rsid w:val="00E4512C"/>
    <w:rsid w:val="00E4527C"/>
    <w:rsid w:val="00E4538B"/>
    <w:rsid w:val="00E454ED"/>
    <w:rsid w:val="00E45653"/>
    <w:rsid w:val="00E45768"/>
    <w:rsid w:val="00E45924"/>
    <w:rsid w:val="00E459C4"/>
    <w:rsid w:val="00E45B5D"/>
    <w:rsid w:val="00E45C6F"/>
    <w:rsid w:val="00E4657C"/>
    <w:rsid w:val="00E4659E"/>
    <w:rsid w:val="00E4669D"/>
    <w:rsid w:val="00E466F3"/>
    <w:rsid w:val="00E466FE"/>
    <w:rsid w:val="00E467C3"/>
    <w:rsid w:val="00E46A21"/>
    <w:rsid w:val="00E46A89"/>
    <w:rsid w:val="00E46CA5"/>
    <w:rsid w:val="00E46EF7"/>
    <w:rsid w:val="00E46FED"/>
    <w:rsid w:val="00E47090"/>
    <w:rsid w:val="00E470BD"/>
    <w:rsid w:val="00E471E1"/>
    <w:rsid w:val="00E471E9"/>
    <w:rsid w:val="00E4747A"/>
    <w:rsid w:val="00E474B3"/>
    <w:rsid w:val="00E4751D"/>
    <w:rsid w:val="00E4756A"/>
    <w:rsid w:val="00E47584"/>
    <w:rsid w:val="00E4767E"/>
    <w:rsid w:val="00E476DA"/>
    <w:rsid w:val="00E47A71"/>
    <w:rsid w:val="00E47B2C"/>
    <w:rsid w:val="00E47CE6"/>
    <w:rsid w:val="00E47D49"/>
    <w:rsid w:val="00E47DBB"/>
    <w:rsid w:val="00E47ED0"/>
    <w:rsid w:val="00E47F29"/>
    <w:rsid w:val="00E500A3"/>
    <w:rsid w:val="00E500B3"/>
    <w:rsid w:val="00E501F2"/>
    <w:rsid w:val="00E5048E"/>
    <w:rsid w:val="00E504FA"/>
    <w:rsid w:val="00E50779"/>
    <w:rsid w:val="00E50993"/>
    <w:rsid w:val="00E50A18"/>
    <w:rsid w:val="00E50A32"/>
    <w:rsid w:val="00E50ABB"/>
    <w:rsid w:val="00E50C2E"/>
    <w:rsid w:val="00E50E06"/>
    <w:rsid w:val="00E50F3A"/>
    <w:rsid w:val="00E5109C"/>
    <w:rsid w:val="00E51166"/>
    <w:rsid w:val="00E5124B"/>
    <w:rsid w:val="00E513A2"/>
    <w:rsid w:val="00E513A9"/>
    <w:rsid w:val="00E51449"/>
    <w:rsid w:val="00E514AD"/>
    <w:rsid w:val="00E51560"/>
    <w:rsid w:val="00E5166C"/>
    <w:rsid w:val="00E516EC"/>
    <w:rsid w:val="00E51821"/>
    <w:rsid w:val="00E51B06"/>
    <w:rsid w:val="00E51B90"/>
    <w:rsid w:val="00E51BC1"/>
    <w:rsid w:val="00E51C1A"/>
    <w:rsid w:val="00E51E0A"/>
    <w:rsid w:val="00E51ED7"/>
    <w:rsid w:val="00E51F43"/>
    <w:rsid w:val="00E520BF"/>
    <w:rsid w:val="00E52231"/>
    <w:rsid w:val="00E5260A"/>
    <w:rsid w:val="00E52753"/>
    <w:rsid w:val="00E5294A"/>
    <w:rsid w:val="00E529C3"/>
    <w:rsid w:val="00E52A8A"/>
    <w:rsid w:val="00E52B20"/>
    <w:rsid w:val="00E52BB3"/>
    <w:rsid w:val="00E52DE0"/>
    <w:rsid w:val="00E52DFC"/>
    <w:rsid w:val="00E5307C"/>
    <w:rsid w:val="00E5317A"/>
    <w:rsid w:val="00E53407"/>
    <w:rsid w:val="00E5350E"/>
    <w:rsid w:val="00E53A6C"/>
    <w:rsid w:val="00E53B70"/>
    <w:rsid w:val="00E53D33"/>
    <w:rsid w:val="00E53FC8"/>
    <w:rsid w:val="00E540D1"/>
    <w:rsid w:val="00E54347"/>
    <w:rsid w:val="00E543F8"/>
    <w:rsid w:val="00E54513"/>
    <w:rsid w:val="00E54A6C"/>
    <w:rsid w:val="00E54EF6"/>
    <w:rsid w:val="00E55424"/>
    <w:rsid w:val="00E55791"/>
    <w:rsid w:val="00E55915"/>
    <w:rsid w:val="00E55934"/>
    <w:rsid w:val="00E55A6C"/>
    <w:rsid w:val="00E55BB1"/>
    <w:rsid w:val="00E55BB5"/>
    <w:rsid w:val="00E55CDC"/>
    <w:rsid w:val="00E55CE0"/>
    <w:rsid w:val="00E55D9A"/>
    <w:rsid w:val="00E55FD8"/>
    <w:rsid w:val="00E56272"/>
    <w:rsid w:val="00E562A6"/>
    <w:rsid w:val="00E5637A"/>
    <w:rsid w:val="00E563DB"/>
    <w:rsid w:val="00E56433"/>
    <w:rsid w:val="00E568AA"/>
    <w:rsid w:val="00E56A71"/>
    <w:rsid w:val="00E56AB6"/>
    <w:rsid w:val="00E56B3C"/>
    <w:rsid w:val="00E56BB8"/>
    <w:rsid w:val="00E56E2C"/>
    <w:rsid w:val="00E56EA4"/>
    <w:rsid w:val="00E56F46"/>
    <w:rsid w:val="00E570D1"/>
    <w:rsid w:val="00E57103"/>
    <w:rsid w:val="00E571CA"/>
    <w:rsid w:val="00E57556"/>
    <w:rsid w:val="00E575D7"/>
    <w:rsid w:val="00E5763E"/>
    <w:rsid w:val="00E576FE"/>
    <w:rsid w:val="00E5784B"/>
    <w:rsid w:val="00E57851"/>
    <w:rsid w:val="00E57A59"/>
    <w:rsid w:val="00E57A90"/>
    <w:rsid w:val="00E57CDD"/>
    <w:rsid w:val="00E57DEE"/>
    <w:rsid w:val="00E57EB6"/>
    <w:rsid w:val="00E57F87"/>
    <w:rsid w:val="00E57FB2"/>
    <w:rsid w:val="00E6088D"/>
    <w:rsid w:val="00E608AF"/>
    <w:rsid w:val="00E60BBE"/>
    <w:rsid w:val="00E60C5D"/>
    <w:rsid w:val="00E60D07"/>
    <w:rsid w:val="00E60DB9"/>
    <w:rsid w:val="00E60DCA"/>
    <w:rsid w:val="00E61109"/>
    <w:rsid w:val="00E611CE"/>
    <w:rsid w:val="00E611DF"/>
    <w:rsid w:val="00E614CC"/>
    <w:rsid w:val="00E615AB"/>
    <w:rsid w:val="00E615DB"/>
    <w:rsid w:val="00E615E2"/>
    <w:rsid w:val="00E616C5"/>
    <w:rsid w:val="00E617A8"/>
    <w:rsid w:val="00E618E2"/>
    <w:rsid w:val="00E61964"/>
    <w:rsid w:val="00E619B9"/>
    <w:rsid w:val="00E61AA5"/>
    <w:rsid w:val="00E61B42"/>
    <w:rsid w:val="00E61B99"/>
    <w:rsid w:val="00E61BCD"/>
    <w:rsid w:val="00E61CAE"/>
    <w:rsid w:val="00E62010"/>
    <w:rsid w:val="00E62093"/>
    <w:rsid w:val="00E623CA"/>
    <w:rsid w:val="00E6241B"/>
    <w:rsid w:val="00E6252F"/>
    <w:rsid w:val="00E6257B"/>
    <w:rsid w:val="00E625DE"/>
    <w:rsid w:val="00E62647"/>
    <w:rsid w:val="00E62748"/>
    <w:rsid w:val="00E627F7"/>
    <w:rsid w:val="00E62956"/>
    <w:rsid w:val="00E62A1C"/>
    <w:rsid w:val="00E62B49"/>
    <w:rsid w:val="00E62B6C"/>
    <w:rsid w:val="00E62B88"/>
    <w:rsid w:val="00E62EC0"/>
    <w:rsid w:val="00E62FF7"/>
    <w:rsid w:val="00E6316E"/>
    <w:rsid w:val="00E63393"/>
    <w:rsid w:val="00E633DB"/>
    <w:rsid w:val="00E6341D"/>
    <w:rsid w:val="00E63521"/>
    <w:rsid w:val="00E63715"/>
    <w:rsid w:val="00E63797"/>
    <w:rsid w:val="00E63811"/>
    <w:rsid w:val="00E639AD"/>
    <w:rsid w:val="00E639CF"/>
    <w:rsid w:val="00E63CFD"/>
    <w:rsid w:val="00E63D10"/>
    <w:rsid w:val="00E63DB7"/>
    <w:rsid w:val="00E640FD"/>
    <w:rsid w:val="00E641D2"/>
    <w:rsid w:val="00E6424F"/>
    <w:rsid w:val="00E6439B"/>
    <w:rsid w:val="00E643D9"/>
    <w:rsid w:val="00E643FD"/>
    <w:rsid w:val="00E6448B"/>
    <w:rsid w:val="00E644AE"/>
    <w:rsid w:val="00E645F1"/>
    <w:rsid w:val="00E64758"/>
    <w:rsid w:val="00E64A9D"/>
    <w:rsid w:val="00E64D41"/>
    <w:rsid w:val="00E64FF6"/>
    <w:rsid w:val="00E6517F"/>
    <w:rsid w:val="00E65191"/>
    <w:rsid w:val="00E654AA"/>
    <w:rsid w:val="00E655E9"/>
    <w:rsid w:val="00E6560B"/>
    <w:rsid w:val="00E6583D"/>
    <w:rsid w:val="00E65917"/>
    <w:rsid w:val="00E6595B"/>
    <w:rsid w:val="00E65969"/>
    <w:rsid w:val="00E659BE"/>
    <w:rsid w:val="00E65C09"/>
    <w:rsid w:val="00E65E79"/>
    <w:rsid w:val="00E65EB2"/>
    <w:rsid w:val="00E65FCC"/>
    <w:rsid w:val="00E66147"/>
    <w:rsid w:val="00E6624F"/>
    <w:rsid w:val="00E66487"/>
    <w:rsid w:val="00E6652B"/>
    <w:rsid w:val="00E666BD"/>
    <w:rsid w:val="00E666C1"/>
    <w:rsid w:val="00E66738"/>
    <w:rsid w:val="00E66814"/>
    <w:rsid w:val="00E66B54"/>
    <w:rsid w:val="00E66BA2"/>
    <w:rsid w:val="00E66D39"/>
    <w:rsid w:val="00E66E06"/>
    <w:rsid w:val="00E66ED7"/>
    <w:rsid w:val="00E67089"/>
    <w:rsid w:val="00E670A7"/>
    <w:rsid w:val="00E67416"/>
    <w:rsid w:val="00E67831"/>
    <w:rsid w:val="00E67944"/>
    <w:rsid w:val="00E67958"/>
    <w:rsid w:val="00E6799C"/>
    <w:rsid w:val="00E67AFB"/>
    <w:rsid w:val="00E67B54"/>
    <w:rsid w:val="00E67BF6"/>
    <w:rsid w:val="00E67C06"/>
    <w:rsid w:val="00E67C33"/>
    <w:rsid w:val="00E67D31"/>
    <w:rsid w:val="00E67DB8"/>
    <w:rsid w:val="00E67EE7"/>
    <w:rsid w:val="00E7009D"/>
    <w:rsid w:val="00E700D8"/>
    <w:rsid w:val="00E701C3"/>
    <w:rsid w:val="00E705A7"/>
    <w:rsid w:val="00E7087E"/>
    <w:rsid w:val="00E70890"/>
    <w:rsid w:val="00E708A1"/>
    <w:rsid w:val="00E70C29"/>
    <w:rsid w:val="00E70C2D"/>
    <w:rsid w:val="00E70C36"/>
    <w:rsid w:val="00E70C7A"/>
    <w:rsid w:val="00E70E80"/>
    <w:rsid w:val="00E70EBE"/>
    <w:rsid w:val="00E7116F"/>
    <w:rsid w:val="00E711C1"/>
    <w:rsid w:val="00E71201"/>
    <w:rsid w:val="00E7141F"/>
    <w:rsid w:val="00E718B6"/>
    <w:rsid w:val="00E719F3"/>
    <w:rsid w:val="00E71B4B"/>
    <w:rsid w:val="00E71C1A"/>
    <w:rsid w:val="00E721E0"/>
    <w:rsid w:val="00E7228B"/>
    <w:rsid w:val="00E723BA"/>
    <w:rsid w:val="00E7248E"/>
    <w:rsid w:val="00E726FF"/>
    <w:rsid w:val="00E72782"/>
    <w:rsid w:val="00E728C3"/>
    <w:rsid w:val="00E728ED"/>
    <w:rsid w:val="00E72900"/>
    <w:rsid w:val="00E729C4"/>
    <w:rsid w:val="00E72EAD"/>
    <w:rsid w:val="00E7315C"/>
    <w:rsid w:val="00E731DA"/>
    <w:rsid w:val="00E731DF"/>
    <w:rsid w:val="00E7329F"/>
    <w:rsid w:val="00E733FF"/>
    <w:rsid w:val="00E73581"/>
    <w:rsid w:val="00E736B7"/>
    <w:rsid w:val="00E737DB"/>
    <w:rsid w:val="00E738D5"/>
    <w:rsid w:val="00E738EB"/>
    <w:rsid w:val="00E73B7B"/>
    <w:rsid w:val="00E73DF0"/>
    <w:rsid w:val="00E73EDE"/>
    <w:rsid w:val="00E7406D"/>
    <w:rsid w:val="00E74193"/>
    <w:rsid w:val="00E7429D"/>
    <w:rsid w:val="00E743A7"/>
    <w:rsid w:val="00E7449A"/>
    <w:rsid w:val="00E74625"/>
    <w:rsid w:val="00E746EC"/>
    <w:rsid w:val="00E74747"/>
    <w:rsid w:val="00E748C8"/>
    <w:rsid w:val="00E74A3D"/>
    <w:rsid w:val="00E74BE2"/>
    <w:rsid w:val="00E74C35"/>
    <w:rsid w:val="00E74CE5"/>
    <w:rsid w:val="00E74D46"/>
    <w:rsid w:val="00E74F03"/>
    <w:rsid w:val="00E74F40"/>
    <w:rsid w:val="00E75007"/>
    <w:rsid w:val="00E75054"/>
    <w:rsid w:val="00E7510F"/>
    <w:rsid w:val="00E754F2"/>
    <w:rsid w:val="00E75501"/>
    <w:rsid w:val="00E755AD"/>
    <w:rsid w:val="00E75697"/>
    <w:rsid w:val="00E75887"/>
    <w:rsid w:val="00E758A4"/>
    <w:rsid w:val="00E758E2"/>
    <w:rsid w:val="00E758F2"/>
    <w:rsid w:val="00E75C30"/>
    <w:rsid w:val="00E75CC7"/>
    <w:rsid w:val="00E75DA6"/>
    <w:rsid w:val="00E75EF1"/>
    <w:rsid w:val="00E76059"/>
    <w:rsid w:val="00E76143"/>
    <w:rsid w:val="00E76468"/>
    <w:rsid w:val="00E765C0"/>
    <w:rsid w:val="00E7660B"/>
    <w:rsid w:val="00E76690"/>
    <w:rsid w:val="00E766B4"/>
    <w:rsid w:val="00E7687F"/>
    <w:rsid w:val="00E7695B"/>
    <w:rsid w:val="00E76AAB"/>
    <w:rsid w:val="00E76B2E"/>
    <w:rsid w:val="00E76B52"/>
    <w:rsid w:val="00E76C8B"/>
    <w:rsid w:val="00E76E48"/>
    <w:rsid w:val="00E76EC4"/>
    <w:rsid w:val="00E76FA8"/>
    <w:rsid w:val="00E770C8"/>
    <w:rsid w:val="00E772F1"/>
    <w:rsid w:val="00E77612"/>
    <w:rsid w:val="00E77844"/>
    <w:rsid w:val="00E77856"/>
    <w:rsid w:val="00E7785B"/>
    <w:rsid w:val="00E77BB7"/>
    <w:rsid w:val="00E77C06"/>
    <w:rsid w:val="00E77C32"/>
    <w:rsid w:val="00E77C6D"/>
    <w:rsid w:val="00E77D30"/>
    <w:rsid w:val="00E77DF7"/>
    <w:rsid w:val="00E803C3"/>
    <w:rsid w:val="00E804DE"/>
    <w:rsid w:val="00E80586"/>
    <w:rsid w:val="00E80681"/>
    <w:rsid w:val="00E807CA"/>
    <w:rsid w:val="00E8086F"/>
    <w:rsid w:val="00E8090D"/>
    <w:rsid w:val="00E80CAA"/>
    <w:rsid w:val="00E80E9C"/>
    <w:rsid w:val="00E80F11"/>
    <w:rsid w:val="00E80F44"/>
    <w:rsid w:val="00E80F7C"/>
    <w:rsid w:val="00E8117A"/>
    <w:rsid w:val="00E8133F"/>
    <w:rsid w:val="00E81440"/>
    <w:rsid w:val="00E8145F"/>
    <w:rsid w:val="00E8149A"/>
    <w:rsid w:val="00E815C5"/>
    <w:rsid w:val="00E818D7"/>
    <w:rsid w:val="00E818E3"/>
    <w:rsid w:val="00E8193A"/>
    <w:rsid w:val="00E81A44"/>
    <w:rsid w:val="00E81B17"/>
    <w:rsid w:val="00E81B6B"/>
    <w:rsid w:val="00E81D1D"/>
    <w:rsid w:val="00E81D20"/>
    <w:rsid w:val="00E81DBB"/>
    <w:rsid w:val="00E81FA9"/>
    <w:rsid w:val="00E8200C"/>
    <w:rsid w:val="00E8215B"/>
    <w:rsid w:val="00E8244C"/>
    <w:rsid w:val="00E82525"/>
    <w:rsid w:val="00E8259B"/>
    <w:rsid w:val="00E825AB"/>
    <w:rsid w:val="00E825C1"/>
    <w:rsid w:val="00E8274D"/>
    <w:rsid w:val="00E82936"/>
    <w:rsid w:val="00E82941"/>
    <w:rsid w:val="00E82A3D"/>
    <w:rsid w:val="00E82BC5"/>
    <w:rsid w:val="00E82C44"/>
    <w:rsid w:val="00E82D0E"/>
    <w:rsid w:val="00E82DFA"/>
    <w:rsid w:val="00E82E0C"/>
    <w:rsid w:val="00E82F50"/>
    <w:rsid w:val="00E82F9F"/>
    <w:rsid w:val="00E830D5"/>
    <w:rsid w:val="00E83101"/>
    <w:rsid w:val="00E83132"/>
    <w:rsid w:val="00E8327C"/>
    <w:rsid w:val="00E832DB"/>
    <w:rsid w:val="00E833F7"/>
    <w:rsid w:val="00E83534"/>
    <w:rsid w:val="00E835D1"/>
    <w:rsid w:val="00E83729"/>
    <w:rsid w:val="00E8376E"/>
    <w:rsid w:val="00E83850"/>
    <w:rsid w:val="00E838E3"/>
    <w:rsid w:val="00E83BDF"/>
    <w:rsid w:val="00E83C9A"/>
    <w:rsid w:val="00E83CB8"/>
    <w:rsid w:val="00E83D30"/>
    <w:rsid w:val="00E83DB1"/>
    <w:rsid w:val="00E84292"/>
    <w:rsid w:val="00E8454F"/>
    <w:rsid w:val="00E84761"/>
    <w:rsid w:val="00E84977"/>
    <w:rsid w:val="00E849DC"/>
    <w:rsid w:val="00E84C0C"/>
    <w:rsid w:val="00E84E80"/>
    <w:rsid w:val="00E850F2"/>
    <w:rsid w:val="00E85278"/>
    <w:rsid w:val="00E854DF"/>
    <w:rsid w:val="00E8584C"/>
    <w:rsid w:val="00E8585E"/>
    <w:rsid w:val="00E85B22"/>
    <w:rsid w:val="00E85BD5"/>
    <w:rsid w:val="00E85C50"/>
    <w:rsid w:val="00E85F60"/>
    <w:rsid w:val="00E86136"/>
    <w:rsid w:val="00E8617B"/>
    <w:rsid w:val="00E8630E"/>
    <w:rsid w:val="00E86321"/>
    <w:rsid w:val="00E8669F"/>
    <w:rsid w:val="00E869CD"/>
    <w:rsid w:val="00E86A6E"/>
    <w:rsid w:val="00E86A82"/>
    <w:rsid w:val="00E86CD2"/>
    <w:rsid w:val="00E86D00"/>
    <w:rsid w:val="00E86DCA"/>
    <w:rsid w:val="00E86DE8"/>
    <w:rsid w:val="00E86DEC"/>
    <w:rsid w:val="00E86F80"/>
    <w:rsid w:val="00E86FCC"/>
    <w:rsid w:val="00E86FEC"/>
    <w:rsid w:val="00E871DC"/>
    <w:rsid w:val="00E871EC"/>
    <w:rsid w:val="00E87A1D"/>
    <w:rsid w:val="00E87B13"/>
    <w:rsid w:val="00E87B26"/>
    <w:rsid w:val="00E87BE0"/>
    <w:rsid w:val="00E87CF0"/>
    <w:rsid w:val="00E901C9"/>
    <w:rsid w:val="00E901CB"/>
    <w:rsid w:val="00E9022F"/>
    <w:rsid w:val="00E902AF"/>
    <w:rsid w:val="00E90356"/>
    <w:rsid w:val="00E90461"/>
    <w:rsid w:val="00E90605"/>
    <w:rsid w:val="00E906B7"/>
    <w:rsid w:val="00E9080F"/>
    <w:rsid w:val="00E908CD"/>
    <w:rsid w:val="00E9094A"/>
    <w:rsid w:val="00E90D46"/>
    <w:rsid w:val="00E90E13"/>
    <w:rsid w:val="00E90F79"/>
    <w:rsid w:val="00E91025"/>
    <w:rsid w:val="00E910D7"/>
    <w:rsid w:val="00E91420"/>
    <w:rsid w:val="00E914AB"/>
    <w:rsid w:val="00E91551"/>
    <w:rsid w:val="00E915FF"/>
    <w:rsid w:val="00E916B3"/>
    <w:rsid w:val="00E91744"/>
    <w:rsid w:val="00E9184B"/>
    <w:rsid w:val="00E918CA"/>
    <w:rsid w:val="00E91B77"/>
    <w:rsid w:val="00E91D35"/>
    <w:rsid w:val="00E91E48"/>
    <w:rsid w:val="00E91E85"/>
    <w:rsid w:val="00E91F26"/>
    <w:rsid w:val="00E9205D"/>
    <w:rsid w:val="00E920C1"/>
    <w:rsid w:val="00E9210E"/>
    <w:rsid w:val="00E92298"/>
    <w:rsid w:val="00E92679"/>
    <w:rsid w:val="00E926A5"/>
    <w:rsid w:val="00E926E7"/>
    <w:rsid w:val="00E92794"/>
    <w:rsid w:val="00E927B6"/>
    <w:rsid w:val="00E927F8"/>
    <w:rsid w:val="00E92837"/>
    <w:rsid w:val="00E9297C"/>
    <w:rsid w:val="00E92985"/>
    <w:rsid w:val="00E929B8"/>
    <w:rsid w:val="00E929F5"/>
    <w:rsid w:val="00E92C49"/>
    <w:rsid w:val="00E92CEE"/>
    <w:rsid w:val="00E92DA3"/>
    <w:rsid w:val="00E92DFC"/>
    <w:rsid w:val="00E92E0B"/>
    <w:rsid w:val="00E92EA5"/>
    <w:rsid w:val="00E92ED1"/>
    <w:rsid w:val="00E92EDD"/>
    <w:rsid w:val="00E92F03"/>
    <w:rsid w:val="00E93055"/>
    <w:rsid w:val="00E93105"/>
    <w:rsid w:val="00E9313A"/>
    <w:rsid w:val="00E93391"/>
    <w:rsid w:val="00E938AE"/>
    <w:rsid w:val="00E93A27"/>
    <w:rsid w:val="00E93D43"/>
    <w:rsid w:val="00E93D90"/>
    <w:rsid w:val="00E93DC0"/>
    <w:rsid w:val="00E93DE2"/>
    <w:rsid w:val="00E93EBA"/>
    <w:rsid w:val="00E93FAA"/>
    <w:rsid w:val="00E942C6"/>
    <w:rsid w:val="00E94544"/>
    <w:rsid w:val="00E945E1"/>
    <w:rsid w:val="00E946AF"/>
    <w:rsid w:val="00E94939"/>
    <w:rsid w:val="00E949B8"/>
    <w:rsid w:val="00E94C2B"/>
    <w:rsid w:val="00E94C66"/>
    <w:rsid w:val="00E94F5A"/>
    <w:rsid w:val="00E9511B"/>
    <w:rsid w:val="00E9518F"/>
    <w:rsid w:val="00E951FC"/>
    <w:rsid w:val="00E952B4"/>
    <w:rsid w:val="00E95345"/>
    <w:rsid w:val="00E95546"/>
    <w:rsid w:val="00E957D2"/>
    <w:rsid w:val="00E95854"/>
    <w:rsid w:val="00E95914"/>
    <w:rsid w:val="00E95A26"/>
    <w:rsid w:val="00E95B3C"/>
    <w:rsid w:val="00E95F01"/>
    <w:rsid w:val="00E95F7A"/>
    <w:rsid w:val="00E96008"/>
    <w:rsid w:val="00E96089"/>
    <w:rsid w:val="00E961EE"/>
    <w:rsid w:val="00E962CC"/>
    <w:rsid w:val="00E963CC"/>
    <w:rsid w:val="00E9646F"/>
    <w:rsid w:val="00E96489"/>
    <w:rsid w:val="00E965A9"/>
    <w:rsid w:val="00E967F2"/>
    <w:rsid w:val="00E96895"/>
    <w:rsid w:val="00E96B61"/>
    <w:rsid w:val="00E96E67"/>
    <w:rsid w:val="00E97066"/>
    <w:rsid w:val="00E9708A"/>
    <w:rsid w:val="00E97169"/>
    <w:rsid w:val="00E972E7"/>
    <w:rsid w:val="00E973FE"/>
    <w:rsid w:val="00E97486"/>
    <w:rsid w:val="00E97575"/>
    <w:rsid w:val="00E976B9"/>
    <w:rsid w:val="00E9772E"/>
    <w:rsid w:val="00E97B70"/>
    <w:rsid w:val="00E97D2B"/>
    <w:rsid w:val="00E97E74"/>
    <w:rsid w:val="00E97E9D"/>
    <w:rsid w:val="00EA0049"/>
    <w:rsid w:val="00EA013B"/>
    <w:rsid w:val="00EA0146"/>
    <w:rsid w:val="00EA0172"/>
    <w:rsid w:val="00EA02D0"/>
    <w:rsid w:val="00EA0454"/>
    <w:rsid w:val="00EA063C"/>
    <w:rsid w:val="00EA0734"/>
    <w:rsid w:val="00EA09E4"/>
    <w:rsid w:val="00EA0A96"/>
    <w:rsid w:val="00EA0AB8"/>
    <w:rsid w:val="00EA0C29"/>
    <w:rsid w:val="00EA0C87"/>
    <w:rsid w:val="00EA0D67"/>
    <w:rsid w:val="00EA0D71"/>
    <w:rsid w:val="00EA0D8A"/>
    <w:rsid w:val="00EA0DE4"/>
    <w:rsid w:val="00EA0DE6"/>
    <w:rsid w:val="00EA0EC2"/>
    <w:rsid w:val="00EA0FBF"/>
    <w:rsid w:val="00EA1097"/>
    <w:rsid w:val="00EA1128"/>
    <w:rsid w:val="00EA114A"/>
    <w:rsid w:val="00EA1268"/>
    <w:rsid w:val="00EA12C2"/>
    <w:rsid w:val="00EA1377"/>
    <w:rsid w:val="00EA147C"/>
    <w:rsid w:val="00EA14F3"/>
    <w:rsid w:val="00EA162D"/>
    <w:rsid w:val="00EA16C6"/>
    <w:rsid w:val="00EA16DB"/>
    <w:rsid w:val="00EA17C3"/>
    <w:rsid w:val="00EA17E3"/>
    <w:rsid w:val="00EA1838"/>
    <w:rsid w:val="00EA1B0E"/>
    <w:rsid w:val="00EA1E34"/>
    <w:rsid w:val="00EA1E6B"/>
    <w:rsid w:val="00EA1F09"/>
    <w:rsid w:val="00EA1F53"/>
    <w:rsid w:val="00EA208A"/>
    <w:rsid w:val="00EA213F"/>
    <w:rsid w:val="00EA2264"/>
    <w:rsid w:val="00EA22E5"/>
    <w:rsid w:val="00EA237E"/>
    <w:rsid w:val="00EA2613"/>
    <w:rsid w:val="00EA27AA"/>
    <w:rsid w:val="00EA2A53"/>
    <w:rsid w:val="00EA2B4D"/>
    <w:rsid w:val="00EA2C55"/>
    <w:rsid w:val="00EA2CAA"/>
    <w:rsid w:val="00EA2D10"/>
    <w:rsid w:val="00EA2D15"/>
    <w:rsid w:val="00EA2F4B"/>
    <w:rsid w:val="00EA303D"/>
    <w:rsid w:val="00EA3042"/>
    <w:rsid w:val="00EA3085"/>
    <w:rsid w:val="00EA328A"/>
    <w:rsid w:val="00EA32B0"/>
    <w:rsid w:val="00EA3440"/>
    <w:rsid w:val="00EA34D3"/>
    <w:rsid w:val="00EA3864"/>
    <w:rsid w:val="00EA38D6"/>
    <w:rsid w:val="00EA3E56"/>
    <w:rsid w:val="00EA4123"/>
    <w:rsid w:val="00EA41D3"/>
    <w:rsid w:val="00EA41E5"/>
    <w:rsid w:val="00EA442B"/>
    <w:rsid w:val="00EA45EB"/>
    <w:rsid w:val="00EA46F6"/>
    <w:rsid w:val="00EA4721"/>
    <w:rsid w:val="00EA4723"/>
    <w:rsid w:val="00EA47BA"/>
    <w:rsid w:val="00EA48C5"/>
    <w:rsid w:val="00EA4D34"/>
    <w:rsid w:val="00EA4E1C"/>
    <w:rsid w:val="00EA4F7C"/>
    <w:rsid w:val="00EA5108"/>
    <w:rsid w:val="00EA5263"/>
    <w:rsid w:val="00EA52EF"/>
    <w:rsid w:val="00EA5496"/>
    <w:rsid w:val="00EA5761"/>
    <w:rsid w:val="00EA5833"/>
    <w:rsid w:val="00EA5AAB"/>
    <w:rsid w:val="00EA5ACE"/>
    <w:rsid w:val="00EA5B15"/>
    <w:rsid w:val="00EA5DA5"/>
    <w:rsid w:val="00EA5FBE"/>
    <w:rsid w:val="00EA6231"/>
    <w:rsid w:val="00EA623E"/>
    <w:rsid w:val="00EA64C7"/>
    <w:rsid w:val="00EA657D"/>
    <w:rsid w:val="00EA6829"/>
    <w:rsid w:val="00EA68B1"/>
    <w:rsid w:val="00EA6BDD"/>
    <w:rsid w:val="00EA6BE5"/>
    <w:rsid w:val="00EA6C02"/>
    <w:rsid w:val="00EA6E0C"/>
    <w:rsid w:val="00EA6EFF"/>
    <w:rsid w:val="00EA6F94"/>
    <w:rsid w:val="00EA700A"/>
    <w:rsid w:val="00EA7046"/>
    <w:rsid w:val="00EA7152"/>
    <w:rsid w:val="00EA738E"/>
    <w:rsid w:val="00EA751E"/>
    <w:rsid w:val="00EA7666"/>
    <w:rsid w:val="00EA76AD"/>
    <w:rsid w:val="00EA7BA6"/>
    <w:rsid w:val="00EA7C0E"/>
    <w:rsid w:val="00EA7CA2"/>
    <w:rsid w:val="00EA7CE5"/>
    <w:rsid w:val="00EA7CEC"/>
    <w:rsid w:val="00EA7DB6"/>
    <w:rsid w:val="00EA7DE7"/>
    <w:rsid w:val="00EA7F1C"/>
    <w:rsid w:val="00EB004A"/>
    <w:rsid w:val="00EB00BA"/>
    <w:rsid w:val="00EB0135"/>
    <w:rsid w:val="00EB0281"/>
    <w:rsid w:val="00EB02D7"/>
    <w:rsid w:val="00EB0678"/>
    <w:rsid w:val="00EB0BD4"/>
    <w:rsid w:val="00EB0E11"/>
    <w:rsid w:val="00EB0E37"/>
    <w:rsid w:val="00EB0EEC"/>
    <w:rsid w:val="00EB0FFA"/>
    <w:rsid w:val="00EB1095"/>
    <w:rsid w:val="00EB1356"/>
    <w:rsid w:val="00EB135E"/>
    <w:rsid w:val="00EB137A"/>
    <w:rsid w:val="00EB14D7"/>
    <w:rsid w:val="00EB15B6"/>
    <w:rsid w:val="00EB1637"/>
    <w:rsid w:val="00EB1655"/>
    <w:rsid w:val="00EB1793"/>
    <w:rsid w:val="00EB18EE"/>
    <w:rsid w:val="00EB19E5"/>
    <w:rsid w:val="00EB1BA7"/>
    <w:rsid w:val="00EB1CC8"/>
    <w:rsid w:val="00EB2104"/>
    <w:rsid w:val="00EB235F"/>
    <w:rsid w:val="00EB23EB"/>
    <w:rsid w:val="00EB2510"/>
    <w:rsid w:val="00EB2846"/>
    <w:rsid w:val="00EB292F"/>
    <w:rsid w:val="00EB2A80"/>
    <w:rsid w:val="00EB2AAD"/>
    <w:rsid w:val="00EB2AFE"/>
    <w:rsid w:val="00EB2B14"/>
    <w:rsid w:val="00EB2EAD"/>
    <w:rsid w:val="00EB3066"/>
    <w:rsid w:val="00EB30B4"/>
    <w:rsid w:val="00EB30CA"/>
    <w:rsid w:val="00EB3323"/>
    <w:rsid w:val="00EB33D2"/>
    <w:rsid w:val="00EB34C1"/>
    <w:rsid w:val="00EB354C"/>
    <w:rsid w:val="00EB35D7"/>
    <w:rsid w:val="00EB36F2"/>
    <w:rsid w:val="00EB372B"/>
    <w:rsid w:val="00EB3895"/>
    <w:rsid w:val="00EB39B6"/>
    <w:rsid w:val="00EB3B16"/>
    <w:rsid w:val="00EB3B78"/>
    <w:rsid w:val="00EB3C07"/>
    <w:rsid w:val="00EB3C1C"/>
    <w:rsid w:val="00EB3C8A"/>
    <w:rsid w:val="00EB3C8D"/>
    <w:rsid w:val="00EB3D06"/>
    <w:rsid w:val="00EB3D95"/>
    <w:rsid w:val="00EB3E39"/>
    <w:rsid w:val="00EB3E40"/>
    <w:rsid w:val="00EB3ECD"/>
    <w:rsid w:val="00EB3EDA"/>
    <w:rsid w:val="00EB3F3C"/>
    <w:rsid w:val="00EB3FF8"/>
    <w:rsid w:val="00EB42CD"/>
    <w:rsid w:val="00EB445D"/>
    <w:rsid w:val="00EB4466"/>
    <w:rsid w:val="00EB44C6"/>
    <w:rsid w:val="00EB465A"/>
    <w:rsid w:val="00EB4698"/>
    <w:rsid w:val="00EB469C"/>
    <w:rsid w:val="00EB4746"/>
    <w:rsid w:val="00EB4864"/>
    <w:rsid w:val="00EB490E"/>
    <w:rsid w:val="00EB4916"/>
    <w:rsid w:val="00EB4B57"/>
    <w:rsid w:val="00EB4DA5"/>
    <w:rsid w:val="00EB4E83"/>
    <w:rsid w:val="00EB4F8A"/>
    <w:rsid w:val="00EB50DD"/>
    <w:rsid w:val="00EB53B9"/>
    <w:rsid w:val="00EB550C"/>
    <w:rsid w:val="00EB5AB8"/>
    <w:rsid w:val="00EB5C5D"/>
    <w:rsid w:val="00EB5CE0"/>
    <w:rsid w:val="00EB5D1C"/>
    <w:rsid w:val="00EB5D93"/>
    <w:rsid w:val="00EB5D9F"/>
    <w:rsid w:val="00EB5E6C"/>
    <w:rsid w:val="00EB614E"/>
    <w:rsid w:val="00EB62D2"/>
    <w:rsid w:val="00EB6413"/>
    <w:rsid w:val="00EB64C8"/>
    <w:rsid w:val="00EB6A85"/>
    <w:rsid w:val="00EB6D49"/>
    <w:rsid w:val="00EB6E65"/>
    <w:rsid w:val="00EB7137"/>
    <w:rsid w:val="00EB716C"/>
    <w:rsid w:val="00EB736D"/>
    <w:rsid w:val="00EB739C"/>
    <w:rsid w:val="00EB73E7"/>
    <w:rsid w:val="00EB774D"/>
    <w:rsid w:val="00EB7752"/>
    <w:rsid w:val="00EB7CCB"/>
    <w:rsid w:val="00EB7D82"/>
    <w:rsid w:val="00EB7E2C"/>
    <w:rsid w:val="00EB7EC1"/>
    <w:rsid w:val="00EB7EC8"/>
    <w:rsid w:val="00EB7FEA"/>
    <w:rsid w:val="00EC0099"/>
    <w:rsid w:val="00EC00C9"/>
    <w:rsid w:val="00EC0154"/>
    <w:rsid w:val="00EC01A6"/>
    <w:rsid w:val="00EC01F5"/>
    <w:rsid w:val="00EC0213"/>
    <w:rsid w:val="00EC07A1"/>
    <w:rsid w:val="00EC0A2A"/>
    <w:rsid w:val="00EC0AB6"/>
    <w:rsid w:val="00EC0DD9"/>
    <w:rsid w:val="00EC0F94"/>
    <w:rsid w:val="00EC124A"/>
    <w:rsid w:val="00EC131C"/>
    <w:rsid w:val="00EC1410"/>
    <w:rsid w:val="00EC1480"/>
    <w:rsid w:val="00EC15BF"/>
    <w:rsid w:val="00EC1671"/>
    <w:rsid w:val="00EC183B"/>
    <w:rsid w:val="00EC1932"/>
    <w:rsid w:val="00EC1AB8"/>
    <w:rsid w:val="00EC1F6A"/>
    <w:rsid w:val="00EC1FFC"/>
    <w:rsid w:val="00EC2026"/>
    <w:rsid w:val="00EC202F"/>
    <w:rsid w:val="00EC218D"/>
    <w:rsid w:val="00EC21C9"/>
    <w:rsid w:val="00EC228F"/>
    <w:rsid w:val="00EC22BA"/>
    <w:rsid w:val="00EC23BE"/>
    <w:rsid w:val="00EC23E8"/>
    <w:rsid w:val="00EC2649"/>
    <w:rsid w:val="00EC267B"/>
    <w:rsid w:val="00EC2780"/>
    <w:rsid w:val="00EC29E2"/>
    <w:rsid w:val="00EC2AC2"/>
    <w:rsid w:val="00EC2C22"/>
    <w:rsid w:val="00EC2CE1"/>
    <w:rsid w:val="00EC2DF2"/>
    <w:rsid w:val="00EC2EFB"/>
    <w:rsid w:val="00EC3076"/>
    <w:rsid w:val="00EC31ED"/>
    <w:rsid w:val="00EC32C4"/>
    <w:rsid w:val="00EC32F3"/>
    <w:rsid w:val="00EC3446"/>
    <w:rsid w:val="00EC345C"/>
    <w:rsid w:val="00EC3508"/>
    <w:rsid w:val="00EC3539"/>
    <w:rsid w:val="00EC35AA"/>
    <w:rsid w:val="00EC3645"/>
    <w:rsid w:val="00EC3668"/>
    <w:rsid w:val="00EC3733"/>
    <w:rsid w:val="00EC3845"/>
    <w:rsid w:val="00EC394D"/>
    <w:rsid w:val="00EC3AC5"/>
    <w:rsid w:val="00EC3D3C"/>
    <w:rsid w:val="00EC3D89"/>
    <w:rsid w:val="00EC3D92"/>
    <w:rsid w:val="00EC3E4C"/>
    <w:rsid w:val="00EC3E5F"/>
    <w:rsid w:val="00EC3EF2"/>
    <w:rsid w:val="00EC4131"/>
    <w:rsid w:val="00EC4594"/>
    <w:rsid w:val="00EC46C1"/>
    <w:rsid w:val="00EC4817"/>
    <w:rsid w:val="00EC4898"/>
    <w:rsid w:val="00EC48DC"/>
    <w:rsid w:val="00EC49DE"/>
    <w:rsid w:val="00EC4AC8"/>
    <w:rsid w:val="00EC4BC6"/>
    <w:rsid w:val="00EC4D3D"/>
    <w:rsid w:val="00EC5190"/>
    <w:rsid w:val="00EC5497"/>
    <w:rsid w:val="00EC556D"/>
    <w:rsid w:val="00EC564D"/>
    <w:rsid w:val="00EC5836"/>
    <w:rsid w:val="00EC5844"/>
    <w:rsid w:val="00EC5908"/>
    <w:rsid w:val="00EC59A7"/>
    <w:rsid w:val="00EC5AD7"/>
    <w:rsid w:val="00EC5ADB"/>
    <w:rsid w:val="00EC5DA5"/>
    <w:rsid w:val="00EC5DD1"/>
    <w:rsid w:val="00EC5F4C"/>
    <w:rsid w:val="00EC5F5F"/>
    <w:rsid w:val="00EC5FCB"/>
    <w:rsid w:val="00EC621F"/>
    <w:rsid w:val="00EC62EA"/>
    <w:rsid w:val="00EC64A6"/>
    <w:rsid w:val="00EC64DB"/>
    <w:rsid w:val="00EC64EB"/>
    <w:rsid w:val="00EC6740"/>
    <w:rsid w:val="00EC6756"/>
    <w:rsid w:val="00EC688C"/>
    <w:rsid w:val="00EC69F0"/>
    <w:rsid w:val="00EC6A0D"/>
    <w:rsid w:val="00EC6A7A"/>
    <w:rsid w:val="00EC6AAA"/>
    <w:rsid w:val="00EC6B00"/>
    <w:rsid w:val="00EC702B"/>
    <w:rsid w:val="00EC71DE"/>
    <w:rsid w:val="00EC72B4"/>
    <w:rsid w:val="00EC7505"/>
    <w:rsid w:val="00EC760E"/>
    <w:rsid w:val="00EC768F"/>
    <w:rsid w:val="00EC7831"/>
    <w:rsid w:val="00EC7854"/>
    <w:rsid w:val="00EC7C70"/>
    <w:rsid w:val="00EC7CEC"/>
    <w:rsid w:val="00EC7F19"/>
    <w:rsid w:val="00EC7F1A"/>
    <w:rsid w:val="00ED000E"/>
    <w:rsid w:val="00ED01B8"/>
    <w:rsid w:val="00ED0336"/>
    <w:rsid w:val="00ED0379"/>
    <w:rsid w:val="00ED04CE"/>
    <w:rsid w:val="00ED063F"/>
    <w:rsid w:val="00ED06F4"/>
    <w:rsid w:val="00ED0767"/>
    <w:rsid w:val="00ED080E"/>
    <w:rsid w:val="00ED0860"/>
    <w:rsid w:val="00ED08E5"/>
    <w:rsid w:val="00ED09E1"/>
    <w:rsid w:val="00ED0ADE"/>
    <w:rsid w:val="00ED0AED"/>
    <w:rsid w:val="00ED0B9A"/>
    <w:rsid w:val="00ED0CBB"/>
    <w:rsid w:val="00ED12E3"/>
    <w:rsid w:val="00ED138D"/>
    <w:rsid w:val="00ED13D8"/>
    <w:rsid w:val="00ED14B7"/>
    <w:rsid w:val="00ED15E3"/>
    <w:rsid w:val="00ED1705"/>
    <w:rsid w:val="00ED1748"/>
    <w:rsid w:val="00ED17F3"/>
    <w:rsid w:val="00ED18C8"/>
    <w:rsid w:val="00ED19F5"/>
    <w:rsid w:val="00ED1AE1"/>
    <w:rsid w:val="00ED1D75"/>
    <w:rsid w:val="00ED1EAD"/>
    <w:rsid w:val="00ED1EF0"/>
    <w:rsid w:val="00ED1F2D"/>
    <w:rsid w:val="00ED1F5D"/>
    <w:rsid w:val="00ED2016"/>
    <w:rsid w:val="00ED233D"/>
    <w:rsid w:val="00ED25B6"/>
    <w:rsid w:val="00ED26AF"/>
    <w:rsid w:val="00ED27BC"/>
    <w:rsid w:val="00ED2853"/>
    <w:rsid w:val="00ED28C8"/>
    <w:rsid w:val="00ED299A"/>
    <w:rsid w:val="00ED29C7"/>
    <w:rsid w:val="00ED2A36"/>
    <w:rsid w:val="00ED2AF0"/>
    <w:rsid w:val="00ED2C90"/>
    <w:rsid w:val="00ED2E20"/>
    <w:rsid w:val="00ED2E3D"/>
    <w:rsid w:val="00ED2F10"/>
    <w:rsid w:val="00ED3006"/>
    <w:rsid w:val="00ED3038"/>
    <w:rsid w:val="00ED30A4"/>
    <w:rsid w:val="00ED3119"/>
    <w:rsid w:val="00ED35B5"/>
    <w:rsid w:val="00ED35DD"/>
    <w:rsid w:val="00ED381B"/>
    <w:rsid w:val="00ED3969"/>
    <w:rsid w:val="00ED39A9"/>
    <w:rsid w:val="00ED3B25"/>
    <w:rsid w:val="00ED3B44"/>
    <w:rsid w:val="00ED3DC2"/>
    <w:rsid w:val="00ED3E2A"/>
    <w:rsid w:val="00ED42FD"/>
    <w:rsid w:val="00ED44A0"/>
    <w:rsid w:val="00ED457C"/>
    <w:rsid w:val="00ED45F1"/>
    <w:rsid w:val="00ED45F8"/>
    <w:rsid w:val="00ED461A"/>
    <w:rsid w:val="00ED46CD"/>
    <w:rsid w:val="00ED47A3"/>
    <w:rsid w:val="00ED47BC"/>
    <w:rsid w:val="00ED4A44"/>
    <w:rsid w:val="00ED4B04"/>
    <w:rsid w:val="00ED4CFE"/>
    <w:rsid w:val="00ED4D82"/>
    <w:rsid w:val="00ED4D87"/>
    <w:rsid w:val="00ED4E6D"/>
    <w:rsid w:val="00ED4F6C"/>
    <w:rsid w:val="00ED515B"/>
    <w:rsid w:val="00ED51CD"/>
    <w:rsid w:val="00ED5308"/>
    <w:rsid w:val="00ED536F"/>
    <w:rsid w:val="00ED542E"/>
    <w:rsid w:val="00ED57EA"/>
    <w:rsid w:val="00ED5908"/>
    <w:rsid w:val="00ED59CB"/>
    <w:rsid w:val="00ED59CD"/>
    <w:rsid w:val="00ED5A65"/>
    <w:rsid w:val="00ED5AC3"/>
    <w:rsid w:val="00ED5BD4"/>
    <w:rsid w:val="00ED5C08"/>
    <w:rsid w:val="00ED5F41"/>
    <w:rsid w:val="00ED6014"/>
    <w:rsid w:val="00ED622F"/>
    <w:rsid w:val="00ED6371"/>
    <w:rsid w:val="00ED638F"/>
    <w:rsid w:val="00ED6478"/>
    <w:rsid w:val="00ED6B85"/>
    <w:rsid w:val="00ED6BDD"/>
    <w:rsid w:val="00ED6C07"/>
    <w:rsid w:val="00ED6C0F"/>
    <w:rsid w:val="00ED6C25"/>
    <w:rsid w:val="00ED6DB6"/>
    <w:rsid w:val="00ED6DCD"/>
    <w:rsid w:val="00ED70F0"/>
    <w:rsid w:val="00ED70F4"/>
    <w:rsid w:val="00ED70FD"/>
    <w:rsid w:val="00ED7189"/>
    <w:rsid w:val="00ED71A8"/>
    <w:rsid w:val="00ED7201"/>
    <w:rsid w:val="00ED7222"/>
    <w:rsid w:val="00ED729B"/>
    <w:rsid w:val="00ED73EE"/>
    <w:rsid w:val="00ED7499"/>
    <w:rsid w:val="00ED7568"/>
    <w:rsid w:val="00ED75E6"/>
    <w:rsid w:val="00ED77DB"/>
    <w:rsid w:val="00ED7812"/>
    <w:rsid w:val="00ED797C"/>
    <w:rsid w:val="00ED79CD"/>
    <w:rsid w:val="00ED7A06"/>
    <w:rsid w:val="00ED7A2F"/>
    <w:rsid w:val="00ED7A9C"/>
    <w:rsid w:val="00ED7C23"/>
    <w:rsid w:val="00ED7E8E"/>
    <w:rsid w:val="00EE0143"/>
    <w:rsid w:val="00EE0645"/>
    <w:rsid w:val="00EE07D3"/>
    <w:rsid w:val="00EE08F2"/>
    <w:rsid w:val="00EE08F5"/>
    <w:rsid w:val="00EE093F"/>
    <w:rsid w:val="00EE0D76"/>
    <w:rsid w:val="00EE0EF4"/>
    <w:rsid w:val="00EE112D"/>
    <w:rsid w:val="00EE13A0"/>
    <w:rsid w:val="00EE1460"/>
    <w:rsid w:val="00EE15ED"/>
    <w:rsid w:val="00EE171B"/>
    <w:rsid w:val="00EE17BD"/>
    <w:rsid w:val="00EE1996"/>
    <w:rsid w:val="00EE1A1D"/>
    <w:rsid w:val="00EE1C01"/>
    <w:rsid w:val="00EE1DD4"/>
    <w:rsid w:val="00EE1F49"/>
    <w:rsid w:val="00EE20DC"/>
    <w:rsid w:val="00EE20DD"/>
    <w:rsid w:val="00EE20F7"/>
    <w:rsid w:val="00EE22AF"/>
    <w:rsid w:val="00EE2300"/>
    <w:rsid w:val="00EE242B"/>
    <w:rsid w:val="00EE247E"/>
    <w:rsid w:val="00EE26AD"/>
    <w:rsid w:val="00EE2BB3"/>
    <w:rsid w:val="00EE2BE4"/>
    <w:rsid w:val="00EE2C66"/>
    <w:rsid w:val="00EE2D52"/>
    <w:rsid w:val="00EE3172"/>
    <w:rsid w:val="00EE3245"/>
    <w:rsid w:val="00EE327E"/>
    <w:rsid w:val="00EE33AD"/>
    <w:rsid w:val="00EE33B6"/>
    <w:rsid w:val="00EE346D"/>
    <w:rsid w:val="00EE346F"/>
    <w:rsid w:val="00EE349F"/>
    <w:rsid w:val="00EE3622"/>
    <w:rsid w:val="00EE36A7"/>
    <w:rsid w:val="00EE3734"/>
    <w:rsid w:val="00EE3812"/>
    <w:rsid w:val="00EE38FC"/>
    <w:rsid w:val="00EE3B9E"/>
    <w:rsid w:val="00EE3C65"/>
    <w:rsid w:val="00EE3EA4"/>
    <w:rsid w:val="00EE3FC0"/>
    <w:rsid w:val="00EE4012"/>
    <w:rsid w:val="00EE4070"/>
    <w:rsid w:val="00EE419E"/>
    <w:rsid w:val="00EE4274"/>
    <w:rsid w:val="00EE4286"/>
    <w:rsid w:val="00EE42E6"/>
    <w:rsid w:val="00EE4304"/>
    <w:rsid w:val="00EE4321"/>
    <w:rsid w:val="00EE4441"/>
    <w:rsid w:val="00EE4476"/>
    <w:rsid w:val="00EE449F"/>
    <w:rsid w:val="00EE46CD"/>
    <w:rsid w:val="00EE47E1"/>
    <w:rsid w:val="00EE4865"/>
    <w:rsid w:val="00EE486E"/>
    <w:rsid w:val="00EE490A"/>
    <w:rsid w:val="00EE4974"/>
    <w:rsid w:val="00EE4B11"/>
    <w:rsid w:val="00EE4B9C"/>
    <w:rsid w:val="00EE4C07"/>
    <w:rsid w:val="00EE5079"/>
    <w:rsid w:val="00EE5097"/>
    <w:rsid w:val="00EE520A"/>
    <w:rsid w:val="00EE5522"/>
    <w:rsid w:val="00EE57BE"/>
    <w:rsid w:val="00EE59D6"/>
    <w:rsid w:val="00EE5B97"/>
    <w:rsid w:val="00EE5EAD"/>
    <w:rsid w:val="00EE5EFA"/>
    <w:rsid w:val="00EE5F47"/>
    <w:rsid w:val="00EE5FA5"/>
    <w:rsid w:val="00EE6662"/>
    <w:rsid w:val="00EE666B"/>
    <w:rsid w:val="00EE66AF"/>
    <w:rsid w:val="00EE66FE"/>
    <w:rsid w:val="00EE6700"/>
    <w:rsid w:val="00EE6744"/>
    <w:rsid w:val="00EE67EC"/>
    <w:rsid w:val="00EE69A2"/>
    <w:rsid w:val="00EE69AA"/>
    <w:rsid w:val="00EE6B26"/>
    <w:rsid w:val="00EE6D26"/>
    <w:rsid w:val="00EE6E45"/>
    <w:rsid w:val="00EE6E91"/>
    <w:rsid w:val="00EE6F5A"/>
    <w:rsid w:val="00EE7073"/>
    <w:rsid w:val="00EE7161"/>
    <w:rsid w:val="00EE720C"/>
    <w:rsid w:val="00EE73EA"/>
    <w:rsid w:val="00EE7479"/>
    <w:rsid w:val="00EE74EC"/>
    <w:rsid w:val="00EE78ED"/>
    <w:rsid w:val="00EE7A0A"/>
    <w:rsid w:val="00EE7A46"/>
    <w:rsid w:val="00EE7AC7"/>
    <w:rsid w:val="00EE7B3F"/>
    <w:rsid w:val="00EE7BAF"/>
    <w:rsid w:val="00EE7BD1"/>
    <w:rsid w:val="00EE7C63"/>
    <w:rsid w:val="00EE7C80"/>
    <w:rsid w:val="00EE7CD7"/>
    <w:rsid w:val="00EF008D"/>
    <w:rsid w:val="00EF00C3"/>
    <w:rsid w:val="00EF0171"/>
    <w:rsid w:val="00EF03A8"/>
    <w:rsid w:val="00EF04C5"/>
    <w:rsid w:val="00EF05F2"/>
    <w:rsid w:val="00EF06EC"/>
    <w:rsid w:val="00EF0734"/>
    <w:rsid w:val="00EF0798"/>
    <w:rsid w:val="00EF08D3"/>
    <w:rsid w:val="00EF0923"/>
    <w:rsid w:val="00EF099E"/>
    <w:rsid w:val="00EF0C3F"/>
    <w:rsid w:val="00EF0D7F"/>
    <w:rsid w:val="00EF0D82"/>
    <w:rsid w:val="00EF0EA6"/>
    <w:rsid w:val="00EF0F5D"/>
    <w:rsid w:val="00EF100E"/>
    <w:rsid w:val="00EF14C0"/>
    <w:rsid w:val="00EF169B"/>
    <w:rsid w:val="00EF172B"/>
    <w:rsid w:val="00EF185C"/>
    <w:rsid w:val="00EF1880"/>
    <w:rsid w:val="00EF194A"/>
    <w:rsid w:val="00EF1952"/>
    <w:rsid w:val="00EF19FF"/>
    <w:rsid w:val="00EF1A7D"/>
    <w:rsid w:val="00EF1B25"/>
    <w:rsid w:val="00EF1C51"/>
    <w:rsid w:val="00EF1C63"/>
    <w:rsid w:val="00EF1DA0"/>
    <w:rsid w:val="00EF1F31"/>
    <w:rsid w:val="00EF1F9C"/>
    <w:rsid w:val="00EF20A6"/>
    <w:rsid w:val="00EF2460"/>
    <w:rsid w:val="00EF2624"/>
    <w:rsid w:val="00EF26CC"/>
    <w:rsid w:val="00EF29F7"/>
    <w:rsid w:val="00EF2CBA"/>
    <w:rsid w:val="00EF2DA8"/>
    <w:rsid w:val="00EF2E24"/>
    <w:rsid w:val="00EF2E70"/>
    <w:rsid w:val="00EF2EF9"/>
    <w:rsid w:val="00EF2FF5"/>
    <w:rsid w:val="00EF3066"/>
    <w:rsid w:val="00EF3160"/>
    <w:rsid w:val="00EF322D"/>
    <w:rsid w:val="00EF3236"/>
    <w:rsid w:val="00EF327A"/>
    <w:rsid w:val="00EF331A"/>
    <w:rsid w:val="00EF336B"/>
    <w:rsid w:val="00EF33A2"/>
    <w:rsid w:val="00EF33AF"/>
    <w:rsid w:val="00EF3412"/>
    <w:rsid w:val="00EF3422"/>
    <w:rsid w:val="00EF3792"/>
    <w:rsid w:val="00EF38E0"/>
    <w:rsid w:val="00EF38FA"/>
    <w:rsid w:val="00EF3C3F"/>
    <w:rsid w:val="00EF3C81"/>
    <w:rsid w:val="00EF3C90"/>
    <w:rsid w:val="00EF3CA6"/>
    <w:rsid w:val="00EF3CD4"/>
    <w:rsid w:val="00EF3D6E"/>
    <w:rsid w:val="00EF3D9D"/>
    <w:rsid w:val="00EF3DB7"/>
    <w:rsid w:val="00EF3E2D"/>
    <w:rsid w:val="00EF3F8E"/>
    <w:rsid w:val="00EF40DB"/>
    <w:rsid w:val="00EF433F"/>
    <w:rsid w:val="00EF44B9"/>
    <w:rsid w:val="00EF4535"/>
    <w:rsid w:val="00EF462A"/>
    <w:rsid w:val="00EF4747"/>
    <w:rsid w:val="00EF478B"/>
    <w:rsid w:val="00EF47C8"/>
    <w:rsid w:val="00EF49B4"/>
    <w:rsid w:val="00EF4BF8"/>
    <w:rsid w:val="00EF4D44"/>
    <w:rsid w:val="00EF4D47"/>
    <w:rsid w:val="00EF4DF2"/>
    <w:rsid w:val="00EF4EEC"/>
    <w:rsid w:val="00EF5116"/>
    <w:rsid w:val="00EF5199"/>
    <w:rsid w:val="00EF55C5"/>
    <w:rsid w:val="00EF55F4"/>
    <w:rsid w:val="00EF569E"/>
    <w:rsid w:val="00EF56D7"/>
    <w:rsid w:val="00EF5841"/>
    <w:rsid w:val="00EF5CD9"/>
    <w:rsid w:val="00EF5DE1"/>
    <w:rsid w:val="00EF5E16"/>
    <w:rsid w:val="00EF5EC2"/>
    <w:rsid w:val="00EF5EFF"/>
    <w:rsid w:val="00EF6129"/>
    <w:rsid w:val="00EF6154"/>
    <w:rsid w:val="00EF6180"/>
    <w:rsid w:val="00EF61D5"/>
    <w:rsid w:val="00EF6422"/>
    <w:rsid w:val="00EF655D"/>
    <w:rsid w:val="00EF66A0"/>
    <w:rsid w:val="00EF6808"/>
    <w:rsid w:val="00EF69D4"/>
    <w:rsid w:val="00EF6A0D"/>
    <w:rsid w:val="00EF6A46"/>
    <w:rsid w:val="00EF6C2D"/>
    <w:rsid w:val="00EF6D85"/>
    <w:rsid w:val="00EF6E15"/>
    <w:rsid w:val="00EF6E44"/>
    <w:rsid w:val="00EF6EB8"/>
    <w:rsid w:val="00EF6F94"/>
    <w:rsid w:val="00EF72A3"/>
    <w:rsid w:val="00EF7504"/>
    <w:rsid w:val="00EF75F6"/>
    <w:rsid w:val="00EF76C0"/>
    <w:rsid w:val="00EF7A2F"/>
    <w:rsid w:val="00EF7B47"/>
    <w:rsid w:val="00EF7BA4"/>
    <w:rsid w:val="00EF7C1B"/>
    <w:rsid w:val="00EF7D13"/>
    <w:rsid w:val="00EF7E43"/>
    <w:rsid w:val="00F0007C"/>
    <w:rsid w:val="00F000F9"/>
    <w:rsid w:val="00F003CC"/>
    <w:rsid w:val="00F00584"/>
    <w:rsid w:val="00F005B3"/>
    <w:rsid w:val="00F0064B"/>
    <w:rsid w:val="00F006D6"/>
    <w:rsid w:val="00F00799"/>
    <w:rsid w:val="00F00814"/>
    <w:rsid w:val="00F008E8"/>
    <w:rsid w:val="00F00A55"/>
    <w:rsid w:val="00F00EA6"/>
    <w:rsid w:val="00F00EF4"/>
    <w:rsid w:val="00F00F3F"/>
    <w:rsid w:val="00F01254"/>
    <w:rsid w:val="00F013C4"/>
    <w:rsid w:val="00F0147B"/>
    <w:rsid w:val="00F015E3"/>
    <w:rsid w:val="00F01609"/>
    <w:rsid w:val="00F0190A"/>
    <w:rsid w:val="00F01925"/>
    <w:rsid w:val="00F019A2"/>
    <w:rsid w:val="00F01C00"/>
    <w:rsid w:val="00F01CD1"/>
    <w:rsid w:val="00F01D0A"/>
    <w:rsid w:val="00F01E4A"/>
    <w:rsid w:val="00F01E65"/>
    <w:rsid w:val="00F01EBA"/>
    <w:rsid w:val="00F01F4D"/>
    <w:rsid w:val="00F020C7"/>
    <w:rsid w:val="00F021E4"/>
    <w:rsid w:val="00F02253"/>
    <w:rsid w:val="00F02279"/>
    <w:rsid w:val="00F02392"/>
    <w:rsid w:val="00F023BF"/>
    <w:rsid w:val="00F024B2"/>
    <w:rsid w:val="00F026B3"/>
    <w:rsid w:val="00F0270D"/>
    <w:rsid w:val="00F028AA"/>
    <w:rsid w:val="00F0298D"/>
    <w:rsid w:val="00F02996"/>
    <w:rsid w:val="00F02AA6"/>
    <w:rsid w:val="00F02AC8"/>
    <w:rsid w:val="00F02B67"/>
    <w:rsid w:val="00F02BD7"/>
    <w:rsid w:val="00F02C8E"/>
    <w:rsid w:val="00F02E4E"/>
    <w:rsid w:val="00F02F62"/>
    <w:rsid w:val="00F03067"/>
    <w:rsid w:val="00F0307A"/>
    <w:rsid w:val="00F0317D"/>
    <w:rsid w:val="00F032D8"/>
    <w:rsid w:val="00F032EF"/>
    <w:rsid w:val="00F033E9"/>
    <w:rsid w:val="00F03414"/>
    <w:rsid w:val="00F03458"/>
    <w:rsid w:val="00F03508"/>
    <w:rsid w:val="00F03528"/>
    <w:rsid w:val="00F03551"/>
    <w:rsid w:val="00F03770"/>
    <w:rsid w:val="00F037C9"/>
    <w:rsid w:val="00F03803"/>
    <w:rsid w:val="00F0382D"/>
    <w:rsid w:val="00F03851"/>
    <w:rsid w:val="00F03858"/>
    <w:rsid w:val="00F03867"/>
    <w:rsid w:val="00F03ABA"/>
    <w:rsid w:val="00F03B74"/>
    <w:rsid w:val="00F03C2E"/>
    <w:rsid w:val="00F03DEF"/>
    <w:rsid w:val="00F0406F"/>
    <w:rsid w:val="00F040C4"/>
    <w:rsid w:val="00F04293"/>
    <w:rsid w:val="00F043C8"/>
    <w:rsid w:val="00F043D0"/>
    <w:rsid w:val="00F04400"/>
    <w:rsid w:val="00F04424"/>
    <w:rsid w:val="00F044DA"/>
    <w:rsid w:val="00F04645"/>
    <w:rsid w:val="00F04715"/>
    <w:rsid w:val="00F04A66"/>
    <w:rsid w:val="00F04B44"/>
    <w:rsid w:val="00F04B4B"/>
    <w:rsid w:val="00F04BAB"/>
    <w:rsid w:val="00F04DC6"/>
    <w:rsid w:val="00F04F89"/>
    <w:rsid w:val="00F0516C"/>
    <w:rsid w:val="00F05327"/>
    <w:rsid w:val="00F054BA"/>
    <w:rsid w:val="00F05683"/>
    <w:rsid w:val="00F056A0"/>
    <w:rsid w:val="00F056AB"/>
    <w:rsid w:val="00F05886"/>
    <w:rsid w:val="00F0598E"/>
    <w:rsid w:val="00F05A02"/>
    <w:rsid w:val="00F05A3D"/>
    <w:rsid w:val="00F05A82"/>
    <w:rsid w:val="00F05AD5"/>
    <w:rsid w:val="00F05C38"/>
    <w:rsid w:val="00F05D6C"/>
    <w:rsid w:val="00F05E86"/>
    <w:rsid w:val="00F05F66"/>
    <w:rsid w:val="00F06021"/>
    <w:rsid w:val="00F06106"/>
    <w:rsid w:val="00F06135"/>
    <w:rsid w:val="00F061A4"/>
    <w:rsid w:val="00F061A9"/>
    <w:rsid w:val="00F06239"/>
    <w:rsid w:val="00F06299"/>
    <w:rsid w:val="00F063E3"/>
    <w:rsid w:val="00F06418"/>
    <w:rsid w:val="00F06439"/>
    <w:rsid w:val="00F06471"/>
    <w:rsid w:val="00F066B9"/>
    <w:rsid w:val="00F067A2"/>
    <w:rsid w:val="00F0687B"/>
    <w:rsid w:val="00F06AE8"/>
    <w:rsid w:val="00F06B77"/>
    <w:rsid w:val="00F06B9E"/>
    <w:rsid w:val="00F06CE1"/>
    <w:rsid w:val="00F06F85"/>
    <w:rsid w:val="00F0700E"/>
    <w:rsid w:val="00F0710A"/>
    <w:rsid w:val="00F072CB"/>
    <w:rsid w:val="00F07448"/>
    <w:rsid w:val="00F074E6"/>
    <w:rsid w:val="00F07505"/>
    <w:rsid w:val="00F07577"/>
    <w:rsid w:val="00F075B9"/>
    <w:rsid w:val="00F07634"/>
    <w:rsid w:val="00F076CB"/>
    <w:rsid w:val="00F07914"/>
    <w:rsid w:val="00F07B9E"/>
    <w:rsid w:val="00F07BA1"/>
    <w:rsid w:val="00F07DA5"/>
    <w:rsid w:val="00F1019A"/>
    <w:rsid w:val="00F102B7"/>
    <w:rsid w:val="00F104EB"/>
    <w:rsid w:val="00F106D2"/>
    <w:rsid w:val="00F1076F"/>
    <w:rsid w:val="00F108EB"/>
    <w:rsid w:val="00F10DB0"/>
    <w:rsid w:val="00F10EA8"/>
    <w:rsid w:val="00F10EEE"/>
    <w:rsid w:val="00F10F5C"/>
    <w:rsid w:val="00F11146"/>
    <w:rsid w:val="00F11166"/>
    <w:rsid w:val="00F1116F"/>
    <w:rsid w:val="00F11190"/>
    <w:rsid w:val="00F1147A"/>
    <w:rsid w:val="00F117D5"/>
    <w:rsid w:val="00F117FF"/>
    <w:rsid w:val="00F119E8"/>
    <w:rsid w:val="00F11A27"/>
    <w:rsid w:val="00F11D40"/>
    <w:rsid w:val="00F11D49"/>
    <w:rsid w:val="00F12234"/>
    <w:rsid w:val="00F124F7"/>
    <w:rsid w:val="00F1263A"/>
    <w:rsid w:val="00F12781"/>
    <w:rsid w:val="00F127AB"/>
    <w:rsid w:val="00F128CC"/>
    <w:rsid w:val="00F12B63"/>
    <w:rsid w:val="00F12E65"/>
    <w:rsid w:val="00F12EDD"/>
    <w:rsid w:val="00F1338C"/>
    <w:rsid w:val="00F133E3"/>
    <w:rsid w:val="00F1358B"/>
    <w:rsid w:val="00F13779"/>
    <w:rsid w:val="00F137B3"/>
    <w:rsid w:val="00F13857"/>
    <w:rsid w:val="00F139C5"/>
    <w:rsid w:val="00F13AA1"/>
    <w:rsid w:val="00F13B5E"/>
    <w:rsid w:val="00F13BF4"/>
    <w:rsid w:val="00F13CEA"/>
    <w:rsid w:val="00F13CEC"/>
    <w:rsid w:val="00F13E1F"/>
    <w:rsid w:val="00F13E60"/>
    <w:rsid w:val="00F13E83"/>
    <w:rsid w:val="00F13FC0"/>
    <w:rsid w:val="00F140FD"/>
    <w:rsid w:val="00F14340"/>
    <w:rsid w:val="00F1434B"/>
    <w:rsid w:val="00F14439"/>
    <w:rsid w:val="00F1446D"/>
    <w:rsid w:val="00F1448E"/>
    <w:rsid w:val="00F144ED"/>
    <w:rsid w:val="00F1450D"/>
    <w:rsid w:val="00F14554"/>
    <w:rsid w:val="00F145C4"/>
    <w:rsid w:val="00F1461B"/>
    <w:rsid w:val="00F14705"/>
    <w:rsid w:val="00F1475A"/>
    <w:rsid w:val="00F14800"/>
    <w:rsid w:val="00F148CB"/>
    <w:rsid w:val="00F1505E"/>
    <w:rsid w:val="00F154EF"/>
    <w:rsid w:val="00F15614"/>
    <w:rsid w:val="00F158DC"/>
    <w:rsid w:val="00F1599B"/>
    <w:rsid w:val="00F159C5"/>
    <w:rsid w:val="00F15B77"/>
    <w:rsid w:val="00F15CA5"/>
    <w:rsid w:val="00F15CD7"/>
    <w:rsid w:val="00F15D4F"/>
    <w:rsid w:val="00F15E41"/>
    <w:rsid w:val="00F15EEF"/>
    <w:rsid w:val="00F15F97"/>
    <w:rsid w:val="00F16475"/>
    <w:rsid w:val="00F16508"/>
    <w:rsid w:val="00F16660"/>
    <w:rsid w:val="00F1680E"/>
    <w:rsid w:val="00F16853"/>
    <w:rsid w:val="00F1689E"/>
    <w:rsid w:val="00F16A68"/>
    <w:rsid w:val="00F16C40"/>
    <w:rsid w:val="00F16C83"/>
    <w:rsid w:val="00F16E97"/>
    <w:rsid w:val="00F16EB4"/>
    <w:rsid w:val="00F16F93"/>
    <w:rsid w:val="00F17059"/>
    <w:rsid w:val="00F170EE"/>
    <w:rsid w:val="00F1716C"/>
    <w:rsid w:val="00F171B0"/>
    <w:rsid w:val="00F1722A"/>
    <w:rsid w:val="00F17243"/>
    <w:rsid w:val="00F173A8"/>
    <w:rsid w:val="00F1761D"/>
    <w:rsid w:val="00F1764E"/>
    <w:rsid w:val="00F17773"/>
    <w:rsid w:val="00F1797B"/>
    <w:rsid w:val="00F17A5A"/>
    <w:rsid w:val="00F17CF3"/>
    <w:rsid w:val="00F201F0"/>
    <w:rsid w:val="00F20306"/>
    <w:rsid w:val="00F2048E"/>
    <w:rsid w:val="00F2058D"/>
    <w:rsid w:val="00F206D4"/>
    <w:rsid w:val="00F2080D"/>
    <w:rsid w:val="00F20B90"/>
    <w:rsid w:val="00F20DFB"/>
    <w:rsid w:val="00F20F70"/>
    <w:rsid w:val="00F21193"/>
    <w:rsid w:val="00F21236"/>
    <w:rsid w:val="00F21296"/>
    <w:rsid w:val="00F21404"/>
    <w:rsid w:val="00F2152F"/>
    <w:rsid w:val="00F2154B"/>
    <w:rsid w:val="00F216CE"/>
    <w:rsid w:val="00F21720"/>
    <w:rsid w:val="00F2176B"/>
    <w:rsid w:val="00F2178B"/>
    <w:rsid w:val="00F2179E"/>
    <w:rsid w:val="00F21819"/>
    <w:rsid w:val="00F21BE1"/>
    <w:rsid w:val="00F21DCA"/>
    <w:rsid w:val="00F2205E"/>
    <w:rsid w:val="00F22085"/>
    <w:rsid w:val="00F22113"/>
    <w:rsid w:val="00F221DA"/>
    <w:rsid w:val="00F22209"/>
    <w:rsid w:val="00F22265"/>
    <w:rsid w:val="00F223DD"/>
    <w:rsid w:val="00F223F7"/>
    <w:rsid w:val="00F22491"/>
    <w:rsid w:val="00F2266A"/>
    <w:rsid w:val="00F227C3"/>
    <w:rsid w:val="00F22879"/>
    <w:rsid w:val="00F22B4C"/>
    <w:rsid w:val="00F22BAA"/>
    <w:rsid w:val="00F22DCD"/>
    <w:rsid w:val="00F22E07"/>
    <w:rsid w:val="00F22E8D"/>
    <w:rsid w:val="00F22EC8"/>
    <w:rsid w:val="00F230FA"/>
    <w:rsid w:val="00F23135"/>
    <w:rsid w:val="00F233CD"/>
    <w:rsid w:val="00F234A3"/>
    <w:rsid w:val="00F23921"/>
    <w:rsid w:val="00F23968"/>
    <w:rsid w:val="00F239DF"/>
    <w:rsid w:val="00F23A96"/>
    <w:rsid w:val="00F2453B"/>
    <w:rsid w:val="00F24667"/>
    <w:rsid w:val="00F24783"/>
    <w:rsid w:val="00F24837"/>
    <w:rsid w:val="00F24887"/>
    <w:rsid w:val="00F24B07"/>
    <w:rsid w:val="00F24D31"/>
    <w:rsid w:val="00F24D5F"/>
    <w:rsid w:val="00F24D93"/>
    <w:rsid w:val="00F24FBF"/>
    <w:rsid w:val="00F2537F"/>
    <w:rsid w:val="00F2540E"/>
    <w:rsid w:val="00F25543"/>
    <w:rsid w:val="00F25664"/>
    <w:rsid w:val="00F2575F"/>
    <w:rsid w:val="00F25B3F"/>
    <w:rsid w:val="00F25C84"/>
    <w:rsid w:val="00F25CAB"/>
    <w:rsid w:val="00F25CF8"/>
    <w:rsid w:val="00F25E69"/>
    <w:rsid w:val="00F2616F"/>
    <w:rsid w:val="00F26333"/>
    <w:rsid w:val="00F2643B"/>
    <w:rsid w:val="00F264AE"/>
    <w:rsid w:val="00F26714"/>
    <w:rsid w:val="00F267DF"/>
    <w:rsid w:val="00F26898"/>
    <w:rsid w:val="00F26986"/>
    <w:rsid w:val="00F269BD"/>
    <w:rsid w:val="00F26A11"/>
    <w:rsid w:val="00F26F4C"/>
    <w:rsid w:val="00F270AD"/>
    <w:rsid w:val="00F27220"/>
    <w:rsid w:val="00F2731F"/>
    <w:rsid w:val="00F27565"/>
    <w:rsid w:val="00F27754"/>
    <w:rsid w:val="00F27B84"/>
    <w:rsid w:val="00F27C58"/>
    <w:rsid w:val="00F27D8F"/>
    <w:rsid w:val="00F27E1F"/>
    <w:rsid w:val="00F27EAB"/>
    <w:rsid w:val="00F27F7A"/>
    <w:rsid w:val="00F27F96"/>
    <w:rsid w:val="00F300DD"/>
    <w:rsid w:val="00F30282"/>
    <w:rsid w:val="00F30315"/>
    <w:rsid w:val="00F3039D"/>
    <w:rsid w:val="00F303E1"/>
    <w:rsid w:val="00F3049D"/>
    <w:rsid w:val="00F30710"/>
    <w:rsid w:val="00F3078B"/>
    <w:rsid w:val="00F3085F"/>
    <w:rsid w:val="00F308F4"/>
    <w:rsid w:val="00F30BDA"/>
    <w:rsid w:val="00F30C00"/>
    <w:rsid w:val="00F30C3E"/>
    <w:rsid w:val="00F30ECD"/>
    <w:rsid w:val="00F30F18"/>
    <w:rsid w:val="00F310D4"/>
    <w:rsid w:val="00F3113C"/>
    <w:rsid w:val="00F31268"/>
    <w:rsid w:val="00F31613"/>
    <w:rsid w:val="00F316DF"/>
    <w:rsid w:val="00F31767"/>
    <w:rsid w:val="00F31B9C"/>
    <w:rsid w:val="00F31C02"/>
    <w:rsid w:val="00F31C86"/>
    <w:rsid w:val="00F31D17"/>
    <w:rsid w:val="00F31D5A"/>
    <w:rsid w:val="00F31E0B"/>
    <w:rsid w:val="00F31F96"/>
    <w:rsid w:val="00F32173"/>
    <w:rsid w:val="00F322E6"/>
    <w:rsid w:val="00F3247A"/>
    <w:rsid w:val="00F32507"/>
    <w:rsid w:val="00F32577"/>
    <w:rsid w:val="00F3276E"/>
    <w:rsid w:val="00F327FF"/>
    <w:rsid w:val="00F328E2"/>
    <w:rsid w:val="00F3296E"/>
    <w:rsid w:val="00F32A3D"/>
    <w:rsid w:val="00F32A61"/>
    <w:rsid w:val="00F32DB9"/>
    <w:rsid w:val="00F32EAA"/>
    <w:rsid w:val="00F3300C"/>
    <w:rsid w:val="00F3314D"/>
    <w:rsid w:val="00F3317E"/>
    <w:rsid w:val="00F333EA"/>
    <w:rsid w:val="00F334BA"/>
    <w:rsid w:val="00F3353E"/>
    <w:rsid w:val="00F336E2"/>
    <w:rsid w:val="00F3382B"/>
    <w:rsid w:val="00F33865"/>
    <w:rsid w:val="00F33975"/>
    <w:rsid w:val="00F339D6"/>
    <w:rsid w:val="00F33A4A"/>
    <w:rsid w:val="00F33A79"/>
    <w:rsid w:val="00F33B46"/>
    <w:rsid w:val="00F33BD1"/>
    <w:rsid w:val="00F33C88"/>
    <w:rsid w:val="00F33CD8"/>
    <w:rsid w:val="00F33DE9"/>
    <w:rsid w:val="00F33E31"/>
    <w:rsid w:val="00F3413A"/>
    <w:rsid w:val="00F34210"/>
    <w:rsid w:val="00F342FB"/>
    <w:rsid w:val="00F3430B"/>
    <w:rsid w:val="00F344F1"/>
    <w:rsid w:val="00F345E0"/>
    <w:rsid w:val="00F34638"/>
    <w:rsid w:val="00F34790"/>
    <w:rsid w:val="00F34845"/>
    <w:rsid w:val="00F348A3"/>
    <w:rsid w:val="00F349FC"/>
    <w:rsid w:val="00F34BD0"/>
    <w:rsid w:val="00F34CB7"/>
    <w:rsid w:val="00F34E8B"/>
    <w:rsid w:val="00F34EF0"/>
    <w:rsid w:val="00F34F7E"/>
    <w:rsid w:val="00F35176"/>
    <w:rsid w:val="00F35434"/>
    <w:rsid w:val="00F3554F"/>
    <w:rsid w:val="00F356C9"/>
    <w:rsid w:val="00F356E6"/>
    <w:rsid w:val="00F35727"/>
    <w:rsid w:val="00F35753"/>
    <w:rsid w:val="00F3576A"/>
    <w:rsid w:val="00F357A4"/>
    <w:rsid w:val="00F35B95"/>
    <w:rsid w:val="00F35E52"/>
    <w:rsid w:val="00F35E6D"/>
    <w:rsid w:val="00F35FB7"/>
    <w:rsid w:val="00F35FBE"/>
    <w:rsid w:val="00F3619A"/>
    <w:rsid w:val="00F361DE"/>
    <w:rsid w:val="00F361F3"/>
    <w:rsid w:val="00F363BC"/>
    <w:rsid w:val="00F3647E"/>
    <w:rsid w:val="00F3652E"/>
    <w:rsid w:val="00F365A3"/>
    <w:rsid w:val="00F365DE"/>
    <w:rsid w:val="00F36622"/>
    <w:rsid w:val="00F36686"/>
    <w:rsid w:val="00F368BF"/>
    <w:rsid w:val="00F36A26"/>
    <w:rsid w:val="00F36AA2"/>
    <w:rsid w:val="00F36D02"/>
    <w:rsid w:val="00F36D6E"/>
    <w:rsid w:val="00F36D9C"/>
    <w:rsid w:val="00F36E09"/>
    <w:rsid w:val="00F36F50"/>
    <w:rsid w:val="00F36F70"/>
    <w:rsid w:val="00F370F4"/>
    <w:rsid w:val="00F3715F"/>
    <w:rsid w:val="00F3722D"/>
    <w:rsid w:val="00F3737E"/>
    <w:rsid w:val="00F3740D"/>
    <w:rsid w:val="00F37551"/>
    <w:rsid w:val="00F375AD"/>
    <w:rsid w:val="00F37625"/>
    <w:rsid w:val="00F376BF"/>
    <w:rsid w:val="00F3793E"/>
    <w:rsid w:val="00F379D3"/>
    <w:rsid w:val="00F37B81"/>
    <w:rsid w:val="00F37D10"/>
    <w:rsid w:val="00F37D5B"/>
    <w:rsid w:val="00F37DA8"/>
    <w:rsid w:val="00F40096"/>
    <w:rsid w:val="00F4027A"/>
    <w:rsid w:val="00F4044B"/>
    <w:rsid w:val="00F4056F"/>
    <w:rsid w:val="00F405BF"/>
    <w:rsid w:val="00F4084B"/>
    <w:rsid w:val="00F4086F"/>
    <w:rsid w:val="00F40881"/>
    <w:rsid w:val="00F408AD"/>
    <w:rsid w:val="00F40A3D"/>
    <w:rsid w:val="00F40AAA"/>
    <w:rsid w:val="00F40BA7"/>
    <w:rsid w:val="00F40F9D"/>
    <w:rsid w:val="00F411BD"/>
    <w:rsid w:val="00F414A4"/>
    <w:rsid w:val="00F415C2"/>
    <w:rsid w:val="00F415EE"/>
    <w:rsid w:val="00F4165A"/>
    <w:rsid w:val="00F41667"/>
    <w:rsid w:val="00F41927"/>
    <w:rsid w:val="00F41ACD"/>
    <w:rsid w:val="00F41CBC"/>
    <w:rsid w:val="00F41E43"/>
    <w:rsid w:val="00F41F49"/>
    <w:rsid w:val="00F421E7"/>
    <w:rsid w:val="00F4227F"/>
    <w:rsid w:val="00F42328"/>
    <w:rsid w:val="00F42460"/>
    <w:rsid w:val="00F424A1"/>
    <w:rsid w:val="00F424E6"/>
    <w:rsid w:val="00F42552"/>
    <w:rsid w:val="00F426E3"/>
    <w:rsid w:val="00F42989"/>
    <w:rsid w:val="00F42AC9"/>
    <w:rsid w:val="00F42B7B"/>
    <w:rsid w:val="00F42F82"/>
    <w:rsid w:val="00F42FAB"/>
    <w:rsid w:val="00F43055"/>
    <w:rsid w:val="00F4310B"/>
    <w:rsid w:val="00F4317C"/>
    <w:rsid w:val="00F431E6"/>
    <w:rsid w:val="00F43257"/>
    <w:rsid w:val="00F4357B"/>
    <w:rsid w:val="00F4360A"/>
    <w:rsid w:val="00F43617"/>
    <w:rsid w:val="00F438C1"/>
    <w:rsid w:val="00F43A74"/>
    <w:rsid w:val="00F43C47"/>
    <w:rsid w:val="00F43D5E"/>
    <w:rsid w:val="00F43DB1"/>
    <w:rsid w:val="00F43E1D"/>
    <w:rsid w:val="00F43F5B"/>
    <w:rsid w:val="00F440E5"/>
    <w:rsid w:val="00F441C3"/>
    <w:rsid w:val="00F442FB"/>
    <w:rsid w:val="00F4436C"/>
    <w:rsid w:val="00F445F8"/>
    <w:rsid w:val="00F446E3"/>
    <w:rsid w:val="00F4489E"/>
    <w:rsid w:val="00F44991"/>
    <w:rsid w:val="00F44B28"/>
    <w:rsid w:val="00F44E7C"/>
    <w:rsid w:val="00F451E4"/>
    <w:rsid w:val="00F45209"/>
    <w:rsid w:val="00F4558D"/>
    <w:rsid w:val="00F456DA"/>
    <w:rsid w:val="00F4573E"/>
    <w:rsid w:val="00F45A58"/>
    <w:rsid w:val="00F45C10"/>
    <w:rsid w:val="00F45C3E"/>
    <w:rsid w:val="00F45CA6"/>
    <w:rsid w:val="00F45D20"/>
    <w:rsid w:val="00F46018"/>
    <w:rsid w:val="00F46072"/>
    <w:rsid w:val="00F46154"/>
    <w:rsid w:val="00F4637B"/>
    <w:rsid w:val="00F463DF"/>
    <w:rsid w:val="00F46667"/>
    <w:rsid w:val="00F468B4"/>
    <w:rsid w:val="00F468D4"/>
    <w:rsid w:val="00F4691D"/>
    <w:rsid w:val="00F46949"/>
    <w:rsid w:val="00F46A47"/>
    <w:rsid w:val="00F46B9D"/>
    <w:rsid w:val="00F46CB6"/>
    <w:rsid w:val="00F46CD2"/>
    <w:rsid w:val="00F46EF1"/>
    <w:rsid w:val="00F46F55"/>
    <w:rsid w:val="00F46F69"/>
    <w:rsid w:val="00F470DB"/>
    <w:rsid w:val="00F4716D"/>
    <w:rsid w:val="00F472E4"/>
    <w:rsid w:val="00F4756D"/>
    <w:rsid w:val="00F4764D"/>
    <w:rsid w:val="00F478AA"/>
    <w:rsid w:val="00F478EF"/>
    <w:rsid w:val="00F47A61"/>
    <w:rsid w:val="00F47CAF"/>
    <w:rsid w:val="00F47DE8"/>
    <w:rsid w:val="00F47E84"/>
    <w:rsid w:val="00F47E8E"/>
    <w:rsid w:val="00F47ECA"/>
    <w:rsid w:val="00F501AC"/>
    <w:rsid w:val="00F502CF"/>
    <w:rsid w:val="00F50376"/>
    <w:rsid w:val="00F5038B"/>
    <w:rsid w:val="00F504F7"/>
    <w:rsid w:val="00F50574"/>
    <w:rsid w:val="00F50619"/>
    <w:rsid w:val="00F5062F"/>
    <w:rsid w:val="00F50E6F"/>
    <w:rsid w:val="00F511AF"/>
    <w:rsid w:val="00F51241"/>
    <w:rsid w:val="00F51399"/>
    <w:rsid w:val="00F51447"/>
    <w:rsid w:val="00F517CD"/>
    <w:rsid w:val="00F51821"/>
    <w:rsid w:val="00F519B3"/>
    <w:rsid w:val="00F51C61"/>
    <w:rsid w:val="00F51C85"/>
    <w:rsid w:val="00F51E7B"/>
    <w:rsid w:val="00F51F17"/>
    <w:rsid w:val="00F51F4C"/>
    <w:rsid w:val="00F52141"/>
    <w:rsid w:val="00F52147"/>
    <w:rsid w:val="00F522DE"/>
    <w:rsid w:val="00F52317"/>
    <w:rsid w:val="00F52387"/>
    <w:rsid w:val="00F5238C"/>
    <w:rsid w:val="00F523CB"/>
    <w:rsid w:val="00F5241C"/>
    <w:rsid w:val="00F526AB"/>
    <w:rsid w:val="00F527C2"/>
    <w:rsid w:val="00F52812"/>
    <w:rsid w:val="00F52872"/>
    <w:rsid w:val="00F529E8"/>
    <w:rsid w:val="00F52BA3"/>
    <w:rsid w:val="00F52DA1"/>
    <w:rsid w:val="00F52F16"/>
    <w:rsid w:val="00F52FF6"/>
    <w:rsid w:val="00F53050"/>
    <w:rsid w:val="00F530B8"/>
    <w:rsid w:val="00F5314B"/>
    <w:rsid w:val="00F5323A"/>
    <w:rsid w:val="00F534EF"/>
    <w:rsid w:val="00F5368D"/>
    <w:rsid w:val="00F53748"/>
    <w:rsid w:val="00F53912"/>
    <w:rsid w:val="00F5397A"/>
    <w:rsid w:val="00F53B0D"/>
    <w:rsid w:val="00F53C21"/>
    <w:rsid w:val="00F53D55"/>
    <w:rsid w:val="00F53EB7"/>
    <w:rsid w:val="00F541FF"/>
    <w:rsid w:val="00F542C1"/>
    <w:rsid w:val="00F5439D"/>
    <w:rsid w:val="00F543C0"/>
    <w:rsid w:val="00F548DA"/>
    <w:rsid w:val="00F54960"/>
    <w:rsid w:val="00F54B8D"/>
    <w:rsid w:val="00F54DE9"/>
    <w:rsid w:val="00F54E2F"/>
    <w:rsid w:val="00F54E3F"/>
    <w:rsid w:val="00F54FDA"/>
    <w:rsid w:val="00F55013"/>
    <w:rsid w:val="00F5504B"/>
    <w:rsid w:val="00F550AF"/>
    <w:rsid w:val="00F550E3"/>
    <w:rsid w:val="00F552AE"/>
    <w:rsid w:val="00F5534C"/>
    <w:rsid w:val="00F55472"/>
    <w:rsid w:val="00F55683"/>
    <w:rsid w:val="00F5570A"/>
    <w:rsid w:val="00F55753"/>
    <w:rsid w:val="00F558F8"/>
    <w:rsid w:val="00F55957"/>
    <w:rsid w:val="00F55AC8"/>
    <w:rsid w:val="00F55BAF"/>
    <w:rsid w:val="00F55BDA"/>
    <w:rsid w:val="00F55CD4"/>
    <w:rsid w:val="00F55D51"/>
    <w:rsid w:val="00F55E0D"/>
    <w:rsid w:val="00F55E73"/>
    <w:rsid w:val="00F55EDA"/>
    <w:rsid w:val="00F55EE7"/>
    <w:rsid w:val="00F56045"/>
    <w:rsid w:val="00F563B0"/>
    <w:rsid w:val="00F563F9"/>
    <w:rsid w:val="00F5640F"/>
    <w:rsid w:val="00F56648"/>
    <w:rsid w:val="00F56871"/>
    <w:rsid w:val="00F568DD"/>
    <w:rsid w:val="00F569E2"/>
    <w:rsid w:val="00F56ABB"/>
    <w:rsid w:val="00F56C50"/>
    <w:rsid w:val="00F56C80"/>
    <w:rsid w:val="00F56D3B"/>
    <w:rsid w:val="00F56DBA"/>
    <w:rsid w:val="00F57099"/>
    <w:rsid w:val="00F57403"/>
    <w:rsid w:val="00F574DA"/>
    <w:rsid w:val="00F574E5"/>
    <w:rsid w:val="00F575EE"/>
    <w:rsid w:val="00F57654"/>
    <w:rsid w:val="00F577A7"/>
    <w:rsid w:val="00F57979"/>
    <w:rsid w:val="00F579DF"/>
    <w:rsid w:val="00F57AA9"/>
    <w:rsid w:val="00F57B9D"/>
    <w:rsid w:val="00F57BA3"/>
    <w:rsid w:val="00F57E81"/>
    <w:rsid w:val="00F57F0C"/>
    <w:rsid w:val="00F60092"/>
    <w:rsid w:val="00F60251"/>
    <w:rsid w:val="00F606E6"/>
    <w:rsid w:val="00F60905"/>
    <w:rsid w:val="00F60C70"/>
    <w:rsid w:val="00F60E25"/>
    <w:rsid w:val="00F60FAF"/>
    <w:rsid w:val="00F60FC4"/>
    <w:rsid w:val="00F610B0"/>
    <w:rsid w:val="00F61105"/>
    <w:rsid w:val="00F61544"/>
    <w:rsid w:val="00F61598"/>
    <w:rsid w:val="00F615BA"/>
    <w:rsid w:val="00F61653"/>
    <w:rsid w:val="00F618E7"/>
    <w:rsid w:val="00F61A7B"/>
    <w:rsid w:val="00F61C16"/>
    <w:rsid w:val="00F61C18"/>
    <w:rsid w:val="00F61CED"/>
    <w:rsid w:val="00F61D07"/>
    <w:rsid w:val="00F61E77"/>
    <w:rsid w:val="00F61F0E"/>
    <w:rsid w:val="00F61FE8"/>
    <w:rsid w:val="00F62341"/>
    <w:rsid w:val="00F623FC"/>
    <w:rsid w:val="00F6265F"/>
    <w:rsid w:val="00F629A0"/>
    <w:rsid w:val="00F62A90"/>
    <w:rsid w:val="00F62B08"/>
    <w:rsid w:val="00F62BB4"/>
    <w:rsid w:val="00F62BE1"/>
    <w:rsid w:val="00F62CE4"/>
    <w:rsid w:val="00F62E1D"/>
    <w:rsid w:val="00F62F5B"/>
    <w:rsid w:val="00F633B0"/>
    <w:rsid w:val="00F634B9"/>
    <w:rsid w:val="00F6395D"/>
    <w:rsid w:val="00F63AAE"/>
    <w:rsid w:val="00F63B3C"/>
    <w:rsid w:val="00F63BB7"/>
    <w:rsid w:val="00F63E08"/>
    <w:rsid w:val="00F63E31"/>
    <w:rsid w:val="00F640C6"/>
    <w:rsid w:val="00F640D0"/>
    <w:rsid w:val="00F64188"/>
    <w:rsid w:val="00F641BC"/>
    <w:rsid w:val="00F64319"/>
    <w:rsid w:val="00F644B2"/>
    <w:rsid w:val="00F644C1"/>
    <w:rsid w:val="00F6454A"/>
    <w:rsid w:val="00F6454F"/>
    <w:rsid w:val="00F64605"/>
    <w:rsid w:val="00F64647"/>
    <w:rsid w:val="00F6499D"/>
    <w:rsid w:val="00F64AE7"/>
    <w:rsid w:val="00F64B8B"/>
    <w:rsid w:val="00F64C74"/>
    <w:rsid w:val="00F64D3F"/>
    <w:rsid w:val="00F65011"/>
    <w:rsid w:val="00F65099"/>
    <w:rsid w:val="00F651BC"/>
    <w:rsid w:val="00F653F3"/>
    <w:rsid w:val="00F655D8"/>
    <w:rsid w:val="00F65675"/>
    <w:rsid w:val="00F65786"/>
    <w:rsid w:val="00F65A7D"/>
    <w:rsid w:val="00F65BA2"/>
    <w:rsid w:val="00F65BBD"/>
    <w:rsid w:val="00F65CDD"/>
    <w:rsid w:val="00F65DA2"/>
    <w:rsid w:val="00F65DA9"/>
    <w:rsid w:val="00F65F4B"/>
    <w:rsid w:val="00F66002"/>
    <w:rsid w:val="00F661B1"/>
    <w:rsid w:val="00F66371"/>
    <w:rsid w:val="00F663BB"/>
    <w:rsid w:val="00F6646B"/>
    <w:rsid w:val="00F664A2"/>
    <w:rsid w:val="00F6653D"/>
    <w:rsid w:val="00F667EC"/>
    <w:rsid w:val="00F66A74"/>
    <w:rsid w:val="00F66ADA"/>
    <w:rsid w:val="00F66ADD"/>
    <w:rsid w:val="00F66B38"/>
    <w:rsid w:val="00F66C37"/>
    <w:rsid w:val="00F66DD5"/>
    <w:rsid w:val="00F66E0C"/>
    <w:rsid w:val="00F66E74"/>
    <w:rsid w:val="00F66F25"/>
    <w:rsid w:val="00F67214"/>
    <w:rsid w:val="00F67547"/>
    <w:rsid w:val="00F675E8"/>
    <w:rsid w:val="00F675FE"/>
    <w:rsid w:val="00F67A69"/>
    <w:rsid w:val="00F67AEE"/>
    <w:rsid w:val="00F67B15"/>
    <w:rsid w:val="00F67D14"/>
    <w:rsid w:val="00F67E2C"/>
    <w:rsid w:val="00F67E73"/>
    <w:rsid w:val="00F67E89"/>
    <w:rsid w:val="00F67F13"/>
    <w:rsid w:val="00F67F60"/>
    <w:rsid w:val="00F70178"/>
    <w:rsid w:val="00F70404"/>
    <w:rsid w:val="00F7043D"/>
    <w:rsid w:val="00F70568"/>
    <w:rsid w:val="00F70965"/>
    <w:rsid w:val="00F70A2B"/>
    <w:rsid w:val="00F70A62"/>
    <w:rsid w:val="00F70AD8"/>
    <w:rsid w:val="00F70BFF"/>
    <w:rsid w:val="00F70C47"/>
    <w:rsid w:val="00F70C9D"/>
    <w:rsid w:val="00F70CAA"/>
    <w:rsid w:val="00F70D9E"/>
    <w:rsid w:val="00F70DE2"/>
    <w:rsid w:val="00F70F95"/>
    <w:rsid w:val="00F70FEC"/>
    <w:rsid w:val="00F7100D"/>
    <w:rsid w:val="00F7120D"/>
    <w:rsid w:val="00F7125E"/>
    <w:rsid w:val="00F71358"/>
    <w:rsid w:val="00F713CB"/>
    <w:rsid w:val="00F71624"/>
    <w:rsid w:val="00F71688"/>
    <w:rsid w:val="00F716F2"/>
    <w:rsid w:val="00F717C1"/>
    <w:rsid w:val="00F7190D"/>
    <w:rsid w:val="00F71941"/>
    <w:rsid w:val="00F71948"/>
    <w:rsid w:val="00F7198C"/>
    <w:rsid w:val="00F71C8E"/>
    <w:rsid w:val="00F71D03"/>
    <w:rsid w:val="00F71DEF"/>
    <w:rsid w:val="00F71F97"/>
    <w:rsid w:val="00F7215A"/>
    <w:rsid w:val="00F721EC"/>
    <w:rsid w:val="00F723FE"/>
    <w:rsid w:val="00F727DA"/>
    <w:rsid w:val="00F728F1"/>
    <w:rsid w:val="00F7290E"/>
    <w:rsid w:val="00F7296A"/>
    <w:rsid w:val="00F72BC4"/>
    <w:rsid w:val="00F72C1C"/>
    <w:rsid w:val="00F72CEE"/>
    <w:rsid w:val="00F72CFF"/>
    <w:rsid w:val="00F72E01"/>
    <w:rsid w:val="00F72E12"/>
    <w:rsid w:val="00F73040"/>
    <w:rsid w:val="00F730DC"/>
    <w:rsid w:val="00F73114"/>
    <w:rsid w:val="00F7313C"/>
    <w:rsid w:val="00F7313E"/>
    <w:rsid w:val="00F732CC"/>
    <w:rsid w:val="00F73435"/>
    <w:rsid w:val="00F735D6"/>
    <w:rsid w:val="00F7361F"/>
    <w:rsid w:val="00F73883"/>
    <w:rsid w:val="00F739E4"/>
    <w:rsid w:val="00F73A98"/>
    <w:rsid w:val="00F73ADC"/>
    <w:rsid w:val="00F73CB8"/>
    <w:rsid w:val="00F73E08"/>
    <w:rsid w:val="00F7412E"/>
    <w:rsid w:val="00F7413B"/>
    <w:rsid w:val="00F74379"/>
    <w:rsid w:val="00F7454D"/>
    <w:rsid w:val="00F745D7"/>
    <w:rsid w:val="00F74707"/>
    <w:rsid w:val="00F74853"/>
    <w:rsid w:val="00F74CD9"/>
    <w:rsid w:val="00F75104"/>
    <w:rsid w:val="00F751FB"/>
    <w:rsid w:val="00F753C5"/>
    <w:rsid w:val="00F75421"/>
    <w:rsid w:val="00F754FA"/>
    <w:rsid w:val="00F756D6"/>
    <w:rsid w:val="00F756FC"/>
    <w:rsid w:val="00F7570D"/>
    <w:rsid w:val="00F75755"/>
    <w:rsid w:val="00F75784"/>
    <w:rsid w:val="00F75ACA"/>
    <w:rsid w:val="00F75B41"/>
    <w:rsid w:val="00F75BD6"/>
    <w:rsid w:val="00F75CA5"/>
    <w:rsid w:val="00F75CDB"/>
    <w:rsid w:val="00F761ED"/>
    <w:rsid w:val="00F7644C"/>
    <w:rsid w:val="00F7644F"/>
    <w:rsid w:val="00F765EC"/>
    <w:rsid w:val="00F768F9"/>
    <w:rsid w:val="00F76A26"/>
    <w:rsid w:val="00F76A89"/>
    <w:rsid w:val="00F76C15"/>
    <w:rsid w:val="00F76C85"/>
    <w:rsid w:val="00F76F54"/>
    <w:rsid w:val="00F76FCE"/>
    <w:rsid w:val="00F77065"/>
    <w:rsid w:val="00F774ED"/>
    <w:rsid w:val="00F777B8"/>
    <w:rsid w:val="00F77D96"/>
    <w:rsid w:val="00F77EFC"/>
    <w:rsid w:val="00F77F56"/>
    <w:rsid w:val="00F77FAF"/>
    <w:rsid w:val="00F801FC"/>
    <w:rsid w:val="00F80295"/>
    <w:rsid w:val="00F802A7"/>
    <w:rsid w:val="00F803AA"/>
    <w:rsid w:val="00F80604"/>
    <w:rsid w:val="00F8060C"/>
    <w:rsid w:val="00F806C1"/>
    <w:rsid w:val="00F8073E"/>
    <w:rsid w:val="00F807EC"/>
    <w:rsid w:val="00F8084C"/>
    <w:rsid w:val="00F80A46"/>
    <w:rsid w:val="00F80A7B"/>
    <w:rsid w:val="00F80B2C"/>
    <w:rsid w:val="00F80E5D"/>
    <w:rsid w:val="00F80EA9"/>
    <w:rsid w:val="00F8107B"/>
    <w:rsid w:val="00F81086"/>
    <w:rsid w:val="00F8114B"/>
    <w:rsid w:val="00F8118B"/>
    <w:rsid w:val="00F81224"/>
    <w:rsid w:val="00F812C1"/>
    <w:rsid w:val="00F813AC"/>
    <w:rsid w:val="00F813E9"/>
    <w:rsid w:val="00F816EE"/>
    <w:rsid w:val="00F8185B"/>
    <w:rsid w:val="00F818C1"/>
    <w:rsid w:val="00F81905"/>
    <w:rsid w:val="00F819E9"/>
    <w:rsid w:val="00F81E78"/>
    <w:rsid w:val="00F81E8E"/>
    <w:rsid w:val="00F81E99"/>
    <w:rsid w:val="00F81EB8"/>
    <w:rsid w:val="00F81F26"/>
    <w:rsid w:val="00F81F91"/>
    <w:rsid w:val="00F81FAE"/>
    <w:rsid w:val="00F82112"/>
    <w:rsid w:val="00F8230F"/>
    <w:rsid w:val="00F8237F"/>
    <w:rsid w:val="00F8254D"/>
    <w:rsid w:val="00F825B2"/>
    <w:rsid w:val="00F82684"/>
    <w:rsid w:val="00F8273A"/>
    <w:rsid w:val="00F8299E"/>
    <w:rsid w:val="00F829F0"/>
    <w:rsid w:val="00F82CCD"/>
    <w:rsid w:val="00F82DE5"/>
    <w:rsid w:val="00F82EF2"/>
    <w:rsid w:val="00F832E8"/>
    <w:rsid w:val="00F83771"/>
    <w:rsid w:val="00F8379C"/>
    <w:rsid w:val="00F838DC"/>
    <w:rsid w:val="00F83916"/>
    <w:rsid w:val="00F8393B"/>
    <w:rsid w:val="00F839B7"/>
    <w:rsid w:val="00F83A63"/>
    <w:rsid w:val="00F83AB0"/>
    <w:rsid w:val="00F83AF0"/>
    <w:rsid w:val="00F83C00"/>
    <w:rsid w:val="00F83FAA"/>
    <w:rsid w:val="00F83FD2"/>
    <w:rsid w:val="00F84018"/>
    <w:rsid w:val="00F84041"/>
    <w:rsid w:val="00F84058"/>
    <w:rsid w:val="00F8407B"/>
    <w:rsid w:val="00F84092"/>
    <w:rsid w:val="00F84111"/>
    <w:rsid w:val="00F842F7"/>
    <w:rsid w:val="00F843A5"/>
    <w:rsid w:val="00F8457B"/>
    <w:rsid w:val="00F84582"/>
    <w:rsid w:val="00F8469D"/>
    <w:rsid w:val="00F846C4"/>
    <w:rsid w:val="00F84703"/>
    <w:rsid w:val="00F847FC"/>
    <w:rsid w:val="00F84837"/>
    <w:rsid w:val="00F8486B"/>
    <w:rsid w:val="00F84B19"/>
    <w:rsid w:val="00F84E6B"/>
    <w:rsid w:val="00F84F42"/>
    <w:rsid w:val="00F850C6"/>
    <w:rsid w:val="00F8515C"/>
    <w:rsid w:val="00F8518A"/>
    <w:rsid w:val="00F8518F"/>
    <w:rsid w:val="00F851CE"/>
    <w:rsid w:val="00F851EF"/>
    <w:rsid w:val="00F85381"/>
    <w:rsid w:val="00F8560C"/>
    <w:rsid w:val="00F85634"/>
    <w:rsid w:val="00F856D5"/>
    <w:rsid w:val="00F85828"/>
    <w:rsid w:val="00F858DC"/>
    <w:rsid w:val="00F85B56"/>
    <w:rsid w:val="00F85C24"/>
    <w:rsid w:val="00F85D87"/>
    <w:rsid w:val="00F85DD1"/>
    <w:rsid w:val="00F85EEE"/>
    <w:rsid w:val="00F85F70"/>
    <w:rsid w:val="00F8601B"/>
    <w:rsid w:val="00F861B5"/>
    <w:rsid w:val="00F861FA"/>
    <w:rsid w:val="00F86553"/>
    <w:rsid w:val="00F86634"/>
    <w:rsid w:val="00F86685"/>
    <w:rsid w:val="00F8673A"/>
    <w:rsid w:val="00F867E0"/>
    <w:rsid w:val="00F869E3"/>
    <w:rsid w:val="00F86A0A"/>
    <w:rsid w:val="00F86A90"/>
    <w:rsid w:val="00F86B84"/>
    <w:rsid w:val="00F86BC6"/>
    <w:rsid w:val="00F86BFC"/>
    <w:rsid w:val="00F86FCC"/>
    <w:rsid w:val="00F870D2"/>
    <w:rsid w:val="00F874E5"/>
    <w:rsid w:val="00F87598"/>
    <w:rsid w:val="00F875AD"/>
    <w:rsid w:val="00F877C8"/>
    <w:rsid w:val="00F8791D"/>
    <w:rsid w:val="00F87A04"/>
    <w:rsid w:val="00F87A82"/>
    <w:rsid w:val="00F87AF3"/>
    <w:rsid w:val="00F87B14"/>
    <w:rsid w:val="00F87C3D"/>
    <w:rsid w:val="00F87D01"/>
    <w:rsid w:val="00F87DDD"/>
    <w:rsid w:val="00F90041"/>
    <w:rsid w:val="00F900AC"/>
    <w:rsid w:val="00F901DE"/>
    <w:rsid w:val="00F90244"/>
    <w:rsid w:val="00F9054C"/>
    <w:rsid w:val="00F905C6"/>
    <w:rsid w:val="00F90684"/>
    <w:rsid w:val="00F906E0"/>
    <w:rsid w:val="00F908CE"/>
    <w:rsid w:val="00F90927"/>
    <w:rsid w:val="00F90976"/>
    <w:rsid w:val="00F90991"/>
    <w:rsid w:val="00F909C2"/>
    <w:rsid w:val="00F90A25"/>
    <w:rsid w:val="00F90CDB"/>
    <w:rsid w:val="00F90CFB"/>
    <w:rsid w:val="00F90E70"/>
    <w:rsid w:val="00F90F7A"/>
    <w:rsid w:val="00F91042"/>
    <w:rsid w:val="00F9109F"/>
    <w:rsid w:val="00F91104"/>
    <w:rsid w:val="00F91219"/>
    <w:rsid w:val="00F91264"/>
    <w:rsid w:val="00F91281"/>
    <w:rsid w:val="00F915AB"/>
    <w:rsid w:val="00F91830"/>
    <w:rsid w:val="00F91971"/>
    <w:rsid w:val="00F91B18"/>
    <w:rsid w:val="00F91B78"/>
    <w:rsid w:val="00F91B8A"/>
    <w:rsid w:val="00F91B8B"/>
    <w:rsid w:val="00F91E1F"/>
    <w:rsid w:val="00F91FB0"/>
    <w:rsid w:val="00F91FCB"/>
    <w:rsid w:val="00F9209A"/>
    <w:rsid w:val="00F92104"/>
    <w:rsid w:val="00F921C8"/>
    <w:rsid w:val="00F92444"/>
    <w:rsid w:val="00F925ED"/>
    <w:rsid w:val="00F925FF"/>
    <w:rsid w:val="00F92616"/>
    <w:rsid w:val="00F92687"/>
    <w:rsid w:val="00F9284B"/>
    <w:rsid w:val="00F92873"/>
    <w:rsid w:val="00F928B6"/>
    <w:rsid w:val="00F92A0E"/>
    <w:rsid w:val="00F92B76"/>
    <w:rsid w:val="00F92E22"/>
    <w:rsid w:val="00F92F25"/>
    <w:rsid w:val="00F9318B"/>
    <w:rsid w:val="00F931C3"/>
    <w:rsid w:val="00F93324"/>
    <w:rsid w:val="00F9338A"/>
    <w:rsid w:val="00F933D2"/>
    <w:rsid w:val="00F93433"/>
    <w:rsid w:val="00F934AC"/>
    <w:rsid w:val="00F9354E"/>
    <w:rsid w:val="00F9360C"/>
    <w:rsid w:val="00F93727"/>
    <w:rsid w:val="00F938BE"/>
    <w:rsid w:val="00F9393E"/>
    <w:rsid w:val="00F9395C"/>
    <w:rsid w:val="00F939E5"/>
    <w:rsid w:val="00F93A6C"/>
    <w:rsid w:val="00F93A98"/>
    <w:rsid w:val="00F93D00"/>
    <w:rsid w:val="00F93D47"/>
    <w:rsid w:val="00F93FA0"/>
    <w:rsid w:val="00F941E5"/>
    <w:rsid w:val="00F94306"/>
    <w:rsid w:val="00F9436A"/>
    <w:rsid w:val="00F94749"/>
    <w:rsid w:val="00F9484D"/>
    <w:rsid w:val="00F948C6"/>
    <w:rsid w:val="00F948FE"/>
    <w:rsid w:val="00F9494C"/>
    <w:rsid w:val="00F94D9E"/>
    <w:rsid w:val="00F94DE0"/>
    <w:rsid w:val="00F94ED5"/>
    <w:rsid w:val="00F94F5E"/>
    <w:rsid w:val="00F94FF8"/>
    <w:rsid w:val="00F9517D"/>
    <w:rsid w:val="00F95210"/>
    <w:rsid w:val="00F952C6"/>
    <w:rsid w:val="00F9530A"/>
    <w:rsid w:val="00F954B7"/>
    <w:rsid w:val="00F9566A"/>
    <w:rsid w:val="00F956E2"/>
    <w:rsid w:val="00F9573A"/>
    <w:rsid w:val="00F95977"/>
    <w:rsid w:val="00F959B4"/>
    <w:rsid w:val="00F95A31"/>
    <w:rsid w:val="00F95A4C"/>
    <w:rsid w:val="00F95FD3"/>
    <w:rsid w:val="00F95FFE"/>
    <w:rsid w:val="00F9637A"/>
    <w:rsid w:val="00F96598"/>
    <w:rsid w:val="00F96640"/>
    <w:rsid w:val="00F96662"/>
    <w:rsid w:val="00F966C1"/>
    <w:rsid w:val="00F96CA1"/>
    <w:rsid w:val="00F96CEC"/>
    <w:rsid w:val="00F96EC7"/>
    <w:rsid w:val="00F96F35"/>
    <w:rsid w:val="00F96F36"/>
    <w:rsid w:val="00F96FD0"/>
    <w:rsid w:val="00F97026"/>
    <w:rsid w:val="00F9702A"/>
    <w:rsid w:val="00F970FD"/>
    <w:rsid w:val="00F97125"/>
    <w:rsid w:val="00F971CE"/>
    <w:rsid w:val="00F972A3"/>
    <w:rsid w:val="00F972E1"/>
    <w:rsid w:val="00F972E4"/>
    <w:rsid w:val="00F97380"/>
    <w:rsid w:val="00F974B7"/>
    <w:rsid w:val="00F97567"/>
    <w:rsid w:val="00F97A78"/>
    <w:rsid w:val="00F97B8A"/>
    <w:rsid w:val="00F97D95"/>
    <w:rsid w:val="00F97FD5"/>
    <w:rsid w:val="00FA010F"/>
    <w:rsid w:val="00FA033E"/>
    <w:rsid w:val="00FA0518"/>
    <w:rsid w:val="00FA0653"/>
    <w:rsid w:val="00FA087C"/>
    <w:rsid w:val="00FA0922"/>
    <w:rsid w:val="00FA095B"/>
    <w:rsid w:val="00FA0AAA"/>
    <w:rsid w:val="00FA0AEA"/>
    <w:rsid w:val="00FA0B20"/>
    <w:rsid w:val="00FA0C5E"/>
    <w:rsid w:val="00FA0DE6"/>
    <w:rsid w:val="00FA10C7"/>
    <w:rsid w:val="00FA10F6"/>
    <w:rsid w:val="00FA113A"/>
    <w:rsid w:val="00FA1571"/>
    <w:rsid w:val="00FA15CB"/>
    <w:rsid w:val="00FA1728"/>
    <w:rsid w:val="00FA1A46"/>
    <w:rsid w:val="00FA1B55"/>
    <w:rsid w:val="00FA1FCA"/>
    <w:rsid w:val="00FA20ED"/>
    <w:rsid w:val="00FA2296"/>
    <w:rsid w:val="00FA2320"/>
    <w:rsid w:val="00FA235C"/>
    <w:rsid w:val="00FA23D2"/>
    <w:rsid w:val="00FA247A"/>
    <w:rsid w:val="00FA24E7"/>
    <w:rsid w:val="00FA2579"/>
    <w:rsid w:val="00FA260F"/>
    <w:rsid w:val="00FA2731"/>
    <w:rsid w:val="00FA2837"/>
    <w:rsid w:val="00FA2AC7"/>
    <w:rsid w:val="00FA2BA4"/>
    <w:rsid w:val="00FA2D31"/>
    <w:rsid w:val="00FA2FE9"/>
    <w:rsid w:val="00FA3309"/>
    <w:rsid w:val="00FA337C"/>
    <w:rsid w:val="00FA3792"/>
    <w:rsid w:val="00FA385A"/>
    <w:rsid w:val="00FA385C"/>
    <w:rsid w:val="00FA39FF"/>
    <w:rsid w:val="00FA3B28"/>
    <w:rsid w:val="00FA401D"/>
    <w:rsid w:val="00FA41D1"/>
    <w:rsid w:val="00FA4227"/>
    <w:rsid w:val="00FA42AA"/>
    <w:rsid w:val="00FA4466"/>
    <w:rsid w:val="00FA4520"/>
    <w:rsid w:val="00FA456B"/>
    <w:rsid w:val="00FA46CB"/>
    <w:rsid w:val="00FA477F"/>
    <w:rsid w:val="00FA478F"/>
    <w:rsid w:val="00FA480F"/>
    <w:rsid w:val="00FA4B04"/>
    <w:rsid w:val="00FA4C29"/>
    <w:rsid w:val="00FA4FE1"/>
    <w:rsid w:val="00FA5420"/>
    <w:rsid w:val="00FA556C"/>
    <w:rsid w:val="00FA56B0"/>
    <w:rsid w:val="00FA5901"/>
    <w:rsid w:val="00FA5942"/>
    <w:rsid w:val="00FA5A1A"/>
    <w:rsid w:val="00FA5A28"/>
    <w:rsid w:val="00FA5ADC"/>
    <w:rsid w:val="00FA5C61"/>
    <w:rsid w:val="00FA5C74"/>
    <w:rsid w:val="00FA5CF7"/>
    <w:rsid w:val="00FA5D0E"/>
    <w:rsid w:val="00FA5EE6"/>
    <w:rsid w:val="00FA5F7B"/>
    <w:rsid w:val="00FA6175"/>
    <w:rsid w:val="00FA6346"/>
    <w:rsid w:val="00FA63BF"/>
    <w:rsid w:val="00FA675D"/>
    <w:rsid w:val="00FA6B7E"/>
    <w:rsid w:val="00FA6BC4"/>
    <w:rsid w:val="00FA6CC4"/>
    <w:rsid w:val="00FA6E11"/>
    <w:rsid w:val="00FA6E65"/>
    <w:rsid w:val="00FA6E8F"/>
    <w:rsid w:val="00FA6F35"/>
    <w:rsid w:val="00FA6F86"/>
    <w:rsid w:val="00FA714D"/>
    <w:rsid w:val="00FA7162"/>
    <w:rsid w:val="00FA7540"/>
    <w:rsid w:val="00FA7758"/>
    <w:rsid w:val="00FA77E9"/>
    <w:rsid w:val="00FA785F"/>
    <w:rsid w:val="00FA7956"/>
    <w:rsid w:val="00FA79DD"/>
    <w:rsid w:val="00FA7BE8"/>
    <w:rsid w:val="00FB008D"/>
    <w:rsid w:val="00FB0115"/>
    <w:rsid w:val="00FB0133"/>
    <w:rsid w:val="00FB0229"/>
    <w:rsid w:val="00FB05BE"/>
    <w:rsid w:val="00FB0686"/>
    <w:rsid w:val="00FB0708"/>
    <w:rsid w:val="00FB0771"/>
    <w:rsid w:val="00FB0824"/>
    <w:rsid w:val="00FB0B36"/>
    <w:rsid w:val="00FB0BDC"/>
    <w:rsid w:val="00FB0DFE"/>
    <w:rsid w:val="00FB0E83"/>
    <w:rsid w:val="00FB0EF5"/>
    <w:rsid w:val="00FB0F70"/>
    <w:rsid w:val="00FB11E1"/>
    <w:rsid w:val="00FB125A"/>
    <w:rsid w:val="00FB12A2"/>
    <w:rsid w:val="00FB130A"/>
    <w:rsid w:val="00FB14C5"/>
    <w:rsid w:val="00FB14F3"/>
    <w:rsid w:val="00FB172D"/>
    <w:rsid w:val="00FB178C"/>
    <w:rsid w:val="00FB17E5"/>
    <w:rsid w:val="00FB18F4"/>
    <w:rsid w:val="00FB1916"/>
    <w:rsid w:val="00FB19A1"/>
    <w:rsid w:val="00FB19A6"/>
    <w:rsid w:val="00FB1A50"/>
    <w:rsid w:val="00FB1AEF"/>
    <w:rsid w:val="00FB1B12"/>
    <w:rsid w:val="00FB1ED9"/>
    <w:rsid w:val="00FB21AB"/>
    <w:rsid w:val="00FB23D6"/>
    <w:rsid w:val="00FB2436"/>
    <w:rsid w:val="00FB2463"/>
    <w:rsid w:val="00FB2657"/>
    <w:rsid w:val="00FB28C6"/>
    <w:rsid w:val="00FB2CB9"/>
    <w:rsid w:val="00FB2FCB"/>
    <w:rsid w:val="00FB2FCD"/>
    <w:rsid w:val="00FB309E"/>
    <w:rsid w:val="00FB311F"/>
    <w:rsid w:val="00FB3199"/>
    <w:rsid w:val="00FB31AC"/>
    <w:rsid w:val="00FB3727"/>
    <w:rsid w:val="00FB3881"/>
    <w:rsid w:val="00FB3909"/>
    <w:rsid w:val="00FB3949"/>
    <w:rsid w:val="00FB3993"/>
    <w:rsid w:val="00FB3A06"/>
    <w:rsid w:val="00FB3A0D"/>
    <w:rsid w:val="00FB3A7C"/>
    <w:rsid w:val="00FB3A91"/>
    <w:rsid w:val="00FB3B62"/>
    <w:rsid w:val="00FB3CE3"/>
    <w:rsid w:val="00FB3D37"/>
    <w:rsid w:val="00FB3EC5"/>
    <w:rsid w:val="00FB3FAC"/>
    <w:rsid w:val="00FB40C8"/>
    <w:rsid w:val="00FB424F"/>
    <w:rsid w:val="00FB43A4"/>
    <w:rsid w:val="00FB43D8"/>
    <w:rsid w:val="00FB43F5"/>
    <w:rsid w:val="00FB4469"/>
    <w:rsid w:val="00FB452E"/>
    <w:rsid w:val="00FB467B"/>
    <w:rsid w:val="00FB476A"/>
    <w:rsid w:val="00FB47CA"/>
    <w:rsid w:val="00FB4AD9"/>
    <w:rsid w:val="00FB4AF2"/>
    <w:rsid w:val="00FB4C9C"/>
    <w:rsid w:val="00FB4CF8"/>
    <w:rsid w:val="00FB4E54"/>
    <w:rsid w:val="00FB4ED9"/>
    <w:rsid w:val="00FB4F57"/>
    <w:rsid w:val="00FB514B"/>
    <w:rsid w:val="00FB539F"/>
    <w:rsid w:val="00FB5482"/>
    <w:rsid w:val="00FB54CB"/>
    <w:rsid w:val="00FB55ED"/>
    <w:rsid w:val="00FB5670"/>
    <w:rsid w:val="00FB569B"/>
    <w:rsid w:val="00FB58F4"/>
    <w:rsid w:val="00FB5923"/>
    <w:rsid w:val="00FB5958"/>
    <w:rsid w:val="00FB5972"/>
    <w:rsid w:val="00FB59BD"/>
    <w:rsid w:val="00FB59BE"/>
    <w:rsid w:val="00FB5B7B"/>
    <w:rsid w:val="00FB5CCF"/>
    <w:rsid w:val="00FB5DC5"/>
    <w:rsid w:val="00FB5E46"/>
    <w:rsid w:val="00FB5EA2"/>
    <w:rsid w:val="00FB6120"/>
    <w:rsid w:val="00FB6227"/>
    <w:rsid w:val="00FB62CC"/>
    <w:rsid w:val="00FB6538"/>
    <w:rsid w:val="00FB6663"/>
    <w:rsid w:val="00FB66D8"/>
    <w:rsid w:val="00FB6CAC"/>
    <w:rsid w:val="00FB6E0C"/>
    <w:rsid w:val="00FB70A6"/>
    <w:rsid w:val="00FB7156"/>
    <w:rsid w:val="00FB733B"/>
    <w:rsid w:val="00FB73D1"/>
    <w:rsid w:val="00FB7441"/>
    <w:rsid w:val="00FB7506"/>
    <w:rsid w:val="00FB7661"/>
    <w:rsid w:val="00FB76BC"/>
    <w:rsid w:val="00FB7988"/>
    <w:rsid w:val="00FB79EC"/>
    <w:rsid w:val="00FB7C4B"/>
    <w:rsid w:val="00FB7C55"/>
    <w:rsid w:val="00FB7D82"/>
    <w:rsid w:val="00FB7E46"/>
    <w:rsid w:val="00FB7ED4"/>
    <w:rsid w:val="00FB7F1A"/>
    <w:rsid w:val="00FC0041"/>
    <w:rsid w:val="00FC0045"/>
    <w:rsid w:val="00FC026A"/>
    <w:rsid w:val="00FC0391"/>
    <w:rsid w:val="00FC081D"/>
    <w:rsid w:val="00FC0954"/>
    <w:rsid w:val="00FC09B2"/>
    <w:rsid w:val="00FC09CF"/>
    <w:rsid w:val="00FC0DFD"/>
    <w:rsid w:val="00FC0DFE"/>
    <w:rsid w:val="00FC0ECD"/>
    <w:rsid w:val="00FC1060"/>
    <w:rsid w:val="00FC106D"/>
    <w:rsid w:val="00FC1074"/>
    <w:rsid w:val="00FC1216"/>
    <w:rsid w:val="00FC13A7"/>
    <w:rsid w:val="00FC1538"/>
    <w:rsid w:val="00FC1687"/>
    <w:rsid w:val="00FC1884"/>
    <w:rsid w:val="00FC191D"/>
    <w:rsid w:val="00FC1991"/>
    <w:rsid w:val="00FC19D6"/>
    <w:rsid w:val="00FC1C2F"/>
    <w:rsid w:val="00FC1CAE"/>
    <w:rsid w:val="00FC1E0A"/>
    <w:rsid w:val="00FC1E53"/>
    <w:rsid w:val="00FC1E58"/>
    <w:rsid w:val="00FC1F25"/>
    <w:rsid w:val="00FC2097"/>
    <w:rsid w:val="00FC2245"/>
    <w:rsid w:val="00FC2529"/>
    <w:rsid w:val="00FC2838"/>
    <w:rsid w:val="00FC28C2"/>
    <w:rsid w:val="00FC2B6F"/>
    <w:rsid w:val="00FC2C23"/>
    <w:rsid w:val="00FC2FEC"/>
    <w:rsid w:val="00FC3142"/>
    <w:rsid w:val="00FC315B"/>
    <w:rsid w:val="00FC3218"/>
    <w:rsid w:val="00FC3318"/>
    <w:rsid w:val="00FC3460"/>
    <w:rsid w:val="00FC371D"/>
    <w:rsid w:val="00FC377A"/>
    <w:rsid w:val="00FC38A7"/>
    <w:rsid w:val="00FC3963"/>
    <w:rsid w:val="00FC3A3B"/>
    <w:rsid w:val="00FC3A9A"/>
    <w:rsid w:val="00FC3CB5"/>
    <w:rsid w:val="00FC3D2B"/>
    <w:rsid w:val="00FC3D9B"/>
    <w:rsid w:val="00FC3E1F"/>
    <w:rsid w:val="00FC3E5D"/>
    <w:rsid w:val="00FC3F3C"/>
    <w:rsid w:val="00FC4179"/>
    <w:rsid w:val="00FC42B8"/>
    <w:rsid w:val="00FC436E"/>
    <w:rsid w:val="00FC43CD"/>
    <w:rsid w:val="00FC43DA"/>
    <w:rsid w:val="00FC4586"/>
    <w:rsid w:val="00FC4630"/>
    <w:rsid w:val="00FC4680"/>
    <w:rsid w:val="00FC4CDA"/>
    <w:rsid w:val="00FC4D38"/>
    <w:rsid w:val="00FC4F5E"/>
    <w:rsid w:val="00FC50A7"/>
    <w:rsid w:val="00FC52B6"/>
    <w:rsid w:val="00FC5317"/>
    <w:rsid w:val="00FC5502"/>
    <w:rsid w:val="00FC5683"/>
    <w:rsid w:val="00FC58C7"/>
    <w:rsid w:val="00FC58DF"/>
    <w:rsid w:val="00FC591E"/>
    <w:rsid w:val="00FC59A3"/>
    <w:rsid w:val="00FC5A25"/>
    <w:rsid w:val="00FC5A3C"/>
    <w:rsid w:val="00FC5A75"/>
    <w:rsid w:val="00FC5BFF"/>
    <w:rsid w:val="00FC5D60"/>
    <w:rsid w:val="00FC5F0B"/>
    <w:rsid w:val="00FC5F0D"/>
    <w:rsid w:val="00FC60A5"/>
    <w:rsid w:val="00FC6129"/>
    <w:rsid w:val="00FC6176"/>
    <w:rsid w:val="00FC63F0"/>
    <w:rsid w:val="00FC6414"/>
    <w:rsid w:val="00FC6637"/>
    <w:rsid w:val="00FC6648"/>
    <w:rsid w:val="00FC66DB"/>
    <w:rsid w:val="00FC69CB"/>
    <w:rsid w:val="00FC6AA1"/>
    <w:rsid w:val="00FC6B89"/>
    <w:rsid w:val="00FC6B9D"/>
    <w:rsid w:val="00FC6C84"/>
    <w:rsid w:val="00FC6CCD"/>
    <w:rsid w:val="00FC6E2C"/>
    <w:rsid w:val="00FC6E74"/>
    <w:rsid w:val="00FC6F12"/>
    <w:rsid w:val="00FC6F15"/>
    <w:rsid w:val="00FC7161"/>
    <w:rsid w:val="00FC71E1"/>
    <w:rsid w:val="00FC72BA"/>
    <w:rsid w:val="00FC7381"/>
    <w:rsid w:val="00FC756E"/>
    <w:rsid w:val="00FC75CC"/>
    <w:rsid w:val="00FC75ED"/>
    <w:rsid w:val="00FC794A"/>
    <w:rsid w:val="00FC7B70"/>
    <w:rsid w:val="00FC7BDE"/>
    <w:rsid w:val="00FC7F3F"/>
    <w:rsid w:val="00FD0075"/>
    <w:rsid w:val="00FD00C6"/>
    <w:rsid w:val="00FD043B"/>
    <w:rsid w:val="00FD0445"/>
    <w:rsid w:val="00FD044D"/>
    <w:rsid w:val="00FD0493"/>
    <w:rsid w:val="00FD0584"/>
    <w:rsid w:val="00FD058A"/>
    <w:rsid w:val="00FD05DF"/>
    <w:rsid w:val="00FD07D6"/>
    <w:rsid w:val="00FD08DF"/>
    <w:rsid w:val="00FD0D17"/>
    <w:rsid w:val="00FD1135"/>
    <w:rsid w:val="00FD11A4"/>
    <w:rsid w:val="00FD127A"/>
    <w:rsid w:val="00FD1474"/>
    <w:rsid w:val="00FD15FB"/>
    <w:rsid w:val="00FD163F"/>
    <w:rsid w:val="00FD1643"/>
    <w:rsid w:val="00FD168B"/>
    <w:rsid w:val="00FD180C"/>
    <w:rsid w:val="00FD1941"/>
    <w:rsid w:val="00FD1BB8"/>
    <w:rsid w:val="00FD1FAA"/>
    <w:rsid w:val="00FD20C1"/>
    <w:rsid w:val="00FD2100"/>
    <w:rsid w:val="00FD21C1"/>
    <w:rsid w:val="00FD22CA"/>
    <w:rsid w:val="00FD2496"/>
    <w:rsid w:val="00FD25F9"/>
    <w:rsid w:val="00FD264D"/>
    <w:rsid w:val="00FD275B"/>
    <w:rsid w:val="00FD2778"/>
    <w:rsid w:val="00FD2D93"/>
    <w:rsid w:val="00FD2E79"/>
    <w:rsid w:val="00FD2EDB"/>
    <w:rsid w:val="00FD2F29"/>
    <w:rsid w:val="00FD3357"/>
    <w:rsid w:val="00FD33E0"/>
    <w:rsid w:val="00FD34AE"/>
    <w:rsid w:val="00FD3580"/>
    <w:rsid w:val="00FD3633"/>
    <w:rsid w:val="00FD3805"/>
    <w:rsid w:val="00FD3858"/>
    <w:rsid w:val="00FD3924"/>
    <w:rsid w:val="00FD3A87"/>
    <w:rsid w:val="00FD3EA1"/>
    <w:rsid w:val="00FD402F"/>
    <w:rsid w:val="00FD4088"/>
    <w:rsid w:val="00FD4279"/>
    <w:rsid w:val="00FD436C"/>
    <w:rsid w:val="00FD43EC"/>
    <w:rsid w:val="00FD446D"/>
    <w:rsid w:val="00FD4482"/>
    <w:rsid w:val="00FD44B9"/>
    <w:rsid w:val="00FD44E3"/>
    <w:rsid w:val="00FD45C9"/>
    <w:rsid w:val="00FD485C"/>
    <w:rsid w:val="00FD48BB"/>
    <w:rsid w:val="00FD4975"/>
    <w:rsid w:val="00FD497E"/>
    <w:rsid w:val="00FD4B19"/>
    <w:rsid w:val="00FD4D7D"/>
    <w:rsid w:val="00FD4DF6"/>
    <w:rsid w:val="00FD4F2C"/>
    <w:rsid w:val="00FD51DC"/>
    <w:rsid w:val="00FD55A9"/>
    <w:rsid w:val="00FD5A39"/>
    <w:rsid w:val="00FD5C47"/>
    <w:rsid w:val="00FD5D3C"/>
    <w:rsid w:val="00FD5D6B"/>
    <w:rsid w:val="00FD5E08"/>
    <w:rsid w:val="00FD5F81"/>
    <w:rsid w:val="00FD6047"/>
    <w:rsid w:val="00FD609B"/>
    <w:rsid w:val="00FD6120"/>
    <w:rsid w:val="00FD625A"/>
    <w:rsid w:val="00FD62FF"/>
    <w:rsid w:val="00FD633F"/>
    <w:rsid w:val="00FD6394"/>
    <w:rsid w:val="00FD6441"/>
    <w:rsid w:val="00FD659E"/>
    <w:rsid w:val="00FD67D7"/>
    <w:rsid w:val="00FD68C3"/>
    <w:rsid w:val="00FD6A70"/>
    <w:rsid w:val="00FD6A78"/>
    <w:rsid w:val="00FD6B07"/>
    <w:rsid w:val="00FD6CCE"/>
    <w:rsid w:val="00FD6CD2"/>
    <w:rsid w:val="00FD6D4F"/>
    <w:rsid w:val="00FD6ED1"/>
    <w:rsid w:val="00FD6F14"/>
    <w:rsid w:val="00FD6FEE"/>
    <w:rsid w:val="00FD7027"/>
    <w:rsid w:val="00FD703A"/>
    <w:rsid w:val="00FD7195"/>
    <w:rsid w:val="00FD737A"/>
    <w:rsid w:val="00FD7466"/>
    <w:rsid w:val="00FD7475"/>
    <w:rsid w:val="00FD752D"/>
    <w:rsid w:val="00FD757C"/>
    <w:rsid w:val="00FD761F"/>
    <w:rsid w:val="00FD7732"/>
    <w:rsid w:val="00FD774E"/>
    <w:rsid w:val="00FD7834"/>
    <w:rsid w:val="00FD7841"/>
    <w:rsid w:val="00FD7A4D"/>
    <w:rsid w:val="00FD7A6C"/>
    <w:rsid w:val="00FD7D5D"/>
    <w:rsid w:val="00FD7E2F"/>
    <w:rsid w:val="00FD7E32"/>
    <w:rsid w:val="00FE00F8"/>
    <w:rsid w:val="00FE0136"/>
    <w:rsid w:val="00FE0272"/>
    <w:rsid w:val="00FE05A3"/>
    <w:rsid w:val="00FE060B"/>
    <w:rsid w:val="00FE063A"/>
    <w:rsid w:val="00FE0776"/>
    <w:rsid w:val="00FE0820"/>
    <w:rsid w:val="00FE0926"/>
    <w:rsid w:val="00FE0A72"/>
    <w:rsid w:val="00FE0A7D"/>
    <w:rsid w:val="00FE0E6C"/>
    <w:rsid w:val="00FE0E9F"/>
    <w:rsid w:val="00FE0ED3"/>
    <w:rsid w:val="00FE0FCD"/>
    <w:rsid w:val="00FE1130"/>
    <w:rsid w:val="00FE116A"/>
    <w:rsid w:val="00FE1450"/>
    <w:rsid w:val="00FE1486"/>
    <w:rsid w:val="00FE1564"/>
    <w:rsid w:val="00FE164C"/>
    <w:rsid w:val="00FE1694"/>
    <w:rsid w:val="00FE1722"/>
    <w:rsid w:val="00FE18C7"/>
    <w:rsid w:val="00FE1CDC"/>
    <w:rsid w:val="00FE1CE4"/>
    <w:rsid w:val="00FE2074"/>
    <w:rsid w:val="00FE215E"/>
    <w:rsid w:val="00FE22C5"/>
    <w:rsid w:val="00FE232C"/>
    <w:rsid w:val="00FE23F6"/>
    <w:rsid w:val="00FE2589"/>
    <w:rsid w:val="00FE268D"/>
    <w:rsid w:val="00FE2762"/>
    <w:rsid w:val="00FE27EA"/>
    <w:rsid w:val="00FE28A7"/>
    <w:rsid w:val="00FE2C80"/>
    <w:rsid w:val="00FE2E1B"/>
    <w:rsid w:val="00FE2EFB"/>
    <w:rsid w:val="00FE3343"/>
    <w:rsid w:val="00FE3468"/>
    <w:rsid w:val="00FE34BD"/>
    <w:rsid w:val="00FE36B1"/>
    <w:rsid w:val="00FE3816"/>
    <w:rsid w:val="00FE383F"/>
    <w:rsid w:val="00FE38B2"/>
    <w:rsid w:val="00FE3AF5"/>
    <w:rsid w:val="00FE3B00"/>
    <w:rsid w:val="00FE3BDD"/>
    <w:rsid w:val="00FE3C27"/>
    <w:rsid w:val="00FE3D34"/>
    <w:rsid w:val="00FE3FD8"/>
    <w:rsid w:val="00FE4073"/>
    <w:rsid w:val="00FE40A6"/>
    <w:rsid w:val="00FE40E0"/>
    <w:rsid w:val="00FE4193"/>
    <w:rsid w:val="00FE4426"/>
    <w:rsid w:val="00FE45EE"/>
    <w:rsid w:val="00FE460F"/>
    <w:rsid w:val="00FE48B3"/>
    <w:rsid w:val="00FE48E2"/>
    <w:rsid w:val="00FE4951"/>
    <w:rsid w:val="00FE49DA"/>
    <w:rsid w:val="00FE4A96"/>
    <w:rsid w:val="00FE4B5B"/>
    <w:rsid w:val="00FE4CB9"/>
    <w:rsid w:val="00FE4D5F"/>
    <w:rsid w:val="00FE4D6C"/>
    <w:rsid w:val="00FE4DB5"/>
    <w:rsid w:val="00FE4DE7"/>
    <w:rsid w:val="00FE4FB4"/>
    <w:rsid w:val="00FE506D"/>
    <w:rsid w:val="00FE508B"/>
    <w:rsid w:val="00FE513F"/>
    <w:rsid w:val="00FE526F"/>
    <w:rsid w:val="00FE52FE"/>
    <w:rsid w:val="00FE5522"/>
    <w:rsid w:val="00FE553E"/>
    <w:rsid w:val="00FE55B2"/>
    <w:rsid w:val="00FE5726"/>
    <w:rsid w:val="00FE5850"/>
    <w:rsid w:val="00FE58F0"/>
    <w:rsid w:val="00FE59E5"/>
    <w:rsid w:val="00FE5B5C"/>
    <w:rsid w:val="00FE5BE8"/>
    <w:rsid w:val="00FE5D48"/>
    <w:rsid w:val="00FE5DA3"/>
    <w:rsid w:val="00FE5E67"/>
    <w:rsid w:val="00FE5F12"/>
    <w:rsid w:val="00FE5F4A"/>
    <w:rsid w:val="00FE6046"/>
    <w:rsid w:val="00FE6047"/>
    <w:rsid w:val="00FE6221"/>
    <w:rsid w:val="00FE646B"/>
    <w:rsid w:val="00FE6480"/>
    <w:rsid w:val="00FE6484"/>
    <w:rsid w:val="00FE6614"/>
    <w:rsid w:val="00FE67F1"/>
    <w:rsid w:val="00FE683B"/>
    <w:rsid w:val="00FE68D2"/>
    <w:rsid w:val="00FE694F"/>
    <w:rsid w:val="00FE6B1F"/>
    <w:rsid w:val="00FE6B3F"/>
    <w:rsid w:val="00FE6D68"/>
    <w:rsid w:val="00FE6E64"/>
    <w:rsid w:val="00FE6F5A"/>
    <w:rsid w:val="00FE6F97"/>
    <w:rsid w:val="00FE7087"/>
    <w:rsid w:val="00FE7090"/>
    <w:rsid w:val="00FE70C3"/>
    <w:rsid w:val="00FE72E8"/>
    <w:rsid w:val="00FE7573"/>
    <w:rsid w:val="00FE7932"/>
    <w:rsid w:val="00FE7A80"/>
    <w:rsid w:val="00FE7B29"/>
    <w:rsid w:val="00FE7C87"/>
    <w:rsid w:val="00FE7CC9"/>
    <w:rsid w:val="00FE7DB5"/>
    <w:rsid w:val="00FF006B"/>
    <w:rsid w:val="00FF0081"/>
    <w:rsid w:val="00FF0505"/>
    <w:rsid w:val="00FF0605"/>
    <w:rsid w:val="00FF06C5"/>
    <w:rsid w:val="00FF0806"/>
    <w:rsid w:val="00FF08E4"/>
    <w:rsid w:val="00FF0A7C"/>
    <w:rsid w:val="00FF0AA8"/>
    <w:rsid w:val="00FF0BC7"/>
    <w:rsid w:val="00FF0CA9"/>
    <w:rsid w:val="00FF0D7B"/>
    <w:rsid w:val="00FF0E20"/>
    <w:rsid w:val="00FF11AC"/>
    <w:rsid w:val="00FF11D9"/>
    <w:rsid w:val="00FF120F"/>
    <w:rsid w:val="00FF1336"/>
    <w:rsid w:val="00FF13BC"/>
    <w:rsid w:val="00FF13F6"/>
    <w:rsid w:val="00FF1442"/>
    <w:rsid w:val="00FF1473"/>
    <w:rsid w:val="00FF1564"/>
    <w:rsid w:val="00FF1602"/>
    <w:rsid w:val="00FF1801"/>
    <w:rsid w:val="00FF181A"/>
    <w:rsid w:val="00FF1868"/>
    <w:rsid w:val="00FF18B7"/>
    <w:rsid w:val="00FF1982"/>
    <w:rsid w:val="00FF1A8B"/>
    <w:rsid w:val="00FF1B15"/>
    <w:rsid w:val="00FF1CB2"/>
    <w:rsid w:val="00FF1EA2"/>
    <w:rsid w:val="00FF1EC3"/>
    <w:rsid w:val="00FF2006"/>
    <w:rsid w:val="00FF2320"/>
    <w:rsid w:val="00FF2357"/>
    <w:rsid w:val="00FF292D"/>
    <w:rsid w:val="00FF2967"/>
    <w:rsid w:val="00FF2A85"/>
    <w:rsid w:val="00FF2AD9"/>
    <w:rsid w:val="00FF2BA1"/>
    <w:rsid w:val="00FF2BE0"/>
    <w:rsid w:val="00FF2E57"/>
    <w:rsid w:val="00FF2ECA"/>
    <w:rsid w:val="00FF30D2"/>
    <w:rsid w:val="00FF3155"/>
    <w:rsid w:val="00FF32D0"/>
    <w:rsid w:val="00FF3557"/>
    <w:rsid w:val="00FF359F"/>
    <w:rsid w:val="00FF364D"/>
    <w:rsid w:val="00FF37DD"/>
    <w:rsid w:val="00FF3A0F"/>
    <w:rsid w:val="00FF3A69"/>
    <w:rsid w:val="00FF3D4D"/>
    <w:rsid w:val="00FF3DCF"/>
    <w:rsid w:val="00FF3FA2"/>
    <w:rsid w:val="00FF418D"/>
    <w:rsid w:val="00FF42E2"/>
    <w:rsid w:val="00FF459B"/>
    <w:rsid w:val="00FF477A"/>
    <w:rsid w:val="00FF479B"/>
    <w:rsid w:val="00FF483C"/>
    <w:rsid w:val="00FF486D"/>
    <w:rsid w:val="00FF492C"/>
    <w:rsid w:val="00FF49F0"/>
    <w:rsid w:val="00FF4A21"/>
    <w:rsid w:val="00FF4B7D"/>
    <w:rsid w:val="00FF4B97"/>
    <w:rsid w:val="00FF4BF6"/>
    <w:rsid w:val="00FF4D40"/>
    <w:rsid w:val="00FF4DDC"/>
    <w:rsid w:val="00FF4EC4"/>
    <w:rsid w:val="00FF4FA2"/>
    <w:rsid w:val="00FF519C"/>
    <w:rsid w:val="00FF5268"/>
    <w:rsid w:val="00FF5328"/>
    <w:rsid w:val="00FF5407"/>
    <w:rsid w:val="00FF54A1"/>
    <w:rsid w:val="00FF55E7"/>
    <w:rsid w:val="00FF574E"/>
    <w:rsid w:val="00FF580E"/>
    <w:rsid w:val="00FF58C5"/>
    <w:rsid w:val="00FF5A5C"/>
    <w:rsid w:val="00FF5AA3"/>
    <w:rsid w:val="00FF5AD8"/>
    <w:rsid w:val="00FF5B31"/>
    <w:rsid w:val="00FF5BF1"/>
    <w:rsid w:val="00FF5BFB"/>
    <w:rsid w:val="00FF5ED2"/>
    <w:rsid w:val="00FF5F60"/>
    <w:rsid w:val="00FF5FF0"/>
    <w:rsid w:val="00FF6151"/>
    <w:rsid w:val="00FF6440"/>
    <w:rsid w:val="00FF66C7"/>
    <w:rsid w:val="00FF6919"/>
    <w:rsid w:val="00FF6AD1"/>
    <w:rsid w:val="00FF6DDD"/>
    <w:rsid w:val="00FF7184"/>
    <w:rsid w:val="00FF72B4"/>
    <w:rsid w:val="00FF7433"/>
    <w:rsid w:val="00FF74FB"/>
    <w:rsid w:val="00FF7707"/>
    <w:rsid w:val="00FF778F"/>
    <w:rsid w:val="00FF77EC"/>
    <w:rsid w:val="00FF7822"/>
    <w:rsid w:val="00FF7970"/>
    <w:rsid w:val="00FF79B6"/>
    <w:rsid w:val="00FF7C3F"/>
    <w:rsid w:val="00FF7D1C"/>
    <w:rsid w:val="00FF7D57"/>
    <w:rsid w:val="00FF7E07"/>
    <w:rsid w:val="00FF7E56"/>
    <w:rsid w:val="011CE09A"/>
    <w:rsid w:val="01AF894B"/>
    <w:rsid w:val="025A8F54"/>
    <w:rsid w:val="036700A3"/>
    <w:rsid w:val="0388D24E"/>
    <w:rsid w:val="0398031A"/>
    <w:rsid w:val="03DF47E3"/>
    <w:rsid w:val="040D01BE"/>
    <w:rsid w:val="04CDC301"/>
    <w:rsid w:val="06604C48"/>
    <w:rsid w:val="0660A205"/>
    <w:rsid w:val="06AD8115"/>
    <w:rsid w:val="06D91E19"/>
    <w:rsid w:val="06FD6A9F"/>
    <w:rsid w:val="08C2D6EA"/>
    <w:rsid w:val="0966A9EC"/>
    <w:rsid w:val="09AB4EA8"/>
    <w:rsid w:val="0A4860D0"/>
    <w:rsid w:val="0AD19143"/>
    <w:rsid w:val="0B211805"/>
    <w:rsid w:val="0B8AE9A8"/>
    <w:rsid w:val="0B9AC55D"/>
    <w:rsid w:val="0BA693AD"/>
    <w:rsid w:val="0BDB5EE8"/>
    <w:rsid w:val="0C097D42"/>
    <w:rsid w:val="0C67B304"/>
    <w:rsid w:val="0C937BF0"/>
    <w:rsid w:val="0CA13CB0"/>
    <w:rsid w:val="0D2F244A"/>
    <w:rsid w:val="0D771182"/>
    <w:rsid w:val="0F11D387"/>
    <w:rsid w:val="0F9E406B"/>
    <w:rsid w:val="10D400D6"/>
    <w:rsid w:val="1162F493"/>
    <w:rsid w:val="11A2566F"/>
    <w:rsid w:val="125F562A"/>
    <w:rsid w:val="127619A1"/>
    <w:rsid w:val="12AD0EB2"/>
    <w:rsid w:val="12CB7318"/>
    <w:rsid w:val="1357D1BD"/>
    <w:rsid w:val="1467140C"/>
    <w:rsid w:val="147F23EE"/>
    <w:rsid w:val="14903706"/>
    <w:rsid w:val="14B2EB13"/>
    <w:rsid w:val="14C265FF"/>
    <w:rsid w:val="1518EA50"/>
    <w:rsid w:val="15327D65"/>
    <w:rsid w:val="155E356A"/>
    <w:rsid w:val="159B96E8"/>
    <w:rsid w:val="16AB7031"/>
    <w:rsid w:val="16EA1762"/>
    <w:rsid w:val="16EF621C"/>
    <w:rsid w:val="172828D3"/>
    <w:rsid w:val="1743A9D8"/>
    <w:rsid w:val="1746BB28"/>
    <w:rsid w:val="176A5544"/>
    <w:rsid w:val="183A9674"/>
    <w:rsid w:val="1A32F698"/>
    <w:rsid w:val="1A4D1102"/>
    <w:rsid w:val="1AAB4B08"/>
    <w:rsid w:val="1B1D56F9"/>
    <w:rsid w:val="1B9EAF16"/>
    <w:rsid w:val="1BAC08B7"/>
    <w:rsid w:val="1BC2201C"/>
    <w:rsid w:val="1CF4D5D6"/>
    <w:rsid w:val="1E634179"/>
    <w:rsid w:val="1F61A981"/>
    <w:rsid w:val="202FBA1C"/>
    <w:rsid w:val="20FB3806"/>
    <w:rsid w:val="213E188A"/>
    <w:rsid w:val="21435154"/>
    <w:rsid w:val="21EB8659"/>
    <w:rsid w:val="22C93D4A"/>
    <w:rsid w:val="233E9A55"/>
    <w:rsid w:val="2358B419"/>
    <w:rsid w:val="2447CAE0"/>
    <w:rsid w:val="2468E08C"/>
    <w:rsid w:val="25438A77"/>
    <w:rsid w:val="25613DE4"/>
    <w:rsid w:val="272BB38C"/>
    <w:rsid w:val="275E7FEA"/>
    <w:rsid w:val="279295A9"/>
    <w:rsid w:val="27C8B291"/>
    <w:rsid w:val="284046BD"/>
    <w:rsid w:val="286C107B"/>
    <w:rsid w:val="28E703C6"/>
    <w:rsid w:val="29811FA5"/>
    <w:rsid w:val="2A2346A9"/>
    <w:rsid w:val="2A303896"/>
    <w:rsid w:val="2A55F1FB"/>
    <w:rsid w:val="2BF6EB93"/>
    <w:rsid w:val="2C9099D1"/>
    <w:rsid w:val="2CA8135B"/>
    <w:rsid w:val="2CEE7C54"/>
    <w:rsid w:val="2D41B68E"/>
    <w:rsid w:val="2DE630C3"/>
    <w:rsid w:val="2DEFAF4B"/>
    <w:rsid w:val="2E7BA12A"/>
    <w:rsid w:val="2EB6BD5A"/>
    <w:rsid w:val="2F3393A8"/>
    <w:rsid w:val="2F8F3C98"/>
    <w:rsid w:val="2FD536C8"/>
    <w:rsid w:val="3020A495"/>
    <w:rsid w:val="303E4E28"/>
    <w:rsid w:val="315492C3"/>
    <w:rsid w:val="316CBD24"/>
    <w:rsid w:val="31AA8EA5"/>
    <w:rsid w:val="324F4A85"/>
    <w:rsid w:val="329F1659"/>
    <w:rsid w:val="32F1AB94"/>
    <w:rsid w:val="3312CEAD"/>
    <w:rsid w:val="33366481"/>
    <w:rsid w:val="34679684"/>
    <w:rsid w:val="352AF033"/>
    <w:rsid w:val="35958C8F"/>
    <w:rsid w:val="36642F2E"/>
    <w:rsid w:val="369160E1"/>
    <w:rsid w:val="375AA101"/>
    <w:rsid w:val="3784A947"/>
    <w:rsid w:val="37C4EBB0"/>
    <w:rsid w:val="394E8BC0"/>
    <w:rsid w:val="3A0A649C"/>
    <w:rsid w:val="3A47AA36"/>
    <w:rsid w:val="3B72EC34"/>
    <w:rsid w:val="3BDBFB34"/>
    <w:rsid w:val="3C057FD3"/>
    <w:rsid w:val="3C45E527"/>
    <w:rsid w:val="3F634097"/>
    <w:rsid w:val="401E16D5"/>
    <w:rsid w:val="408AB2F6"/>
    <w:rsid w:val="40EA7C9A"/>
    <w:rsid w:val="412B6987"/>
    <w:rsid w:val="415505DD"/>
    <w:rsid w:val="41F0E7CF"/>
    <w:rsid w:val="421FD73B"/>
    <w:rsid w:val="4322173E"/>
    <w:rsid w:val="43D7F09D"/>
    <w:rsid w:val="43F0F97B"/>
    <w:rsid w:val="456B0C49"/>
    <w:rsid w:val="45C3F9AA"/>
    <w:rsid w:val="45D94DA9"/>
    <w:rsid w:val="47264DD4"/>
    <w:rsid w:val="47775C70"/>
    <w:rsid w:val="47F4BDEB"/>
    <w:rsid w:val="48BA14CA"/>
    <w:rsid w:val="48E69F22"/>
    <w:rsid w:val="490EB02D"/>
    <w:rsid w:val="49C4E48C"/>
    <w:rsid w:val="4B931CF5"/>
    <w:rsid w:val="4BE6E126"/>
    <w:rsid w:val="4C79B0F6"/>
    <w:rsid w:val="4CECE708"/>
    <w:rsid w:val="4D2CD87D"/>
    <w:rsid w:val="4D7E33BC"/>
    <w:rsid w:val="4E87ACCB"/>
    <w:rsid w:val="4EBA7E25"/>
    <w:rsid w:val="4F1BA527"/>
    <w:rsid w:val="4F8827F8"/>
    <w:rsid w:val="4FE7AA23"/>
    <w:rsid w:val="5065E0F9"/>
    <w:rsid w:val="50EB2CAA"/>
    <w:rsid w:val="510932F1"/>
    <w:rsid w:val="514EC431"/>
    <w:rsid w:val="51EEE38B"/>
    <w:rsid w:val="5284D041"/>
    <w:rsid w:val="5387D9DB"/>
    <w:rsid w:val="53B57D04"/>
    <w:rsid w:val="54389063"/>
    <w:rsid w:val="54BFAFC1"/>
    <w:rsid w:val="54E6244D"/>
    <w:rsid w:val="555E7419"/>
    <w:rsid w:val="559538A6"/>
    <w:rsid w:val="57885252"/>
    <w:rsid w:val="57C2D44E"/>
    <w:rsid w:val="580F2777"/>
    <w:rsid w:val="58DFD6ED"/>
    <w:rsid w:val="58E87357"/>
    <w:rsid w:val="590A36EA"/>
    <w:rsid w:val="590E175B"/>
    <w:rsid w:val="596ECF4A"/>
    <w:rsid w:val="597B7F7C"/>
    <w:rsid w:val="59E54890"/>
    <w:rsid w:val="5A78F16A"/>
    <w:rsid w:val="5A9579DE"/>
    <w:rsid w:val="5D77E77C"/>
    <w:rsid w:val="5E5DD460"/>
    <w:rsid w:val="5E97954D"/>
    <w:rsid w:val="5F3CB490"/>
    <w:rsid w:val="5F5C39BE"/>
    <w:rsid w:val="5F805492"/>
    <w:rsid w:val="5FC4588C"/>
    <w:rsid w:val="602456A9"/>
    <w:rsid w:val="6042C43C"/>
    <w:rsid w:val="6088F0DB"/>
    <w:rsid w:val="60FF8E36"/>
    <w:rsid w:val="611A5BDD"/>
    <w:rsid w:val="61D58386"/>
    <w:rsid w:val="62B6277C"/>
    <w:rsid w:val="62BF7CA3"/>
    <w:rsid w:val="6320AFBC"/>
    <w:rsid w:val="63406736"/>
    <w:rsid w:val="638FF83A"/>
    <w:rsid w:val="643308F8"/>
    <w:rsid w:val="64522CC4"/>
    <w:rsid w:val="648464E9"/>
    <w:rsid w:val="65486397"/>
    <w:rsid w:val="656B3B02"/>
    <w:rsid w:val="66C79622"/>
    <w:rsid w:val="678A73AF"/>
    <w:rsid w:val="67C0AFC2"/>
    <w:rsid w:val="67C3DA23"/>
    <w:rsid w:val="67E939F5"/>
    <w:rsid w:val="68121065"/>
    <w:rsid w:val="688DB4AF"/>
    <w:rsid w:val="68A080DB"/>
    <w:rsid w:val="6A46AB6E"/>
    <w:rsid w:val="6A516018"/>
    <w:rsid w:val="6BE62754"/>
    <w:rsid w:val="6BFD4DCC"/>
    <w:rsid w:val="6C21BFFC"/>
    <w:rsid w:val="6CD25F5A"/>
    <w:rsid w:val="6D4A88C5"/>
    <w:rsid w:val="6D8D9AFB"/>
    <w:rsid w:val="6EB26AA2"/>
    <w:rsid w:val="6EDB4929"/>
    <w:rsid w:val="6F2759AC"/>
    <w:rsid w:val="6F665A95"/>
    <w:rsid w:val="72AC916C"/>
    <w:rsid w:val="72D9EFE5"/>
    <w:rsid w:val="72F1C53B"/>
    <w:rsid w:val="73151174"/>
    <w:rsid w:val="73452DB5"/>
    <w:rsid w:val="736F360C"/>
    <w:rsid w:val="73CDC896"/>
    <w:rsid w:val="73E32B03"/>
    <w:rsid w:val="73EC8928"/>
    <w:rsid w:val="75918D4C"/>
    <w:rsid w:val="7661188A"/>
    <w:rsid w:val="767FFC59"/>
    <w:rsid w:val="76C8CDE1"/>
    <w:rsid w:val="7739DD1E"/>
    <w:rsid w:val="7766A959"/>
    <w:rsid w:val="77AC3B32"/>
    <w:rsid w:val="77B9D38B"/>
    <w:rsid w:val="7815E1DD"/>
    <w:rsid w:val="78B5FE7B"/>
    <w:rsid w:val="79361505"/>
    <w:rsid w:val="7986229B"/>
    <w:rsid w:val="7A18FEA1"/>
    <w:rsid w:val="7A3886D7"/>
    <w:rsid w:val="7A4547ED"/>
    <w:rsid w:val="7AF10EDC"/>
    <w:rsid w:val="7B2C912C"/>
    <w:rsid w:val="7BF98603"/>
    <w:rsid w:val="7C5A2E86"/>
    <w:rsid w:val="7C6B277A"/>
    <w:rsid w:val="7C7C0764"/>
    <w:rsid w:val="7CEF3C4A"/>
    <w:rsid w:val="7DBDE7E8"/>
    <w:rsid w:val="7FC5FB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4" w:qFormat="1"/>
    <w:lsdException w:name="heading 6" w:qFormat="1"/>
    <w:lsdException w:name="heading 7" w:semiHidden="1" w:unhideWhenUsed="1" w:qFormat="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96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5C4C33"/>
    <w:pPr>
      <w:keepNext/>
      <w:jc w:val="left"/>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5C4C33"/>
    <w:rPr>
      <w:rFonts w:ascii="Calibri" w:hAnsi="Calibri" w:cs="Arial"/>
      <w:b/>
      <w:szCs w:val="24"/>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Caption 1,Figure caption,Figure caption1 Char Char,Figure Source,Caption Char1 Char,Caption Char Char Char,Caption Char1,Caption Table...,Caption Char1 + 8 pt,Not B....,Caption Table,...,Caption 3,figure,Caption-FUSA,12,12+,caption,c,- H17"/>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Caption 1 Char,Figure caption Char,Figure caption1 Char Char Char,Figure Source Char,Caption Char1 Char Char,Caption Char Char Char Char,Caption Char1 Char1,Caption Table... Char,Caption Char1 + 8 pt Char,Not B.... Char,...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lthConsult,Source table_,NICE instructions,Header Table,Legemiddelverket 3"/>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Annotationtext,- H19,Comment Text Char Char,Comment Text Char Char Char Char,Comment Text Char Char1,Comment Text Char Char1 Char,Comment Text Char1 Char,Comment Text Char1 Char Char,Comment Text Char2 Char,Kommentare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Annotationtext Char,- H19 Char,Comment Text Char Char Char,Comment Text Char Char Char Char Char,Comment Text Char Char1 Char1,Comment Text Char Char1 Char Char,Comment Text Char1 Char Char1,Comment Text Char1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3035E"/>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BF3164"/>
    <w:pPr>
      <w:keepNext/>
      <w:numPr>
        <w:numId w:val="1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next w:val="2-SectionHeading"/>
    <w:link w:val="3-BodyTextChar"/>
    <w:qFormat/>
    <w:rsid w:val="00EC48DC"/>
    <w:pPr>
      <w:numPr>
        <w:ilvl w:val="1"/>
        <w:numId w:val="1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C48D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Normal"/>
    <w:link w:val="TableFigureFooterChar"/>
    <w:autoRedefine/>
    <w:qFormat/>
    <w:rsid w:val="001E6A64"/>
    <w:pPr>
      <w:keepLines/>
      <w:contextualSpacing/>
      <w:jc w:val="left"/>
    </w:pPr>
    <w:rPr>
      <w:rFonts w:ascii="Arial Narrow" w:hAnsi="Arial Narrow" w:cstheme="minorHAnsi"/>
      <w:iCs/>
      <w:snapToGrid w:val="0"/>
      <w:sz w:val="18"/>
      <w:szCs w:val="18"/>
    </w:rPr>
  </w:style>
  <w:style w:type="character" w:customStyle="1" w:styleId="TableFigureFooterChar">
    <w:name w:val="Table/Figure Footer Char"/>
    <w:link w:val="TableFigureFooter"/>
    <w:rsid w:val="001E6A64"/>
    <w:rPr>
      <w:rFonts w:ascii="Arial Narrow" w:hAnsi="Arial Narrow" w:cstheme="minorHAnsi"/>
      <w:iCs/>
      <w:snapToGrid w:val="0"/>
      <w:sz w:val="18"/>
      <w:szCs w:val="18"/>
    </w:rPr>
  </w:style>
  <w:style w:type="paragraph" w:styleId="FootnoteText">
    <w:name w:val="footnote text"/>
    <w:basedOn w:val="Normal"/>
    <w:link w:val="FootnoteTextChar"/>
    <w:uiPriority w:val="99"/>
    <w:unhideWhenUsed/>
    <w:qFormat/>
    <w:rsid w:val="004320BA"/>
    <w:pPr>
      <w:widowControl w:val="0"/>
      <w:spacing w:after="240"/>
      <w:jc w:val="left"/>
    </w:pPr>
    <w:rPr>
      <w:rFonts w:asciiTheme="minorHAnsi" w:eastAsiaTheme="minorHAnsi" w:hAnsiTheme="minorHAnsi" w:cstheme="minorBidi"/>
      <w:sz w:val="18"/>
      <w:szCs w:val="20"/>
      <w:lang w:val="en-US" w:eastAsia="en-US"/>
    </w:rPr>
  </w:style>
  <w:style w:type="character" w:customStyle="1" w:styleId="FootnoteTextChar">
    <w:name w:val="Footnote Text Char"/>
    <w:basedOn w:val="DefaultParagraphFont"/>
    <w:link w:val="FootnoteText"/>
    <w:uiPriority w:val="99"/>
    <w:rsid w:val="004320BA"/>
    <w:rPr>
      <w:rFonts w:asciiTheme="minorHAnsi" w:eastAsiaTheme="minorHAnsi" w:hAnsiTheme="minorHAnsi" w:cstheme="minorBidi"/>
      <w:sz w:val="18"/>
      <w:lang w:val="en-US" w:eastAsia="en-US"/>
    </w:rPr>
  </w:style>
  <w:style w:type="character" w:styleId="UnresolvedMention">
    <w:name w:val="Unresolved Mention"/>
    <w:basedOn w:val="DefaultParagraphFont"/>
    <w:uiPriority w:val="99"/>
    <w:unhideWhenUsed/>
    <w:rsid w:val="00213495"/>
    <w:rPr>
      <w:color w:val="605E5C"/>
      <w:shd w:val="clear" w:color="auto" w:fill="E1DFDD"/>
    </w:rPr>
  </w:style>
  <w:style w:type="character" w:styleId="Mention">
    <w:name w:val="Mention"/>
    <w:basedOn w:val="DefaultParagraphFont"/>
    <w:uiPriority w:val="99"/>
    <w:unhideWhenUsed/>
    <w:rsid w:val="00213495"/>
    <w:rPr>
      <w:color w:val="2B579A"/>
      <w:shd w:val="clear" w:color="auto" w:fill="E1DFDD"/>
    </w:rPr>
  </w:style>
  <w:style w:type="paragraph" w:customStyle="1" w:styleId="TableFigureCaption">
    <w:name w:val="Table/Figure Caption"/>
    <w:next w:val="Normal"/>
    <w:link w:val="TableFigureCaptionChar"/>
    <w:qFormat/>
    <w:rsid w:val="00022B9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22B98"/>
    <w:rPr>
      <w:rFonts w:ascii="Arial Narrow" w:eastAsiaTheme="majorEastAsia" w:hAnsi="Arial Narrow" w:cstheme="majorBidi"/>
      <w:b/>
      <w:bCs/>
      <w:szCs w:val="24"/>
    </w:rPr>
  </w:style>
  <w:style w:type="paragraph" w:customStyle="1" w:styleId="EndNoteBibliographyTitle">
    <w:name w:val="EndNote Bibliography Title"/>
    <w:basedOn w:val="Normal"/>
    <w:link w:val="EndNoteBibliographyTitleChar"/>
    <w:rsid w:val="0039430F"/>
    <w:pPr>
      <w:jc w:val="center"/>
    </w:pPr>
    <w:rPr>
      <w:rFonts w:cs="Calibri"/>
      <w:noProof/>
    </w:rPr>
  </w:style>
  <w:style w:type="character" w:customStyle="1" w:styleId="ListBulletChar">
    <w:name w:val="List Bullet Char"/>
    <w:basedOn w:val="DefaultParagraphFont"/>
    <w:link w:val="ListBullet"/>
    <w:rsid w:val="0039430F"/>
    <w:rPr>
      <w:rFonts w:ascii="Calibri" w:hAnsi="Calibri" w:cs="Arial"/>
      <w:sz w:val="24"/>
      <w:szCs w:val="24"/>
    </w:rPr>
  </w:style>
  <w:style w:type="character" w:customStyle="1" w:styleId="EndNoteBibliographyTitleChar">
    <w:name w:val="EndNote Bibliography Title Char"/>
    <w:basedOn w:val="ListBulletChar"/>
    <w:link w:val="EndNoteBibliographyTitle"/>
    <w:rsid w:val="0039430F"/>
    <w:rPr>
      <w:rFonts w:ascii="Calibri" w:hAnsi="Calibri" w:cs="Calibri"/>
      <w:noProof/>
      <w:sz w:val="24"/>
      <w:szCs w:val="24"/>
    </w:rPr>
  </w:style>
  <w:style w:type="paragraph" w:customStyle="1" w:styleId="EndNoteBibliography">
    <w:name w:val="EndNote Bibliography"/>
    <w:basedOn w:val="Normal"/>
    <w:link w:val="EndNoteBibliographyChar"/>
    <w:rsid w:val="0050340D"/>
    <w:rPr>
      <w:rFonts w:cs="Calibri"/>
      <w:noProof/>
    </w:rPr>
  </w:style>
  <w:style w:type="character" w:customStyle="1" w:styleId="EndNoteBibliographyChar">
    <w:name w:val="EndNote Bibliography Char"/>
    <w:basedOn w:val="ListBulletChar"/>
    <w:link w:val="EndNoteBibliography"/>
    <w:rsid w:val="0039430F"/>
    <w:rPr>
      <w:rFonts w:ascii="Calibri" w:hAnsi="Calibri" w:cs="Calibri"/>
      <w:noProof/>
      <w:sz w:val="24"/>
      <w:szCs w:val="24"/>
    </w:rPr>
  </w:style>
  <w:style w:type="paragraph" w:customStyle="1" w:styleId="TableLeft">
    <w:name w:val="Table Left"/>
    <w:basedOn w:val="Normal"/>
    <w:link w:val="TableLeftChar"/>
    <w:uiPriority w:val="99"/>
    <w:qFormat/>
    <w:rsid w:val="000E54C0"/>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E54C0"/>
    <w:rPr>
      <w:rFonts w:ascii="Calibri" w:eastAsiaTheme="majorEastAsia" w:hAnsi="Calibri" w:cstheme="majorBidi"/>
      <w:sz w:val="18"/>
      <w:szCs w:val="22"/>
      <w:lang w:eastAsia="en-US" w:bidi="en-US"/>
    </w:rPr>
  </w:style>
  <w:style w:type="paragraph" w:customStyle="1" w:styleId="paragraph">
    <w:name w:val="paragraph"/>
    <w:basedOn w:val="Normal"/>
    <w:rsid w:val="008C7EAE"/>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8C7EAE"/>
  </w:style>
  <w:style w:type="character" w:customStyle="1" w:styleId="eop">
    <w:name w:val="eop"/>
    <w:basedOn w:val="DefaultParagraphFont"/>
    <w:rsid w:val="008C7EAE"/>
  </w:style>
  <w:style w:type="character" w:customStyle="1" w:styleId="scxw171940943">
    <w:name w:val="scxw171940943"/>
    <w:basedOn w:val="DefaultParagraphFont"/>
    <w:rsid w:val="005341B2"/>
  </w:style>
  <w:style w:type="character" w:customStyle="1" w:styleId="Small">
    <w:name w:val="Small"/>
    <w:basedOn w:val="DefaultParagraphFont"/>
    <w:uiPriority w:val="4"/>
    <w:qFormat/>
    <w:rsid w:val="00C95E9F"/>
    <w:rPr>
      <w:rFonts w:ascii="Calibri" w:hAnsi="Calibri"/>
      <w:sz w:val="20"/>
    </w:rPr>
  </w:style>
  <w:style w:type="character" w:styleId="FootnoteReference">
    <w:name w:val="footnote reference"/>
    <w:basedOn w:val="DefaultParagraphFont"/>
    <w:uiPriority w:val="99"/>
    <w:semiHidden/>
    <w:unhideWhenUsed/>
    <w:rsid w:val="00056663"/>
    <w:rPr>
      <w:vertAlign w:val="superscript"/>
    </w:rPr>
  </w:style>
  <w:style w:type="table" w:customStyle="1" w:styleId="Submissionstandard">
    <w:name w:val="Submission standard"/>
    <w:basedOn w:val="TableNormal"/>
    <w:uiPriority w:val="99"/>
    <w:qFormat/>
    <w:rsid w:val="008A24B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b/>
        <w:sz w:val="20"/>
      </w:rPr>
      <w:tblPr/>
      <w:tcPr>
        <w:shd w:val="clear" w:color="auto" w:fill="BFBFBF" w:themeFill="background1" w:themeFillShade="BF"/>
      </w:tcPr>
    </w:tblStylePr>
  </w:style>
  <w:style w:type="character" w:styleId="Strong">
    <w:name w:val="Strong"/>
    <w:basedOn w:val="DefaultParagraphFont"/>
    <w:uiPriority w:val="22"/>
    <w:qFormat/>
    <w:rsid w:val="00703319"/>
    <w:rPr>
      <w:b/>
      <w:bCs/>
    </w:rPr>
  </w:style>
  <w:style w:type="paragraph" w:customStyle="1" w:styleId="Heading4alternative">
    <w:name w:val="Heading 4 alternative"/>
    <w:basedOn w:val="Heading4"/>
    <w:rsid w:val="00425B91"/>
    <w:pPr>
      <w:keepNext w:val="0"/>
      <w:spacing w:before="0" w:after="240" w:line="276" w:lineRule="auto"/>
    </w:pPr>
    <w:rPr>
      <w:rFonts w:eastAsiaTheme="majorEastAsia" w:cstheme="majorBidi"/>
      <w:i w:val="0"/>
      <w:spacing w:val="5"/>
      <w:sz w:val="22"/>
      <w:szCs w:val="24"/>
      <w:lang w:eastAsia="en-US" w:bidi="en-US"/>
    </w:rPr>
  </w:style>
  <w:style w:type="paragraph" w:customStyle="1" w:styleId="p1">
    <w:name w:val="p1"/>
    <w:basedOn w:val="Normal"/>
    <w:rsid w:val="00CC5EF7"/>
    <w:pPr>
      <w:jc w:val="left"/>
    </w:pPr>
    <w:rPr>
      <w:rFonts w:ascii=".AppleSystemUIFont" w:hAnsi=".AppleSystemUIFont" w:cs="Times New Roman"/>
      <w:color w:val="0E0E0E"/>
      <w:sz w:val="21"/>
      <w:szCs w:val="21"/>
      <w:lang w:eastAsia="en-GB"/>
    </w:rPr>
  </w:style>
  <w:style w:type="character" w:customStyle="1" w:styleId="apple-converted-space">
    <w:name w:val="apple-converted-space"/>
    <w:basedOn w:val="DefaultParagraphFont"/>
    <w:rsid w:val="00CC5EF7"/>
  </w:style>
  <w:style w:type="character" w:customStyle="1" w:styleId="Heading1Char">
    <w:name w:val="Heading 1 Char"/>
    <w:basedOn w:val="DefaultParagraphFont"/>
    <w:link w:val="Heading1"/>
    <w:uiPriority w:val="1"/>
    <w:rsid w:val="00CC5EF7"/>
    <w:rPr>
      <w:rFonts w:ascii="Calibri" w:hAnsi="Calibri" w:cs="Arial"/>
      <w:b/>
      <w:caps/>
      <w:sz w:val="32"/>
      <w:szCs w:val="24"/>
    </w:rPr>
  </w:style>
  <w:style w:type="character" w:customStyle="1" w:styleId="Heading3Char">
    <w:name w:val="Heading 3 Char"/>
    <w:basedOn w:val="DefaultParagraphFont"/>
    <w:link w:val="Heading3"/>
    <w:rsid w:val="00CC5EF7"/>
    <w:rPr>
      <w:rFonts w:ascii="Calibri" w:hAnsi="Calibri" w:cs="Arial"/>
      <w:sz w:val="24"/>
      <w:szCs w:val="24"/>
      <w:u w:val="single"/>
    </w:rPr>
  </w:style>
  <w:style w:type="character" w:customStyle="1" w:styleId="Heading4Char">
    <w:name w:val="Heading 4 Char"/>
    <w:basedOn w:val="DefaultParagraphFont"/>
    <w:link w:val="Heading4"/>
    <w:rsid w:val="00CC5EF7"/>
    <w:rPr>
      <w:rFonts w:ascii="Calibri" w:hAnsi="Calibri" w:cs="Arial"/>
      <w:b/>
      <w:bCs/>
      <w:i/>
      <w:sz w:val="26"/>
      <w:szCs w:val="28"/>
    </w:rPr>
  </w:style>
  <w:style w:type="character" w:customStyle="1" w:styleId="Heading5Char">
    <w:name w:val="Heading 5 Char"/>
    <w:basedOn w:val="DefaultParagraphFont"/>
    <w:link w:val="Heading5"/>
    <w:rsid w:val="00CC5EF7"/>
    <w:rPr>
      <w:rFonts w:ascii="Calibri" w:hAnsi="Calibri" w:cs="Arial"/>
      <w:b/>
      <w:bCs/>
      <w:iCs/>
      <w:sz w:val="26"/>
      <w:szCs w:val="26"/>
    </w:rPr>
  </w:style>
  <w:style w:type="character" w:customStyle="1" w:styleId="Heading6Char">
    <w:name w:val="Heading 6 Char"/>
    <w:basedOn w:val="DefaultParagraphFont"/>
    <w:link w:val="Heading6"/>
    <w:rsid w:val="00CC5EF7"/>
    <w:rPr>
      <w:rFonts w:ascii="Calibri" w:hAnsi="Calibri" w:cs="Arial"/>
      <w:b/>
      <w:bCs/>
      <w:i/>
      <w:sz w:val="24"/>
      <w:szCs w:val="24"/>
    </w:rPr>
  </w:style>
  <w:style w:type="character" w:customStyle="1" w:styleId="apple-tab-span">
    <w:name w:val="apple-tab-span"/>
    <w:basedOn w:val="DefaultParagraphFont"/>
    <w:rsid w:val="007D1D55"/>
  </w:style>
  <w:style w:type="character" w:styleId="PlaceholderText">
    <w:name w:val="Placeholder Text"/>
    <w:basedOn w:val="DefaultParagraphFont"/>
    <w:uiPriority w:val="99"/>
    <w:semiHidden/>
    <w:rsid w:val="007D1D55"/>
    <w:rPr>
      <w:color w:val="666666"/>
    </w:rPr>
  </w:style>
  <w:style w:type="character" w:customStyle="1" w:styleId="cf01">
    <w:name w:val="cf01"/>
    <w:basedOn w:val="DefaultParagraphFont"/>
    <w:rsid w:val="00E05E49"/>
    <w:rPr>
      <w:rFonts w:ascii="Segoe UI" w:hAnsi="Segoe UI" w:cs="Segoe UI" w:hint="default"/>
      <w:sz w:val="18"/>
      <w:szCs w:val="18"/>
    </w:rPr>
  </w:style>
  <w:style w:type="paragraph" w:customStyle="1" w:styleId="Footer9pt">
    <w:name w:val="Footer + 9pt"/>
    <w:basedOn w:val="Footer"/>
    <w:qFormat/>
    <w:rsid w:val="00BD5992"/>
    <w:pPr>
      <w:tabs>
        <w:tab w:val="clear" w:pos="4513"/>
        <w:tab w:val="clear" w:pos="9026"/>
        <w:tab w:val="center" w:pos="4153"/>
        <w:tab w:val="right" w:pos="8306"/>
      </w:tabs>
      <w:spacing w:after="120"/>
    </w:pPr>
    <w:rPr>
      <w:rFonts w:ascii="Arial" w:eastAsia="Times New Roman" w:hAnsi="Arial" w:cs="Times New Roman"/>
      <w:sz w:val="18"/>
      <w:lang w:val="en-GB" w:eastAsia="en-US"/>
    </w:rPr>
  </w:style>
  <w:style w:type="paragraph" w:customStyle="1" w:styleId="3-SubsectionHeading">
    <w:name w:val="3-Subsection Heading"/>
    <w:basedOn w:val="Heading2"/>
    <w:next w:val="Normal"/>
    <w:link w:val="3-SubsectionHeadingChar"/>
    <w:rsid w:val="00EB4B5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EB4B57"/>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243">
      <w:bodyDiv w:val="1"/>
      <w:marLeft w:val="0"/>
      <w:marRight w:val="0"/>
      <w:marTop w:val="0"/>
      <w:marBottom w:val="0"/>
      <w:divBdr>
        <w:top w:val="none" w:sz="0" w:space="0" w:color="auto"/>
        <w:left w:val="none" w:sz="0" w:space="0" w:color="auto"/>
        <w:bottom w:val="none" w:sz="0" w:space="0" w:color="auto"/>
        <w:right w:val="none" w:sz="0" w:space="0" w:color="auto"/>
      </w:divBdr>
    </w:div>
    <w:div w:id="887383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7702911">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9200770">
      <w:bodyDiv w:val="1"/>
      <w:marLeft w:val="0"/>
      <w:marRight w:val="0"/>
      <w:marTop w:val="0"/>
      <w:marBottom w:val="0"/>
      <w:divBdr>
        <w:top w:val="none" w:sz="0" w:space="0" w:color="auto"/>
        <w:left w:val="none" w:sz="0" w:space="0" w:color="auto"/>
        <w:bottom w:val="none" w:sz="0" w:space="0" w:color="auto"/>
        <w:right w:val="none" w:sz="0" w:space="0" w:color="auto"/>
      </w:divBdr>
    </w:div>
    <w:div w:id="229583165">
      <w:bodyDiv w:val="1"/>
      <w:marLeft w:val="0"/>
      <w:marRight w:val="0"/>
      <w:marTop w:val="0"/>
      <w:marBottom w:val="0"/>
      <w:divBdr>
        <w:top w:val="none" w:sz="0" w:space="0" w:color="auto"/>
        <w:left w:val="none" w:sz="0" w:space="0" w:color="auto"/>
        <w:bottom w:val="none" w:sz="0" w:space="0" w:color="auto"/>
        <w:right w:val="none" w:sz="0" w:space="0" w:color="auto"/>
      </w:divBdr>
      <w:divsChild>
        <w:div w:id="56051317">
          <w:marLeft w:val="0"/>
          <w:marRight w:val="0"/>
          <w:marTop w:val="0"/>
          <w:marBottom w:val="0"/>
          <w:divBdr>
            <w:top w:val="none" w:sz="0" w:space="0" w:color="auto"/>
            <w:left w:val="none" w:sz="0" w:space="0" w:color="auto"/>
            <w:bottom w:val="none" w:sz="0" w:space="0" w:color="auto"/>
            <w:right w:val="none" w:sz="0" w:space="0" w:color="auto"/>
          </w:divBdr>
          <w:divsChild>
            <w:div w:id="1513296747">
              <w:marLeft w:val="0"/>
              <w:marRight w:val="0"/>
              <w:marTop w:val="0"/>
              <w:marBottom w:val="0"/>
              <w:divBdr>
                <w:top w:val="none" w:sz="0" w:space="0" w:color="auto"/>
                <w:left w:val="none" w:sz="0" w:space="0" w:color="auto"/>
                <w:bottom w:val="none" w:sz="0" w:space="0" w:color="auto"/>
                <w:right w:val="none" w:sz="0" w:space="0" w:color="auto"/>
              </w:divBdr>
            </w:div>
          </w:divsChild>
        </w:div>
        <w:div w:id="82921020">
          <w:marLeft w:val="0"/>
          <w:marRight w:val="0"/>
          <w:marTop w:val="0"/>
          <w:marBottom w:val="0"/>
          <w:divBdr>
            <w:top w:val="none" w:sz="0" w:space="0" w:color="auto"/>
            <w:left w:val="none" w:sz="0" w:space="0" w:color="auto"/>
            <w:bottom w:val="none" w:sz="0" w:space="0" w:color="auto"/>
            <w:right w:val="none" w:sz="0" w:space="0" w:color="auto"/>
          </w:divBdr>
          <w:divsChild>
            <w:div w:id="1220633750">
              <w:marLeft w:val="0"/>
              <w:marRight w:val="0"/>
              <w:marTop w:val="0"/>
              <w:marBottom w:val="0"/>
              <w:divBdr>
                <w:top w:val="none" w:sz="0" w:space="0" w:color="auto"/>
                <w:left w:val="none" w:sz="0" w:space="0" w:color="auto"/>
                <w:bottom w:val="none" w:sz="0" w:space="0" w:color="auto"/>
                <w:right w:val="none" w:sz="0" w:space="0" w:color="auto"/>
              </w:divBdr>
            </w:div>
          </w:divsChild>
        </w:div>
        <w:div w:id="127211402">
          <w:marLeft w:val="0"/>
          <w:marRight w:val="0"/>
          <w:marTop w:val="0"/>
          <w:marBottom w:val="0"/>
          <w:divBdr>
            <w:top w:val="none" w:sz="0" w:space="0" w:color="auto"/>
            <w:left w:val="none" w:sz="0" w:space="0" w:color="auto"/>
            <w:bottom w:val="none" w:sz="0" w:space="0" w:color="auto"/>
            <w:right w:val="none" w:sz="0" w:space="0" w:color="auto"/>
          </w:divBdr>
          <w:divsChild>
            <w:div w:id="1041318583">
              <w:marLeft w:val="0"/>
              <w:marRight w:val="0"/>
              <w:marTop w:val="0"/>
              <w:marBottom w:val="0"/>
              <w:divBdr>
                <w:top w:val="none" w:sz="0" w:space="0" w:color="auto"/>
                <w:left w:val="none" w:sz="0" w:space="0" w:color="auto"/>
                <w:bottom w:val="none" w:sz="0" w:space="0" w:color="auto"/>
                <w:right w:val="none" w:sz="0" w:space="0" w:color="auto"/>
              </w:divBdr>
            </w:div>
          </w:divsChild>
        </w:div>
        <w:div w:id="191502616">
          <w:marLeft w:val="0"/>
          <w:marRight w:val="0"/>
          <w:marTop w:val="0"/>
          <w:marBottom w:val="0"/>
          <w:divBdr>
            <w:top w:val="none" w:sz="0" w:space="0" w:color="auto"/>
            <w:left w:val="none" w:sz="0" w:space="0" w:color="auto"/>
            <w:bottom w:val="none" w:sz="0" w:space="0" w:color="auto"/>
            <w:right w:val="none" w:sz="0" w:space="0" w:color="auto"/>
          </w:divBdr>
          <w:divsChild>
            <w:div w:id="381057023">
              <w:marLeft w:val="0"/>
              <w:marRight w:val="0"/>
              <w:marTop w:val="0"/>
              <w:marBottom w:val="0"/>
              <w:divBdr>
                <w:top w:val="none" w:sz="0" w:space="0" w:color="auto"/>
                <w:left w:val="none" w:sz="0" w:space="0" w:color="auto"/>
                <w:bottom w:val="none" w:sz="0" w:space="0" w:color="auto"/>
                <w:right w:val="none" w:sz="0" w:space="0" w:color="auto"/>
              </w:divBdr>
            </w:div>
          </w:divsChild>
        </w:div>
        <w:div w:id="202325605">
          <w:marLeft w:val="0"/>
          <w:marRight w:val="0"/>
          <w:marTop w:val="0"/>
          <w:marBottom w:val="0"/>
          <w:divBdr>
            <w:top w:val="none" w:sz="0" w:space="0" w:color="auto"/>
            <w:left w:val="none" w:sz="0" w:space="0" w:color="auto"/>
            <w:bottom w:val="none" w:sz="0" w:space="0" w:color="auto"/>
            <w:right w:val="none" w:sz="0" w:space="0" w:color="auto"/>
          </w:divBdr>
          <w:divsChild>
            <w:div w:id="1251811160">
              <w:marLeft w:val="0"/>
              <w:marRight w:val="0"/>
              <w:marTop w:val="0"/>
              <w:marBottom w:val="0"/>
              <w:divBdr>
                <w:top w:val="none" w:sz="0" w:space="0" w:color="auto"/>
                <w:left w:val="none" w:sz="0" w:space="0" w:color="auto"/>
                <w:bottom w:val="none" w:sz="0" w:space="0" w:color="auto"/>
                <w:right w:val="none" w:sz="0" w:space="0" w:color="auto"/>
              </w:divBdr>
            </w:div>
          </w:divsChild>
        </w:div>
        <w:div w:id="218057920">
          <w:marLeft w:val="0"/>
          <w:marRight w:val="0"/>
          <w:marTop w:val="0"/>
          <w:marBottom w:val="0"/>
          <w:divBdr>
            <w:top w:val="none" w:sz="0" w:space="0" w:color="auto"/>
            <w:left w:val="none" w:sz="0" w:space="0" w:color="auto"/>
            <w:bottom w:val="none" w:sz="0" w:space="0" w:color="auto"/>
            <w:right w:val="none" w:sz="0" w:space="0" w:color="auto"/>
          </w:divBdr>
          <w:divsChild>
            <w:div w:id="1529219690">
              <w:marLeft w:val="0"/>
              <w:marRight w:val="0"/>
              <w:marTop w:val="0"/>
              <w:marBottom w:val="0"/>
              <w:divBdr>
                <w:top w:val="none" w:sz="0" w:space="0" w:color="auto"/>
                <w:left w:val="none" w:sz="0" w:space="0" w:color="auto"/>
                <w:bottom w:val="none" w:sz="0" w:space="0" w:color="auto"/>
                <w:right w:val="none" w:sz="0" w:space="0" w:color="auto"/>
              </w:divBdr>
            </w:div>
          </w:divsChild>
        </w:div>
        <w:div w:id="340475061">
          <w:marLeft w:val="0"/>
          <w:marRight w:val="0"/>
          <w:marTop w:val="0"/>
          <w:marBottom w:val="0"/>
          <w:divBdr>
            <w:top w:val="none" w:sz="0" w:space="0" w:color="auto"/>
            <w:left w:val="none" w:sz="0" w:space="0" w:color="auto"/>
            <w:bottom w:val="none" w:sz="0" w:space="0" w:color="auto"/>
            <w:right w:val="none" w:sz="0" w:space="0" w:color="auto"/>
          </w:divBdr>
          <w:divsChild>
            <w:div w:id="373965812">
              <w:marLeft w:val="0"/>
              <w:marRight w:val="0"/>
              <w:marTop w:val="0"/>
              <w:marBottom w:val="0"/>
              <w:divBdr>
                <w:top w:val="none" w:sz="0" w:space="0" w:color="auto"/>
                <w:left w:val="none" w:sz="0" w:space="0" w:color="auto"/>
                <w:bottom w:val="none" w:sz="0" w:space="0" w:color="auto"/>
                <w:right w:val="none" w:sz="0" w:space="0" w:color="auto"/>
              </w:divBdr>
            </w:div>
          </w:divsChild>
        </w:div>
        <w:div w:id="407310827">
          <w:marLeft w:val="0"/>
          <w:marRight w:val="0"/>
          <w:marTop w:val="0"/>
          <w:marBottom w:val="0"/>
          <w:divBdr>
            <w:top w:val="none" w:sz="0" w:space="0" w:color="auto"/>
            <w:left w:val="none" w:sz="0" w:space="0" w:color="auto"/>
            <w:bottom w:val="none" w:sz="0" w:space="0" w:color="auto"/>
            <w:right w:val="none" w:sz="0" w:space="0" w:color="auto"/>
          </w:divBdr>
          <w:divsChild>
            <w:div w:id="1321034696">
              <w:marLeft w:val="0"/>
              <w:marRight w:val="0"/>
              <w:marTop w:val="0"/>
              <w:marBottom w:val="0"/>
              <w:divBdr>
                <w:top w:val="none" w:sz="0" w:space="0" w:color="auto"/>
                <w:left w:val="none" w:sz="0" w:space="0" w:color="auto"/>
                <w:bottom w:val="none" w:sz="0" w:space="0" w:color="auto"/>
                <w:right w:val="none" w:sz="0" w:space="0" w:color="auto"/>
              </w:divBdr>
            </w:div>
          </w:divsChild>
        </w:div>
        <w:div w:id="430903201">
          <w:marLeft w:val="0"/>
          <w:marRight w:val="0"/>
          <w:marTop w:val="0"/>
          <w:marBottom w:val="0"/>
          <w:divBdr>
            <w:top w:val="none" w:sz="0" w:space="0" w:color="auto"/>
            <w:left w:val="none" w:sz="0" w:space="0" w:color="auto"/>
            <w:bottom w:val="none" w:sz="0" w:space="0" w:color="auto"/>
            <w:right w:val="none" w:sz="0" w:space="0" w:color="auto"/>
          </w:divBdr>
          <w:divsChild>
            <w:div w:id="316302704">
              <w:marLeft w:val="0"/>
              <w:marRight w:val="0"/>
              <w:marTop w:val="0"/>
              <w:marBottom w:val="0"/>
              <w:divBdr>
                <w:top w:val="none" w:sz="0" w:space="0" w:color="auto"/>
                <w:left w:val="none" w:sz="0" w:space="0" w:color="auto"/>
                <w:bottom w:val="none" w:sz="0" w:space="0" w:color="auto"/>
                <w:right w:val="none" w:sz="0" w:space="0" w:color="auto"/>
              </w:divBdr>
            </w:div>
          </w:divsChild>
        </w:div>
        <w:div w:id="569924627">
          <w:marLeft w:val="0"/>
          <w:marRight w:val="0"/>
          <w:marTop w:val="0"/>
          <w:marBottom w:val="0"/>
          <w:divBdr>
            <w:top w:val="none" w:sz="0" w:space="0" w:color="auto"/>
            <w:left w:val="none" w:sz="0" w:space="0" w:color="auto"/>
            <w:bottom w:val="none" w:sz="0" w:space="0" w:color="auto"/>
            <w:right w:val="none" w:sz="0" w:space="0" w:color="auto"/>
          </w:divBdr>
          <w:divsChild>
            <w:div w:id="1839807913">
              <w:marLeft w:val="0"/>
              <w:marRight w:val="0"/>
              <w:marTop w:val="0"/>
              <w:marBottom w:val="0"/>
              <w:divBdr>
                <w:top w:val="none" w:sz="0" w:space="0" w:color="auto"/>
                <w:left w:val="none" w:sz="0" w:space="0" w:color="auto"/>
                <w:bottom w:val="none" w:sz="0" w:space="0" w:color="auto"/>
                <w:right w:val="none" w:sz="0" w:space="0" w:color="auto"/>
              </w:divBdr>
            </w:div>
          </w:divsChild>
        </w:div>
        <w:div w:id="607584696">
          <w:marLeft w:val="0"/>
          <w:marRight w:val="0"/>
          <w:marTop w:val="0"/>
          <w:marBottom w:val="0"/>
          <w:divBdr>
            <w:top w:val="none" w:sz="0" w:space="0" w:color="auto"/>
            <w:left w:val="none" w:sz="0" w:space="0" w:color="auto"/>
            <w:bottom w:val="none" w:sz="0" w:space="0" w:color="auto"/>
            <w:right w:val="none" w:sz="0" w:space="0" w:color="auto"/>
          </w:divBdr>
          <w:divsChild>
            <w:div w:id="772749350">
              <w:marLeft w:val="0"/>
              <w:marRight w:val="0"/>
              <w:marTop w:val="0"/>
              <w:marBottom w:val="0"/>
              <w:divBdr>
                <w:top w:val="none" w:sz="0" w:space="0" w:color="auto"/>
                <w:left w:val="none" w:sz="0" w:space="0" w:color="auto"/>
                <w:bottom w:val="none" w:sz="0" w:space="0" w:color="auto"/>
                <w:right w:val="none" w:sz="0" w:space="0" w:color="auto"/>
              </w:divBdr>
            </w:div>
          </w:divsChild>
        </w:div>
        <w:div w:id="703091855">
          <w:marLeft w:val="0"/>
          <w:marRight w:val="0"/>
          <w:marTop w:val="0"/>
          <w:marBottom w:val="0"/>
          <w:divBdr>
            <w:top w:val="none" w:sz="0" w:space="0" w:color="auto"/>
            <w:left w:val="none" w:sz="0" w:space="0" w:color="auto"/>
            <w:bottom w:val="none" w:sz="0" w:space="0" w:color="auto"/>
            <w:right w:val="none" w:sz="0" w:space="0" w:color="auto"/>
          </w:divBdr>
          <w:divsChild>
            <w:div w:id="1120149093">
              <w:marLeft w:val="0"/>
              <w:marRight w:val="0"/>
              <w:marTop w:val="0"/>
              <w:marBottom w:val="0"/>
              <w:divBdr>
                <w:top w:val="none" w:sz="0" w:space="0" w:color="auto"/>
                <w:left w:val="none" w:sz="0" w:space="0" w:color="auto"/>
                <w:bottom w:val="none" w:sz="0" w:space="0" w:color="auto"/>
                <w:right w:val="none" w:sz="0" w:space="0" w:color="auto"/>
              </w:divBdr>
            </w:div>
          </w:divsChild>
        </w:div>
        <w:div w:id="751850032">
          <w:marLeft w:val="0"/>
          <w:marRight w:val="0"/>
          <w:marTop w:val="0"/>
          <w:marBottom w:val="0"/>
          <w:divBdr>
            <w:top w:val="none" w:sz="0" w:space="0" w:color="auto"/>
            <w:left w:val="none" w:sz="0" w:space="0" w:color="auto"/>
            <w:bottom w:val="none" w:sz="0" w:space="0" w:color="auto"/>
            <w:right w:val="none" w:sz="0" w:space="0" w:color="auto"/>
          </w:divBdr>
          <w:divsChild>
            <w:div w:id="1821074280">
              <w:marLeft w:val="0"/>
              <w:marRight w:val="0"/>
              <w:marTop w:val="0"/>
              <w:marBottom w:val="0"/>
              <w:divBdr>
                <w:top w:val="none" w:sz="0" w:space="0" w:color="auto"/>
                <w:left w:val="none" w:sz="0" w:space="0" w:color="auto"/>
                <w:bottom w:val="none" w:sz="0" w:space="0" w:color="auto"/>
                <w:right w:val="none" w:sz="0" w:space="0" w:color="auto"/>
              </w:divBdr>
            </w:div>
          </w:divsChild>
        </w:div>
        <w:div w:id="776952483">
          <w:marLeft w:val="0"/>
          <w:marRight w:val="0"/>
          <w:marTop w:val="0"/>
          <w:marBottom w:val="0"/>
          <w:divBdr>
            <w:top w:val="none" w:sz="0" w:space="0" w:color="auto"/>
            <w:left w:val="none" w:sz="0" w:space="0" w:color="auto"/>
            <w:bottom w:val="none" w:sz="0" w:space="0" w:color="auto"/>
            <w:right w:val="none" w:sz="0" w:space="0" w:color="auto"/>
          </w:divBdr>
          <w:divsChild>
            <w:div w:id="986085799">
              <w:marLeft w:val="0"/>
              <w:marRight w:val="0"/>
              <w:marTop w:val="0"/>
              <w:marBottom w:val="0"/>
              <w:divBdr>
                <w:top w:val="none" w:sz="0" w:space="0" w:color="auto"/>
                <w:left w:val="none" w:sz="0" w:space="0" w:color="auto"/>
                <w:bottom w:val="none" w:sz="0" w:space="0" w:color="auto"/>
                <w:right w:val="none" w:sz="0" w:space="0" w:color="auto"/>
              </w:divBdr>
            </w:div>
          </w:divsChild>
        </w:div>
        <w:div w:id="862087299">
          <w:marLeft w:val="0"/>
          <w:marRight w:val="0"/>
          <w:marTop w:val="0"/>
          <w:marBottom w:val="0"/>
          <w:divBdr>
            <w:top w:val="none" w:sz="0" w:space="0" w:color="auto"/>
            <w:left w:val="none" w:sz="0" w:space="0" w:color="auto"/>
            <w:bottom w:val="none" w:sz="0" w:space="0" w:color="auto"/>
            <w:right w:val="none" w:sz="0" w:space="0" w:color="auto"/>
          </w:divBdr>
          <w:divsChild>
            <w:div w:id="994066461">
              <w:marLeft w:val="0"/>
              <w:marRight w:val="0"/>
              <w:marTop w:val="0"/>
              <w:marBottom w:val="0"/>
              <w:divBdr>
                <w:top w:val="none" w:sz="0" w:space="0" w:color="auto"/>
                <w:left w:val="none" w:sz="0" w:space="0" w:color="auto"/>
                <w:bottom w:val="none" w:sz="0" w:space="0" w:color="auto"/>
                <w:right w:val="none" w:sz="0" w:space="0" w:color="auto"/>
              </w:divBdr>
            </w:div>
          </w:divsChild>
        </w:div>
        <w:div w:id="864556335">
          <w:marLeft w:val="0"/>
          <w:marRight w:val="0"/>
          <w:marTop w:val="0"/>
          <w:marBottom w:val="0"/>
          <w:divBdr>
            <w:top w:val="none" w:sz="0" w:space="0" w:color="auto"/>
            <w:left w:val="none" w:sz="0" w:space="0" w:color="auto"/>
            <w:bottom w:val="none" w:sz="0" w:space="0" w:color="auto"/>
            <w:right w:val="none" w:sz="0" w:space="0" w:color="auto"/>
          </w:divBdr>
          <w:divsChild>
            <w:div w:id="1751003361">
              <w:marLeft w:val="0"/>
              <w:marRight w:val="0"/>
              <w:marTop w:val="0"/>
              <w:marBottom w:val="0"/>
              <w:divBdr>
                <w:top w:val="none" w:sz="0" w:space="0" w:color="auto"/>
                <w:left w:val="none" w:sz="0" w:space="0" w:color="auto"/>
                <w:bottom w:val="none" w:sz="0" w:space="0" w:color="auto"/>
                <w:right w:val="none" w:sz="0" w:space="0" w:color="auto"/>
              </w:divBdr>
            </w:div>
          </w:divsChild>
        </w:div>
        <w:div w:id="897320896">
          <w:marLeft w:val="0"/>
          <w:marRight w:val="0"/>
          <w:marTop w:val="0"/>
          <w:marBottom w:val="0"/>
          <w:divBdr>
            <w:top w:val="none" w:sz="0" w:space="0" w:color="auto"/>
            <w:left w:val="none" w:sz="0" w:space="0" w:color="auto"/>
            <w:bottom w:val="none" w:sz="0" w:space="0" w:color="auto"/>
            <w:right w:val="none" w:sz="0" w:space="0" w:color="auto"/>
          </w:divBdr>
          <w:divsChild>
            <w:div w:id="127940019">
              <w:marLeft w:val="0"/>
              <w:marRight w:val="0"/>
              <w:marTop w:val="0"/>
              <w:marBottom w:val="0"/>
              <w:divBdr>
                <w:top w:val="none" w:sz="0" w:space="0" w:color="auto"/>
                <w:left w:val="none" w:sz="0" w:space="0" w:color="auto"/>
                <w:bottom w:val="none" w:sz="0" w:space="0" w:color="auto"/>
                <w:right w:val="none" w:sz="0" w:space="0" w:color="auto"/>
              </w:divBdr>
            </w:div>
            <w:div w:id="1303923978">
              <w:marLeft w:val="0"/>
              <w:marRight w:val="0"/>
              <w:marTop w:val="0"/>
              <w:marBottom w:val="0"/>
              <w:divBdr>
                <w:top w:val="none" w:sz="0" w:space="0" w:color="auto"/>
                <w:left w:val="none" w:sz="0" w:space="0" w:color="auto"/>
                <w:bottom w:val="none" w:sz="0" w:space="0" w:color="auto"/>
                <w:right w:val="none" w:sz="0" w:space="0" w:color="auto"/>
              </w:divBdr>
            </w:div>
          </w:divsChild>
        </w:div>
        <w:div w:id="928002456">
          <w:marLeft w:val="0"/>
          <w:marRight w:val="0"/>
          <w:marTop w:val="0"/>
          <w:marBottom w:val="0"/>
          <w:divBdr>
            <w:top w:val="none" w:sz="0" w:space="0" w:color="auto"/>
            <w:left w:val="none" w:sz="0" w:space="0" w:color="auto"/>
            <w:bottom w:val="none" w:sz="0" w:space="0" w:color="auto"/>
            <w:right w:val="none" w:sz="0" w:space="0" w:color="auto"/>
          </w:divBdr>
          <w:divsChild>
            <w:div w:id="546496">
              <w:marLeft w:val="0"/>
              <w:marRight w:val="0"/>
              <w:marTop w:val="0"/>
              <w:marBottom w:val="0"/>
              <w:divBdr>
                <w:top w:val="none" w:sz="0" w:space="0" w:color="auto"/>
                <w:left w:val="none" w:sz="0" w:space="0" w:color="auto"/>
                <w:bottom w:val="none" w:sz="0" w:space="0" w:color="auto"/>
                <w:right w:val="none" w:sz="0" w:space="0" w:color="auto"/>
              </w:divBdr>
            </w:div>
          </w:divsChild>
        </w:div>
        <w:div w:id="932663098">
          <w:marLeft w:val="0"/>
          <w:marRight w:val="0"/>
          <w:marTop w:val="0"/>
          <w:marBottom w:val="0"/>
          <w:divBdr>
            <w:top w:val="none" w:sz="0" w:space="0" w:color="auto"/>
            <w:left w:val="none" w:sz="0" w:space="0" w:color="auto"/>
            <w:bottom w:val="none" w:sz="0" w:space="0" w:color="auto"/>
            <w:right w:val="none" w:sz="0" w:space="0" w:color="auto"/>
          </w:divBdr>
          <w:divsChild>
            <w:div w:id="386416375">
              <w:marLeft w:val="0"/>
              <w:marRight w:val="0"/>
              <w:marTop w:val="0"/>
              <w:marBottom w:val="0"/>
              <w:divBdr>
                <w:top w:val="none" w:sz="0" w:space="0" w:color="auto"/>
                <w:left w:val="none" w:sz="0" w:space="0" w:color="auto"/>
                <w:bottom w:val="none" w:sz="0" w:space="0" w:color="auto"/>
                <w:right w:val="none" w:sz="0" w:space="0" w:color="auto"/>
              </w:divBdr>
            </w:div>
          </w:divsChild>
        </w:div>
        <w:div w:id="968164840">
          <w:marLeft w:val="0"/>
          <w:marRight w:val="0"/>
          <w:marTop w:val="0"/>
          <w:marBottom w:val="0"/>
          <w:divBdr>
            <w:top w:val="none" w:sz="0" w:space="0" w:color="auto"/>
            <w:left w:val="none" w:sz="0" w:space="0" w:color="auto"/>
            <w:bottom w:val="none" w:sz="0" w:space="0" w:color="auto"/>
            <w:right w:val="none" w:sz="0" w:space="0" w:color="auto"/>
          </w:divBdr>
          <w:divsChild>
            <w:div w:id="663819417">
              <w:marLeft w:val="0"/>
              <w:marRight w:val="0"/>
              <w:marTop w:val="0"/>
              <w:marBottom w:val="0"/>
              <w:divBdr>
                <w:top w:val="none" w:sz="0" w:space="0" w:color="auto"/>
                <w:left w:val="none" w:sz="0" w:space="0" w:color="auto"/>
                <w:bottom w:val="none" w:sz="0" w:space="0" w:color="auto"/>
                <w:right w:val="none" w:sz="0" w:space="0" w:color="auto"/>
              </w:divBdr>
            </w:div>
          </w:divsChild>
        </w:div>
        <w:div w:id="980689367">
          <w:marLeft w:val="0"/>
          <w:marRight w:val="0"/>
          <w:marTop w:val="0"/>
          <w:marBottom w:val="0"/>
          <w:divBdr>
            <w:top w:val="none" w:sz="0" w:space="0" w:color="auto"/>
            <w:left w:val="none" w:sz="0" w:space="0" w:color="auto"/>
            <w:bottom w:val="none" w:sz="0" w:space="0" w:color="auto"/>
            <w:right w:val="none" w:sz="0" w:space="0" w:color="auto"/>
          </w:divBdr>
          <w:divsChild>
            <w:div w:id="133330440">
              <w:marLeft w:val="0"/>
              <w:marRight w:val="0"/>
              <w:marTop w:val="0"/>
              <w:marBottom w:val="0"/>
              <w:divBdr>
                <w:top w:val="none" w:sz="0" w:space="0" w:color="auto"/>
                <w:left w:val="none" w:sz="0" w:space="0" w:color="auto"/>
                <w:bottom w:val="none" w:sz="0" w:space="0" w:color="auto"/>
                <w:right w:val="none" w:sz="0" w:space="0" w:color="auto"/>
              </w:divBdr>
            </w:div>
          </w:divsChild>
        </w:div>
        <w:div w:id="982465177">
          <w:marLeft w:val="0"/>
          <w:marRight w:val="0"/>
          <w:marTop w:val="0"/>
          <w:marBottom w:val="0"/>
          <w:divBdr>
            <w:top w:val="none" w:sz="0" w:space="0" w:color="auto"/>
            <w:left w:val="none" w:sz="0" w:space="0" w:color="auto"/>
            <w:bottom w:val="none" w:sz="0" w:space="0" w:color="auto"/>
            <w:right w:val="none" w:sz="0" w:space="0" w:color="auto"/>
          </w:divBdr>
          <w:divsChild>
            <w:div w:id="808404061">
              <w:marLeft w:val="0"/>
              <w:marRight w:val="0"/>
              <w:marTop w:val="0"/>
              <w:marBottom w:val="0"/>
              <w:divBdr>
                <w:top w:val="none" w:sz="0" w:space="0" w:color="auto"/>
                <w:left w:val="none" w:sz="0" w:space="0" w:color="auto"/>
                <w:bottom w:val="none" w:sz="0" w:space="0" w:color="auto"/>
                <w:right w:val="none" w:sz="0" w:space="0" w:color="auto"/>
              </w:divBdr>
            </w:div>
          </w:divsChild>
        </w:div>
        <w:div w:id="991521344">
          <w:marLeft w:val="0"/>
          <w:marRight w:val="0"/>
          <w:marTop w:val="0"/>
          <w:marBottom w:val="0"/>
          <w:divBdr>
            <w:top w:val="none" w:sz="0" w:space="0" w:color="auto"/>
            <w:left w:val="none" w:sz="0" w:space="0" w:color="auto"/>
            <w:bottom w:val="none" w:sz="0" w:space="0" w:color="auto"/>
            <w:right w:val="none" w:sz="0" w:space="0" w:color="auto"/>
          </w:divBdr>
          <w:divsChild>
            <w:div w:id="547689582">
              <w:marLeft w:val="0"/>
              <w:marRight w:val="0"/>
              <w:marTop w:val="0"/>
              <w:marBottom w:val="0"/>
              <w:divBdr>
                <w:top w:val="none" w:sz="0" w:space="0" w:color="auto"/>
                <w:left w:val="none" w:sz="0" w:space="0" w:color="auto"/>
                <w:bottom w:val="none" w:sz="0" w:space="0" w:color="auto"/>
                <w:right w:val="none" w:sz="0" w:space="0" w:color="auto"/>
              </w:divBdr>
            </w:div>
          </w:divsChild>
        </w:div>
        <w:div w:id="998269008">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 w:id="1009062011">
          <w:marLeft w:val="0"/>
          <w:marRight w:val="0"/>
          <w:marTop w:val="0"/>
          <w:marBottom w:val="0"/>
          <w:divBdr>
            <w:top w:val="none" w:sz="0" w:space="0" w:color="auto"/>
            <w:left w:val="none" w:sz="0" w:space="0" w:color="auto"/>
            <w:bottom w:val="none" w:sz="0" w:space="0" w:color="auto"/>
            <w:right w:val="none" w:sz="0" w:space="0" w:color="auto"/>
          </w:divBdr>
          <w:divsChild>
            <w:div w:id="364330860">
              <w:marLeft w:val="0"/>
              <w:marRight w:val="0"/>
              <w:marTop w:val="0"/>
              <w:marBottom w:val="0"/>
              <w:divBdr>
                <w:top w:val="none" w:sz="0" w:space="0" w:color="auto"/>
                <w:left w:val="none" w:sz="0" w:space="0" w:color="auto"/>
                <w:bottom w:val="none" w:sz="0" w:space="0" w:color="auto"/>
                <w:right w:val="none" w:sz="0" w:space="0" w:color="auto"/>
              </w:divBdr>
            </w:div>
          </w:divsChild>
        </w:div>
        <w:div w:id="1097822876">
          <w:marLeft w:val="0"/>
          <w:marRight w:val="0"/>
          <w:marTop w:val="0"/>
          <w:marBottom w:val="0"/>
          <w:divBdr>
            <w:top w:val="none" w:sz="0" w:space="0" w:color="auto"/>
            <w:left w:val="none" w:sz="0" w:space="0" w:color="auto"/>
            <w:bottom w:val="none" w:sz="0" w:space="0" w:color="auto"/>
            <w:right w:val="none" w:sz="0" w:space="0" w:color="auto"/>
          </w:divBdr>
          <w:divsChild>
            <w:div w:id="952131425">
              <w:marLeft w:val="0"/>
              <w:marRight w:val="0"/>
              <w:marTop w:val="0"/>
              <w:marBottom w:val="0"/>
              <w:divBdr>
                <w:top w:val="none" w:sz="0" w:space="0" w:color="auto"/>
                <w:left w:val="none" w:sz="0" w:space="0" w:color="auto"/>
                <w:bottom w:val="none" w:sz="0" w:space="0" w:color="auto"/>
                <w:right w:val="none" w:sz="0" w:space="0" w:color="auto"/>
              </w:divBdr>
            </w:div>
          </w:divsChild>
        </w:div>
        <w:div w:id="1170872524">
          <w:marLeft w:val="0"/>
          <w:marRight w:val="0"/>
          <w:marTop w:val="0"/>
          <w:marBottom w:val="0"/>
          <w:divBdr>
            <w:top w:val="none" w:sz="0" w:space="0" w:color="auto"/>
            <w:left w:val="none" w:sz="0" w:space="0" w:color="auto"/>
            <w:bottom w:val="none" w:sz="0" w:space="0" w:color="auto"/>
            <w:right w:val="none" w:sz="0" w:space="0" w:color="auto"/>
          </w:divBdr>
          <w:divsChild>
            <w:div w:id="148517186">
              <w:marLeft w:val="0"/>
              <w:marRight w:val="0"/>
              <w:marTop w:val="0"/>
              <w:marBottom w:val="0"/>
              <w:divBdr>
                <w:top w:val="none" w:sz="0" w:space="0" w:color="auto"/>
                <w:left w:val="none" w:sz="0" w:space="0" w:color="auto"/>
                <w:bottom w:val="none" w:sz="0" w:space="0" w:color="auto"/>
                <w:right w:val="none" w:sz="0" w:space="0" w:color="auto"/>
              </w:divBdr>
            </w:div>
          </w:divsChild>
        </w:div>
        <w:div w:id="1223828067">
          <w:marLeft w:val="0"/>
          <w:marRight w:val="0"/>
          <w:marTop w:val="0"/>
          <w:marBottom w:val="0"/>
          <w:divBdr>
            <w:top w:val="none" w:sz="0" w:space="0" w:color="auto"/>
            <w:left w:val="none" w:sz="0" w:space="0" w:color="auto"/>
            <w:bottom w:val="none" w:sz="0" w:space="0" w:color="auto"/>
            <w:right w:val="none" w:sz="0" w:space="0" w:color="auto"/>
          </w:divBdr>
          <w:divsChild>
            <w:div w:id="1683703591">
              <w:marLeft w:val="0"/>
              <w:marRight w:val="0"/>
              <w:marTop w:val="0"/>
              <w:marBottom w:val="0"/>
              <w:divBdr>
                <w:top w:val="none" w:sz="0" w:space="0" w:color="auto"/>
                <w:left w:val="none" w:sz="0" w:space="0" w:color="auto"/>
                <w:bottom w:val="none" w:sz="0" w:space="0" w:color="auto"/>
                <w:right w:val="none" w:sz="0" w:space="0" w:color="auto"/>
              </w:divBdr>
            </w:div>
          </w:divsChild>
        </w:div>
        <w:div w:id="1305281866">
          <w:marLeft w:val="0"/>
          <w:marRight w:val="0"/>
          <w:marTop w:val="0"/>
          <w:marBottom w:val="0"/>
          <w:divBdr>
            <w:top w:val="none" w:sz="0" w:space="0" w:color="auto"/>
            <w:left w:val="none" w:sz="0" w:space="0" w:color="auto"/>
            <w:bottom w:val="none" w:sz="0" w:space="0" w:color="auto"/>
            <w:right w:val="none" w:sz="0" w:space="0" w:color="auto"/>
          </w:divBdr>
          <w:divsChild>
            <w:div w:id="239557700">
              <w:marLeft w:val="0"/>
              <w:marRight w:val="0"/>
              <w:marTop w:val="0"/>
              <w:marBottom w:val="0"/>
              <w:divBdr>
                <w:top w:val="none" w:sz="0" w:space="0" w:color="auto"/>
                <w:left w:val="none" w:sz="0" w:space="0" w:color="auto"/>
                <w:bottom w:val="none" w:sz="0" w:space="0" w:color="auto"/>
                <w:right w:val="none" w:sz="0" w:space="0" w:color="auto"/>
              </w:divBdr>
            </w:div>
          </w:divsChild>
        </w:div>
        <w:div w:id="1313099624">
          <w:marLeft w:val="0"/>
          <w:marRight w:val="0"/>
          <w:marTop w:val="0"/>
          <w:marBottom w:val="0"/>
          <w:divBdr>
            <w:top w:val="none" w:sz="0" w:space="0" w:color="auto"/>
            <w:left w:val="none" w:sz="0" w:space="0" w:color="auto"/>
            <w:bottom w:val="none" w:sz="0" w:space="0" w:color="auto"/>
            <w:right w:val="none" w:sz="0" w:space="0" w:color="auto"/>
          </w:divBdr>
          <w:divsChild>
            <w:div w:id="120149443">
              <w:marLeft w:val="0"/>
              <w:marRight w:val="0"/>
              <w:marTop w:val="0"/>
              <w:marBottom w:val="0"/>
              <w:divBdr>
                <w:top w:val="none" w:sz="0" w:space="0" w:color="auto"/>
                <w:left w:val="none" w:sz="0" w:space="0" w:color="auto"/>
                <w:bottom w:val="none" w:sz="0" w:space="0" w:color="auto"/>
                <w:right w:val="none" w:sz="0" w:space="0" w:color="auto"/>
              </w:divBdr>
            </w:div>
          </w:divsChild>
        </w:div>
        <w:div w:id="1329135953">
          <w:marLeft w:val="0"/>
          <w:marRight w:val="0"/>
          <w:marTop w:val="0"/>
          <w:marBottom w:val="0"/>
          <w:divBdr>
            <w:top w:val="none" w:sz="0" w:space="0" w:color="auto"/>
            <w:left w:val="none" w:sz="0" w:space="0" w:color="auto"/>
            <w:bottom w:val="none" w:sz="0" w:space="0" w:color="auto"/>
            <w:right w:val="none" w:sz="0" w:space="0" w:color="auto"/>
          </w:divBdr>
          <w:divsChild>
            <w:div w:id="1218660819">
              <w:marLeft w:val="0"/>
              <w:marRight w:val="0"/>
              <w:marTop w:val="0"/>
              <w:marBottom w:val="0"/>
              <w:divBdr>
                <w:top w:val="none" w:sz="0" w:space="0" w:color="auto"/>
                <w:left w:val="none" w:sz="0" w:space="0" w:color="auto"/>
                <w:bottom w:val="none" w:sz="0" w:space="0" w:color="auto"/>
                <w:right w:val="none" w:sz="0" w:space="0" w:color="auto"/>
              </w:divBdr>
            </w:div>
          </w:divsChild>
        </w:div>
        <w:div w:id="1490824385">
          <w:marLeft w:val="0"/>
          <w:marRight w:val="0"/>
          <w:marTop w:val="0"/>
          <w:marBottom w:val="0"/>
          <w:divBdr>
            <w:top w:val="none" w:sz="0" w:space="0" w:color="auto"/>
            <w:left w:val="none" w:sz="0" w:space="0" w:color="auto"/>
            <w:bottom w:val="none" w:sz="0" w:space="0" w:color="auto"/>
            <w:right w:val="none" w:sz="0" w:space="0" w:color="auto"/>
          </w:divBdr>
          <w:divsChild>
            <w:div w:id="107895883">
              <w:marLeft w:val="0"/>
              <w:marRight w:val="0"/>
              <w:marTop w:val="0"/>
              <w:marBottom w:val="0"/>
              <w:divBdr>
                <w:top w:val="none" w:sz="0" w:space="0" w:color="auto"/>
                <w:left w:val="none" w:sz="0" w:space="0" w:color="auto"/>
                <w:bottom w:val="none" w:sz="0" w:space="0" w:color="auto"/>
                <w:right w:val="none" w:sz="0" w:space="0" w:color="auto"/>
              </w:divBdr>
            </w:div>
          </w:divsChild>
        </w:div>
        <w:div w:id="1602639594">
          <w:marLeft w:val="0"/>
          <w:marRight w:val="0"/>
          <w:marTop w:val="0"/>
          <w:marBottom w:val="0"/>
          <w:divBdr>
            <w:top w:val="none" w:sz="0" w:space="0" w:color="auto"/>
            <w:left w:val="none" w:sz="0" w:space="0" w:color="auto"/>
            <w:bottom w:val="none" w:sz="0" w:space="0" w:color="auto"/>
            <w:right w:val="none" w:sz="0" w:space="0" w:color="auto"/>
          </w:divBdr>
          <w:divsChild>
            <w:div w:id="1295722528">
              <w:marLeft w:val="0"/>
              <w:marRight w:val="0"/>
              <w:marTop w:val="0"/>
              <w:marBottom w:val="0"/>
              <w:divBdr>
                <w:top w:val="none" w:sz="0" w:space="0" w:color="auto"/>
                <w:left w:val="none" w:sz="0" w:space="0" w:color="auto"/>
                <w:bottom w:val="none" w:sz="0" w:space="0" w:color="auto"/>
                <w:right w:val="none" w:sz="0" w:space="0" w:color="auto"/>
              </w:divBdr>
            </w:div>
          </w:divsChild>
        </w:div>
        <w:div w:id="1642341571">
          <w:marLeft w:val="0"/>
          <w:marRight w:val="0"/>
          <w:marTop w:val="0"/>
          <w:marBottom w:val="0"/>
          <w:divBdr>
            <w:top w:val="none" w:sz="0" w:space="0" w:color="auto"/>
            <w:left w:val="none" w:sz="0" w:space="0" w:color="auto"/>
            <w:bottom w:val="none" w:sz="0" w:space="0" w:color="auto"/>
            <w:right w:val="none" w:sz="0" w:space="0" w:color="auto"/>
          </w:divBdr>
          <w:divsChild>
            <w:div w:id="1999574360">
              <w:marLeft w:val="0"/>
              <w:marRight w:val="0"/>
              <w:marTop w:val="0"/>
              <w:marBottom w:val="0"/>
              <w:divBdr>
                <w:top w:val="none" w:sz="0" w:space="0" w:color="auto"/>
                <w:left w:val="none" w:sz="0" w:space="0" w:color="auto"/>
                <w:bottom w:val="none" w:sz="0" w:space="0" w:color="auto"/>
                <w:right w:val="none" w:sz="0" w:space="0" w:color="auto"/>
              </w:divBdr>
            </w:div>
          </w:divsChild>
        </w:div>
        <w:div w:id="1645813029">
          <w:marLeft w:val="0"/>
          <w:marRight w:val="0"/>
          <w:marTop w:val="0"/>
          <w:marBottom w:val="0"/>
          <w:divBdr>
            <w:top w:val="none" w:sz="0" w:space="0" w:color="auto"/>
            <w:left w:val="none" w:sz="0" w:space="0" w:color="auto"/>
            <w:bottom w:val="none" w:sz="0" w:space="0" w:color="auto"/>
            <w:right w:val="none" w:sz="0" w:space="0" w:color="auto"/>
          </w:divBdr>
          <w:divsChild>
            <w:div w:id="2009824988">
              <w:marLeft w:val="0"/>
              <w:marRight w:val="0"/>
              <w:marTop w:val="0"/>
              <w:marBottom w:val="0"/>
              <w:divBdr>
                <w:top w:val="none" w:sz="0" w:space="0" w:color="auto"/>
                <w:left w:val="none" w:sz="0" w:space="0" w:color="auto"/>
                <w:bottom w:val="none" w:sz="0" w:space="0" w:color="auto"/>
                <w:right w:val="none" w:sz="0" w:space="0" w:color="auto"/>
              </w:divBdr>
            </w:div>
          </w:divsChild>
        </w:div>
        <w:div w:id="1695301798">
          <w:marLeft w:val="0"/>
          <w:marRight w:val="0"/>
          <w:marTop w:val="0"/>
          <w:marBottom w:val="0"/>
          <w:divBdr>
            <w:top w:val="none" w:sz="0" w:space="0" w:color="auto"/>
            <w:left w:val="none" w:sz="0" w:space="0" w:color="auto"/>
            <w:bottom w:val="none" w:sz="0" w:space="0" w:color="auto"/>
            <w:right w:val="none" w:sz="0" w:space="0" w:color="auto"/>
          </w:divBdr>
          <w:divsChild>
            <w:div w:id="84960149">
              <w:marLeft w:val="0"/>
              <w:marRight w:val="0"/>
              <w:marTop w:val="0"/>
              <w:marBottom w:val="0"/>
              <w:divBdr>
                <w:top w:val="none" w:sz="0" w:space="0" w:color="auto"/>
                <w:left w:val="none" w:sz="0" w:space="0" w:color="auto"/>
                <w:bottom w:val="none" w:sz="0" w:space="0" w:color="auto"/>
                <w:right w:val="none" w:sz="0" w:space="0" w:color="auto"/>
              </w:divBdr>
            </w:div>
          </w:divsChild>
        </w:div>
        <w:div w:id="1764063231">
          <w:marLeft w:val="0"/>
          <w:marRight w:val="0"/>
          <w:marTop w:val="0"/>
          <w:marBottom w:val="0"/>
          <w:divBdr>
            <w:top w:val="none" w:sz="0" w:space="0" w:color="auto"/>
            <w:left w:val="none" w:sz="0" w:space="0" w:color="auto"/>
            <w:bottom w:val="none" w:sz="0" w:space="0" w:color="auto"/>
            <w:right w:val="none" w:sz="0" w:space="0" w:color="auto"/>
          </w:divBdr>
          <w:divsChild>
            <w:div w:id="1238515065">
              <w:marLeft w:val="0"/>
              <w:marRight w:val="0"/>
              <w:marTop w:val="0"/>
              <w:marBottom w:val="0"/>
              <w:divBdr>
                <w:top w:val="none" w:sz="0" w:space="0" w:color="auto"/>
                <w:left w:val="none" w:sz="0" w:space="0" w:color="auto"/>
                <w:bottom w:val="none" w:sz="0" w:space="0" w:color="auto"/>
                <w:right w:val="none" w:sz="0" w:space="0" w:color="auto"/>
              </w:divBdr>
            </w:div>
          </w:divsChild>
        </w:div>
        <w:div w:id="1764493575">
          <w:marLeft w:val="0"/>
          <w:marRight w:val="0"/>
          <w:marTop w:val="0"/>
          <w:marBottom w:val="0"/>
          <w:divBdr>
            <w:top w:val="none" w:sz="0" w:space="0" w:color="auto"/>
            <w:left w:val="none" w:sz="0" w:space="0" w:color="auto"/>
            <w:bottom w:val="none" w:sz="0" w:space="0" w:color="auto"/>
            <w:right w:val="none" w:sz="0" w:space="0" w:color="auto"/>
          </w:divBdr>
          <w:divsChild>
            <w:div w:id="1582642920">
              <w:marLeft w:val="0"/>
              <w:marRight w:val="0"/>
              <w:marTop w:val="0"/>
              <w:marBottom w:val="0"/>
              <w:divBdr>
                <w:top w:val="none" w:sz="0" w:space="0" w:color="auto"/>
                <w:left w:val="none" w:sz="0" w:space="0" w:color="auto"/>
                <w:bottom w:val="none" w:sz="0" w:space="0" w:color="auto"/>
                <w:right w:val="none" w:sz="0" w:space="0" w:color="auto"/>
              </w:divBdr>
            </w:div>
          </w:divsChild>
        </w:div>
        <w:div w:id="1765832908">
          <w:marLeft w:val="0"/>
          <w:marRight w:val="0"/>
          <w:marTop w:val="0"/>
          <w:marBottom w:val="0"/>
          <w:divBdr>
            <w:top w:val="none" w:sz="0" w:space="0" w:color="auto"/>
            <w:left w:val="none" w:sz="0" w:space="0" w:color="auto"/>
            <w:bottom w:val="none" w:sz="0" w:space="0" w:color="auto"/>
            <w:right w:val="none" w:sz="0" w:space="0" w:color="auto"/>
          </w:divBdr>
          <w:divsChild>
            <w:div w:id="50422433">
              <w:marLeft w:val="0"/>
              <w:marRight w:val="0"/>
              <w:marTop w:val="0"/>
              <w:marBottom w:val="0"/>
              <w:divBdr>
                <w:top w:val="none" w:sz="0" w:space="0" w:color="auto"/>
                <w:left w:val="none" w:sz="0" w:space="0" w:color="auto"/>
                <w:bottom w:val="none" w:sz="0" w:space="0" w:color="auto"/>
                <w:right w:val="none" w:sz="0" w:space="0" w:color="auto"/>
              </w:divBdr>
            </w:div>
          </w:divsChild>
        </w:div>
        <w:div w:id="1833330380">
          <w:marLeft w:val="0"/>
          <w:marRight w:val="0"/>
          <w:marTop w:val="0"/>
          <w:marBottom w:val="0"/>
          <w:divBdr>
            <w:top w:val="none" w:sz="0" w:space="0" w:color="auto"/>
            <w:left w:val="none" w:sz="0" w:space="0" w:color="auto"/>
            <w:bottom w:val="none" w:sz="0" w:space="0" w:color="auto"/>
            <w:right w:val="none" w:sz="0" w:space="0" w:color="auto"/>
          </w:divBdr>
          <w:divsChild>
            <w:div w:id="1028603361">
              <w:marLeft w:val="0"/>
              <w:marRight w:val="0"/>
              <w:marTop w:val="0"/>
              <w:marBottom w:val="0"/>
              <w:divBdr>
                <w:top w:val="none" w:sz="0" w:space="0" w:color="auto"/>
                <w:left w:val="none" w:sz="0" w:space="0" w:color="auto"/>
                <w:bottom w:val="none" w:sz="0" w:space="0" w:color="auto"/>
                <w:right w:val="none" w:sz="0" w:space="0" w:color="auto"/>
              </w:divBdr>
            </w:div>
          </w:divsChild>
        </w:div>
        <w:div w:id="1905288784">
          <w:marLeft w:val="0"/>
          <w:marRight w:val="0"/>
          <w:marTop w:val="0"/>
          <w:marBottom w:val="0"/>
          <w:divBdr>
            <w:top w:val="none" w:sz="0" w:space="0" w:color="auto"/>
            <w:left w:val="none" w:sz="0" w:space="0" w:color="auto"/>
            <w:bottom w:val="none" w:sz="0" w:space="0" w:color="auto"/>
            <w:right w:val="none" w:sz="0" w:space="0" w:color="auto"/>
          </w:divBdr>
          <w:divsChild>
            <w:div w:id="1613170511">
              <w:marLeft w:val="0"/>
              <w:marRight w:val="0"/>
              <w:marTop w:val="0"/>
              <w:marBottom w:val="0"/>
              <w:divBdr>
                <w:top w:val="none" w:sz="0" w:space="0" w:color="auto"/>
                <w:left w:val="none" w:sz="0" w:space="0" w:color="auto"/>
                <w:bottom w:val="none" w:sz="0" w:space="0" w:color="auto"/>
                <w:right w:val="none" w:sz="0" w:space="0" w:color="auto"/>
              </w:divBdr>
            </w:div>
          </w:divsChild>
        </w:div>
        <w:div w:id="1937055102">
          <w:marLeft w:val="0"/>
          <w:marRight w:val="0"/>
          <w:marTop w:val="0"/>
          <w:marBottom w:val="0"/>
          <w:divBdr>
            <w:top w:val="none" w:sz="0" w:space="0" w:color="auto"/>
            <w:left w:val="none" w:sz="0" w:space="0" w:color="auto"/>
            <w:bottom w:val="none" w:sz="0" w:space="0" w:color="auto"/>
            <w:right w:val="none" w:sz="0" w:space="0" w:color="auto"/>
          </w:divBdr>
          <w:divsChild>
            <w:div w:id="1588613566">
              <w:marLeft w:val="0"/>
              <w:marRight w:val="0"/>
              <w:marTop w:val="0"/>
              <w:marBottom w:val="0"/>
              <w:divBdr>
                <w:top w:val="none" w:sz="0" w:space="0" w:color="auto"/>
                <w:left w:val="none" w:sz="0" w:space="0" w:color="auto"/>
                <w:bottom w:val="none" w:sz="0" w:space="0" w:color="auto"/>
                <w:right w:val="none" w:sz="0" w:space="0" w:color="auto"/>
              </w:divBdr>
            </w:div>
            <w:div w:id="1615744558">
              <w:marLeft w:val="0"/>
              <w:marRight w:val="0"/>
              <w:marTop w:val="0"/>
              <w:marBottom w:val="0"/>
              <w:divBdr>
                <w:top w:val="none" w:sz="0" w:space="0" w:color="auto"/>
                <w:left w:val="none" w:sz="0" w:space="0" w:color="auto"/>
                <w:bottom w:val="none" w:sz="0" w:space="0" w:color="auto"/>
                <w:right w:val="none" w:sz="0" w:space="0" w:color="auto"/>
              </w:divBdr>
            </w:div>
          </w:divsChild>
        </w:div>
        <w:div w:id="1939407125">
          <w:marLeft w:val="0"/>
          <w:marRight w:val="0"/>
          <w:marTop w:val="0"/>
          <w:marBottom w:val="0"/>
          <w:divBdr>
            <w:top w:val="none" w:sz="0" w:space="0" w:color="auto"/>
            <w:left w:val="none" w:sz="0" w:space="0" w:color="auto"/>
            <w:bottom w:val="none" w:sz="0" w:space="0" w:color="auto"/>
            <w:right w:val="none" w:sz="0" w:space="0" w:color="auto"/>
          </w:divBdr>
          <w:divsChild>
            <w:div w:id="1404334641">
              <w:marLeft w:val="0"/>
              <w:marRight w:val="0"/>
              <w:marTop w:val="0"/>
              <w:marBottom w:val="0"/>
              <w:divBdr>
                <w:top w:val="none" w:sz="0" w:space="0" w:color="auto"/>
                <w:left w:val="none" w:sz="0" w:space="0" w:color="auto"/>
                <w:bottom w:val="none" w:sz="0" w:space="0" w:color="auto"/>
                <w:right w:val="none" w:sz="0" w:space="0" w:color="auto"/>
              </w:divBdr>
            </w:div>
          </w:divsChild>
        </w:div>
        <w:div w:id="1942758207">
          <w:marLeft w:val="0"/>
          <w:marRight w:val="0"/>
          <w:marTop w:val="0"/>
          <w:marBottom w:val="0"/>
          <w:divBdr>
            <w:top w:val="none" w:sz="0" w:space="0" w:color="auto"/>
            <w:left w:val="none" w:sz="0" w:space="0" w:color="auto"/>
            <w:bottom w:val="none" w:sz="0" w:space="0" w:color="auto"/>
            <w:right w:val="none" w:sz="0" w:space="0" w:color="auto"/>
          </w:divBdr>
          <w:divsChild>
            <w:div w:id="1402870699">
              <w:marLeft w:val="0"/>
              <w:marRight w:val="0"/>
              <w:marTop w:val="0"/>
              <w:marBottom w:val="0"/>
              <w:divBdr>
                <w:top w:val="none" w:sz="0" w:space="0" w:color="auto"/>
                <w:left w:val="none" w:sz="0" w:space="0" w:color="auto"/>
                <w:bottom w:val="none" w:sz="0" w:space="0" w:color="auto"/>
                <w:right w:val="none" w:sz="0" w:space="0" w:color="auto"/>
              </w:divBdr>
            </w:div>
          </w:divsChild>
        </w:div>
        <w:div w:id="1983843965">
          <w:marLeft w:val="0"/>
          <w:marRight w:val="0"/>
          <w:marTop w:val="0"/>
          <w:marBottom w:val="0"/>
          <w:divBdr>
            <w:top w:val="none" w:sz="0" w:space="0" w:color="auto"/>
            <w:left w:val="none" w:sz="0" w:space="0" w:color="auto"/>
            <w:bottom w:val="none" w:sz="0" w:space="0" w:color="auto"/>
            <w:right w:val="none" w:sz="0" w:space="0" w:color="auto"/>
          </w:divBdr>
          <w:divsChild>
            <w:div w:id="591089132">
              <w:marLeft w:val="0"/>
              <w:marRight w:val="0"/>
              <w:marTop w:val="0"/>
              <w:marBottom w:val="0"/>
              <w:divBdr>
                <w:top w:val="none" w:sz="0" w:space="0" w:color="auto"/>
                <w:left w:val="none" w:sz="0" w:space="0" w:color="auto"/>
                <w:bottom w:val="none" w:sz="0" w:space="0" w:color="auto"/>
                <w:right w:val="none" w:sz="0" w:space="0" w:color="auto"/>
              </w:divBdr>
            </w:div>
          </w:divsChild>
        </w:div>
        <w:div w:id="2073113359">
          <w:marLeft w:val="0"/>
          <w:marRight w:val="0"/>
          <w:marTop w:val="0"/>
          <w:marBottom w:val="0"/>
          <w:divBdr>
            <w:top w:val="none" w:sz="0" w:space="0" w:color="auto"/>
            <w:left w:val="none" w:sz="0" w:space="0" w:color="auto"/>
            <w:bottom w:val="none" w:sz="0" w:space="0" w:color="auto"/>
            <w:right w:val="none" w:sz="0" w:space="0" w:color="auto"/>
          </w:divBdr>
          <w:divsChild>
            <w:div w:id="784926820">
              <w:marLeft w:val="0"/>
              <w:marRight w:val="0"/>
              <w:marTop w:val="0"/>
              <w:marBottom w:val="0"/>
              <w:divBdr>
                <w:top w:val="none" w:sz="0" w:space="0" w:color="auto"/>
                <w:left w:val="none" w:sz="0" w:space="0" w:color="auto"/>
                <w:bottom w:val="none" w:sz="0" w:space="0" w:color="auto"/>
                <w:right w:val="none" w:sz="0" w:space="0" w:color="auto"/>
              </w:divBdr>
            </w:div>
            <w:div w:id="2014142490">
              <w:marLeft w:val="0"/>
              <w:marRight w:val="0"/>
              <w:marTop w:val="0"/>
              <w:marBottom w:val="0"/>
              <w:divBdr>
                <w:top w:val="none" w:sz="0" w:space="0" w:color="auto"/>
                <w:left w:val="none" w:sz="0" w:space="0" w:color="auto"/>
                <w:bottom w:val="none" w:sz="0" w:space="0" w:color="auto"/>
                <w:right w:val="none" w:sz="0" w:space="0" w:color="auto"/>
              </w:divBdr>
            </w:div>
          </w:divsChild>
        </w:div>
        <w:div w:id="2086104364">
          <w:marLeft w:val="0"/>
          <w:marRight w:val="0"/>
          <w:marTop w:val="0"/>
          <w:marBottom w:val="0"/>
          <w:divBdr>
            <w:top w:val="none" w:sz="0" w:space="0" w:color="auto"/>
            <w:left w:val="none" w:sz="0" w:space="0" w:color="auto"/>
            <w:bottom w:val="none" w:sz="0" w:space="0" w:color="auto"/>
            <w:right w:val="none" w:sz="0" w:space="0" w:color="auto"/>
          </w:divBdr>
          <w:divsChild>
            <w:div w:id="1559047731">
              <w:marLeft w:val="0"/>
              <w:marRight w:val="0"/>
              <w:marTop w:val="0"/>
              <w:marBottom w:val="0"/>
              <w:divBdr>
                <w:top w:val="none" w:sz="0" w:space="0" w:color="auto"/>
                <w:left w:val="none" w:sz="0" w:space="0" w:color="auto"/>
                <w:bottom w:val="none" w:sz="0" w:space="0" w:color="auto"/>
                <w:right w:val="none" w:sz="0" w:space="0" w:color="auto"/>
              </w:divBdr>
            </w:div>
          </w:divsChild>
        </w:div>
        <w:div w:id="2129397885">
          <w:marLeft w:val="0"/>
          <w:marRight w:val="0"/>
          <w:marTop w:val="0"/>
          <w:marBottom w:val="0"/>
          <w:divBdr>
            <w:top w:val="none" w:sz="0" w:space="0" w:color="auto"/>
            <w:left w:val="none" w:sz="0" w:space="0" w:color="auto"/>
            <w:bottom w:val="none" w:sz="0" w:space="0" w:color="auto"/>
            <w:right w:val="none" w:sz="0" w:space="0" w:color="auto"/>
          </w:divBdr>
          <w:divsChild>
            <w:div w:id="710692549">
              <w:marLeft w:val="0"/>
              <w:marRight w:val="0"/>
              <w:marTop w:val="0"/>
              <w:marBottom w:val="0"/>
              <w:divBdr>
                <w:top w:val="none" w:sz="0" w:space="0" w:color="auto"/>
                <w:left w:val="none" w:sz="0" w:space="0" w:color="auto"/>
                <w:bottom w:val="none" w:sz="0" w:space="0" w:color="auto"/>
                <w:right w:val="none" w:sz="0" w:space="0" w:color="auto"/>
              </w:divBdr>
            </w:div>
            <w:div w:id="17723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524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8845021">
      <w:bodyDiv w:val="1"/>
      <w:marLeft w:val="0"/>
      <w:marRight w:val="0"/>
      <w:marTop w:val="0"/>
      <w:marBottom w:val="0"/>
      <w:divBdr>
        <w:top w:val="none" w:sz="0" w:space="0" w:color="auto"/>
        <w:left w:val="none" w:sz="0" w:space="0" w:color="auto"/>
        <w:bottom w:val="none" w:sz="0" w:space="0" w:color="auto"/>
        <w:right w:val="none" w:sz="0" w:space="0" w:color="auto"/>
      </w:divBdr>
    </w:div>
    <w:div w:id="375353343">
      <w:bodyDiv w:val="1"/>
      <w:marLeft w:val="0"/>
      <w:marRight w:val="0"/>
      <w:marTop w:val="0"/>
      <w:marBottom w:val="0"/>
      <w:divBdr>
        <w:top w:val="none" w:sz="0" w:space="0" w:color="auto"/>
        <w:left w:val="none" w:sz="0" w:space="0" w:color="auto"/>
        <w:bottom w:val="none" w:sz="0" w:space="0" w:color="auto"/>
        <w:right w:val="none" w:sz="0" w:space="0" w:color="auto"/>
      </w:divBdr>
    </w:div>
    <w:div w:id="376010518">
      <w:bodyDiv w:val="1"/>
      <w:marLeft w:val="0"/>
      <w:marRight w:val="0"/>
      <w:marTop w:val="0"/>
      <w:marBottom w:val="0"/>
      <w:divBdr>
        <w:top w:val="none" w:sz="0" w:space="0" w:color="auto"/>
        <w:left w:val="none" w:sz="0" w:space="0" w:color="auto"/>
        <w:bottom w:val="none" w:sz="0" w:space="0" w:color="auto"/>
        <w:right w:val="none" w:sz="0" w:space="0" w:color="auto"/>
      </w:divBdr>
    </w:div>
    <w:div w:id="382560326">
      <w:bodyDiv w:val="1"/>
      <w:marLeft w:val="0"/>
      <w:marRight w:val="0"/>
      <w:marTop w:val="0"/>
      <w:marBottom w:val="0"/>
      <w:divBdr>
        <w:top w:val="none" w:sz="0" w:space="0" w:color="auto"/>
        <w:left w:val="none" w:sz="0" w:space="0" w:color="auto"/>
        <w:bottom w:val="none" w:sz="0" w:space="0" w:color="auto"/>
        <w:right w:val="none" w:sz="0" w:space="0" w:color="auto"/>
      </w:divBdr>
    </w:div>
    <w:div w:id="402223521">
      <w:bodyDiv w:val="1"/>
      <w:marLeft w:val="0"/>
      <w:marRight w:val="0"/>
      <w:marTop w:val="0"/>
      <w:marBottom w:val="0"/>
      <w:divBdr>
        <w:top w:val="none" w:sz="0" w:space="0" w:color="auto"/>
        <w:left w:val="none" w:sz="0" w:space="0" w:color="auto"/>
        <w:bottom w:val="none" w:sz="0" w:space="0" w:color="auto"/>
        <w:right w:val="none" w:sz="0" w:space="0" w:color="auto"/>
      </w:divBdr>
    </w:div>
    <w:div w:id="417093198">
      <w:bodyDiv w:val="1"/>
      <w:marLeft w:val="0"/>
      <w:marRight w:val="0"/>
      <w:marTop w:val="0"/>
      <w:marBottom w:val="0"/>
      <w:divBdr>
        <w:top w:val="none" w:sz="0" w:space="0" w:color="auto"/>
        <w:left w:val="none" w:sz="0" w:space="0" w:color="auto"/>
        <w:bottom w:val="none" w:sz="0" w:space="0" w:color="auto"/>
        <w:right w:val="none" w:sz="0" w:space="0" w:color="auto"/>
      </w:divBdr>
      <w:divsChild>
        <w:div w:id="66147312">
          <w:marLeft w:val="0"/>
          <w:marRight w:val="0"/>
          <w:marTop w:val="0"/>
          <w:marBottom w:val="0"/>
          <w:divBdr>
            <w:top w:val="none" w:sz="0" w:space="0" w:color="auto"/>
            <w:left w:val="none" w:sz="0" w:space="0" w:color="auto"/>
            <w:bottom w:val="none" w:sz="0" w:space="0" w:color="auto"/>
            <w:right w:val="none" w:sz="0" w:space="0" w:color="auto"/>
          </w:divBdr>
          <w:divsChild>
            <w:div w:id="1225143360">
              <w:marLeft w:val="0"/>
              <w:marRight w:val="0"/>
              <w:marTop w:val="0"/>
              <w:marBottom w:val="0"/>
              <w:divBdr>
                <w:top w:val="none" w:sz="0" w:space="0" w:color="auto"/>
                <w:left w:val="none" w:sz="0" w:space="0" w:color="auto"/>
                <w:bottom w:val="none" w:sz="0" w:space="0" w:color="auto"/>
                <w:right w:val="none" w:sz="0" w:space="0" w:color="auto"/>
              </w:divBdr>
            </w:div>
          </w:divsChild>
        </w:div>
        <w:div w:id="69473813">
          <w:marLeft w:val="0"/>
          <w:marRight w:val="0"/>
          <w:marTop w:val="0"/>
          <w:marBottom w:val="0"/>
          <w:divBdr>
            <w:top w:val="none" w:sz="0" w:space="0" w:color="auto"/>
            <w:left w:val="none" w:sz="0" w:space="0" w:color="auto"/>
            <w:bottom w:val="none" w:sz="0" w:space="0" w:color="auto"/>
            <w:right w:val="none" w:sz="0" w:space="0" w:color="auto"/>
          </w:divBdr>
          <w:divsChild>
            <w:div w:id="682439907">
              <w:marLeft w:val="0"/>
              <w:marRight w:val="0"/>
              <w:marTop w:val="0"/>
              <w:marBottom w:val="0"/>
              <w:divBdr>
                <w:top w:val="none" w:sz="0" w:space="0" w:color="auto"/>
                <w:left w:val="none" w:sz="0" w:space="0" w:color="auto"/>
                <w:bottom w:val="none" w:sz="0" w:space="0" w:color="auto"/>
                <w:right w:val="none" w:sz="0" w:space="0" w:color="auto"/>
              </w:divBdr>
            </w:div>
          </w:divsChild>
        </w:div>
        <w:div w:id="77796624">
          <w:marLeft w:val="0"/>
          <w:marRight w:val="0"/>
          <w:marTop w:val="0"/>
          <w:marBottom w:val="0"/>
          <w:divBdr>
            <w:top w:val="none" w:sz="0" w:space="0" w:color="auto"/>
            <w:left w:val="none" w:sz="0" w:space="0" w:color="auto"/>
            <w:bottom w:val="none" w:sz="0" w:space="0" w:color="auto"/>
            <w:right w:val="none" w:sz="0" w:space="0" w:color="auto"/>
          </w:divBdr>
          <w:divsChild>
            <w:div w:id="1294749678">
              <w:marLeft w:val="0"/>
              <w:marRight w:val="0"/>
              <w:marTop w:val="0"/>
              <w:marBottom w:val="0"/>
              <w:divBdr>
                <w:top w:val="none" w:sz="0" w:space="0" w:color="auto"/>
                <w:left w:val="none" w:sz="0" w:space="0" w:color="auto"/>
                <w:bottom w:val="none" w:sz="0" w:space="0" w:color="auto"/>
                <w:right w:val="none" w:sz="0" w:space="0" w:color="auto"/>
              </w:divBdr>
            </w:div>
          </w:divsChild>
        </w:div>
        <w:div w:id="81073099">
          <w:marLeft w:val="0"/>
          <w:marRight w:val="0"/>
          <w:marTop w:val="0"/>
          <w:marBottom w:val="0"/>
          <w:divBdr>
            <w:top w:val="none" w:sz="0" w:space="0" w:color="auto"/>
            <w:left w:val="none" w:sz="0" w:space="0" w:color="auto"/>
            <w:bottom w:val="none" w:sz="0" w:space="0" w:color="auto"/>
            <w:right w:val="none" w:sz="0" w:space="0" w:color="auto"/>
          </w:divBdr>
          <w:divsChild>
            <w:div w:id="1667055837">
              <w:marLeft w:val="0"/>
              <w:marRight w:val="0"/>
              <w:marTop w:val="0"/>
              <w:marBottom w:val="0"/>
              <w:divBdr>
                <w:top w:val="none" w:sz="0" w:space="0" w:color="auto"/>
                <w:left w:val="none" w:sz="0" w:space="0" w:color="auto"/>
                <w:bottom w:val="none" w:sz="0" w:space="0" w:color="auto"/>
                <w:right w:val="none" w:sz="0" w:space="0" w:color="auto"/>
              </w:divBdr>
            </w:div>
          </w:divsChild>
        </w:div>
        <w:div w:id="139076416">
          <w:marLeft w:val="0"/>
          <w:marRight w:val="0"/>
          <w:marTop w:val="0"/>
          <w:marBottom w:val="0"/>
          <w:divBdr>
            <w:top w:val="none" w:sz="0" w:space="0" w:color="auto"/>
            <w:left w:val="none" w:sz="0" w:space="0" w:color="auto"/>
            <w:bottom w:val="none" w:sz="0" w:space="0" w:color="auto"/>
            <w:right w:val="none" w:sz="0" w:space="0" w:color="auto"/>
          </w:divBdr>
          <w:divsChild>
            <w:div w:id="1536575119">
              <w:marLeft w:val="0"/>
              <w:marRight w:val="0"/>
              <w:marTop w:val="0"/>
              <w:marBottom w:val="0"/>
              <w:divBdr>
                <w:top w:val="none" w:sz="0" w:space="0" w:color="auto"/>
                <w:left w:val="none" w:sz="0" w:space="0" w:color="auto"/>
                <w:bottom w:val="none" w:sz="0" w:space="0" w:color="auto"/>
                <w:right w:val="none" w:sz="0" w:space="0" w:color="auto"/>
              </w:divBdr>
            </w:div>
          </w:divsChild>
        </w:div>
        <w:div w:id="183133112">
          <w:marLeft w:val="0"/>
          <w:marRight w:val="0"/>
          <w:marTop w:val="0"/>
          <w:marBottom w:val="0"/>
          <w:divBdr>
            <w:top w:val="none" w:sz="0" w:space="0" w:color="auto"/>
            <w:left w:val="none" w:sz="0" w:space="0" w:color="auto"/>
            <w:bottom w:val="none" w:sz="0" w:space="0" w:color="auto"/>
            <w:right w:val="none" w:sz="0" w:space="0" w:color="auto"/>
          </w:divBdr>
          <w:divsChild>
            <w:div w:id="165369509">
              <w:marLeft w:val="0"/>
              <w:marRight w:val="0"/>
              <w:marTop w:val="0"/>
              <w:marBottom w:val="0"/>
              <w:divBdr>
                <w:top w:val="none" w:sz="0" w:space="0" w:color="auto"/>
                <w:left w:val="none" w:sz="0" w:space="0" w:color="auto"/>
                <w:bottom w:val="none" w:sz="0" w:space="0" w:color="auto"/>
                <w:right w:val="none" w:sz="0" w:space="0" w:color="auto"/>
              </w:divBdr>
            </w:div>
          </w:divsChild>
        </w:div>
        <w:div w:id="212734229">
          <w:marLeft w:val="0"/>
          <w:marRight w:val="0"/>
          <w:marTop w:val="0"/>
          <w:marBottom w:val="0"/>
          <w:divBdr>
            <w:top w:val="none" w:sz="0" w:space="0" w:color="auto"/>
            <w:left w:val="none" w:sz="0" w:space="0" w:color="auto"/>
            <w:bottom w:val="none" w:sz="0" w:space="0" w:color="auto"/>
            <w:right w:val="none" w:sz="0" w:space="0" w:color="auto"/>
          </w:divBdr>
          <w:divsChild>
            <w:div w:id="232275182">
              <w:marLeft w:val="0"/>
              <w:marRight w:val="0"/>
              <w:marTop w:val="0"/>
              <w:marBottom w:val="0"/>
              <w:divBdr>
                <w:top w:val="none" w:sz="0" w:space="0" w:color="auto"/>
                <w:left w:val="none" w:sz="0" w:space="0" w:color="auto"/>
                <w:bottom w:val="none" w:sz="0" w:space="0" w:color="auto"/>
                <w:right w:val="none" w:sz="0" w:space="0" w:color="auto"/>
              </w:divBdr>
            </w:div>
          </w:divsChild>
        </w:div>
        <w:div w:id="254367659">
          <w:marLeft w:val="0"/>
          <w:marRight w:val="0"/>
          <w:marTop w:val="0"/>
          <w:marBottom w:val="0"/>
          <w:divBdr>
            <w:top w:val="none" w:sz="0" w:space="0" w:color="auto"/>
            <w:left w:val="none" w:sz="0" w:space="0" w:color="auto"/>
            <w:bottom w:val="none" w:sz="0" w:space="0" w:color="auto"/>
            <w:right w:val="none" w:sz="0" w:space="0" w:color="auto"/>
          </w:divBdr>
          <w:divsChild>
            <w:div w:id="1595239815">
              <w:marLeft w:val="0"/>
              <w:marRight w:val="0"/>
              <w:marTop w:val="0"/>
              <w:marBottom w:val="0"/>
              <w:divBdr>
                <w:top w:val="none" w:sz="0" w:space="0" w:color="auto"/>
                <w:left w:val="none" w:sz="0" w:space="0" w:color="auto"/>
                <w:bottom w:val="none" w:sz="0" w:space="0" w:color="auto"/>
                <w:right w:val="none" w:sz="0" w:space="0" w:color="auto"/>
              </w:divBdr>
            </w:div>
          </w:divsChild>
        </w:div>
        <w:div w:id="274094675">
          <w:marLeft w:val="0"/>
          <w:marRight w:val="0"/>
          <w:marTop w:val="0"/>
          <w:marBottom w:val="0"/>
          <w:divBdr>
            <w:top w:val="none" w:sz="0" w:space="0" w:color="auto"/>
            <w:left w:val="none" w:sz="0" w:space="0" w:color="auto"/>
            <w:bottom w:val="none" w:sz="0" w:space="0" w:color="auto"/>
            <w:right w:val="none" w:sz="0" w:space="0" w:color="auto"/>
          </w:divBdr>
          <w:divsChild>
            <w:div w:id="338705162">
              <w:marLeft w:val="0"/>
              <w:marRight w:val="0"/>
              <w:marTop w:val="0"/>
              <w:marBottom w:val="0"/>
              <w:divBdr>
                <w:top w:val="none" w:sz="0" w:space="0" w:color="auto"/>
                <w:left w:val="none" w:sz="0" w:space="0" w:color="auto"/>
                <w:bottom w:val="none" w:sz="0" w:space="0" w:color="auto"/>
                <w:right w:val="none" w:sz="0" w:space="0" w:color="auto"/>
              </w:divBdr>
            </w:div>
            <w:div w:id="408499538">
              <w:marLeft w:val="0"/>
              <w:marRight w:val="0"/>
              <w:marTop w:val="0"/>
              <w:marBottom w:val="0"/>
              <w:divBdr>
                <w:top w:val="none" w:sz="0" w:space="0" w:color="auto"/>
                <w:left w:val="none" w:sz="0" w:space="0" w:color="auto"/>
                <w:bottom w:val="none" w:sz="0" w:space="0" w:color="auto"/>
                <w:right w:val="none" w:sz="0" w:space="0" w:color="auto"/>
              </w:divBdr>
            </w:div>
          </w:divsChild>
        </w:div>
        <w:div w:id="277571204">
          <w:marLeft w:val="0"/>
          <w:marRight w:val="0"/>
          <w:marTop w:val="0"/>
          <w:marBottom w:val="0"/>
          <w:divBdr>
            <w:top w:val="none" w:sz="0" w:space="0" w:color="auto"/>
            <w:left w:val="none" w:sz="0" w:space="0" w:color="auto"/>
            <w:bottom w:val="none" w:sz="0" w:space="0" w:color="auto"/>
            <w:right w:val="none" w:sz="0" w:space="0" w:color="auto"/>
          </w:divBdr>
          <w:divsChild>
            <w:div w:id="170918902">
              <w:marLeft w:val="0"/>
              <w:marRight w:val="0"/>
              <w:marTop w:val="0"/>
              <w:marBottom w:val="0"/>
              <w:divBdr>
                <w:top w:val="none" w:sz="0" w:space="0" w:color="auto"/>
                <w:left w:val="none" w:sz="0" w:space="0" w:color="auto"/>
                <w:bottom w:val="none" w:sz="0" w:space="0" w:color="auto"/>
                <w:right w:val="none" w:sz="0" w:space="0" w:color="auto"/>
              </w:divBdr>
            </w:div>
          </w:divsChild>
        </w:div>
        <w:div w:id="312492208">
          <w:marLeft w:val="0"/>
          <w:marRight w:val="0"/>
          <w:marTop w:val="0"/>
          <w:marBottom w:val="0"/>
          <w:divBdr>
            <w:top w:val="none" w:sz="0" w:space="0" w:color="auto"/>
            <w:left w:val="none" w:sz="0" w:space="0" w:color="auto"/>
            <w:bottom w:val="none" w:sz="0" w:space="0" w:color="auto"/>
            <w:right w:val="none" w:sz="0" w:space="0" w:color="auto"/>
          </w:divBdr>
          <w:divsChild>
            <w:div w:id="118426068">
              <w:marLeft w:val="0"/>
              <w:marRight w:val="0"/>
              <w:marTop w:val="0"/>
              <w:marBottom w:val="0"/>
              <w:divBdr>
                <w:top w:val="none" w:sz="0" w:space="0" w:color="auto"/>
                <w:left w:val="none" w:sz="0" w:space="0" w:color="auto"/>
                <w:bottom w:val="none" w:sz="0" w:space="0" w:color="auto"/>
                <w:right w:val="none" w:sz="0" w:space="0" w:color="auto"/>
              </w:divBdr>
            </w:div>
          </w:divsChild>
        </w:div>
        <w:div w:id="329330200">
          <w:marLeft w:val="0"/>
          <w:marRight w:val="0"/>
          <w:marTop w:val="0"/>
          <w:marBottom w:val="0"/>
          <w:divBdr>
            <w:top w:val="none" w:sz="0" w:space="0" w:color="auto"/>
            <w:left w:val="none" w:sz="0" w:space="0" w:color="auto"/>
            <w:bottom w:val="none" w:sz="0" w:space="0" w:color="auto"/>
            <w:right w:val="none" w:sz="0" w:space="0" w:color="auto"/>
          </w:divBdr>
          <w:divsChild>
            <w:div w:id="1711685337">
              <w:marLeft w:val="0"/>
              <w:marRight w:val="0"/>
              <w:marTop w:val="0"/>
              <w:marBottom w:val="0"/>
              <w:divBdr>
                <w:top w:val="none" w:sz="0" w:space="0" w:color="auto"/>
                <w:left w:val="none" w:sz="0" w:space="0" w:color="auto"/>
                <w:bottom w:val="none" w:sz="0" w:space="0" w:color="auto"/>
                <w:right w:val="none" w:sz="0" w:space="0" w:color="auto"/>
              </w:divBdr>
            </w:div>
          </w:divsChild>
        </w:div>
        <w:div w:id="410741108">
          <w:marLeft w:val="0"/>
          <w:marRight w:val="0"/>
          <w:marTop w:val="0"/>
          <w:marBottom w:val="0"/>
          <w:divBdr>
            <w:top w:val="none" w:sz="0" w:space="0" w:color="auto"/>
            <w:left w:val="none" w:sz="0" w:space="0" w:color="auto"/>
            <w:bottom w:val="none" w:sz="0" w:space="0" w:color="auto"/>
            <w:right w:val="none" w:sz="0" w:space="0" w:color="auto"/>
          </w:divBdr>
          <w:divsChild>
            <w:div w:id="2083867177">
              <w:marLeft w:val="0"/>
              <w:marRight w:val="0"/>
              <w:marTop w:val="0"/>
              <w:marBottom w:val="0"/>
              <w:divBdr>
                <w:top w:val="none" w:sz="0" w:space="0" w:color="auto"/>
                <w:left w:val="none" w:sz="0" w:space="0" w:color="auto"/>
                <w:bottom w:val="none" w:sz="0" w:space="0" w:color="auto"/>
                <w:right w:val="none" w:sz="0" w:space="0" w:color="auto"/>
              </w:divBdr>
            </w:div>
          </w:divsChild>
        </w:div>
        <w:div w:id="419955552">
          <w:marLeft w:val="0"/>
          <w:marRight w:val="0"/>
          <w:marTop w:val="0"/>
          <w:marBottom w:val="0"/>
          <w:divBdr>
            <w:top w:val="none" w:sz="0" w:space="0" w:color="auto"/>
            <w:left w:val="none" w:sz="0" w:space="0" w:color="auto"/>
            <w:bottom w:val="none" w:sz="0" w:space="0" w:color="auto"/>
            <w:right w:val="none" w:sz="0" w:space="0" w:color="auto"/>
          </w:divBdr>
          <w:divsChild>
            <w:div w:id="282461178">
              <w:marLeft w:val="0"/>
              <w:marRight w:val="0"/>
              <w:marTop w:val="0"/>
              <w:marBottom w:val="0"/>
              <w:divBdr>
                <w:top w:val="none" w:sz="0" w:space="0" w:color="auto"/>
                <w:left w:val="none" w:sz="0" w:space="0" w:color="auto"/>
                <w:bottom w:val="none" w:sz="0" w:space="0" w:color="auto"/>
                <w:right w:val="none" w:sz="0" w:space="0" w:color="auto"/>
              </w:divBdr>
            </w:div>
          </w:divsChild>
        </w:div>
        <w:div w:id="445198069">
          <w:marLeft w:val="0"/>
          <w:marRight w:val="0"/>
          <w:marTop w:val="0"/>
          <w:marBottom w:val="0"/>
          <w:divBdr>
            <w:top w:val="none" w:sz="0" w:space="0" w:color="auto"/>
            <w:left w:val="none" w:sz="0" w:space="0" w:color="auto"/>
            <w:bottom w:val="none" w:sz="0" w:space="0" w:color="auto"/>
            <w:right w:val="none" w:sz="0" w:space="0" w:color="auto"/>
          </w:divBdr>
          <w:divsChild>
            <w:div w:id="1837258031">
              <w:marLeft w:val="0"/>
              <w:marRight w:val="0"/>
              <w:marTop w:val="0"/>
              <w:marBottom w:val="0"/>
              <w:divBdr>
                <w:top w:val="none" w:sz="0" w:space="0" w:color="auto"/>
                <w:left w:val="none" w:sz="0" w:space="0" w:color="auto"/>
                <w:bottom w:val="none" w:sz="0" w:space="0" w:color="auto"/>
                <w:right w:val="none" w:sz="0" w:space="0" w:color="auto"/>
              </w:divBdr>
            </w:div>
          </w:divsChild>
        </w:div>
        <w:div w:id="468596399">
          <w:marLeft w:val="0"/>
          <w:marRight w:val="0"/>
          <w:marTop w:val="0"/>
          <w:marBottom w:val="0"/>
          <w:divBdr>
            <w:top w:val="none" w:sz="0" w:space="0" w:color="auto"/>
            <w:left w:val="none" w:sz="0" w:space="0" w:color="auto"/>
            <w:bottom w:val="none" w:sz="0" w:space="0" w:color="auto"/>
            <w:right w:val="none" w:sz="0" w:space="0" w:color="auto"/>
          </w:divBdr>
          <w:divsChild>
            <w:div w:id="929390920">
              <w:marLeft w:val="0"/>
              <w:marRight w:val="0"/>
              <w:marTop w:val="0"/>
              <w:marBottom w:val="0"/>
              <w:divBdr>
                <w:top w:val="none" w:sz="0" w:space="0" w:color="auto"/>
                <w:left w:val="none" w:sz="0" w:space="0" w:color="auto"/>
                <w:bottom w:val="none" w:sz="0" w:space="0" w:color="auto"/>
                <w:right w:val="none" w:sz="0" w:space="0" w:color="auto"/>
              </w:divBdr>
            </w:div>
          </w:divsChild>
        </w:div>
        <w:div w:id="514152878">
          <w:marLeft w:val="0"/>
          <w:marRight w:val="0"/>
          <w:marTop w:val="0"/>
          <w:marBottom w:val="0"/>
          <w:divBdr>
            <w:top w:val="none" w:sz="0" w:space="0" w:color="auto"/>
            <w:left w:val="none" w:sz="0" w:space="0" w:color="auto"/>
            <w:bottom w:val="none" w:sz="0" w:space="0" w:color="auto"/>
            <w:right w:val="none" w:sz="0" w:space="0" w:color="auto"/>
          </w:divBdr>
          <w:divsChild>
            <w:div w:id="176115028">
              <w:marLeft w:val="0"/>
              <w:marRight w:val="0"/>
              <w:marTop w:val="0"/>
              <w:marBottom w:val="0"/>
              <w:divBdr>
                <w:top w:val="none" w:sz="0" w:space="0" w:color="auto"/>
                <w:left w:val="none" w:sz="0" w:space="0" w:color="auto"/>
                <w:bottom w:val="none" w:sz="0" w:space="0" w:color="auto"/>
                <w:right w:val="none" w:sz="0" w:space="0" w:color="auto"/>
              </w:divBdr>
            </w:div>
          </w:divsChild>
        </w:div>
        <w:div w:id="530190718">
          <w:marLeft w:val="0"/>
          <w:marRight w:val="0"/>
          <w:marTop w:val="0"/>
          <w:marBottom w:val="0"/>
          <w:divBdr>
            <w:top w:val="none" w:sz="0" w:space="0" w:color="auto"/>
            <w:left w:val="none" w:sz="0" w:space="0" w:color="auto"/>
            <w:bottom w:val="none" w:sz="0" w:space="0" w:color="auto"/>
            <w:right w:val="none" w:sz="0" w:space="0" w:color="auto"/>
          </w:divBdr>
          <w:divsChild>
            <w:div w:id="1376152541">
              <w:marLeft w:val="0"/>
              <w:marRight w:val="0"/>
              <w:marTop w:val="0"/>
              <w:marBottom w:val="0"/>
              <w:divBdr>
                <w:top w:val="none" w:sz="0" w:space="0" w:color="auto"/>
                <w:left w:val="none" w:sz="0" w:space="0" w:color="auto"/>
                <w:bottom w:val="none" w:sz="0" w:space="0" w:color="auto"/>
                <w:right w:val="none" w:sz="0" w:space="0" w:color="auto"/>
              </w:divBdr>
            </w:div>
          </w:divsChild>
        </w:div>
        <w:div w:id="547375947">
          <w:marLeft w:val="0"/>
          <w:marRight w:val="0"/>
          <w:marTop w:val="0"/>
          <w:marBottom w:val="0"/>
          <w:divBdr>
            <w:top w:val="none" w:sz="0" w:space="0" w:color="auto"/>
            <w:left w:val="none" w:sz="0" w:space="0" w:color="auto"/>
            <w:bottom w:val="none" w:sz="0" w:space="0" w:color="auto"/>
            <w:right w:val="none" w:sz="0" w:space="0" w:color="auto"/>
          </w:divBdr>
          <w:divsChild>
            <w:div w:id="489905856">
              <w:marLeft w:val="0"/>
              <w:marRight w:val="0"/>
              <w:marTop w:val="0"/>
              <w:marBottom w:val="0"/>
              <w:divBdr>
                <w:top w:val="none" w:sz="0" w:space="0" w:color="auto"/>
                <w:left w:val="none" w:sz="0" w:space="0" w:color="auto"/>
                <w:bottom w:val="none" w:sz="0" w:space="0" w:color="auto"/>
                <w:right w:val="none" w:sz="0" w:space="0" w:color="auto"/>
              </w:divBdr>
            </w:div>
          </w:divsChild>
        </w:div>
        <w:div w:id="648555170">
          <w:marLeft w:val="0"/>
          <w:marRight w:val="0"/>
          <w:marTop w:val="0"/>
          <w:marBottom w:val="0"/>
          <w:divBdr>
            <w:top w:val="none" w:sz="0" w:space="0" w:color="auto"/>
            <w:left w:val="none" w:sz="0" w:space="0" w:color="auto"/>
            <w:bottom w:val="none" w:sz="0" w:space="0" w:color="auto"/>
            <w:right w:val="none" w:sz="0" w:space="0" w:color="auto"/>
          </w:divBdr>
          <w:divsChild>
            <w:div w:id="193814409">
              <w:marLeft w:val="0"/>
              <w:marRight w:val="0"/>
              <w:marTop w:val="0"/>
              <w:marBottom w:val="0"/>
              <w:divBdr>
                <w:top w:val="none" w:sz="0" w:space="0" w:color="auto"/>
                <w:left w:val="none" w:sz="0" w:space="0" w:color="auto"/>
                <w:bottom w:val="none" w:sz="0" w:space="0" w:color="auto"/>
                <w:right w:val="none" w:sz="0" w:space="0" w:color="auto"/>
              </w:divBdr>
            </w:div>
          </w:divsChild>
        </w:div>
        <w:div w:id="698093410">
          <w:marLeft w:val="0"/>
          <w:marRight w:val="0"/>
          <w:marTop w:val="0"/>
          <w:marBottom w:val="0"/>
          <w:divBdr>
            <w:top w:val="none" w:sz="0" w:space="0" w:color="auto"/>
            <w:left w:val="none" w:sz="0" w:space="0" w:color="auto"/>
            <w:bottom w:val="none" w:sz="0" w:space="0" w:color="auto"/>
            <w:right w:val="none" w:sz="0" w:space="0" w:color="auto"/>
          </w:divBdr>
          <w:divsChild>
            <w:div w:id="498617277">
              <w:marLeft w:val="0"/>
              <w:marRight w:val="0"/>
              <w:marTop w:val="0"/>
              <w:marBottom w:val="0"/>
              <w:divBdr>
                <w:top w:val="none" w:sz="0" w:space="0" w:color="auto"/>
                <w:left w:val="none" w:sz="0" w:space="0" w:color="auto"/>
                <w:bottom w:val="none" w:sz="0" w:space="0" w:color="auto"/>
                <w:right w:val="none" w:sz="0" w:space="0" w:color="auto"/>
              </w:divBdr>
            </w:div>
            <w:div w:id="1590506937">
              <w:marLeft w:val="0"/>
              <w:marRight w:val="0"/>
              <w:marTop w:val="0"/>
              <w:marBottom w:val="0"/>
              <w:divBdr>
                <w:top w:val="none" w:sz="0" w:space="0" w:color="auto"/>
                <w:left w:val="none" w:sz="0" w:space="0" w:color="auto"/>
                <w:bottom w:val="none" w:sz="0" w:space="0" w:color="auto"/>
                <w:right w:val="none" w:sz="0" w:space="0" w:color="auto"/>
              </w:divBdr>
            </w:div>
          </w:divsChild>
        </w:div>
        <w:div w:id="718550888">
          <w:marLeft w:val="0"/>
          <w:marRight w:val="0"/>
          <w:marTop w:val="0"/>
          <w:marBottom w:val="0"/>
          <w:divBdr>
            <w:top w:val="none" w:sz="0" w:space="0" w:color="auto"/>
            <w:left w:val="none" w:sz="0" w:space="0" w:color="auto"/>
            <w:bottom w:val="none" w:sz="0" w:space="0" w:color="auto"/>
            <w:right w:val="none" w:sz="0" w:space="0" w:color="auto"/>
          </w:divBdr>
          <w:divsChild>
            <w:div w:id="189033414">
              <w:marLeft w:val="0"/>
              <w:marRight w:val="0"/>
              <w:marTop w:val="0"/>
              <w:marBottom w:val="0"/>
              <w:divBdr>
                <w:top w:val="none" w:sz="0" w:space="0" w:color="auto"/>
                <w:left w:val="none" w:sz="0" w:space="0" w:color="auto"/>
                <w:bottom w:val="none" w:sz="0" w:space="0" w:color="auto"/>
                <w:right w:val="none" w:sz="0" w:space="0" w:color="auto"/>
              </w:divBdr>
            </w:div>
          </w:divsChild>
        </w:div>
        <w:div w:id="740447184">
          <w:marLeft w:val="0"/>
          <w:marRight w:val="0"/>
          <w:marTop w:val="0"/>
          <w:marBottom w:val="0"/>
          <w:divBdr>
            <w:top w:val="none" w:sz="0" w:space="0" w:color="auto"/>
            <w:left w:val="none" w:sz="0" w:space="0" w:color="auto"/>
            <w:bottom w:val="none" w:sz="0" w:space="0" w:color="auto"/>
            <w:right w:val="none" w:sz="0" w:space="0" w:color="auto"/>
          </w:divBdr>
          <w:divsChild>
            <w:div w:id="140000905">
              <w:marLeft w:val="0"/>
              <w:marRight w:val="0"/>
              <w:marTop w:val="0"/>
              <w:marBottom w:val="0"/>
              <w:divBdr>
                <w:top w:val="none" w:sz="0" w:space="0" w:color="auto"/>
                <w:left w:val="none" w:sz="0" w:space="0" w:color="auto"/>
                <w:bottom w:val="none" w:sz="0" w:space="0" w:color="auto"/>
                <w:right w:val="none" w:sz="0" w:space="0" w:color="auto"/>
              </w:divBdr>
            </w:div>
            <w:div w:id="494883597">
              <w:marLeft w:val="0"/>
              <w:marRight w:val="0"/>
              <w:marTop w:val="0"/>
              <w:marBottom w:val="0"/>
              <w:divBdr>
                <w:top w:val="none" w:sz="0" w:space="0" w:color="auto"/>
                <w:left w:val="none" w:sz="0" w:space="0" w:color="auto"/>
                <w:bottom w:val="none" w:sz="0" w:space="0" w:color="auto"/>
                <w:right w:val="none" w:sz="0" w:space="0" w:color="auto"/>
              </w:divBdr>
            </w:div>
          </w:divsChild>
        </w:div>
        <w:div w:id="789320047">
          <w:marLeft w:val="0"/>
          <w:marRight w:val="0"/>
          <w:marTop w:val="0"/>
          <w:marBottom w:val="0"/>
          <w:divBdr>
            <w:top w:val="none" w:sz="0" w:space="0" w:color="auto"/>
            <w:left w:val="none" w:sz="0" w:space="0" w:color="auto"/>
            <w:bottom w:val="none" w:sz="0" w:space="0" w:color="auto"/>
            <w:right w:val="none" w:sz="0" w:space="0" w:color="auto"/>
          </w:divBdr>
          <w:divsChild>
            <w:div w:id="2021925725">
              <w:marLeft w:val="0"/>
              <w:marRight w:val="0"/>
              <w:marTop w:val="0"/>
              <w:marBottom w:val="0"/>
              <w:divBdr>
                <w:top w:val="none" w:sz="0" w:space="0" w:color="auto"/>
                <w:left w:val="none" w:sz="0" w:space="0" w:color="auto"/>
                <w:bottom w:val="none" w:sz="0" w:space="0" w:color="auto"/>
                <w:right w:val="none" w:sz="0" w:space="0" w:color="auto"/>
              </w:divBdr>
            </w:div>
          </w:divsChild>
        </w:div>
        <w:div w:id="800658624">
          <w:marLeft w:val="0"/>
          <w:marRight w:val="0"/>
          <w:marTop w:val="0"/>
          <w:marBottom w:val="0"/>
          <w:divBdr>
            <w:top w:val="none" w:sz="0" w:space="0" w:color="auto"/>
            <w:left w:val="none" w:sz="0" w:space="0" w:color="auto"/>
            <w:bottom w:val="none" w:sz="0" w:space="0" w:color="auto"/>
            <w:right w:val="none" w:sz="0" w:space="0" w:color="auto"/>
          </w:divBdr>
          <w:divsChild>
            <w:div w:id="136647913">
              <w:marLeft w:val="0"/>
              <w:marRight w:val="0"/>
              <w:marTop w:val="0"/>
              <w:marBottom w:val="0"/>
              <w:divBdr>
                <w:top w:val="none" w:sz="0" w:space="0" w:color="auto"/>
                <w:left w:val="none" w:sz="0" w:space="0" w:color="auto"/>
                <w:bottom w:val="none" w:sz="0" w:space="0" w:color="auto"/>
                <w:right w:val="none" w:sz="0" w:space="0" w:color="auto"/>
              </w:divBdr>
            </w:div>
          </w:divsChild>
        </w:div>
        <w:div w:id="875578152">
          <w:marLeft w:val="0"/>
          <w:marRight w:val="0"/>
          <w:marTop w:val="0"/>
          <w:marBottom w:val="0"/>
          <w:divBdr>
            <w:top w:val="none" w:sz="0" w:space="0" w:color="auto"/>
            <w:left w:val="none" w:sz="0" w:space="0" w:color="auto"/>
            <w:bottom w:val="none" w:sz="0" w:space="0" w:color="auto"/>
            <w:right w:val="none" w:sz="0" w:space="0" w:color="auto"/>
          </w:divBdr>
          <w:divsChild>
            <w:div w:id="601766867">
              <w:marLeft w:val="0"/>
              <w:marRight w:val="0"/>
              <w:marTop w:val="0"/>
              <w:marBottom w:val="0"/>
              <w:divBdr>
                <w:top w:val="none" w:sz="0" w:space="0" w:color="auto"/>
                <w:left w:val="none" w:sz="0" w:space="0" w:color="auto"/>
                <w:bottom w:val="none" w:sz="0" w:space="0" w:color="auto"/>
                <w:right w:val="none" w:sz="0" w:space="0" w:color="auto"/>
              </w:divBdr>
            </w:div>
          </w:divsChild>
        </w:div>
        <w:div w:id="888692151">
          <w:marLeft w:val="0"/>
          <w:marRight w:val="0"/>
          <w:marTop w:val="0"/>
          <w:marBottom w:val="0"/>
          <w:divBdr>
            <w:top w:val="none" w:sz="0" w:space="0" w:color="auto"/>
            <w:left w:val="none" w:sz="0" w:space="0" w:color="auto"/>
            <w:bottom w:val="none" w:sz="0" w:space="0" w:color="auto"/>
            <w:right w:val="none" w:sz="0" w:space="0" w:color="auto"/>
          </w:divBdr>
          <w:divsChild>
            <w:div w:id="321277385">
              <w:marLeft w:val="0"/>
              <w:marRight w:val="0"/>
              <w:marTop w:val="0"/>
              <w:marBottom w:val="0"/>
              <w:divBdr>
                <w:top w:val="none" w:sz="0" w:space="0" w:color="auto"/>
                <w:left w:val="none" w:sz="0" w:space="0" w:color="auto"/>
                <w:bottom w:val="none" w:sz="0" w:space="0" w:color="auto"/>
                <w:right w:val="none" w:sz="0" w:space="0" w:color="auto"/>
              </w:divBdr>
            </w:div>
          </w:divsChild>
        </w:div>
        <w:div w:id="934023723">
          <w:marLeft w:val="0"/>
          <w:marRight w:val="0"/>
          <w:marTop w:val="0"/>
          <w:marBottom w:val="0"/>
          <w:divBdr>
            <w:top w:val="none" w:sz="0" w:space="0" w:color="auto"/>
            <w:left w:val="none" w:sz="0" w:space="0" w:color="auto"/>
            <w:bottom w:val="none" w:sz="0" w:space="0" w:color="auto"/>
            <w:right w:val="none" w:sz="0" w:space="0" w:color="auto"/>
          </w:divBdr>
          <w:divsChild>
            <w:div w:id="431242832">
              <w:marLeft w:val="0"/>
              <w:marRight w:val="0"/>
              <w:marTop w:val="0"/>
              <w:marBottom w:val="0"/>
              <w:divBdr>
                <w:top w:val="none" w:sz="0" w:space="0" w:color="auto"/>
                <w:left w:val="none" w:sz="0" w:space="0" w:color="auto"/>
                <w:bottom w:val="none" w:sz="0" w:space="0" w:color="auto"/>
                <w:right w:val="none" w:sz="0" w:space="0" w:color="auto"/>
              </w:divBdr>
            </w:div>
            <w:div w:id="640843629">
              <w:marLeft w:val="0"/>
              <w:marRight w:val="0"/>
              <w:marTop w:val="0"/>
              <w:marBottom w:val="0"/>
              <w:divBdr>
                <w:top w:val="none" w:sz="0" w:space="0" w:color="auto"/>
                <w:left w:val="none" w:sz="0" w:space="0" w:color="auto"/>
                <w:bottom w:val="none" w:sz="0" w:space="0" w:color="auto"/>
                <w:right w:val="none" w:sz="0" w:space="0" w:color="auto"/>
              </w:divBdr>
            </w:div>
          </w:divsChild>
        </w:div>
        <w:div w:id="966353425">
          <w:marLeft w:val="0"/>
          <w:marRight w:val="0"/>
          <w:marTop w:val="0"/>
          <w:marBottom w:val="0"/>
          <w:divBdr>
            <w:top w:val="none" w:sz="0" w:space="0" w:color="auto"/>
            <w:left w:val="none" w:sz="0" w:space="0" w:color="auto"/>
            <w:bottom w:val="none" w:sz="0" w:space="0" w:color="auto"/>
            <w:right w:val="none" w:sz="0" w:space="0" w:color="auto"/>
          </w:divBdr>
          <w:divsChild>
            <w:div w:id="2091078233">
              <w:marLeft w:val="0"/>
              <w:marRight w:val="0"/>
              <w:marTop w:val="0"/>
              <w:marBottom w:val="0"/>
              <w:divBdr>
                <w:top w:val="none" w:sz="0" w:space="0" w:color="auto"/>
                <w:left w:val="none" w:sz="0" w:space="0" w:color="auto"/>
                <w:bottom w:val="none" w:sz="0" w:space="0" w:color="auto"/>
                <w:right w:val="none" w:sz="0" w:space="0" w:color="auto"/>
              </w:divBdr>
            </w:div>
          </w:divsChild>
        </w:div>
        <w:div w:id="1053427488">
          <w:marLeft w:val="0"/>
          <w:marRight w:val="0"/>
          <w:marTop w:val="0"/>
          <w:marBottom w:val="0"/>
          <w:divBdr>
            <w:top w:val="none" w:sz="0" w:space="0" w:color="auto"/>
            <w:left w:val="none" w:sz="0" w:space="0" w:color="auto"/>
            <w:bottom w:val="none" w:sz="0" w:space="0" w:color="auto"/>
            <w:right w:val="none" w:sz="0" w:space="0" w:color="auto"/>
          </w:divBdr>
          <w:divsChild>
            <w:div w:id="2108384271">
              <w:marLeft w:val="0"/>
              <w:marRight w:val="0"/>
              <w:marTop w:val="0"/>
              <w:marBottom w:val="0"/>
              <w:divBdr>
                <w:top w:val="none" w:sz="0" w:space="0" w:color="auto"/>
                <w:left w:val="none" w:sz="0" w:space="0" w:color="auto"/>
                <w:bottom w:val="none" w:sz="0" w:space="0" w:color="auto"/>
                <w:right w:val="none" w:sz="0" w:space="0" w:color="auto"/>
              </w:divBdr>
            </w:div>
          </w:divsChild>
        </w:div>
        <w:div w:id="1102455068">
          <w:marLeft w:val="0"/>
          <w:marRight w:val="0"/>
          <w:marTop w:val="0"/>
          <w:marBottom w:val="0"/>
          <w:divBdr>
            <w:top w:val="none" w:sz="0" w:space="0" w:color="auto"/>
            <w:left w:val="none" w:sz="0" w:space="0" w:color="auto"/>
            <w:bottom w:val="none" w:sz="0" w:space="0" w:color="auto"/>
            <w:right w:val="none" w:sz="0" w:space="0" w:color="auto"/>
          </w:divBdr>
          <w:divsChild>
            <w:div w:id="682898944">
              <w:marLeft w:val="0"/>
              <w:marRight w:val="0"/>
              <w:marTop w:val="0"/>
              <w:marBottom w:val="0"/>
              <w:divBdr>
                <w:top w:val="none" w:sz="0" w:space="0" w:color="auto"/>
                <w:left w:val="none" w:sz="0" w:space="0" w:color="auto"/>
                <w:bottom w:val="none" w:sz="0" w:space="0" w:color="auto"/>
                <w:right w:val="none" w:sz="0" w:space="0" w:color="auto"/>
              </w:divBdr>
            </w:div>
          </w:divsChild>
        </w:div>
        <w:div w:id="1172452468">
          <w:marLeft w:val="0"/>
          <w:marRight w:val="0"/>
          <w:marTop w:val="0"/>
          <w:marBottom w:val="0"/>
          <w:divBdr>
            <w:top w:val="none" w:sz="0" w:space="0" w:color="auto"/>
            <w:left w:val="none" w:sz="0" w:space="0" w:color="auto"/>
            <w:bottom w:val="none" w:sz="0" w:space="0" w:color="auto"/>
            <w:right w:val="none" w:sz="0" w:space="0" w:color="auto"/>
          </w:divBdr>
          <w:divsChild>
            <w:div w:id="2031449815">
              <w:marLeft w:val="0"/>
              <w:marRight w:val="0"/>
              <w:marTop w:val="0"/>
              <w:marBottom w:val="0"/>
              <w:divBdr>
                <w:top w:val="none" w:sz="0" w:space="0" w:color="auto"/>
                <w:left w:val="none" w:sz="0" w:space="0" w:color="auto"/>
                <w:bottom w:val="none" w:sz="0" w:space="0" w:color="auto"/>
                <w:right w:val="none" w:sz="0" w:space="0" w:color="auto"/>
              </w:divBdr>
            </w:div>
          </w:divsChild>
        </w:div>
        <w:div w:id="1330795959">
          <w:marLeft w:val="0"/>
          <w:marRight w:val="0"/>
          <w:marTop w:val="0"/>
          <w:marBottom w:val="0"/>
          <w:divBdr>
            <w:top w:val="none" w:sz="0" w:space="0" w:color="auto"/>
            <w:left w:val="none" w:sz="0" w:space="0" w:color="auto"/>
            <w:bottom w:val="none" w:sz="0" w:space="0" w:color="auto"/>
            <w:right w:val="none" w:sz="0" w:space="0" w:color="auto"/>
          </w:divBdr>
          <w:divsChild>
            <w:div w:id="940137891">
              <w:marLeft w:val="0"/>
              <w:marRight w:val="0"/>
              <w:marTop w:val="0"/>
              <w:marBottom w:val="0"/>
              <w:divBdr>
                <w:top w:val="none" w:sz="0" w:space="0" w:color="auto"/>
                <w:left w:val="none" w:sz="0" w:space="0" w:color="auto"/>
                <w:bottom w:val="none" w:sz="0" w:space="0" w:color="auto"/>
                <w:right w:val="none" w:sz="0" w:space="0" w:color="auto"/>
              </w:divBdr>
            </w:div>
          </w:divsChild>
        </w:div>
        <w:div w:id="1393693618">
          <w:marLeft w:val="0"/>
          <w:marRight w:val="0"/>
          <w:marTop w:val="0"/>
          <w:marBottom w:val="0"/>
          <w:divBdr>
            <w:top w:val="none" w:sz="0" w:space="0" w:color="auto"/>
            <w:left w:val="none" w:sz="0" w:space="0" w:color="auto"/>
            <w:bottom w:val="none" w:sz="0" w:space="0" w:color="auto"/>
            <w:right w:val="none" w:sz="0" w:space="0" w:color="auto"/>
          </w:divBdr>
          <w:divsChild>
            <w:div w:id="1520461817">
              <w:marLeft w:val="0"/>
              <w:marRight w:val="0"/>
              <w:marTop w:val="0"/>
              <w:marBottom w:val="0"/>
              <w:divBdr>
                <w:top w:val="none" w:sz="0" w:space="0" w:color="auto"/>
                <w:left w:val="none" w:sz="0" w:space="0" w:color="auto"/>
                <w:bottom w:val="none" w:sz="0" w:space="0" w:color="auto"/>
                <w:right w:val="none" w:sz="0" w:space="0" w:color="auto"/>
              </w:divBdr>
            </w:div>
          </w:divsChild>
        </w:div>
        <w:div w:id="1409571923">
          <w:marLeft w:val="0"/>
          <w:marRight w:val="0"/>
          <w:marTop w:val="0"/>
          <w:marBottom w:val="0"/>
          <w:divBdr>
            <w:top w:val="none" w:sz="0" w:space="0" w:color="auto"/>
            <w:left w:val="none" w:sz="0" w:space="0" w:color="auto"/>
            <w:bottom w:val="none" w:sz="0" w:space="0" w:color="auto"/>
            <w:right w:val="none" w:sz="0" w:space="0" w:color="auto"/>
          </w:divBdr>
          <w:divsChild>
            <w:div w:id="1139885086">
              <w:marLeft w:val="0"/>
              <w:marRight w:val="0"/>
              <w:marTop w:val="0"/>
              <w:marBottom w:val="0"/>
              <w:divBdr>
                <w:top w:val="none" w:sz="0" w:space="0" w:color="auto"/>
                <w:left w:val="none" w:sz="0" w:space="0" w:color="auto"/>
                <w:bottom w:val="none" w:sz="0" w:space="0" w:color="auto"/>
                <w:right w:val="none" w:sz="0" w:space="0" w:color="auto"/>
              </w:divBdr>
            </w:div>
          </w:divsChild>
        </w:div>
        <w:div w:id="1434323551">
          <w:marLeft w:val="0"/>
          <w:marRight w:val="0"/>
          <w:marTop w:val="0"/>
          <w:marBottom w:val="0"/>
          <w:divBdr>
            <w:top w:val="none" w:sz="0" w:space="0" w:color="auto"/>
            <w:left w:val="none" w:sz="0" w:space="0" w:color="auto"/>
            <w:bottom w:val="none" w:sz="0" w:space="0" w:color="auto"/>
            <w:right w:val="none" w:sz="0" w:space="0" w:color="auto"/>
          </w:divBdr>
          <w:divsChild>
            <w:div w:id="858157977">
              <w:marLeft w:val="0"/>
              <w:marRight w:val="0"/>
              <w:marTop w:val="0"/>
              <w:marBottom w:val="0"/>
              <w:divBdr>
                <w:top w:val="none" w:sz="0" w:space="0" w:color="auto"/>
                <w:left w:val="none" w:sz="0" w:space="0" w:color="auto"/>
                <w:bottom w:val="none" w:sz="0" w:space="0" w:color="auto"/>
                <w:right w:val="none" w:sz="0" w:space="0" w:color="auto"/>
              </w:divBdr>
            </w:div>
          </w:divsChild>
        </w:div>
        <w:div w:id="1441299899">
          <w:marLeft w:val="0"/>
          <w:marRight w:val="0"/>
          <w:marTop w:val="0"/>
          <w:marBottom w:val="0"/>
          <w:divBdr>
            <w:top w:val="none" w:sz="0" w:space="0" w:color="auto"/>
            <w:left w:val="none" w:sz="0" w:space="0" w:color="auto"/>
            <w:bottom w:val="none" w:sz="0" w:space="0" w:color="auto"/>
            <w:right w:val="none" w:sz="0" w:space="0" w:color="auto"/>
          </w:divBdr>
          <w:divsChild>
            <w:div w:id="1949923182">
              <w:marLeft w:val="0"/>
              <w:marRight w:val="0"/>
              <w:marTop w:val="0"/>
              <w:marBottom w:val="0"/>
              <w:divBdr>
                <w:top w:val="none" w:sz="0" w:space="0" w:color="auto"/>
                <w:left w:val="none" w:sz="0" w:space="0" w:color="auto"/>
                <w:bottom w:val="none" w:sz="0" w:space="0" w:color="auto"/>
                <w:right w:val="none" w:sz="0" w:space="0" w:color="auto"/>
              </w:divBdr>
            </w:div>
          </w:divsChild>
        </w:div>
        <w:div w:id="1487894929">
          <w:marLeft w:val="0"/>
          <w:marRight w:val="0"/>
          <w:marTop w:val="0"/>
          <w:marBottom w:val="0"/>
          <w:divBdr>
            <w:top w:val="none" w:sz="0" w:space="0" w:color="auto"/>
            <w:left w:val="none" w:sz="0" w:space="0" w:color="auto"/>
            <w:bottom w:val="none" w:sz="0" w:space="0" w:color="auto"/>
            <w:right w:val="none" w:sz="0" w:space="0" w:color="auto"/>
          </w:divBdr>
          <w:divsChild>
            <w:div w:id="1405223648">
              <w:marLeft w:val="0"/>
              <w:marRight w:val="0"/>
              <w:marTop w:val="0"/>
              <w:marBottom w:val="0"/>
              <w:divBdr>
                <w:top w:val="none" w:sz="0" w:space="0" w:color="auto"/>
                <w:left w:val="none" w:sz="0" w:space="0" w:color="auto"/>
                <w:bottom w:val="none" w:sz="0" w:space="0" w:color="auto"/>
                <w:right w:val="none" w:sz="0" w:space="0" w:color="auto"/>
              </w:divBdr>
            </w:div>
          </w:divsChild>
        </w:div>
        <w:div w:id="1504710770">
          <w:marLeft w:val="0"/>
          <w:marRight w:val="0"/>
          <w:marTop w:val="0"/>
          <w:marBottom w:val="0"/>
          <w:divBdr>
            <w:top w:val="none" w:sz="0" w:space="0" w:color="auto"/>
            <w:left w:val="none" w:sz="0" w:space="0" w:color="auto"/>
            <w:bottom w:val="none" w:sz="0" w:space="0" w:color="auto"/>
            <w:right w:val="none" w:sz="0" w:space="0" w:color="auto"/>
          </w:divBdr>
          <w:divsChild>
            <w:div w:id="1419059431">
              <w:marLeft w:val="0"/>
              <w:marRight w:val="0"/>
              <w:marTop w:val="0"/>
              <w:marBottom w:val="0"/>
              <w:divBdr>
                <w:top w:val="none" w:sz="0" w:space="0" w:color="auto"/>
                <w:left w:val="none" w:sz="0" w:space="0" w:color="auto"/>
                <w:bottom w:val="none" w:sz="0" w:space="0" w:color="auto"/>
                <w:right w:val="none" w:sz="0" w:space="0" w:color="auto"/>
              </w:divBdr>
            </w:div>
          </w:divsChild>
        </w:div>
        <w:div w:id="1527906975">
          <w:marLeft w:val="0"/>
          <w:marRight w:val="0"/>
          <w:marTop w:val="0"/>
          <w:marBottom w:val="0"/>
          <w:divBdr>
            <w:top w:val="none" w:sz="0" w:space="0" w:color="auto"/>
            <w:left w:val="none" w:sz="0" w:space="0" w:color="auto"/>
            <w:bottom w:val="none" w:sz="0" w:space="0" w:color="auto"/>
            <w:right w:val="none" w:sz="0" w:space="0" w:color="auto"/>
          </w:divBdr>
          <w:divsChild>
            <w:div w:id="1802845627">
              <w:marLeft w:val="0"/>
              <w:marRight w:val="0"/>
              <w:marTop w:val="0"/>
              <w:marBottom w:val="0"/>
              <w:divBdr>
                <w:top w:val="none" w:sz="0" w:space="0" w:color="auto"/>
                <w:left w:val="none" w:sz="0" w:space="0" w:color="auto"/>
                <w:bottom w:val="none" w:sz="0" w:space="0" w:color="auto"/>
                <w:right w:val="none" w:sz="0" w:space="0" w:color="auto"/>
              </w:divBdr>
            </w:div>
          </w:divsChild>
        </w:div>
        <w:div w:id="1543709479">
          <w:marLeft w:val="0"/>
          <w:marRight w:val="0"/>
          <w:marTop w:val="0"/>
          <w:marBottom w:val="0"/>
          <w:divBdr>
            <w:top w:val="none" w:sz="0" w:space="0" w:color="auto"/>
            <w:left w:val="none" w:sz="0" w:space="0" w:color="auto"/>
            <w:bottom w:val="none" w:sz="0" w:space="0" w:color="auto"/>
            <w:right w:val="none" w:sz="0" w:space="0" w:color="auto"/>
          </w:divBdr>
          <w:divsChild>
            <w:div w:id="268466026">
              <w:marLeft w:val="0"/>
              <w:marRight w:val="0"/>
              <w:marTop w:val="0"/>
              <w:marBottom w:val="0"/>
              <w:divBdr>
                <w:top w:val="none" w:sz="0" w:space="0" w:color="auto"/>
                <w:left w:val="none" w:sz="0" w:space="0" w:color="auto"/>
                <w:bottom w:val="none" w:sz="0" w:space="0" w:color="auto"/>
                <w:right w:val="none" w:sz="0" w:space="0" w:color="auto"/>
              </w:divBdr>
            </w:div>
            <w:div w:id="726799558">
              <w:marLeft w:val="0"/>
              <w:marRight w:val="0"/>
              <w:marTop w:val="0"/>
              <w:marBottom w:val="0"/>
              <w:divBdr>
                <w:top w:val="none" w:sz="0" w:space="0" w:color="auto"/>
                <w:left w:val="none" w:sz="0" w:space="0" w:color="auto"/>
                <w:bottom w:val="none" w:sz="0" w:space="0" w:color="auto"/>
                <w:right w:val="none" w:sz="0" w:space="0" w:color="auto"/>
              </w:divBdr>
            </w:div>
            <w:div w:id="1207986713">
              <w:marLeft w:val="0"/>
              <w:marRight w:val="0"/>
              <w:marTop w:val="0"/>
              <w:marBottom w:val="0"/>
              <w:divBdr>
                <w:top w:val="none" w:sz="0" w:space="0" w:color="auto"/>
                <w:left w:val="none" w:sz="0" w:space="0" w:color="auto"/>
                <w:bottom w:val="none" w:sz="0" w:space="0" w:color="auto"/>
                <w:right w:val="none" w:sz="0" w:space="0" w:color="auto"/>
              </w:divBdr>
            </w:div>
          </w:divsChild>
        </w:div>
        <w:div w:id="1589270514">
          <w:marLeft w:val="0"/>
          <w:marRight w:val="0"/>
          <w:marTop w:val="0"/>
          <w:marBottom w:val="0"/>
          <w:divBdr>
            <w:top w:val="none" w:sz="0" w:space="0" w:color="auto"/>
            <w:left w:val="none" w:sz="0" w:space="0" w:color="auto"/>
            <w:bottom w:val="none" w:sz="0" w:space="0" w:color="auto"/>
            <w:right w:val="none" w:sz="0" w:space="0" w:color="auto"/>
          </w:divBdr>
          <w:divsChild>
            <w:div w:id="1713841017">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627084198">
          <w:marLeft w:val="0"/>
          <w:marRight w:val="0"/>
          <w:marTop w:val="0"/>
          <w:marBottom w:val="0"/>
          <w:divBdr>
            <w:top w:val="none" w:sz="0" w:space="0" w:color="auto"/>
            <w:left w:val="none" w:sz="0" w:space="0" w:color="auto"/>
            <w:bottom w:val="none" w:sz="0" w:space="0" w:color="auto"/>
            <w:right w:val="none" w:sz="0" w:space="0" w:color="auto"/>
          </w:divBdr>
          <w:divsChild>
            <w:div w:id="278076761">
              <w:marLeft w:val="0"/>
              <w:marRight w:val="0"/>
              <w:marTop w:val="0"/>
              <w:marBottom w:val="0"/>
              <w:divBdr>
                <w:top w:val="none" w:sz="0" w:space="0" w:color="auto"/>
                <w:left w:val="none" w:sz="0" w:space="0" w:color="auto"/>
                <w:bottom w:val="none" w:sz="0" w:space="0" w:color="auto"/>
                <w:right w:val="none" w:sz="0" w:space="0" w:color="auto"/>
              </w:divBdr>
            </w:div>
          </w:divsChild>
        </w:div>
        <w:div w:id="1641574004">
          <w:marLeft w:val="0"/>
          <w:marRight w:val="0"/>
          <w:marTop w:val="0"/>
          <w:marBottom w:val="0"/>
          <w:divBdr>
            <w:top w:val="none" w:sz="0" w:space="0" w:color="auto"/>
            <w:left w:val="none" w:sz="0" w:space="0" w:color="auto"/>
            <w:bottom w:val="none" w:sz="0" w:space="0" w:color="auto"/>
            <w:right w:val="none" w:sz="0" w:space="0" w:color="auto"/>
          </w:divBdr>
          <w:divsChild>
            <w:div w:id="323624851">
              <w:marLeft w:val="0"/>
              <w:marRight w:val="0"/>
              <w:marTop w:val="0"/>
              <w:marBottom w:val="0"/>
              <w:divBdr>
                <w:top w:val="none" w:sz="0" w:space="0" w:color="auto"/>
                <w:left w:val="none" w:sz="0" w:space="0" w:color="auto"/>
                <w:bottom w:val="none" w:sz="0" w:space="0" w:color="auto"/>
                <w:right w:val="none" w:sz="0" w:space="0" w:color="auto"/>
              </w:divBdr>
            </w:div>
            <w:div w:id="1182747680">
              <w:marLeft w:val="0"/>
              <w:marRight w:val="0"/>
              <w:marTop w:val="0"/>
              <w:marBottom w:val="0"/>
              <w:divBdr>
                <w:top w:val="none" w:sz="0" w:space="0" w:color="auto"/>
                <w:left w:val="none" w:sz="0" w:space="0" w:color="auto"/>
                <w:bottom w:val="none" w:sz="0" w:space="0" w:color="auto"/>
                <w:right w:val="none" w:sz="0" w:space="0" w:color="auto"/>
              </w:divBdr>
            </w:div>
          </w:divsChild>
        </w:div>
        <w:div w:id="1668168345">
          <w:marLeft w:val="0"/>
          <w:marRight w:val="0"/>
          <w:marTop w:val="0"/>
          <w:marBottom w:val="0"/>
          <w:divBdr>
            <w:top w:val="none" w:sz="0" w:space="0" w:color="auto"/>
            <w:left w:val="none" w:sz="0" w:space="0" w:color="auto"/>
            <w:bottom w:val="none" w:sz="0" w:space="0" w:color="auto"/>
            <w:right w:val="none" w:sz="0" w:space="0" w:color="auto"/>
          </w:divBdr>
          <w:divsChild>
            <w:div w:id="1878472954">
              <w:marLeft w:val="0"/>
              <w:marRight w:val="0"/>
              <w:marTop w:val="0"/>
              <w:marBottom w:val="0"/>
              <w:divBdr>
                <w:top w:val="none" w:sz="0" w:space="0" w:color="auto"/>
                <w:left w:val="none" w:sz="0" w:space="0" w:color="auto"/>
                <w:bottom w:val="none" w:sz="0" w:space="0" w:color="auto"/>
                <w:right w:val="none" w:sz="0" w:space="0" w:color="auto"/>
              </w:divBdr>
            </w:div>
          </w:divsChild>
        </w:div>
        <w:div w:id="1702319723">
          <w:marLeft w:val="0"/>
          <w:marRight w:val="0"/>
          <w:marTop w:val="0"/>
          <w:marBottom w:val="0"/>
          <w:divBdr>
            <w:top w:val="none" w:sz="0" w:space="0" w:color="auto"/>
            <w:left w:val="none" w:sz="0" w:space="0" w:color="auto"/>
            <w:bottom w:val="none" w:sz="0" w:space="0" w:color="auto"/>
            <w:right w:val="none" w:sz="0" w:space="0" w:color="auto"/>
          </w:divBdr>
          <w:divsChild>
            <w:div w:id="1939093277">
              <w:marLeft w:val="0"/>
              <w:marRight w:val="0"/>
              <w:marTop w:val="0"/>
              <w:marBottom w:val="0"/>
              <w:divBdr>
                <w:top w:val="none" w:sz="0" w:space="0" w:color="auto"/>
                <w:left w:val="none" w:sz="0" w:space="0" w:color="auto"/>
                <w:bottom w:val="none" w:sz="0" w:space="0" w:color="auto"/>
                <w:right w:val="none" w:sz="0" w:space="0" w:color="auto"/>
              </w:divBdr>
            </w:div>
          </w:divsChild>
        </w:div>
        <w:div w:id="1861621831">
          <w:marLeft w:val="0"/>
          <w:marRight w:val="0"/>
          <w:marTop w:val="0"/>
          <w:marBottom w:val="0"/>
          <w:divBdr>
            <w:top w:val="none" w:sz="0" w:space="0" w:color="auto"/>
            <w:left w:val="none" w:sz="0" w:space="0" w:color="auto"/>
            <w:bottom w:val="none" w:sz="0" w:space="0" w:color="auto"/>
            <w:right w:val="none" w:sz="0" w:space="0" w:color="auto"/>
          </w:divBdr>
          <w:divsChild>
            <w:div w:id="517350595">
              <w:marLeft w:val="0"/>
              <w:marRight w:val="0"/>
              <w:marTop w:val="0"/>
              <w:marBottom w:val="0"/>
              <w:divBdr>
                <w:top w:val="none" w:sz="0" w:space="0" w:color="auto"/>
                <w:left w:val="none" w:sz="0" w:space="0" w:color="auto"/>
                <w:bottom w:val="none" w:sz="0" w:space="0" w:color="auto"/>
                <w:right w:val="none" w:sz="0" w:space="0" w:color="auto"/>
              </w:divBdr>
            </w:div>
          </w:divsChild>
        </w:div>
        <w:div w:id="2037340378">
          <w:marLeft w:val="0"/>
          <w:marRight w:val="0"/>
          <w:marTop w:val="0"/>
          <w:marBottom w:val="0"/>
          <w:divBdr>
            <w:top w:val="none" w:sz="0" w:space="0" w:color="auto"/>
            <w:left w:val="none" w:sz="0" w:space="0" w:color="auto"/>
            <w:bottom w:val="none" w:sz="0" w:space="0" w:color="auto"/>
            <w:right w:val="none" w:sz="0" w:space="0" w:color="auto"/>
          </w:divBdr>
          <w:divsChild>
            <w:div w:id="1579174210">
              <w:marLeft w:val="0"/>
              <w:marRight w:val="0"/>
              <w:marTop w:val="0"/>
              <w:marBottom w:val="0"/>
              <w:divBdr>
                <w:top w:val="none" w:sz="0" w:space="0" w:color="auto"/>
                <w:left w:val="none" w:sz="0" w:space="0" w:color="auto"/>
                <w:bottom w:val="none" w:sz="0" w:space="0" w:color="auto"/>
                <w:right w:val="none" w:sz="0" w:space="0" w:color="auto"/>
              </w:divBdr>
            </w:div>
          </w:divsChild>
        </w:div>
        <w:div w:id="2140029293">
          <w:marLeft w:val="0"/>
          <w:marRight w:val="0"/>
          <w:marTop w:val="0"/>
          <w:marBottom w:val="0"/>
          <w:divBdr>
            <w:top w:val="none" w:sz="0" w:space="0" w:color="auto"/>
            <w:left w:val="none" w:sz="0" w:space="0" w:color="auto"/>
            <w:bottom w:val="none" w:sz="0" w:space="0" w:color="auto"/>
            <w:right w:val="none" w:sz="0" w:space="0" w:color="auto"/>
          </w:divBdr>
          <w:divsChild>
            <w:div w:id="241569529">
              <w:marLeft w:val="0"/>
              <w:marRight w:val="0"/>
              <w:marTop w:val="0"/>
              <w:marBottom w:val="0"/>
              <w:divBdr>
                <w:top w:val="none" w:sz="0" w:space="0" w:color="auto"/>
                <w:left w:val="none" w:sz="0" w:space="0" w:color="auto"/>
                <w:bottom w:val="none" w:sz="0" w:space="0" w:color="auto"/>
                <w:right w:val="none" w:sz="0" w:space="0" w:color="auto"/>
              </w:divBdr>
            </w:div>
          </w:divsChild>
        </w:div>
        <w:div w:id="2141917115">
          <w:marLeft w:val="0"/>
          <w:marRight w:val="0"/>
          <w:marTop w:val="0"/>
          <w:marBottom w:val="0"/>
          <w:divBdr>
            <w:top w:val="none" w:sz="0" w:space="0" w:color="auto"/>
            <w:left w:val="none" w:sz="0" w:space="0" w:color="auto"/>
            <w:bottom w:val="none" w:sz="0" w:space="0" w:color="auto"/>
            <w:right w:val="none" w:sz="0" w:space="0" w:color="auto"/>
          </w:divBdr>
          <w:divsChild>
            <w:div w:id="19143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4426">
      <w:bodyDiv w:val="1"/>
      <w:marLeft w:val="0"/>
      <w:marRight w:val="0"/>
      <w:marTop w:val="0"/>
      <w:marBottom w:val="0"/>
      <w:divBdr>
        <w:top w:val="none" w:sz="0" w:space="0" w:color="auto"/>
        <w:left w:val="none" w:sz="0" w:space="0" w:color="auto"/>
        <w:bottom w:val="none" w:sz="0" w:space="0" w:color="auto"/>
        <w:right w:val="none" w:sz="0" w:space="0" w:color="auto"/>
      </w:divBdr>
    </w:div>
    <w:div w:id="507453313">
      <w:bodyDiv w:val="1"/>
      <w:marLeft w:val="0"/>
      <w:marRight w:val="0"/>
      <w:marTop w:val="0"/>
      <w:marBottom w:val="0"/>
      <w:divBdr>
        <w:top w:val="none" w:sz="0" w:space="0" w:color="auto"/>
        <w:left w:val="none" w:sz="0" w:space="0" w:color="auto"/>
        <w:bottom w:val="none" w:sz="0" w:space="0" w:color="auto"/>
        <w:right w:val="none" w:sz="0" w:space="0" w:color="auto"/>
      </w:divBdr>
      <w:divsChild>
        <w:div w:id="598610316">
          <w:marLeft w:val="0"/>
          <w:marRight w:val="0"/>
          <w:marTop w:val="0"/>
          <w:marBottom w:val="0"/>
          <w:divBdr>
            <w:top w:val="none" w:sz="0" w:space="0" w:color="auto"/>
            <w:left w:val="none" w:sz="0" w:space="0" w:color="auto"/>
            <w:bottom w:val="none" w:sz="0" w:space="0" w:color="auto"/>
            <w:right w:val="none" w:sz="0" w:space="0" w:color="auto"/>
          </w:divBdr>
        </w:div>
        <w:div w:id="1109398050">
          <w:marLeft w:val="0"/>
          <w:marRight w:val="0"/>
          <w:marTop w:val="0"/>
          <w:marBottom w:val="0"/>
          <w:divBdr>
            <w:top w:val="none" w:sz="0" w:space="0" w:color="auto"/>
            <w:left w:val="none" w:sz="0" w:space="0" w:color="auto"/>
            <w:bottom w:val="none" w:sz="0" w:space="0" w:color="auto"/>
            <w:right w:val="none" w:sz="0" w:space="0" w:color="auto"/>
          </w:divBdr>
        </w:div>
      </w:divsChild>
    </w:div>
    <w:div w:id="541525327">
      <w:bodyDiv w:val="1"/>
      <w:marLeft w:val="0"/>
      <w:marRight w:val="0"/>
      <w:marTop w:val="0"/>
      <w:marBottom w:val="0"/>
      <w:divBdr>
        <w:top w:val="none" w:sz="0" w:space="0" w:color="auto"/>
        <w:left w:val="none" w:sz="0" w:space="0" w:color="auto"/>
        <w:bottom w:val="none" w:sz="0" w:space="0" w:color="auto"/>
        <w:right w:val="none" w:sz="0" w:space="0" w:color="auto"/>
      </w:divBdr>
    </w:div>
    <w:div w:id="593637349">
      <w:bodyDiv w:val="1"/>
      <w:marLeft w:val="0"/>
      <w:marRight w:val="0"/>
      <w:marTop w:val="0"/>
      <w:marBottom w:val="0"/>
      <w:divBdr>
        <w:top w:val="none" w:sz="0" w:space="0" w:color="auto"/>
        <w:left w:val="none" w:sz="0" w:space="0" w:color="auto"/>
        <w:bottom w:val="none" w:sz="0" w:space="0" w:color="auto"/>
        <w:right w:val="none" w:sz="0" w:space="0" w:color="auto"/>
      </w:divBdr>
      <w:divsChild>
        <w:div w:id="1244491332">
          <w:marLeft w:val="0"/>
          <w:marRight w:val="0"/>
          <w:marTop w:val="0"/>
          <w:marBottom w:val="0"/>
          <w:divBdr>
            <w:top w:val="none" w:sz="0" w:space="0" w:color="auto"/>
            <w:left w:val="none" w:sz="0" w:space="0" w:color="auto"/>
            <w:bottom w:val="none" w:sz="0" w:space="0" w:color="auto"/>
            <w:right w:val="none" w:sz="0" w:space="0" w:color="auto"/>
          </w:divBdr>
          <w:divsChild>
            <w:div w:id="1332175721">
              <w:marLeft w:val="0"/>
              <w:marRight w:val="0"/>
              <w:marTop w:val="0"/>
              <w:marBottom w:val="0"/>
              <w:divBdr>
                <w:top w:val="none" w:sz="0" w:space="0" w:color="auto"/>
                <w:left w:val="none" w:sz="0" w:space="0" w:color="auto"/>
                <w:bottom w:val="none" w:sz="0" w:space="0" w:color="auto"/>
                <w:right w:val="none" w:sz="0" w:space="0" w:color="auto"/>
              </w:divBdr>
            </w:div>
          </w:divsChild>
        </w:div>
        <w:div w:id="1967854051">
          <w:marLeft w:val="0"/>
          <w:marRight w:val="0"/>
          <w:marTop w:val="0"/>
          <w:marBottom w:val="0"/>
          <w:divBdr>
            <w:top w:val="none" w:sz="0" w:space="0" w:color="auto"/>
            <w:left w:val="none" w:sz="0" w:space="0" w:color="auto"/>
            <w:bottom w:val="none" w:sz="0" w:space="0" w:color="auto"/>
            <w:right w:val="none" w:sz="0" w:space="0" w:color="auto"/>
          </w:divBdr>
          <w:divsChild>
            <w:div w:id="1729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6941">
      <w:bodyDiv w:val="1"/>
      <w:marLeft w:val="0"/>
      <w:marRight w:val="0"/>
      <w:marTop w:val="0"/>
      <w:marBottom w:val="0"/>
      <w:divBdr>
        <w:top w:val="none" w:sz="0" w:space="0" w:color="auto"/>
        <w:left w:val="none" w:sz="0" w:space="0" w:color="auto"/>
        <w:bottom w:val="none" w:sz="0" w:space="0" w:color="auto"/>
        <w:right w:val="none" w:sz="0" w:space="0" w:color="auto"/>
      </w:divBdr>
    </w:div>
    <w:div w:id="614405415">
      <w:bodyDiv w:val="1"/>
      <w:marLeft w:val="0"/>
      <w:marRight w:val="0"/>
      <w:marTop w:val="0"/>
      <w:marBottom w:val="0"/>
      <w:divBdr>
        <w:top w:val="none" w:sz="0" w:space="0" w:color="auto"/>
        <w:left w:val="none" w:sz="0" w:space="0" w:color="auto"/>
        <w:bottom w:val="none" w:sz="0" w:space="0" w:color="auto"/>
        <w:right w:val="none" w:sz="0" w:space="0" w:color="auto"/>
      </w:divBdr>
    </w:div>
    <w:div w:id="635450351">
      <w:bodyDiv w:val="1"/>
      <w:marLeft w:val="0"/>
      <w:marRight w:val="0"/>
      <w:marTop w:val="0"/>
      <w:marBottom w:val="0"/>
      <w:divBdr>
        <w:top w:val="none" w:sz="0" w:space="0" w:color="auto"/>
        <w:left w:val="none" w:sz="0" w:space="0" w:color="auto"/>
        <w:bottom w:val="none" w:sz="0" w:space="0" w:color="auto"/>
        <w:right w:val="none" w:sz="0" w:space="0" w:color="auto"/>
      </w:divBdr>
      <w:divsChild>
        <w:div w:id="722488985">
          <w:marLeft w:val="0"/>
          <w:marRight w:val="0"/>
          <w:marTop w:val="0"/>
          <w:marBottom w:val="0"/>
          <w:divBdr>
            <w:top w:val="none" w:sz="0" w:space="0" w:color="auto"/>
            <w:left w:val="none" w:sz="0" w:space="0" w:color="auto"/>
            <w:bottom w:val="none" w:sz="0" w:space="0" w:color="auto"/>
            <w:right w:val="none" w:sz="0" w:space="0" w:color="auto"/>
          </w:divBdr>
          <w:divsChild>
            <w:div w:id="1636443770">
              <w:marLeft w:val="0"/>
              <w:marRight w:val="0"/>
              <w:marTop w:val="0"/>
              <w:marBottom w:val="0"/>
              <w:divBdr>
                <w:top w:val="none" w:sz="0" w:space="0" w:color="auto"/>
                <w:left w:val="none" w:sz="0" w:space="0" w:color="auto"/>
                <w:bottom w:val="none" w:sz="0" w:space="0" w:color="auto"/>
                <w:right w:val="none" w:sz="0" w:space="0" w:color="auto"/>
              </w:divBdr>
            </w:div>
          </w:divsChild>
        </w:div>
        <w:div w:id="1690569654">
          <w:marLeft w:val="0"/>
          <w:marRight w:val="0"/>
          <w:marTop w:val="0"/>
          <w:marBottom w:val="0"/>
          <w:divBdr>
            <w:top w:val="none" w:sz="0" w:space="0" w:color="auto"/>
            <w:left w:val="none" w:sz="0" w:space="0" w:color="auto"/>
            <w:bottom w:val="none" w:sz="0" w:space="0" w:color="auto"/>
            <w:right w:val="none" w:sz="0" w:space="0" w:color="auto"/>
          </w:divBdr>
          <w:divsChild>
            <w:div w:id="9805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40011">
      <w:bodyDiv w:val="1"/>
      <w:marLeft w:val="0"/>
      <w:marRight w:val="0"/>
      <w:marTop w:val="0"/>
      <w:marBottom w:val="0"/>
      <w:divBdr>
        <w:top w:val="none" w:sz="0" w:space="0" w:color="auto"/>
        <w:left w:val="none" w:sz="0" w:space="0" w:color="auto"/>
        <w:bottom w:val="none" w:sz="0" w:space="0" w:color="auto"/>
        <w:right w:val="none" w:sz="0" w:space="0" w:color="auto"/>
      </w:divBdr>
    </w:div>
    <w:div w:id="696155903">
      <w:bodyDiv w:val="1"/>
      <w:marLeft w:val="0"/>
      <w:marRight w:val="0"/>
      <w:marTop w:val="0"/>
      <w:marBottom w:val="0"/>
      <w:divBdr>
        <w:top w:val="none" w:sz="0" w:space="0" w:color="auto"/>
        <w:left w:val="none" w:sz="0" w:space="0" w:color="auto"/>
        <w:bottom w:val="none" w:sz="0" w:space="0" w:color="auto"/>
        <w:right w:val="none" w:sz="0" w:space="0" w:color="auto"/>
      </w:divBdr>
    </w:div>
    <w:div w:id="711005658">
      <w:bodyDiv w:val="1"/>
      <w:marLeft w:val="0"/>
      <w:marRight w:val="0"/>
      <w:marTop w:val="0"/>
      <w:marBottom w:val="0"/>
      <w:divBdr>
        <w:top w:val="none" w:sz="0" w:space="0" w:color="auto"/>
        <w:left w:val="none" w:sz="0" w:space="0" w:color="auto"/>
        <w:bottom w:val="none" w:sz="0" w:space="0" w:color="auto"/>
        <w:right w:val="none" w:sz="0" w:space="0" w:color="auto"/>
      </w:divBdr>
      <w:divsChild>
        <w:div w:id="1535999933">
          <w:marLeft w:val="0"/>
          <w:marRight w:val="0"/>
          <w:marTop w:val="0"/>
          <w:marBottom w:val="0"/>
          <w:divBdr>
            <w:top w:val="none" w:sz="0" w:space="0" w:color="auto"/>
            <w:left w:val="none" w:sz="0" w:space="0" w:color="auto"/>
            <w:bottom w:val="none" w:sz="0" w:space="0" w:color="auto"/>
            <w:right w:val="none" w:sz="0" w:space="0" w:color="auto"/>
          </w:divBdr>
        </w:div>
        <w:div w:id="1739326947">
          <w:marLeft w:val="0"/>
          <w:marRight w:val="0"/>
          <w:marTop w:val="0"/>
          <w:marBottom w:val="0"/>
          <w:divBdr>
            <w:top w:val="none" w:sz="0" w:space="0" w:color="auto"/>
            <w:left w:val="none" w:sz="0" w:space="0" w:color="auto"/>
            <w:bottom w:val="none" w:sz="0" w:space="0" w:color="auto"/>
            <w:right w:val="none" w:sz="0" w:space="0" w:color="auto"/>
          </w:divBdr>
        </w:div>
      </w:divsChild>
    </w:div>
    <w:div w:id="745810492">
      <w:bodyDiv w:val="1"/>
      <w:marLeft w:val="0"/>
      <w:marRight w:val="0"/>
      <w:marTop w:val="0"/>
      <w:marBottom w:val="0"/>
      <w:divBdr>
        <w:top w:val="none" w:sz="0" w:space="0" w:color="auto"/>
        <w:left w:val="none" w:sz="0" w:space="0" w:color="auto"/>
        <w:bottom w:val="none" w:sz="0" w:space="0" w:color="auto"/>
        <w:right w:val="none" w:sz="0" w:space="0" w:color="auto"/>
      </w:divBdr>
      <w:divsChild>
        <w:div w:id="588735404">
          <w:marLeft w:val="0"/>
          <w:marRight w:val="0"/>
          <w:marTop w:val="0"/>
          <w:marBottom w:val="0"/>
          <w:divBdr>
            <w:top w:val="none" w:sz="0" w:space="0" w:color="auto"/>
            <w:left w:val="none" w:sz="0" w:space="0" w:color="auto"/>
            <w:bottom w:val="none" w:sz="0" w:space="0" w:color="auto"/>
            <w:right w:val="none" w:sz="0" w:space="0" w:color="auto"/>
          </w:divBdr>
          <w:divsChild>
            <w:div w:id="1253663245">
              <w:marLeft w:val="0"/>
              <w:marRight w:val="0"/>
              <w:marTop w:val="0"/>
              <w:marBottom w:val="0"/>
              <w:divBdr>
                <w:top w:val="none" w:sz="0" w:space="0" w:color="auto"/>
                <w:left w:val="none" w:sz="0" w:space="0" w:color="auto"/>
                <w:bottom w:val="none" w:sz="0" w:space="0" w:color="auto"/>
                <w:right w:val="none" w:sz="0" w:space="0" w:color="auto"/>
              </w:divBdr>
            </w:div>
          </w:divsChild>
        </w:div>
        <w:div w:id="1061710320">
          <w:marLeft w:val="0"/>
          <w:marRight w:val="0"/>
          <w:marTop w:val="0"/>
          <w:marBottom w:val="0"/>
          <w:divBdr>
            <w:top w:val="none" w:sz="0" w:space="0" w:color="auto"/>
            <w:left w:val="none" w:sz="0" w:space="0" w:color="auto"/>
            <w:bottom w:val="none" w:sz="0" w:space="0" w:color="auto"/>
            <w:right w:val="none" w:sz="0" w:space="0" w:color="auto"/>
          </w:divBdr>
          <w:divsChild>
            <w:div w:id="14048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6609">
      <w:bodyDiv w:val="1"/>
      <w:marLeft w:val="0"/>
      <w:marRight w:val="0"/>
      <w:marTop w:val="0"/>
      <w:marBottom w:val="0"/>
      <w:divBdr>
        <w:top w:val="none" w:sz="0" w:space="0" w:color="auto"/>
        <w:left w:val="none" w:sz="0" w:space="0" w:color="auto"/>
        <w:bottom w:val="none" w:sz="0" w:space="0" w:color="auto"/>
        <w:right w:val="none" w:sz="0" w:space="0" w:color="auto"/>
      </w:divBdr>
    </w:div>
    <w:div w:id="82929378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0946201">
      <w:bodyDiv w:val="1"/>
      <w:marLeft w:val="0"/>
      <w:marRight w:val="0"/>
      <w:marTop w:val="0"/>
      <w:marBottom w:val="0"/>
      <w:divBdr>
        <w:top w:val="none" w:sz="0" w:space="0" w:color="auto"/>
        <w:left w:val="none" w:sz="0" w:space="0" w:color="auto"/>
        <w:bottom w:val="none" w:sz="0" w:space="0" w:color="auto"/>
        <w:right w:val="none" w:sz="0" w:space="0" w:color="auto"/>
      </w:divBdr>
    </w:div>
    <w:div w:id="854076125">
      <w:bodyDiv w:val="1"/>
      <w:marLeft w:val="0"/>
      <w:marRight w:val="0"/>
      <w:marTop w:val="0"/>
      <w:marBottom w:val="0"/>
      <w:divBdr>
        <w:top w:val="none" w:sz="0" w:space="0" w:color="auto"/>
        <w:left w:val="none" w:sz="0" w:space="0" w:color="auto"/>
        <w:bottom w:val="none" w:sz="0" w:space="0" w:color="auto"/>
        <w:right w:val="none" w:sz="0" w:space="0" w:color="auto"/>
      </w:divBdr>
    </w:div>
    <w:div w:id="854418577">
      <w:bodyDiv w:val="1"/>
      <w:marLeft w:val="0"/>
      <w:marRight w:val="0"/>
      <w:marTop w:val="0"/>
      <w:marBottom w:val="0"/>
      <w:divBdr>
        <w:top w:val="none" w:sz="0" w:space="0" w:color="auto"/>
        <w:left w:val="none" w:sz="0" w:space="0" w:color="auto"/>
        <w:bottom w:val="none" w:sz="0" w:space="0" w:color="auto"/>
        <w:right w:val="none" w:sz="0" w:space="0" w:color="auto"/>
      </w:divBdr>
      <w:divsChild>
        <w:div w:id="355228737">
          <w:marLeft w:val="0"/>
          <w:marRight w:val="0"/>
          <w:marTop w:val="0"/>
          <w:marBottom w:val="0"/>
          <w:divBdr>
            <w:top w:val="none" w:sz="0" w:space="0" w:color="auto"/>
            <w:left w:val="none" w:sz="0" w:space="0" w:color="auto"/>
            <w:bottom w:val="none" w:sz="0" w:space="0" w:color="auto"/>
            <w:right w:val="none" w:sz="0" w:space="0" w:color="auto"/>
          </w:divBdr>
          <w:divsChild>
            <w:div w:id="1573853550">
              <w:marLeft w:val="0"/>
              <w:marRight w:val="0"/>
              <w:marTop w:val="0"/>
              <w:marBottom w:val="0"/>
              <w:divBdr>
                <w:top w:val="none" w:sz="0" w:space="0" w:color="auto"/>
                <w:left w:val="none" w:sz="0" w:space="0" w:color="auto"/>
                <w:bottom w:val="none" w:sz="0" w:space="0" w:color="auto"/>
                <w:right w:val="none" w:sz="0" w:space="0" w:color="auto"/>
              </w:divBdr>
            </w:div>
          </w:divsChild>
        </w:div>
        <w:div w:id="466321296">
          <w:marLeft w:val="0"/>
          <w:marRight w:val="0"/>
          <w:marTop w:val="0"/>
          <w:marBottom w:val="0"/>
          <w:divBdr>
            <w:top w:val="none" w:sz="0" w:space="0" w:color="auto"/>
            <w:left w:val="none" w:sz="0" w:space="0" w:color="auto"/>
            <w:bottom w:val="none" w:sz="0" w:space="0" w:color="auto"/>
            <w:right w:val="none" w:sz="0" w:space="0" w:color="auto"/>
          </w:divBdr>
          <w:divsChild>
            <w:div w:id="1130854316">
              <w:marLeft w:val="0"/>
              <w:marRight w:val="0"/>
              <w:marTop w:val="0"/>
              <w:marBottom w:val="0"/>
              <w:divBdr>
                <w:top w:val="none" w:sz="0" w:space="0" w:color="auto"/>
                <w:left w:val="none" w:sz="0" w:space="0" w:color="auto"/>
                <w:bottom w:val="none" w:sz="0" w:space="0" w:color="auto"/>
                <w:right w:val="none" w:sz="0" w:space="0" w:color="auto"/>
              </w:divBdr>
            </w:div>
          </w:divsChild>
        </w:div>
        <w:div w:id="978652623">
          <w:marLeft w:val="0"/>
          <w:marRight w:val="0"/>
          <w:marTop w:val="0"/>
          <w:marBottom w:val="0"/>
          <w:divBdr>
            <w:top w:val="none" w:sz="0" w:space="0" w:color="auto"/>
            <w:left w:val="none" w:sz="0" w:space="0" w:color="auto"/>
            <w:bottom w:val="none" w:sz="0" w:space="0" w:color="auto"/>
            <w:right w:val="none" w:sz="0" w:space="0" w:color="auto"/>
          </w:divBdr>
          <w:divsChild>
            <w:div w:id="946235958">
              <w:marLeft w:val="0"/>
              <w:marRight w:val="0"/>
              <w:marTop w:val="0"/>
              <w:marBottom w:val="0"/>
              <w:divBdr>
                <w:top w:val="none" w:sz="0" w:space="0" w:color="auto"/>
                <w:left w:val="none" w:sz="0" w:space="0" w:color="auto"/>
                <w:bottom w:val="none" w:sz="0" w:space="0" w:color="auto"/>
                <w:right w:val="none" w:sz="0" w:space="0" w:color="auto"/>
              </w:divBdr>
            </w:div>
          </w:divsChild>
        </w:div>
        <w:div w:id="1112935920">
          <w:marLeft w:val="0"/>
          <w:marRight w:val="0"/>
          <w:marTop w:val="0"/>
          <w:marBottom w:val="0"/>
          <w:divBdr>
            <w:top w:val="none" w:sz="0" w:space="0" w:color="auto"/>
            <w:left w:val="none" w:sz="0" w:space="0" w:color="auto"/>
            <w:bottom w:val="none" w:sz="0" w:space="0" w:color="auto"/>
            <w:right w:val="none" w:sz="0" w:space="0" w:color="auto"/>
          </w:divBdr>
          <w:divsChild>
            <w:div w:id="1174341821">
              <w:marLeft w:val="0"/>
              <w:marRight w:val="0"/>
              <w:marTop w:val="0"/>
              <w:marBottom w:val="0"/>
              <w:divBdr>
                <w:top w:val="none" w:sz="0" w:space="0" w:color="auto"/>
                <w:left w:val="none" w:sz="0" w:space="0" w:color="auto"/>
                <w:bottom w:val="none" w:sz="0" w:space="0" w:color="auto"/>
                <w:right w:val="none" w:sz="0" w:space="0" w:color="auto"/>
              </w:divBdr>
            </w:div>
          </w:divsChild>
        </w:div>
        <w:div w:id="1547914567">
          <w:marLeft w:val="0"/>
          <w:marRight w:val="0"/>
          <w:marTop w:val="0"/>
          <w:marBottom w:val="0"/>
          <w:divBdr>
            <w:top w:val="none" w:sz="0" w:space="0" w:color="auto"/>
            <w:left w:val="none" w:sz="0" w:space="0" w:color="auto"/>
            <w:bottom w:val="none" w:sz="0" w:space="0" w:color="auto"/>
            <w:right w:val="none" w:sz="0" w:space="0" w:color="auto"/>
          </w:divBdr>
          <w:divsChild>
            <w:div w:id="999237897">
              <w:marLeft w:val="0"/>
              <w:marRight w:val="0"/>
              <w:marTop w:val="0"/>
              <w:marBottom w:val="0"/>
              <w:divBdr>
                <w:top w:val="none" w:sz="0" w:space="0" w:color="auto"/>
                <w:left w:val="none" w:sz="0" w:space="0" w:color="auto"/>
                <w:bottom w:val="none" w:sz="0" w:space="0" w:color="auto"/>
                <w:right w:val="none" w:sz="0" w:space="0" w:color="auto"/>
              </w:divBdr>
            </w:div>
          </w:divsChild>
        </w:div>
        <w:div w:id="1886601740">
          <w:marLeft w:val="0"/>
          <w:marRight w:val="0"/>
          <w:marTop w:val="0"/>
          <w:marBottom w:val="0"/>
          <w:divBdr>
            <w:top w:val="none" w:sz="0" w:space="0" w:color="auto"/>
            <w:left w:val="none" w:sz="0" w:space="0" w:color="auto"/>
            <w:bottom w:val="none" w:sz="0" w:space="0" w:color="auto"/>
            <w:right w:val="none" w:sz="0" w:space="0" w:color="auto"/>
          </w:divBdr>
          <w:divsChild>
            <w:div w:id="7479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1186">
      <w:bodyDiv w:val="1"/>
      <w:marLeft w:val="0"/>
      <w:marRight w:val="0"/>
      <w:marTop w:val="0"/>
      <w:marBottom w:val="0"/>
      <w:divBdr>
        <w:top w:val="none" w:sz="0" w:space="0" w:color="auto"/>
        <w:left w:val="none" w:sz="0" w:space="0" w:color="auto"/>
        <w:bottom w:val="none" w:sz="0" w:space="0" w:color="auto"/>
        <w:right w:val="none" w:sz="0" w:space="0" w:color="auto"/>
      </w:divBdr>
    </w:div>
    <w:div w:id="921993097">
      <w:bodyDiv w:val="1"/>
      <w:marLeft w:val="0"/>
      <w:marRight w:val="0"/>
      <w:marTop w:val="0"/>
      <w:marBottom w:val="0"/>
      <w:divBdr>
        <w:top w:val="none" w:sz="0" w:space="0" w:color="auto"/>
        <w:left w:val="none" w:sz="0" w:space="0" w:color="auto"/>
        <w:bottom w:val="none" w:sz="0" w:space="0" w:color="auto"/>
        <w:right w:val="none" w:sz="0" w:space="0" w:color="auto"/>
      </w:divBdr>
    </w:div>
    <w:div w:id="974991943">
      <w:bodyDiv w:val="1"/>
      <w:marLeft w:val="0"/>
      <w:marRight w:val="0"/>
      <w:marTop w:val="0"/>
      <w:marBottom w:val="0"/>
      <w:divBdr>
        <w:top w:val="none" w:sz="0" w:space="0" w:color="auto"/>
        <w:left w:val="none" w:sz="0" w:space="0" w:color="auto"/>
        <w:bottom w:val="none" w:sz="0" w:space="0" w:color="auto"/>
        <w:right w:val="none" w:sz="0" w:space="0" w:color="auto"/>
      </w:divBdr>
    </w:div>
    <w:div w:id="993264315">
      <w:bodyDiv w:val="1"/>
      <w:marLeft w:val="0"/>
      <w:marRight w:val="0"/>
      <w:marTop w:val="0"/>
      <w:marBottom w:val="0"/>
      <w:divBdr>
        <w:top w:val="none" w:sz="0" w:space="0" w:color="auto"/>
        <w:left w:val="none" w:sz="0" w:space="0" w:color="auto"/>
        <w:bottom w:val="none" w:sz="0" w:space="0" w:color="auto"/>
        <w:right w:val="none" w:sz="0" w:space="0" w:color="auto"/>
      </w:divBdr>
    </w:div>
    <w:div w:id="995109579">
      <w:bodyDiv w:val="1"/>
      <w:marLeft w:val="0"/>
      <w:marRight w:val="0"/>
      <w:marTop w:val="0"/>
      <w:marBottom w:val="0"/>
      <w:divBdr>
        <w:top w:val="none" w:sz="0" w:space="0" w:color="auto"/>
        <w:left w:val="none" w:sz="0" w:space="0" w:color="auto"/>
        <w:bottom w:val="none" w:sz="0" w:space="0" w:color="auto"/>
        <w:right w:val="none" w:sz="0" w:space="0" w:color="auto"/>
      </w:divBdr>
      <w:divsChild>
        <w:div w:id="4090425">
          <w:marLeft w:val="0"/>
          <w:marRight w:val="0"/>
          <w:marTop w:val="0"/>
          <w:marBottom w:val="0"/>
          <w:divBdr>
            <w:top w:val="none" w:sz="0" w:space="0" w:color="auto"/>
            <w:left w:val="none" w:sz="0" w:space="0" w:color="auto"/>
            <w:bottom w:val="none" w:sz="0" w:space="0" w:color="auto"/>
            <w:right w:val="none" w:sz="0" w:space="0" w:color="auto"/>
          </w:divBdr>
          <w:divsChild>
            <w:div w:id="326058582">
              <w:marLeft w:val="0"/>
              <w:marRight w:val="0"/>
              <w:marTop w:val="0"/>
              <w:marBottom w:val="0"/>
              <w:divBdr>
                <w:top w:val="none" w:sz="0" w:space="0" w:color="auto"/>
                <w:left w:val="none" w:sz="0" w:space="0" w:color="auto"/>
                <w:bottom w:val="none" w:sz="0" w:space="0" w:color="auto"/>
                <w:right w:val="none" w:sz="0" w:space="0" w:color="auto"/>
              </w:divBdr>
            </w:div>
            <w:div w:id="1050302150">
              <w:marLeft w:val="0"/>
              <w:marRight w:val="0"/>
              <w:marTop w:val="0"/>
              <w:marBottom w:val="0"/>
              <w:divBdr>
                <w:top w:val="none" w:sz="0" w:space="0" w:color="auto"/>
                <w:left w:val="none" w:sz="0" w:space="0" w:color="auto"/>
                <w:bottom w:val="none" w:sz="0" w:space="0" w:color="auto"/>
                <w:right w:val="none" w:sz="0" w:space="0" w:color="auto"/>
              </w:divBdr>
            </w:div>
          </w:divsChild>
        </w:div>
        <w:div w:id="33508871">
          <w:marLeft w:val="0"/>
          <w:marRight w:val="0"/>
          <w:marTop w:val="0"/>
          <w:marBottom w:val="0"/>
          <w:divBdr>
            <w:top w:val="none" w:sz="0" w:space="0" w:color="auto"/>
            <w:left w:val="none" w:sz="0" w:space="0" w:color="auto"/>
            <w:bottom w:val="none" w:sz="0" w:space="0" w:color="auto"/>
            <w:right w:val="none" w:sz="0" w:space="0" w:color="auto"/>
          </w:divBdr>
          <w:divsChild>
            <w:div w:id="497036598">
              <w:marLeft w:val="0"/>
              <w:marRight w:val="0"/>
              <w:marTop w:val="0"/>
              <w:marBottom w:val="0"/>
              <w:divBdr>
                <w:top w:val="none" w:sz="0" w:space="0" w:color="auto"/>
                <w:left w:val="none" w:sz="0" w:space="0" w:color="auto"/>
                <w:bottom w:val="none" w:sz="0" w:space="0" w:color="auto"/>
                <w:right w:val="none" w:sz="0" w:space="0" w:color="auto"/>
              </w:divBdr>
            </w:div>
          </w:divsChild>
        </w:div>
        <w:div w:id="58792742">
          <w:marLeft w:val="0"/>
          <w:marRight w:val="0"/>
          <w:marTop w:val="0"/>
          <w:marBottom w:val="0"/>
          <w:divBdr>
            <w:top w:val="none" w:sz="0" w:space="0" w:color="auto"/>
            <w:left w:val="none" w:sz="0" w:space="0" w:color="auto"/>
            <w:bottom w:val="none" w:sz="0" w:space="0" w:color="auto"/>
            <w:right w:val="none" w:sz="0" w:space="0" w:color="auto"/>
          </w:divBdr>
          <w:divsChild>
            <w:div w:id="1552111736">
              <w:marLeft w:val="0"/>
              <w:marRight w:val="0"/>
              <w:marTop w:val="0"/>
              <w:marBottom w:val="0"/>
              <w:divBdr>
                <w:top w:val="none" w:sz="0" w:space="0" w:color="auto"/>
                <w:left w:val="none" w:sz="0" w:space="0" w:color="auto"/>
                <w:bottom w:val="none" w:sz="0" w:space="0" w:color="auto"/>
                <w:right w:val="none" w:sz="0" w:space="0" w:color="auto"/>
              </w:divBdr>
            </w:div>
          </w:divsChild>
        </w:div>
        <w:div w:id="104007181">
          <w:marLeft w:val="0"/>
          <w:marRight w:val="0"/>
          <w:marTop w:val="0"/>
          <w:marBottom w:val="0"/>
          <w:divBdr>
            <w:top w:val="none" w:sz="0" w:space="0" w:color="auto"/>
            <w:left w:val="none" w:sz="0" w:space="0" w:color="auto"/>
            <w:bottom w:val="none" w:sz="0" w:space="0" w:color="auto"/>
            <w:right w:val="none" w:sz="0" w:space="0" w:color="auto"/>
          </w:divBdr>
          <w:divsChild>
            <w:div w:id="1441949193">
              <w:marLeft w:val="0"/>
              <w:marRight w:val="0"/>
              <w:marTop w:val="0"/>
              <w:marBottom w:val="0"/>
              <w:divBdr>
                <w:top w:val="none" w:sz="0" w:space="0" w:color="auto"/>
                <w:left w:val="none" w:sz="0" w:space="0" w:color="auto"/>
                <w:bottom w:val="none" w:sz="0" w:space="0" w:color="auto"/>
                <w:right w:val="none" w:sz="0" w:space="0" w:color="auto"/>
              </w:divBdr>
            </w:div>
          </w:divsChild>
        </w:div>
        <w:div w:id="104037321">
          <w:marLeft w:val="0"/>
          <w:marRight w:val="0"/>
          <w:marTop w:val="0"/>
          <w:marBottom w:val="0"/>
          <w:divBdr>
            <w:top w:val="none" w:sz="0" w:space="0" w:color="auto"/>
            <w:left w:val="none" w:sz="0" w:space="0" w:color="auto"/>
            <w:bottom w:val="none" w:sz="0" w:space="0" w:color="auto"/>
            <w:right w:val="none" w:sz="0" w:space="0" w:color="auto"/>
          </w:divBdr>
          <w:divsChild>
            <w:div w:id="1468087811">
              <w:marLeft w:val="0"/>
              <w:marRight w:val="0"/>
              <w:marTop w:val="0"/>
              <w:marBottom w:val="0"/>
              <w:divBdr>
                <w:top w:val="none" w:sz="0" w:space="0" w:color="auto"/>
                <w:left w:val="none" w:sz="0" w:space="0" w:color="auto"/>
                <w:bottom w:val="none" w:sz="0" w:space="0" w:color="auto"/>
                <w:right w:val="none" w:sz="0" w:space="0" w:color="auto"/>
              </w:divBdr>
            </w:div>
          </w:divsChild>
        </w:div>
        <w:div w:id="134223092">
          <w:marLeft w:val="0"/>
          <w:marRight w:val="0"/>
          <w:marTop w:val="0"/>
          <w:marBottom w:val="0"/>
          <w:divBdr>
            <w:top w:val="none" w:sz="0" w:space="0" w:color="auto"/>
            <w:left w:val="none" w:sz="0" w:space="0" w:color="auto"/>
            <w:bottom w:val="none" w:sz="0" w:space="0" w:color="auto"/>
            <w:right w:val="none" w:sz="0" w:space="0" w:color="auto"/>
          </w:divBdr>
          <w:divsChild>
            <w:div w:id="1987582107">
              <w:marLeft w:val="0"/>
              <w:marRight w:val="0"/>
              <w:marTop w:val="0"/>
              <w:marBottom w:val="0"/>
              <w:divBdr>
                <w:top w:val="none" w:sz="0" w:space="0" w:color="auto"/>
                <w:left w:val="none" w:sz="0" w:space="0" w:color="auto"/>
                <w:bottom w:val="none" w:sz="0" w:space="0" w:color="auto"/>
                <w:right w:val="none" w:sz="0" w:space="0" w:color="auto"/>
              </w:divBdr>
            </w:div>
          </w:divsChild>
        </w:div>
        <w:div w:id="166332646">
          <w:marLeft w:val="0"/>
          <w:marRight w:val="0"/>
          <w:marTop w:val="0"/>
          <w:marBottom w:val="0"/>
          <w:divBdr>
            <w:top w:val="none" w:sz="0" w:space="0" w:color="auto"/>
            <w:left w:val="none" w:sz="0" w:space="0" w:color="auto"/>
            <w:bottom w:val="none" w:sz="0" w:space="0" w:color="auto"/>
            <w:right w:val="none" w:sz="0" w:space="0" w:color="auto"/>
          </w:divBdr>
          <w:divsChild>
            <w:div w:id="479032392">
              <w:marLeft w:val="0"/>
              <w:marRight w:val="0"/>
              <w:marTop w:val="0"/>
              <w:marBottom w:val="0"/>
              <w:divBdr>
                <w:top w:val="none" w:sz="0" w:space="0" w:color="auto"/>
                <w:left w:val="none" w:sz="0" w:space="0" w:color="auto"/>
                <w:bottom w:val="none" w:sz="0" w:space="0" w:color="auto"/>
                <w:right w:val="none" w:sz="0" w:space="0" w:color="auto"/>
              </w:divBdr>
            </w:div>
          </w:divsChild>
        </w:div>
        <w:div w:id="233394884">
          <w:marLeft w:val="0"/>
          <w:marRight w:val="0"/>
          <w:marTop w:val="0"/>
          <w:marBottom w:val="0"/>
          <w:divBdr>
            <w:top w:val="none" w:sz="0" w:space="0" w:color="auto"/>
            <w:left w:val="none" w:sz="0" w:space="0" w:color="auto"/>
            <w:bottom w:val="none" w:sz="0" w:space="0" w:color="auto"/>
            <w:right w:val="none" w:sz="0" w:space="0" w:color="auto"/>
          </w:divBdr>
          <w:divsChild>
            <w:div w:id="745341155">
              <w:marLeft w:val="0"/>
              <w:marRight w:val="0"/>
              <w:marTop w:val="0"/>
              <w:marBottom w:val="0"/>
              <w:divBdr>
                <w:top w:val="none" w:sz="0" w:space="0" w:color="auto"/>
                <w:left w:val="none" w:sz="0" w:space="0" w:color="auto"/>
                <w:bottom w:val="none" w:sz="0" w:space="0" w:color="auto"/>
                <w:right w:val="none" w:sz="0" w:space="0" w:color="auto"/>
              </w:divBdr>
            </w:div>
          </w:divsChild>
        </w:div>
        <w:div w:id="235481914">
          <w:marLeft w:val="0"/>
          <w:marRight w:val="0"/>
          <w:marTop w:val="0"/>
          <w:marBottom w:val="0"/>
          <w:divBdr>
            <w:top w:val="none" w:sz="0" w:space="0" w:color="auto"/>
            <w:left w:val="none" w:sz="0" w:space="0" w:color="auto"/>
            <w:bottom w:val="none" w:sz="0" w:space="0" w:color="auto"/>
            <w:right w:val="none" w:sz="0" w:space="0" w:color="auto"/>
          </w:divBdr>
          <w:divsChild>
            <w:div w:id="102383504">
              <w:marLeft w:val="0"/>
              <w:marRight w:val="0"/>
              <w:marTop w:val="0"/>
              <w:marBottom w:val="0"/>
              <w:divBdr>
                <w:top w:val="none" w:sz="0" w:space="0" w:color="auto"/>
                <w:left w:val="none" w:sz="0" w:space="0" w:color="auto"/>
                <w:bottom w:val="none" w:sz="0" w:space="0" w:color="auto"/>
                <w:right w:val="none" w:sz="0" w:space="0" w:color="auto"/>
              </w:divBdr>
            </w:div>
            <w:div w:id="233206902">
              <w:marLeft w:val="0"/>
              <w:marRight w:val="0"/>
              <w:marTop w:val="0"/>
              <w:marBottom w:val="0"/>
              <w:divBdr>
                <w:top w:val="none" w:sz="0" w:space="0" w:color="auto"/>
                <w:left w:val="none" w:sz="0" w:space="0" w:color="auto"/>
                <w:bottom w:val="none" w:sz="0" w:space="0" w:color="auto"/>
                <w:right w:val="none" w:sz="0" w:space="0" w:color="auto"/>
              </w:divBdr>
            </w:div>
          </w:divsChild>
        </w:div>
        <w:div w:id="258299697">
          <w:marLeft w:val="0"/>
          <w:marRight w:val="0"/>
          <w:marTop w:val="0"/>
          <w:marBottom w:val="0"/>
          <w:divBdr>
            <w:top w:val="none" w:sz="0" w:space="0" w:color="auto"/>
            <w:left w:val="none" w:sz="0" w:space="0" w:color="auto"/>
            <w:bottom w:val="none" w:sz="0" w:space="0" w:color="auto"/>
            <w:right w:val="none" w:sz="0" w:space="0" w:color="auto"/>
          </w:divBdr>
          <w:divsChild>
            <w:div w:id="1465539631">
              <w:marLeft w:val="0"/>
              <w:marRight w:val="0"/>
              <w:marTop w:val="0"/>
              <w:marBottom w:val="0"/>
              <w:divBdr>
                <w:top w:val="none" w:sz="0" w:space="0" w:color="auto"/>
                <w:left w:val="none" w:sz="0" w:space="0" w:color="auto"/>
                <w:bottom w:val="none" w:sz="0" w:space="0" w:color="auto"/>
                <w:right w:val="none" w:sz="0" w:space="0" w:color="auto"/>
              </w:divBdr>
            </w:div>
          </w:divsChild>
        </w:div>
        <w:div w:id="282159173">
          <w:marLeft w:val="0"/>
          <w:marRight w:val="0"/>
          <w:marTop w:val="0"/>
          <w:marBottom w:val="0"/>
          <w:divBdr>
            <w:top w:val="none" w:sz="0" w:space="0" w:color="auto"/>
            <w:left w:val="none" w:sz="0" w:space="0" w:color="auto"/>
            <w:bottom w:val="none" w:sz="0" w:space="0" w:color="auto"/>
            <w:right w:val="none" w:sz="0" w:space="0" w:color="auto"/>
          </w:divBdr>
          <w:divsChild>
            <w:div w:id="1742022429">
              <w:marLeft w:val="0"/>
              <w:marRight w:val="0"/>
              <w:marTop w:val="0"/>
              <w:marBottom w:val="0"/>
              <w:divBdr>
                <w:top w:val="none" w:sz="0" w:space="0" w:color="auto"/>
                <w:left w:val="none" w:sz="0" w:space="0" w:color="auto"/>
                <w:bottom w:val="none" w:sz="0" w:space="0" w:color="auto"/>
                <w:right w:val="none" w:sz="0" w:space="0" w:color="auto"/>
              </w:divBdr>
            </w:div>
          </w:divsChild>
        </w:div>
        <w:div w:id="340936500">
          <w:marLeft w:val="0"/>
          <w:marRight w:val="0"/>
          <w:marTop w:val="0"/>
          <w:marBottom w:val="0"/>
          <w:divBdr>
            <w:top w:val="none" w:sz="0" w:space="0" w:color="auto"/>
            <w:left w:val="none" w:sz="0" w:space="0" w:color="auto"/>
            <w:bottom w:val="none" w:sz="0" w:space="0" w:color="auto"/>
            <w:right w:val="none" w:sz="0" w:space="0" w:color="auto"/>
          </w:divBdr>
          <w:divsChild>
            <w:div w:id="734013493">
              <w:marLeft w:val="0"/>
              <w:marRight w:val="0"/>
              <w:marTop w:val="0"/>
              <w:marBottom w:val="0"/>
              <w:divBdr>
                <w:top w:val="none" w:sz="0" w:space="0" w:color="auto"/>
                <w:left w:val="none" w:sz="0" w:space="0" w:color="auto"/>
                <w:bottom w:val="none" w:sz="0" w:space="0" w:color="auto"/>
                <w:right w:val="none" w:sz="0" w:space="0" w:color="auto"/>
              </w:divBdr>
            </w:div>
          </w:divsChild>
        </w:div>
        <w:div w:id="352148209">
          <w:marLeft w:val="0"/>
          <w:marRight w:val="0"/>
          <w:marTop w:val="0"/>
          <w:marBottom w:val="0"/>
          <w:divBdr>
            <w:top w:val="none" w:sz="0" w:space="0" w:color="auto"/>
            <w:left w:val="none" w:sz="0" w:space="0" w:color="auto"/>
            <w:bottom w:val="none" w:sz="0" w:space="0" w:color="auto"/>
            <w:right w:val="none" w:sz="0" w:space="0" w:color="auto"/>
          </w:divBdr>
          <w:divsChild>
            <w:div w:id="291323559">
              <w:marLeft w:val="0"/>
              <w:marRight w:val="0"/>
              <w:marTop w:val="0"/>
              <w:marBottom w:val="0"/>
              <w:divBdr>
                <w:top w:val="none" w:sz="0" w:space="0" w:color="auto"/>
                <w:left w:val="none" w:sz="0" w:space="0" w:color="auto"/>
                <w:bottom w:val="none" w:sz="0" w:space="0" w:color="auto"/>
                <w:right w:val="none" w:sz="0" w:space="0" w:color="auto"/>
              </w:divBdr>
            </w:div>
          </w:divsChild>
        </w:div>
        <w:div w:id="376010000">
          <w:marLeft w:val="0"/>
          <w:marRight w:val="0"/>
          <w:marTop w:val="0"/>
          <w:marBottom w:val="0"/>
          <w:divBdr>
            <w:top w:val="none" w:sz="0" w:space="0" w:color="auto"/>
            <w:left w:val="none" w:sz="0" w:space="0" w:color="auto"/>
            <w:bottom w:val="none" w:sz="0" w:space="0" w:color="auto"/>
            <w:right w:val="none" w:sz="0" w:space="0" w:color="auto"/>
          </w:divBdr>
          <w:divsChild>
            <w:div w:id="1408457745">
              <w:marLeft w:val="0"/>
              <w:marRight w:val="0"/>
              <w:marTop w:val="0"/>
              <w:marBottom w:val="0"/>
              <w:divBdr>
                <w:top w:val="none" w:sz="0" w:space="0" w:color="auto"/>
                <w:left w:val="none" w:sz="0" w:space="0" w:color="auto"/>
                <w:bottom w:val="none" w:sz="0" w:space="0" w:color="auto"/>
                <w:right w:val="none" w:sz="0" w:space="0" w:color="auto"/>
              </w:divBdr>
            </w:div>
          </w:divsChild>
        </w:div>
        <w:div w:id="474224947">
          <w:marLeft w:val="0"/>
          <w:marRight w:val="0"/>
          <w:marTop w:val="0"/>
          <w:marBottom w:val="0"/>
          <w:divBdr>
            <w:top w:val="none" w:sz="0" w:space="0" w:color="auto"/>
            <w:left w:val="none" w:sz="0" w:space="0" w:color="auto"/>
            <w:bottom w:val="none" w:sz="0" w:space="0" w:color="auto"/>
            <w:right w:val="none" w:sz="0" w:space="0" w:color="auto"/>
          </w:divBdr>
          <w:divsChild>
            <w:div w:id="787700476">
              <w:marLeft w:val="0"/>
              <w:marRight w:val="0"/>
              <w:marTop w:val="0"/>
              <w:marBottom w:val="0"/>
              <w:divBdr>
                <w:top w:val="none" w:sz="0" w:space="0" w:color="auto"/>
                <w:left w:val="none" w:sz="0" w:space="0" w:color="auto"/>
                <w:bottom w:val="none" w:sz="0" w:space="0" w:color="auto"/>
                <w:right w:val="none" w:sz="0" w:space="0" w:color="auto"/>
              </w:divBdr>
            </w:div>
          </w:divsChild>
        </w:div>
        <w:div w:id="477038981">
          <w:marLeft w:val="0"/>
          <w:marRight w:val="0"/>
          <w:marTop w:val="0"/>
          <w:marBottom w:val="0"/>
          <w:divBdr>
            <w:top w:val="none" w:sz="0" w:space="0" w:color="auto"/>
            <w:left w:val="none" w:sz="0" w:space="0" w:color="auto"/>
            <w:bottom w:val="none" w:sz="0" w:space="0" w:color="auto"/>
            <w:right w:val="none" w:sz="0" w:space="0" w:color="auto"/>
          </w:divBdr>
          <w:divsChild>
            <w:div w:id="1960530810">
              <w:marLeft w:val="0"/>
              <w:marRight w:val="0"/>
              <w:marTop w:val="0"/>
              <w:marBottom w:val="0"/>
              <w:divBdr>
                <w:top w:val="none" w:sz="0" w:space="0" w:color="auto"/>
                <w:left w:val="none" w:sz="0" w:space="0" w:color="auto"/>
                <w:bottom w:val="none" w:sz="0" w:space="0" w:color="auto"/>
                <w:right w:val="none" w:sz="0" w:space="0" w:color="auto"/>
              </w:divBdr>
            </w:div>
          </w:divsChild>
        </w:div>
        <w:div w:id="591355711">
          <w:marLeft w:val="0"/>
          <w:marRight w:val="0"/>
          <w:marTop w:val="0"/>
          <w:marBottom w:val="0"/>
          <w:divBdr>
            <w:top w:val="none" w:sz="0" w:space="0" w:color="auto"/>
            <w:left w:val="none" w:sz="0" w:space="0" w:color="auto"/>
            <w:bottom w:val="none" w:sz="0" w:space="0" w:color="auto"/>
            <w:right w:val="none" w:sz="0" w:space="0" w:color="auto"/>
          </w:divBdr>
          <w:divsChild>
            <w:div w:id="299117869">
              <w:marLeft w:val="0"/>
              <w:marRight w:val="0"/>
              <w:marTop w:val="0"/>
              <w:marBottom w:val="0"/>
              <w:divBdr>
                <w:top w:val="none" w:sz="0" w:space="0" w:color="auto"/>
                <w:left w:val="none" w:sz="0" w:space="0" w:color="auto"/>
                <w:bottom w:val="none" w:sz="0" w:space="0" w:color="auto"/>
                <w:right w:val="none" w:sz="0" w:space="0" w:color="auto"/>
              </w:divBdr>
            </w:div>
          </w:divsChild>
        </w:div>
        <w:div w:id="649987518">
          <w:marLeft w:val="0"/>
          <w:marRight w:val="0"/>
          <w:marTop w:val="0"/>
          <w:marBottom w:val="0"/>
          <w:divBdr>
            <w:top w:val="none" w:sz="0" w:space="0" w:color="auto"/>
            <w:left w:val="none" w:sz="0" w:space="0" w:color="auto"/>
            <w:bottom w:val="none" w:sz="0" w:space="0" w:color="auto"/>
            <w:right w:val="none" w:sz="0" w:space="0" w:color="auto"/>
          </w:divBdr>
          <w:divsChild>
            <w:div w:id="1492484062">
              <w:marLeft w:val="0"/>
              <w:marRight w:val="0"/>
              <w:marTop w:val="0"/>
              <w:marBottom w:val="0"/>
              <w:divBdr>
                <w:top w:val="none" w:sz="0" w:space="0" w:color="auto"/>
                <w:left w:val="none" w:sz="0" w:space="0" w:color="auto"/>
                <w:bottom w:val="none" w:sz="0" w:space="0" w:color="auto"/>
                <w:right w:val="none" w:sz="0" w:space="0" w:color="auto"/>
              </w:divBdr>
            </w:div>
          </w:divsChild>
        </w:div>
        <w:div w:id="675158257">
          <w:marLeft w:val="0"/>
          <w:marRight w:val="0"/>
          <w:marTop w:val="0"/>
          <w:marBottom w:val="0"/>
          <w:divBdr>
            <w:top w:val="none" w:sz="0" w:space="0" w:color="auto"/>
            <w:left w:val="none" w:sz="0" w:space="0" w:color="auto"/>
            <w:bottom w:val="none" w:sz="0" w:space="0" w:color="auto"/>
            <w:right w:val="none" w:sz="0" w:space="0" w:color="auto"/>
          </w:divBdr>
          <w:divsChild>
            <w:div w:id="1796634894">
              <w:marLeft w:val="0"/>
              <w:marRight w:val="0"/>
              <w:marTop w:val="0"/>
              <w:marBottom w:val="0"/>
              <w:divBdr>
                <w:top w:val="none" w:sz="0" w:space="0" w:color="auto"/>
                <w:left w:val="none" w:sz="0" w:space="0" w:color="auto"/>
                <w:bottom w:val="none" w:sz="0" w:space="0" w:color="auto"/>
                <w:right w:val="none" w:sz="0" w:space="0" w:color="auto"/>
              </w:divBdr>
            </w:div>
          </w:divsChild>
        </w:div>
        <w:div w:id="683441587">
          <w:marLeft w:val="0"/>
          <w:marRight w:val="0"/>
          <w:marTop w:val="0"/>
          <w:marBottom w:val="0"/>
          <w:divBdr>
            <w:top w:val="none" w:sz="0" w:space="0" w:color="auto"/>
            <w:left w:val="none" w:sz="0" w:space="0" w:color="auto"/>
            <w:bottom w:val="none" w:sz="0" w:space="0" w:color="auto"/>
            <w:right w:val="none" w:sz="0" w:space="0" w:color="auto"/>
          </w:divBdr>
          <w:divsChild>
            <w:div w:id="1389576504">
              <w:marLeft w:val="0"/>
              <w:marRight w:val="0"/>
              <w:marTop w:val="0"/>
              <w:marBottom w:val="0"/>
              <w:divBdr>
                <w:top w:val="none" w:sz="0" w:space="0" w:color="auto"/>
                <w:left w:val="none" w:sz="0" w:space="0" w:color="auto"/>
                <w:bottom w:val="none" w:sz="0" w:space="0" w:color="auto"/>
                <w:right w:val="none" w:sz="0" w:space="0" w:color="auto"/>
              </w:divBdr>
            </w:div>
            <w:div w:id="1977635171">
              <w:marLeft w:val="0"/>
              <w:marRight w:val="0"/>
              <w:marTop w:val="0"/>
              <w:marBottom w:val="0"/>
              <w:divBdr>
                <w:top w:val="none" w:sz="0" w:space="0" w:color="auto"/>
                <w:left w:val="none" w:sz="0" w:space="0" w:color="auto"/>
                <w:bottom w:val="none" w:sz="0" w:space="0" w:color="auto"/>
                <w:right w:val="none" w:sz="0" w:space="0" w:color="auto"/>
              </w:divBdr>
            </w:div>
          </w:divsChild>
        </w:div>
        <w:div w:id="687100798">
          <w:marLeft w:val="0"/>
          <w:marRight w:val="0"/>
          <w:marTop w:val="0"/>
          <w:marBottom w:val="0"/>
          <w:divBdr>
            <w:top w:val="none" w:sz="0" w:space="0" w:color="auto"/>
            <w:left w:val="none" w:sz="0" w:space="0" w:color="auto"/>
            <w:bottom w:val="none" w:sz="0" w:space="0" w:color="auto"/>
            <w:right w:val="none" w:sz="0" w:space="0" w:color="auto"/>
          </w:divBdr>
          <w:divsChild>
            <w:div w:id="443039045">
              <w:marLeft w:val="0"/>
              <w:marRight w:val="0"/>
              <w:marTop w:val="0"/>
              <w:marBottom w:val="0"/>
              <w:divBdr>
                <w:top w:val="none" w:sz="0" w:space="0" w:color="auto"/>
                <w:left w:val="none" w:sz="0" w:space="0" w:color="auto"/>
                <w:bottom w:val="none" w:sz="0" w:space="0" w:color="auto"/>
                <w:right w:val="none" w:sz="0" w:space="0" w:color="auto"/>
              </w:divBdr>
            </w:div>
          </w:divsChild>
        </w:div>
        <w:div w:id="755177972">
          <w:marLeft w:val="0"/>
          <w:marRight w:val="0"/>
          <w:marTop w:val="0"/>
          <w:marBottom w:val="0"/>
          <w:divBdr>
            <w:top w:val="none" w:sz="0" w:space="0" w:color="auto"/>
            <w:left w:val="none" w:sz="0" w:space="0" w:color="auto"/>
            <w:bottom w:val="none" w:sz="0" w:space="0" w:color="auto"/>
            <w:right w:val="none" w:sz="0" w:space="0" w:color="auto"/>
          </w:divBdr>
          <w:divsChild>
            <w:div w:id="59445784">
              <w:marLeft w:val="0"/>
              <w:marRight w:val="0"/>
              <w:marTop w:val="0"/>
              <w:marBottom w:val="0"/>
              <w:divBdr>
                <w:top w:val="none" w:sz="0" w:space="0" w:color="auto"/>
                <w:left w:val="none" w:sz="0" w:space="0" w:color="auto"/>
                <w:bottom w:val="none" w:sz="0" w:space="0" w:color="auto"/>
                <w:right w:val="none" w:sz="0" w:space="0" w:color="auto"/>
              </w:divBdr>
            </w:div>
          </w:divsChild>
        </w:div>
        <w:div w:id="850218979">
          <w:marLeft w:val="0"/>
          <w:marRight w:val="0"/>
          <w:marTop w:val="0"/>
          <w:marBottom w:val="0"/>
          <w:divBdr>
            <w:top w:val="none" w:sz="0" w:space="0" w:color="auto"/>
            <w:left w:val="none" w:sz="0" w:space="0" w:color="auto"/>
            <w:bottom w:val="none" w:sz="0" w:space="0" w:color="auto"/>
            <w:right w:val="none" w:sz="0" w:space="0" w:color="auto"/>
          </w:divBdr>
          <w:divsChild>
            <w:div w:id="982809166">
              <w:marLeft w:val="0"/>
              <w:marRight w:val="0"/>
              <w:marTop w:val="0"/>
              <w:marBottom w:val="0"/>
              <w:divBdr>
                <w:top w:val="none" w:sz="0" w:space="0" w:color="auto"/>
                <w:left w:val="none" w:sz="0" w:space="0" w:color="auto"/>
                <w:bottom w:val="none" w:sz="0" w:space="0" w:color="auto"/>
                <w:right w:val="none" w:sz="0" w:space="0" w:color="auto"/>
              </w:divBdr>
            </w:div>
          </w:divsChild>
        </w:div>
        <w:div w:id="1012613546">
          <w:marLeft w:val="0"/>
          <w:marRight w:val="0"/>
          <w:marTop w:val="0"/>
          <w:marBottom w:val="0"/>
          <w:divBdr>
            <w:top w:val="none" w:sz="0" w:space="0" w:color="auto"/>
            <w:left w:val="none" w:sz="0" w:space="0" w:color="auto"/>
            <w:bottom w:val="none" w:sz="0" w:space="0" w:color="auto"/>
            <w:right w:val="none" w:sz="0" w:space="0" w:color="auto"/>
          </w:divBdr>
          <w:divsChild>
            <w:div w:id="458183450">
              <w:marLeft w:val="0"/>
              <w:marRight w:val="0"/>
              <w:marTop w:val="0"/>
              <w:marBottom w:val="0"/>
              <w:divBdr>
                <w:top w:val="none" w:sz="0" w:space="0" w:color="auto"/>
                <w:left w:val="none" w:sz="0" w:space="0" w:color="auto"/>
                <w:bottom w:val="none" w:sz="0" w:space="0" w:color="auto"/>
                <w:right w:val="none" w:sz="0" w:space="0" w:color="auto"/>
              </w:divBdr>
            </w:div>
          </w:divsChild>
        </w:div>
        <w:div w:id="1042092731">
          <w:marLeft w:val="0"/>
          <w:marRight w:val="0"/>
          <w:marTop w:val="0"/>
          <w:marBottom w:val="0"/>
          <w:divBdr>
            <w:top w:val="none" w:sz="0" w:space="0" w:color="auto"/>
            <w:left w:val="none" w:sz="0" w:space="0" w:color="auto"/>
            <w:bottom w:val="none" w:sz="0" w:space="0" w:color="auto"/>
            <w:right w:val="none" w:sz="0" w:space="0" w:color="auto"/>
          </w:divBdr>
          <w:divsChild>
            <w:div w:id="1078017050">
              <w:marLeft w:val="0"/>
              <w:marRight w:val="0"/>
              <w:marTop w:val="0"/>
              <w:marBottom w:val="0"/>
              <w:divBdr>
                <w:top w:val="none" w:sz="0" w:space="0" w:color="auto"/>
                <w:left w:val="none" w:sz="0" w:space="0" w:color="auto"/>
                <w:bottom w:val="none" w:sz="0" w:space="0" w:color="auto"/>
                <w:right w:val="none" w:sz="0" w:space="0" w:color="auto"/>
              </w:divBdr>
            </w:div>
          </w:divsChild>
        </w:div>
        <w:div w:id="1100755789">
          <w:marLeft w:val="0"/>
          <w:marRight w:val="0"/>
          <w:marTop w:val="0"/>
          <w:marBottom w:val="0"/>
          <w:divBdr>
            <w:top w:val="none" w:sz="0" w:space="0" w:color="auto"/>
            <w:left w:val="none" w:sz="0" w:space="0" w:color="auto"/>
            <w:bottom w:val="none" w:sz="0" w:space="0" w:color="auto"/>
            <w:right w:val="none" w:sz="0" w:space="0" w:color="auto"/>
          </w:divBdr>
          <w:divsChild>
            <w:div w:id="1792089549">
              <w:marLeft w:val="0"/>
              <w:marRight w:val="0"/>
              <w:marTop w:val="0"/>
              <w:marBottom w:val="0"/>
              <w:divBdr>
                <w:top w:val="none" w:sz="0" w:space="0" w:color="auto"/>
                <w:left w:val="none" w:sz="0" w:space="0" w:color="auto"/>
                <w:bottom w:val="none" w:sz="0" w:space="0" w:color="auto"/>
                <w:right w:val="none" w:sz="0" w:space="0" w:color="auto"/>
              </w:divBdr>
            </w:div>
          </w:divsChild>
        </w:div>
        <w:div w:id="1229925558">
          <w:marLeft w:val="0"/>
          <w:marRight w:val="0"/>
          <w:marTop w:val="0"/>
          <w:marBottom w:val="0"/>
          <w:divBdr>
            <w:top w:val="none" w:sz="0" w:space="0" w:color="auto"/>
            <w:left w:val="none" w:sz="0" w:space="0" w:color="auto"/>
            <w:bottom w:val="none" w:sz="0" w:space="0" w:color="auto"/>
            <w:right w:val="none" w:sz="0" w:space="0" w:color="auto"/>
          </w:divBdr>
          <w:divsChild>
            <w:div w:id="839737870">
              <w:marLeft w:val="0"/>
              <w:marRight w:val="0"/>
              <w:marTop w:val="0"/>
              <w:marBottom w:val="0"/>
              <w:divBdr>
                <w:top w:val="none" w:sz="0" w:space="0" w:color="auto"/>
                <w:left w:val="none" w:sz="0" w:space="0" w:color="auto"/>
                <w:bottom w:val="none" w:sz="0" w:space="0" w:color="auto"/>
                <w:right w:val="none" w:sz="0" w:space="0" w:color="auto"/>
              </w:divBdr>
            </w:div>
            <w:div w:id="1108084941">
              <w:marLeft w:val="0"/>
              <w:marRight w:val="0"/>
              <w:marTop w:val="0"/>
              <w:marBottom w:val="0"/>
              <w:divBdr>
                <w:top w:val="none" w:sz="0" w:space="0" w:color="auto"/>
                <w:left w:val="none" w:sz="0" w:space="0" w:color="auto"/>
                <w:bottom w:val="none" w:sz="0" w:space="0" w:color="auto"/>
                <w:right w:val="none" w:sz="0" w:space="0" w:color="auto"/>
              </w:divBdr>
            </w:div>
          </w:divsChild>
        </w:div>
        <w:div w:id="1294948924">
          <w:marLeft w:val="0"/>
          <w:marRight w:val="0"/>
          <w:marTop w:val="0"/>
          <w:marBottom w:val="0"/>
          <w:divBdr>
            <w:top w:val="none" w:sz="0" w:space="0" w:color="auto"/>
            <w:left w:val="none" w:sz="0" w:space="0" w:color="auto"/>
            <w:bottom w:val="none" w:sz="0" w:space="0" w:color="auto"/>
            <w:right w:val="none" w:sz="0" w:space="0" w:color="auto"/>
          </w:divBdr>
          <w:divsChild>
            <w:div w:id="1795521350">
              <w:marLeft w:val="0"/>
              <w:marRight w:val="0"/>
              <w:marTop w:val="0"/>
              <w:marBottom w:val="0"/>
              <w:divBdr>
                <w:top w:val="none" w:sz="0" w:space="0" w:color="auto"/>
                <w:left w:val="none" w:sz="0" w:space="0" w:color="auto"/>
                <w:bottom w:val="none" w:sz="0" w:space="0" w:color="auto"/>
                <w:right w:val="none" w:sz="0" w:space="0" w:color="auto"/>
              </w:divBdr>
            </w:div>
          </w:divsChild>
        </w:div>
        <w:div w:id="1325206151">
          <w:marLeft w:val="0"/>
          <w:marRight w:val="0"/>
          <w:marTop w:val="0"/>
          <w:marBottom w:val="0"/>
          <w:divBdr>
            <w:top w:val="none" w:sz="0" w:space="0" w:color="auto"/>
            <w:left w:val="none" w:sz="0" w:space="0" w:color="auto"/>
            <w:bottom w:val="none" w:sz="0" w:space="0" w:color="auto"/>
            <w:right w:val="none" w:sz="0" w:space="0" w:color="auto"/>
          </w:divBdr>
          <w:divsChild>
            <w:div w:id="588660769">
              <w:marLeft w:val="0"/>
              <w:marRight w:val="0"/>
              <w:marTop w:val="0"/>
              <w:marBottom w:val="0"/>
              <w:divBdr>
                <w:top w:val="none" w:sz="0" w:space="0" w:color="auto"/>
                <w:left w:val="none" w:sz="0" w:space="0" w:color="auto"/>
                <w:bottom w:val="none" w:sz="0" w:space="0" w:color="auto"/>
                <w:right w:val="none" w:sz="0" w:space="0" w:color="auto"/>
              </w:divBdr>
            </w:div>
          </w:divsChild>
        </w:div>
        <w:div w:id="1524323105">
          <w:marLeft w:val="0"/>
          <w:marRight w:val="0"/>
          <w:marTop w:val="0"/>
          <w:marBottom w:val="0"/>
          <w:divBdr>
            <w:top w:val="none" w:sz="0" w:space="0" w:color="auto"/>
            <w:left w:val="none" w:sz="0" w:space="0" w:color="auto"/>
            <w:bottom w:val="none" w:sz="0" w:space="0" w:color="auto"/>
            <w:right w:val="none" w:sz="0" w:space="0" w:color="auto"/>
          </w:divBdr>
          <w:divsChild>
            <w:div w:id="1095243423">
              <w:marLeft w:val="0"/>
              <w:marRight w:val="0"/>
              <w:marTop w:val="0"/>
              <w:marBottom w:val="0"/>
              <w:divBdr>
                <w:top w:val="none" w:sz="0" w:space="0" w:color="auto"/>
                <w:left w:val="none" w:sz="0" w:space="0" w:color="auto"/>
                <w:bottom w:val="none" w:sz="0" w:space="0" w:color="auto"/>
                <w:right w:val="none" w:sz="0" w:space="0" w:color="auto"/>
              </w:divBdr>
            </w:div>
          </w:divsChild>
        </w:div>
        <w:div w:id="1605573003">
          <w:marLeft w:val="0"/>
          <w:marRight w:val="0"/>
          <w:marTop w:val="0"/>
          <w:marBottom w:val="0"/>
          <w:divBdr>
            <w:top w:val="none" w:sz="0" w:space="0" w:color="auto"/>
            <w:left w:val="none" w:sz="0" w:space="0" w:color="auto"/>
            <w:bottom w:val="none" w:sz="0" w:space="0" w:color="auto"/>
            <w:right w:val="none" w:sz="0" w:space="0" w:color="auto"/>
          </w:divBdr>
          <w:divsChild>
            <w:div w:id="263923460">
              <w:marLeft w:val="0"/>
              <w:marRight w:val="0"/>
              <w:marTop w:val="0"/>
              <w:marBottom w:val="0"/>
              <w:divBdr>
                <w:top w:val="none" w:sz="0" w:space="0" w:color="auto"/>
                <w:left w:val="none" w:sz="0" w:space="0" w:color="auto"/>
                <w:bottom w:val="none" w:sz="0" w:space="0" w:color="auto"/>
                <w:right w:val="none" w:sz="0" w:space="0" w:color="auto"/>
              </w:divBdr>
            </w:div>
          </w:divsChild>
        </w:div>
        <w:div w:id="1650479974">
          <w:marLeft w:val="0"/>
          <w:marRight w:val="0"/>
          <w:marTop w:val="0"/>
          <w:marBottom w:val="0"/>
          <w:divBdr>
            <w:top w:val="none" w:sz="0" w:space="0" w:color="auto"/>
            <w:left w:val="none" w:sz="0" w:space="0" w:color="auto"/>
            <w:bottom w:val="none" w:sz="0" w:space="0" w:color="auto"/>
            <w:right w:val="none" w:sz="0" w:space="0" w:color="auto"/>
          </w:divBdr>
          <w:divsChild>
            <w:div w:id="1041638912">
              <w:marLeft w:val="0"/>
              <w:marRight w:val="0"/>
              <w:marTop w:val="0"/>
              <w:marBottom w:val="0"/>
              <w:divBdr>
                <w:top w:val="none" w:sz="0" w:space="0" w:color="auto"/>
                <w:left w:val="none" w:sz="0" w:space="0" w:color="auto"/>
                <w:bottom w:val="none" w:sz="0" w:space="0" w:color="auto"/>
                <w:right w:val="none" w:sz="0" w:space="0" w:color="auto"/>
              </w:divBdr>
            </w:div>
          </w:divsChild>
        </w:div>
        <w:div w:id="1650984077">
          <w:marLeft w:val="0"/>
          <w:marRight w:val="0"/>
          <w:marTop w:val="0"/>
          <w:marBottom w:val="0"/>
          <w:divBdr>
            <w:top w:val="none" w:sz="0" w:space="0" w:color="auto"/>
            <w:left w:val="none" w:sz="0" w:space="0" w:color="auto"/>
            <w:bottom w:val="none" w:sz="0" w:space="0" w:color="auto"/>
            <w:right w:val="none" w:sz="0" w:space="0" w:color="auto"/>
          </w:divBdr>
          <w:divsChild>
            <w:div w:id="985741255">
              <w:marLeft w:val="0"/>
              <w:marRight w:val="0"/>
              <w:marTop w:val="0"/>
              <w:marBottom w:val="0"/>
              <w:divBdr>
                <w:top w:val="none" w:sz="0" w:space="0" w:color="auto"/>
                <w:left w:val="none" w:sz="0" w:space="0" w:color="auto"/>
                <w:bottom w:val="none" w:sz="0" w:space="0" w:color="auto"/>
                <w:right w:val="none" w:sz="0" w:space="0" w:color="auto"/>
              </w:divBdr>
            </w:div>
          </w:divsChild>
        </w:div>
        <w:div w:id="1670447707">
          <w:marLeft w:val="0"/>
          <w:marRight w:val="0"/>
          <w:marTop w:val="0"/>
          <w:marBottom w:val="0"/>
          <w:divBdr>
            <w:top w:val="none" w:sz="0" w:space="0" w:color="auto"/>
            <w:left w:val="none" w:sz="0" w:space="0" w:color="auto"/>
            <w:bottom w:val="none" w:sz="0" w:space="0" w:color="auto"/>
            <w:right w:val="none" w:sz="0" w:space="0" w:color="auto"/>
          </w:divBdr>
          <w:divsChild>
            <w:div w:id="994068931">
              <w:marLeft w:val="0"/>
              <w:marRight w:val="0"/>
              <w:marTop w:val="0"/>
              <w:marBottom w:val="0"/>
              <w:divBdr>
                <w:top w:val="none" w:sz="0" w:space="0" w:color="auto"/>
                <w:left w:val="none" w:sz="0" w:space="0" w:color="auto"/>
                <w:bottom w:val="none" w:sz="0" w:space="0" w:color="auto"/>
                <w:right w:val="none" w:sz="0" w:space="0" w:color="auto"/>
              </w:divBdr>
            </w:div>
          </w:divsChild>
        </w:div>
        <w:div w:id="1703363433">
          <w:marLeft w:val="0"/>
          <w:marRight w:val="0"/>
          <w:marTop w:val="0"/>
          <w:marBottom w:val="0"/>
          <w:divBdr>
            <w:top w:val="none" w:sz="0" w:space="0" w:color="auto"/>
            <w:left w:val="none" w:sz="0" w:space="0" w:color="auto"/>
            <w:bottom w:val="none" w:sz="0" w:space="0" w:color="auto"/>
            <w:right w:val="none" w:sz="0" w:space="0" w:color="auto"/>
          </w:divBdr>
          <w:divsChild>
            <w:div w:id="1691447133">
              <w:marLeft w:val="0"/>
              <w:marRight w:val="0"/>
              <w:marTop w:val="0"/>
              <w:marBottom w:val="0"/>
              <w:divBdr>
                <w:top w:val="none" w:sz="0" w:space="0" w:color="auto"/>
                <w:left w:val="none" w:sz="0" w:space="0" w:color="auto"/>
                <w:bottom w:val="none" w:sz="0" w:space="0" w:color="auto"/>
                <w:right w:val="none" w:sz="0" w:space="0" w:color="auto"/>
              </w:divBdr>
            </w:div>
          </w:divsChild>
        </w:div>
        <w:div w:id="1709525539">
          <w:marLeft w:val="0"/>
          <w:marRight w:val="0"/>
          <w:marTop w:val="0"/>
          <w:marBottom w:val="0"/>
          <w:divBdr>
            <w:top w:val="none" w:sz="0" w:space="0" w:color="auto"/>
            <w:left w:val="none" w:sz="0" w:space="0" w:color="auto"/>
            <w:bottom w:val="none" w:sz="0" w:space="0" w:color="auto"/>
            <w:right w:val="none" w:sz="0" w:space="0" w:color="auto"/>
          </w:divBdr>
          <w:divsChild>
            <w:div w:id="426342664">
              <w:marLeft w:val="0"/>
              <w:marRight w:val="0"/>
              <w:marTop w:val="0"/>
              <w:marBottom w:val="0"/>
              <w:divBdr>
                <w:top w:val="none" w:sz="0" w:space="0" w:color="auto"/>
                <w:left w:val="none" w:sz="0" w:space="0" w:color="auto"/>
                <w:bottom w:val="none" w:sz="0" w:space="0" w:color="auto"/>
                <w:right w:val="none" w:sz="0" w:space="0" w:color="auto"/>
              </w:divBdr>
            </w:div>
          </w:divsChild>
        </w:div>
        <w:div w:id="1718696574">
          <w:marLeft w:val="0"/>
          <w:marRight w:val="0"/>
          <w:marTop w:val="0"/>
          <w:marBottom w:val="0"/>
          <w:divBdr>
            <w:top w:val="none" w:sz="0" w:space="0" w:color="auto"/>
            <w:left w:val="none" w:sz="0" w:space="0" w:color="auto"/>
            <w:bottom w:val="none" w:sz="0" w:space="0" w:color="auto"/>
            <w:right w:val="none" w:sz="0" w:space="0" w:color="auto"/>
          </w:divBdr>
          <w:divsChild>
            <w:div w:id="589778555">
              <w:marLeft w:val="0"/>
              <w:marRight w:val="0"/>
              <w:marTop w:val="0"/>
              <w:marBottom w:val="0"/>
              <w:divBdr>
                <w:top w:val="none" w:sz="0" w:space="0" w:color="auto"/>
                <w:left w:val="none" w:sz="0" w:space="0" w:color="auto"/>
                <w:bottom w:val="none" w:sz="0" w:space="0" w:color="auto"/>
                <w:right w:val="none" w:sz="0" w:space="0" w:color="auto"/>
              </w:divBdr>
            </w:div>
          </w:divsChild>
        </w:div>
        <w:div w:id="1722436371">
          <w:marLeft w:val="0"/>
          <w:marRight w:val="0"/>
          <w:marTop w:val="0"/>
          <w:marBottom w:val="0"/>
          <w:divBdr>
            <w:top w:val="none" w:sz="0" w:space="0" w:color="auto"/>
            <w:left w:val="none" w:sz="0" w:space="0" w:color="auto"/>
            <w:bottom w:val="none" w:sz="0" w:space="0" w:color="auto"/>
            <w:right w:val="none" w:sz="0" w:space="0" w:color="auto"/>
          </w:divBdr>
          <w:divsChild>
            <w:div w:id="2118139204">
              <w:marLeft w:val="0"/>
              <w:marRight w:val="0"/>
              <w:marTop w:val="0"/>
              <w:marBottom w:val="0"/>
              <w:divBdr>
                <w:top w:val="none" w:sz="0" w:space="0" w:color="auto"/>
                <w:left w:val="none" w:sz="0" w:space="0" w:color="auto"/>
                <w:bottom w:val="none" w:sz="0" w:space="0" w:color="auto"/>
                <w:right w:val="none" w:sz="0" w:space="0" w:color="auto"/>
              </w:divBdr>
            </w:div>
          </w:divsChild>
        </w:div>
        <w:div w:id="1787431944">
          <w:marLeft w:val="0"/>
          <w:marRight w:val="0"/>
          <w:marTop w:val="0"/>
          <w:marBottom w:val="0"/>
          <w:divBdr>
            <w:top w:val="none" w:sz="0" w:space="0" w:color="auto"/>
            <w:left w:val="none" w:sz="0" w:space="0" w:color="auto"/>
            <w:bottom w:val="none" w:sz="0" w:space="0" w:color="auto"/>
            <w:right w:val="none" w:sz="0" w:space="0" w:color="auto"/>
          </w:divBdr>
          <w:divsChild>
            <w:div w:id="754519744">
              <w:marLeft w:val="0"/>
              <w:marRight w:val="0"/>
              <w:marTop w:val="0"/>
              <w:marBottom w:val="0"/>
              <w:divBdr>
                <w:top w:val="none" w:sz="0" w:space="0" w:color="auto"/>
                <w:left w:val="none" w:sz="0" w:space="0" w:color="auto"/>
                <w:bottom w:val="none" w:sz="0" w:space="0" w:color="auto"/>
                <w:right w:val="none" w:sz="0" w:space="0" w:color="auto"/>
              </w:divBdr>
            </w:div>
          </w:divsChild>
        </w:div>
        <w:div w:id="1891381750">
          <w:marLeft w:val="0"/>
          <w:marRight w:val="0"/>
          <w:marTop w:val="0"/>
          <w:marBottom w:val="0"/>
          <w:divBdr>
            <w:top w:val="none" w:sz="0" w:space="0" w:color="auto"/>
            <w:left w:val="none" w:sz="0" w:space="0" w:color="auto"/>
            <w:bottom w:val="none" w:sz="0" w:space="0" w:color="auto"/>
            <w:right w:val="none" w:sz="0" w:space="0" w:color="auto"/>
          </w:divBdr>
          <w:divsChild>
            <w:div w:id="1757170533">
              <w:marLeft w:val="0"/>
              <w:marRight w:val="0"/>
              <w:marTop w:val="0"/>
              <w:marBottom w:val="0"/>
              <w:divBdr>
                <w:top w:val="none" w:sz="0" w:space="0" w:color="auto"/>
                <w:left w:val="none" w:sz="0" w:space="0" w:color="auto"/>
                <w:bottom w:val="none" w:sz="0" w:space="0" w:color="auto"/>
                <w:right w:val="none" w:sz="0" w:space="0" w:color="auto"/>
              </w:divBdr>
            </w:div>
          </w:divsChild>
        </w:div>
        <w:div w:id="1900748798">
          <w:marLeft w:val="0"/>
          <w:marRight w:val="0"/>
          <w:marTop w:val="0"/>
          <w:marBottom w:val="0"/>
          <w:divBdr>
            <w:top w:val="none" w:sz="0" w:space="0" w:color="auto"/>
            <w:left w:val="none" w:sz="0" w:space="0" w:color="auto"/>
            <w:bottom w:val="none" w:sz="0" w:space="0" w:color="auto"/>
            <w:right w:val="none" w:sz="0" w:space="0" w:color="auto"/>
          </w:divBdr>
          <w:divsChild>
            <w:div w:id="717168852">
              <w:marLeft w:val="0"/>
              <w:marRight w:val="0"/>
              <w:marTop w:val="0"/>
              <w:marBottom w:val="0"/>
              <w:divBdr>
                <w:top w:val="none" w:sz="0" w:space="0" w:color="auto"/>
                <w:left w:val="none" w:sz="0" w:space="0" w:color="auto"/>
                <w:bottom w:val="none" w:sz="0" w:space="0" w:color="auto"/>
                <w:right w:val="none" w:sz="0" w:space="0" w:color="auto"/>
              </w:divBdr>
            </w:div>
          </w:divsChild>
        </w:div>
        <w:div w:id="1904414938">
          <w:marLeft w:val="0"/>
          <w:marRight w:val="0"/>
          <w:marTop w:val="0"/>
          <w:marBottom w:val="0"/>
          <w:divBdr>
            <w:top w:val="none" w:sz="0" w:space="0" w:color="auto"/>
            <w:left w:val="none" w:sz="0" w:space="0" w:color="auto"/>
            <w:bottom w:val="none" w:sz="0" w:space="0" w:color="auto"/>
            <w:right w:val="none" w:sz="0" w:space="0" w:color="auto"/>
          </w:divBdr>
          <w:divsChild>
            <w:div w:id="1741709308">
              <w:marLeft w:val="0"/>
              <w:marRight w:val="0"/>
              <w:marTop w:val="0"/>
              <w:marBottom w:val="0"/>
              <w:divBdr>
                <w:top w:val="none" w:sz="0" w:space="0" w:color="auto"/>
                <w:left w:val="none" w:sz="0" w:space="0" w:color="auto"/>
                <w:bottom w:val="none" w:sz="0" w:space="0" w:color="auto"/>
                <w:right w:val="none" w:sz="0" w:space="0" w:color="auto"/>
              </w:divBdr>
            </w:div>
          </w:divsChild>
        </w:div>
        <w:div w:id="1930112266">
          <w:marLeft w:val="0"/>
          <w:marRight w:val="0"/>
          <w:marTop w:val="0"/>
          <w:marBottom w:val="0"/>
          <w:divBdr>
            <w:top w:val="none" w:sz="0" w:space="0" w:color="auto"/>
            <w:left w:val="none" w:sz="0" w:space="0" w:color="auto"/>
            <w:bottom w:val="none" w:sz="0" w:space="0" w:color="auto"/>
            <w:right w:val="none" w:sz="0" w:space="0" w:color="auto"/>
          </w:divBdr>
          <w:divsChild>
            <w:div w:id="1098718650">
              <w:marLeft w:val="0"/>
              <w:marRight w:val="0"/>
              <w:marTop w:val="0"/>
              <w:marBottom w:val="0"/>
              <w:divBdr>
                <w:top w:val="none" w:sz="0" w:space="0" w:color="auto"/>
                <w:left w:val="none" w:sz="0" w:space="0" w:color="auto"/>
                <w:bottom w:val="none" w:sz="0" w:space="0" w:color="auto"/>
                <w:right w:val="none" w:sz="0" w:space="0" w:color="auto"/>
              </w:divBdr>
            </w:div>
          </w:divsChild>
        </w:div>
        <w:div w:id="1982534646">
          <w:marLeft w:val="0"/>
          <w:marRight w:val="0"/>
          <w:marTop w:val="0"/>
          <w:marBottom w:val="0"/>
          <w:divBdr>
            <w:top w:val="none" w:sz="0" w:space="0" w:color="auto"/>
            <w:left w:val="none" w:sz="0" w:space="0" w:color="auto"/>
            <w:bottom w:val="none" w:sz="0" w:space="0" w:color="auto"/>
            <w:right w:val="none" w:sz="0" w:space="0" w:color="auto"/>
          </w:divBdr>
          <w:divsChild>
            <w:div w:id="300504220">
              <w:marLeft w:val="0"/>
              <w:marRight w:val="0"/>
              <w:marTop w:val="0"/>
              <w:marBottom w:val="0"/>
              <w:divBdr>
                <w:top w:val="none" w:sz="0" w:space="0" w:color="auto"/>
                <w:left w:val="none" w:sz="0" w:space="0" w:color="auto"/>
                <w:bottom w:val="none" w:sz="0" w:space="0" w:color="auto"/>
                <w:right w:val="none" w:sz="0" w:space="0" w:color="auto"/>
              </w:divBdr>
            </w:div>
          </w:divsChild>
        </w:div>
        <w:div w:id="2006201426">
          <w:marLeft w:val="0"/>
          <w:marRight w:val="0"/>
          <w:marTop w:val="0"/>
          <w:marBottom w:val="0"/>
          <w:divBdr>
            <w:top w:val="none" w:sz="0" w:space="0" w:color="auto"/>
            <w:left w:val="none" w:sz="0" w:space="0" w:color="auto"/>
            <w:bottom w:val="none" w:sz="0" w:space="0" w:color="auto"/>
            <w:right w:val="none" w:sz="0" w:space="0" w:color="auto"/>
          </w:divBdr>
          <w:divsChild>
            <w:div w:id="349526762">
              <w:marLeft w:val="0"/>
              <w:marRight w:val="0"/>
              <w:marTop w:val="0"/>
              <w:marBottom w:val="0"/>
              <w:divBdr>
                <w:top w:val="none" w:sz="0" w:space="0" w:color="auto"/>
                <w:left w:val="none" w:sz="0" w:space="0" w:color="auto"/>
                <w:bottom w:val="none" w:sz="0" w:space="0" w:color="auto"/>
                <w:right w:val="none" w:sz="0" w:space="0" w:color="auto"/>
              </w:divBdr>
            </w:div>
          </w:divsChild>
        </w:div>
        <w:div w:id="2059280340">
          <w:marLeft w:val="0"/>
          <w:marRight w:val="0"/>
          <w:marTop w:val="0"/>
          <w:marBottom w:val="0"/>
          <w:divBdr>
            <w:top w:val="none" w:sz="0" w:space="0" w:color="auto"/>
            <w:left w:val="none" w:sz="0" w:space="0" w:color="auto"/>
            <w:bottom w:val="none" w:sz="0" w:space="0" w:color="auto"/>
            <w:right w:val="none" w:sz="0" w:space="0" w:color="auto"/>
          </w:divBdr>
          <w:divsChild>
            <w:div w:id="1283920650">
              <w:marLeft w:val="0"/>
              <w:marRight w:val="0"/>
              <w:marTop w:val="0"/>
              <w:marBottom w:val="0"/>
              <w:divBdr>
                <w:top w:val="none" w:sz="0" w:space="0" w:color="auto"/>
                <w:left w:val="none" w:sz="0" w:space="0" w:color="auto"/>
                <w:bottom w:val="none" w:sz="0" w:space="0" w:color="auto"/>
                <w:right w:val="none" w:sz="0" w:space="0" w:color="auto"/>
              </w:divBdr>
            </w:div>
          </w:divsChild>
        </w:div>
        <w:div w:id="2091611975">
          <w:marLeft w:val="0"/>
          <w:marRight w:val="0"/>
          <w:marTop w:val="0"/>
          <w:marBottom w:val="0"/>
          <w:divBdr>
            <w:top w:val="none" w:sz="0" w:space="0" w:color="auto"/>
            <w:left w:val="none" w:sz="0" w:space="0" w:color="auto"/>
            <w:bottom w:val="none" w:sz="0" w:space="0" w:color="auto"/>
            <w:right w:val="none" w:sz="0" w:space="0" w:color="auto"/>
          </w:divBdr>
          <w:divsChild>
            <w:div w:id="1132212170">
              <w:marLeft w:val="0"/>
              <w:marRight w:val="0"/>
              <w:marTop w:val="0"/>
              <w:marBottom w:val="0"/>
              <w:divBdr>
                <w:top w:val="none" w:sz="0" w:space="0" w:color="auto"/>
                <w:left w:val="none" w:sz="0" w:space="0" w:color="auto"/>
                <w:bottom w:val="none" w:sz="0" w:space="0" w:color="auto"/>
                <w:right w:val="none" w:sz="0" w:space="0" w:color="auto"/>
              </w:divBdr>
            </w:div>
          </w:divsChild>
        </w:div>
        <w:div w:id="2137330879">
          <w:marLeft w:val="0"/>
          <w:marRight w:val="0"/>
          <w:marTop w:val="0"/>
          <w:marBottom w:val="0"/>
          <w:divBdr>
            <w:top w:val="none" w:sz="0" w:space="0" w:color="auto"/>
            <w:left w:val="none" w:sz="0" w:space="0" w:color="auto"/>
            <w:bottom w:val="none" w:sz="0" w:space="0" w:color="auto"/>
            <w:right w:val="none" w:sz="0" w:space="0" w:color="auto"/>
          </w:divBdr>
          <w:divsChild>
            <w:div w:id="1488206015">
              <w:marLeft w:val="0"/>
              <w:marRight w:val="0"/>
              <w:marTop w:val="0"/>
              <w:marBottom w:val="0"/>
              <w:divBdr>
                <w:top w:val="none" w:sz="0" w:space="0" w:color="auto"/>
                <w:left w:val="none" w:sz="0" w:space="0" w:color="auto"/>
                <w:bottom w:val="none" w:sz="0" w:space="0" w:color="auto"/>
                <w:right w:val="none" w:sz="0" w:space="0" w:color="auto"/>
              </w:divBdr>
            </w:div>
          </w:divsChild>
        </w:div>
        <w:div w:id="2139570620">
          <w:marLeft w:val="0"/>
          <w:marRight w:val="0"/>
          <w:marTop w:val="0"/>
          <w:marBottom w:val="0"/>
          <w:divBdr>
            <w:top w:val="none" w:sz="0" w:space="0" w:color="auto"/>
            <w:left w:val="none" w:sz="0" w:space="0" w:color="auto"/>
            <w:bottom w:val="none" w:sz="0" w:space="0" w:color="auto"/>
            <w:right w:val="none" w:sz="0" w:space="0" w:color="auto"/>
          </w:divBdr>
          <w:divsChild>
            <w:div w:id="1673488568">
              <w:marLeft w:val="0"/>
              <w:marRight w:val="0"/>
              <w:marTop w:val="0"/>
              <w:marBottom w:val="0"/>
              <w:divBdr>
                <w:top w:val="none" w:sz="0" w:space="0" w:color="auto"/>
                <w:left w:val="none" w:sz="0" w:space="0" w:color="auto"/>
                <w:bottom w:val="none" w:sz="0" w:space="0" w:color="auto"/>
                <w:right w:val="none" w:sz="0" w:space="0" w:color="auto"/>
              </w:divBdr>
            </w:div>
          </w:divsChild>
        </w:div>
        <w:div w:id="2145349162">
          <w:marLeft w:val="0"/>
          <w:marRight w:val="0"/>
          <w:marTop w:val="0"/>
          <w:marBottom w:val="0"/>
          <w:divBdr>
            <w:top w:val="none" w:sz="0" w:space="0" w:color="auto"/>
            <w:left w:val="none" w:sz="0" w:space="0" w:color="auto"/>
            <w:bottom w:val="none" w:sz="0" w:space="0" w:color="auto"/>
            <w:right w:val="none" w:sz="0" w:space="0" w:color="auto"/>
          </w:divBdr>
          <w:divsChild>
            <w:div w:id="10554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6171">
      <w:bodyDiv w:val="1"/>
      <w:marLeft w:val="0"/>
      <w:marRight w:val="0"/>
      <w:marTop w:val="0"/>
      <w:marBottom w:val="0"/>
      <w:divBdr>
        <w:top w:val="none" w:sz="0" w:space="0" w:color="auto"/>
        <w:left w:val="none" w:sz="0" w:space="0" w:color="auto"/>
        <w:bottom w:val="none" w:sz="0" w:space="0" w:color="auto"/>
        <w:right w:val="none" w:sz="0" w:space="0" w:color="auto"/>
      </w:divBdr>
    </w:div>
    <w:div w:id="1045449428">
      <w:bodyDiv w:val="1"/>
      <w:marLeft w:val="0"/>
      <w:marRight w:val="0"/>
      <w:marTop w:val="0"/>
      <w:marBottom w:val="0"/>
      <w:divBdr>
        <w:top w:val="none" w:sz="0" w:space="0" w:color="auto"/>
        <w:left w:val="none" w:sz="0" w:space="0" w:color="auto"/>
        <w:bottom w:val="none" w:sz="0" w:space="0" w:color="auto"/>
        <w:right w:val="none" w:sz="0" w:space="0" w:color="auto"/>
      </w:divBdr>
    </w:div>
    <w:div w:id="1083650581">
      <w:bodyDiv w:val="1"/>
      <w:marLeft w:val="0"/>
      <w:marRight w:val="0"/>
      <w:marTop w:val="0"/>
      <w:marBottom w:val="0"/>
      <w:divBdr>
        <w:top w:val="none" w:sz="0" w:space="0" w:color="auto"/>
        <w:left w:val="none" w:sz="0" w:space="0" w:color="auto"/>
        <w:bottom w:val="none" w:sz="0" w:space="0" w:color="auto"/>
        <w:right w:val="none" w:sz="0" w:space="0" w:color="auto"/>
      </w:divBdr>
    </w:div>
    <w:div w:id="1103107894">
      <w:bodyDiv w:val="1"/>
      <w:marLeft w:val="0"/>
      <w:marRight w:val="0"/>
      <w:marTop w:val="0"/>
      <w:marBottom w:val="0"/>
      <w:divBdr>
        <w:top w:val="none" w:sz="0" w:space="0" w:color="auto"/>
        <w:left w:val="none" w:sz="0" w:space="0" w:color="auto"/>
        <w:bottom w:val="none" w:sz="0" w:space="0" w:color="auto"/>
        <w:right w:val="none" w:sz="0" w:space="0" w:color="auto"/>
      </w:divBdr>
      <w:divsChild>
        <w:div w:id="227041054">
          <w:marLeft w:val="0"/>
          <w:marRight w:val="0"/>
          <w:marTop w:val="0"/>
          <w:marBottom w:val="0"/>
          <w:divBdr>
            <w:top w:val="none" w:sz="0" w:space="0" w:color="auto"/>
            <w:left w:val="none" w:sz="0" w:space="0" w:color="auto"/>
            <w:bottom w:val="none" w:sz="0" w:space="0" w:color="auto"/>
            <w:right w:val="none" w:sz="0" w:space="0" w:color="auto"/>
          </w:divBdr>
        </w:div>
        <w:div w:id="695695650">
          <w:marLeft w:val="0"/>
          <w:marRight w:val="0"/>
          <w:marTop w:val="0"/>
          <w:marBottom w:val="0"/>
          <w:divBdr>
            <w:top w:val="none" w:sz="0" w:space="0" w:color="auto"/>
            <w:left w:val="none" w:sz="0" w:space="0" w:color="auto"/>
            <w:bottom w:val="none" w:sz="0" w:space="0" w:color="auto"/>
            <w:right w:val="none" w:sz="0" w:space="0" w:color="auto"/>
          </w:divBdr>
        </w:div>
      </w:divsChild>
    </w:div>
    <w:div w:id="1139542574">
      <w:bodyDiv w:val="1"/>
      <w:marLeft w:val="0"/>
      <w:marRight w:val="0"/>
      <w:marTop w:val="0"/>
      <w:marBottom w:val="0"/>
      <w:divBdr>
        <w:top w:val="none" w:sz="0" w:space="0" w:color="auto"/>
        <w:left w:val="none" w:sz="0" w:space="0" w:color="auto"/>
        <w:bottom w:val="none" w:sz="0" w:space="0" w:color="auto"/>
        <w:right w:val="none" w:sz="0" w:space="0" w:color="auto"/>
      </w:divBdr>
      <w:divsChild>
        <w:div w:id="1084107240">
          <w:marLeft w:val="0"/>
          <w:marRight w:val="0"/>
          <w:marTop w:val="0"/>
          <w:marBottom w:val="0"/>
          <w:divBdr>
            <w:top w:val="none" w:sz="0" w:space="0" w:color="auto"/>
            <w:left w:val="none" w:sz="0" w:space="0" w:color="auto"/>
            <w:bottom w:val="none" w:sz="0" w:space="0" w:color="auto"/>
            <w:right w:val="none" w:sz="0" w:space="0" w:color="auto"/>
          </w:divBdr>
        </w:div>
        <w:div w:id="1279138013">
          <w:marLeft w:val="0"/>
          <w:marRight w:val="0"/>
          <w:marTop w:val="0"/>
          <w:marBottom w:val="0"/>
          <w:divBdr>
            <w:top w:val="none" w:sz="0" w:space="0" w:color="auto"/>
            <w:left w:val="none" w:sz="0" w:space="0" w:color="auto"/>
            <w:bottom w:val="none" w:sz="0" w:space="0" w:color="auto"/>
            <w:right w:val="none" w:sz="0" w:space="0" w:color="auto"/>
          </w:divBdr>
        </w:div>
        <w:div w:id="1611547731">
          <w:marLeft w:val="0"/>
          <w:marRight w:val="0"/>
          <w:marTop w:val="0"/>
          <w:marBottom w:val="0"/>
          <w:divBdr>
            <w:top w:val="none" w:sz="0" w:space="0" w:color="auto"/>
            <w:left w:val="none" w:sz="0" w:space="0" w:color="auto"/>
            <w:bottom w:val="none" w:sz="0" w:space="0" w:color="auto"/>
            <w:right w:val="none" w:sz="0" w:space="0" w:color="auto"/>
          </w:divBdr>
        </w:div>
      </w:divsChild>
    </w:div>
    <w:div w:id="116308822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96874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0482144">
      <w:bodyDiv w:val="1"/>
      <w:marLeft w:val="0"/>
      <w:marRight w:val="0"/>
      <w:marTop w:val="0"/>
      <w:marBottom w:val="0"/>
      <w:divBdr>
        <w:top w:val="none" w:sz="0" w:space="0" w:color="auto"/>
        <w:left w:val="none" w:sz="0" w:space="0" w:color="auto"/>
        <w:bottom w:val="none" w:sz="0" w:space="0" w:color="auto"/>
        <w:right w:val="none" w:sz="0" w:space="0" w:color="auto"/>
      </w:divBdr>
      <w:divsChild>
        <w:div w:id="1975802">
          <w:marLeft w:val="0"/>
          <w:marRight w:val="0"/>
          <w:marTop w:val="0"/>
          <w:marBottom w:val="0"/>
          <w:divBdr>
            <w:top w:val="none" w:sz="0" w:space="0" w:color="auto"/>
            <w:left w:val="none" w:sz="0" w:space="0" w:color="auto"/>
            <w:bottom w:val="none" w:sz="0" w:space="0" w:color="auto"/>
            <w:right w:val="none" w:sz="0" w:space="0" w:color="auto"/>
          </w:divBdr>
          <w:divsChild>
            <w:div w:id="1244952261">
              <w:marLeft w:val="0"/>
              <w:marRight w:val="0"/>
              <w:marTop w:val="0"/>
              <w:marBottom w:val="0"/>
              <w:divBdr>
                <w:top w:val="none" w:sz="0" w:space="0" w:color="auto"/>
                <w:left w:val="none" w:sz="0" w:space="0" w:color="auto"/>
                <w:bottom w:val="none" w:sz="0" w:space="0" w:color="auto"/>
                <w:right w:val="none" w:sz="0" w:space="0" w:color="auto"/>
              </w:divBdr>
            </w:div>
          </w:divsChild>
        </w:div>
        <w:div w:id="7100580">
          <w:marLeft w:val="0"/>
          <w:marRight w:val="0"/>
          <w:marTop w:val="0"/>
          <w:marBottom w:val="0"/>
          <w:divBdr>
            <w:top w:val="none" w:sz="0" w:space="0" w:color="auto"/>
            <w:left w:val="none" w:sz="0" w:space="0" w:color="auto"/>
            <w:bottom w:val="none" w:sz="0" w:space="0" w:color="auto"/>
            <w:right w:val="none" w:sz="0" w:space="0" w:color="auto"/>
          </w:divBdr>
          <w:divsChild>
            <w:div w:id="1090155248">
              <w:marLeft w:val="0"/>
              <w:marRight w:val="0"/>
              <w:marTop w:val="0"/>
              <w:marBottom w:val="0"/>
              <w:divBdr>
                <w:top w:val="none" w:sz="0" w:space="0" w:color="auto"/>
                <w:left w:val="none" w:sz="0" w:space="0" w:color="auto"/>
                <w:bottom w:val="none" w:sz="0" w:space="0" w:color="auto"/>
                <w:right w:val="none" w:sz="0" w:space="0" w:color="auto"/>
              </w:divBdr>
            </w:div>
          </w:divsChild>
        </w:div>
        <w:div w:id="43213261">
          <w:marLeft w:val="0"/>
          <w:marRight w:val="0"/>
          <w:marTop w:val="0"/>
          <w:marBottom w:val="0"/>
          <w:divBdr>
            <w:top w:val="none" w:sz="0" w:space="0" w:color="auto"/>
            <w:left w:val="none" w:sz="0" w:space="0" w:color="auto"/>
            <w:bottom w:val="none" w:sz="0" w:space="0" w:color="auto"/>
            <w:right w:val="none" w:sz="0" w:space="0" w:color="auto"/>
          </w:divBdr>
          <w:divsChild>
            <w:div w:id="1139955378">
              <w:marLeft w:val="0"/>
              <w:marRight w:val="0"/>
              <w:marTop w:val="0"/>
              <w:marBottom w:val="0"/>
              <w:divBdr>
                <w:top w:val="none" w:sz="0" w:space="0" w:color="auto"/>
                <w:left w:val="none" w:sz="0" w:space="0" w:color="auto"/>
                <w:bottom w:val="none" w:sz="0" w:space="0" w:color="auto"/>
                <w:right w:val="none" w:sz="0" w:space="0" w:color="auto"/>
              </w:divBdr>
            </w:div>
          </w:divsChild>
        </w:div>
        <w:div w:id="45496403">
          <w:marLeft w:val="0"/>
          <w:marRight w:val="0"/>
          <w:marTop w:val="0"/>
          <w:marBottom w:val="0"/>
          <w:divBdr>
            <w:top w:val="none" w:sz="0" w:space="0" w:color="auto"/>
            <w:left w:val="none" w:sz="0" w:space="0" w:color="auto"/>
            <w:bottom w:val="none" w:sz="0" w:space="0" w:color="auto"/>
            <w:right w:val="none" w:sz="0" w:space="0" w:color="auto"/>
          </w:divBdr>
          <w:divsChild>
            <w:div w:id="2115126517">
              <w:marLeft w:val="0"/>
              <w:marRight w:val="0"/>
              <w:marTop w:val="0"/>
              <w:marBottom w:val="0"/>
              <w:divBdr>
                <w:top w:val="none" w:sz="0" w:space="0" w:color="auto"/>
                <w:left w:val="none" w:sz="0" w:space="0" w:color="auto"/>
                <w:bottom w:val="none" w:sz="0" w:space="0" w:color="auto"/>
                <w:right w:val="none" w:sz="0" w:space="0" w:color="auto"/>
              </w:divBdr>
            </w:div>
          </w:divsChild>
        </w:div>
        <w:div w:id="55202754">
          <w:marLeft w:val="0"/>
          <w:marRight w:val="0"/>
          <w:marTop w:val="0"/>
          <w:marBottom w:val="0"/>
          <w:divBdr>
            <w:top w:val="none" w:sz="0" w:space="0" w:color="auto"/>
            <w:left w:val="none" w:sz="0" w:space="0" w:color="auto"/>
            <w:bottom w:val="none" w:sz="0" w:space="0" w:color="auto"/>
            <w:right w:val="none" w:sz="0" w:space="0" w:color="auto"/>
          </w:divBdr>
          <w:divsChild>
            <w:div w:id="1466000438">
              <w:marLeft w:val="0"/>
              <w:marRight w:val="0"/>
              <w:marTop w:val="0"/>
              <w:marBottom w:val="0"/>
              <w:divBdr>
                <w:top w:val="none" w:sz="0" w:space="0" w:color="auto"/>
                <w:left w:val="none" w:sz="0" w:space="0" w:color="auto"/>
                <w:bottom w:val="none" w:sz="0" w:space="0" w:color="auto"/>
                <w:right w:val="none" w:sz="0" w:space="0" w:color="auto"/>
              </w:divBdr>
            </w:div>
          </w:divsChild>
        </w:div>
        <w:div w:id="70664084">
          <w:marLeft w:val="0"/>
          <w:marRight w:val="0"/>
          <w:marTop w:val="0"/>
          <w:marBottom w:val="0"/>
          <w:divBdr>
            <w:top w:val="none" w:sz="0" w:space="0" w:color="auto"/>
            <w:left w:val="none" w:sz="0" w:space="0" w:color="auto"/>
            <w:bottom w:val="none" w:sz="0" w:space="0" w:color="auto"/>
            <w:right w:val="none" w:sz="0" w:space="0" w:color="auto"/>
          </w:divBdr>
          <w:divsChild>
            <w:div w:id="1489175696">
              <w:marLeft w:val="0"/>
              <w:marRight w:val="0"/>
              <w:marTop w:val="0"/>
              <w:marBottom w:val="0"/>
              <w:divBdr>
                <w:top w:val="none" w:sz="0" w:space="0" w:color="auto"/>
                <w:left w:val="none" w:sz="0" w:space="0" w:color="auto"/>
                <w:bottom w:val="none" w:sz="0" w:space="0" w:color="auto"/>
                <w:right w:val="none" w:sz="0" w:space="0" w:color="auto"/>
              </w:divBdr>
            </w:div>
          </w:divsChild>
        </w:div>
        <w:div w:id="76366955">
          <w:marLeft w:val="0"/>
          <w:marRight w:val="0"/>
          <w:marTop w:val="0"/>
          <w:marBottom w:val="0"/>
          <w:divBdr>
            <w:top w:val="none" w:sz="0" w:space="0" w:color="auto"/>
            <w:left w:val="none" w:sz="0" w:space="0" w:color="auto"/>
            <w:bottom w:val="none" w:sz="0" w:space="0" w:color="auto"/>
            <w:right w:val="none" w:sz="0" w:space="0" w:color="auto"/>
          </w:divBdr>
          <w:divsChild>
            <w:div w:id="1835487221">
              <w:marLeft w:val="0"/>
              <w:marRight w:val="0"/>
              <w:marTop w:val="0"/>
              <w:marBottom w:val="0"/>
              <w:divBdr>
                <w:top w:val="none" w:sz="0" w:space="0" w:color="auto"/>
                <w:left w:val="none" w:sz="0" w:space="0" w:color="auto"/>
                <w:bottom w:val="none" w:sz="0" w:space="0" w:color="auto"/>
                <w:right w:val="none" w:sz="0" w:space="0" w:color="auto"/>
              </w:divBdr>
            </w:div>
          </w:divsChild>
        </w:div>
        <w:div w:id="96095665">
          <w:marLeft w:val="0"/>
          <w:marRight w:val="0"/>
          <w:marTop w:val="0"/>
          <w:marBottom w:val="0"/>
          <w:divBdr>
            <w:top w:val="none" w:sz="0" w:space="0" w:color="auto"/>
            <w:left w:val="none" w:sz="0" w:space="0" w:color="auto"/>
            <w:bottom w:val="none" w:sz="0" w:space="0" w:color="auto"/>
            <w:right w:val="none" w:sz="0" w:space="0" w:color="auto"/>
          </w:divBdr>
          <w:divsChild>
            <w:div w:id="1786120676">
              <w:marLeft w:val="0"/>
              <w:marRight w:val="0"/>
              <w:marTop w:val="0"/>
              <w:marBottom w:val="0"/>
              <w:divBdr>
                <w:top w:val="none" w:sz="0" w:space="0" w:color="auto"/>
                <w:left w:val="none" w:sz="0" w:space="0" w:color="auto"/>
                <w:bottom w:val="none" w:sz="0" w:space="0" w:color="auto"/>
                <w:right w:val="none" w:sz="0" w:space="0" w:color="auto"/>
              </w:divBdr>
            </w:div>
          </w:divsChild>
        </w:div>
        <w:div w:id="100414023">
          <w:marLeft w:val="0"/>
          <w:marRight w:val="0"/>
          <w:marTop w:val="0"/>
          <w:marBottom w:val="0"/>
          <w:divBdr>
            <w:top w:val="none" w:sz="0" w:space="0" w:color="auto"/>
            <w:left w:val="none" w:sz="0" w:space="0" w:color="auto"/>
            <w:bottom w:val="none" w:sz="0" w:space="0" w:color="auto"/>
            <w:right w:val="none" w:sz="0" w:space="0" w:color="auto"/>
          </w:divBdr>
          <w:divsChild>
            <w:div w:id="281151212">
              <w:marLeft w:val="0"/>
              <w:marRight w:val="0"/>
              <w:marTop w:val="0"/>
              <w:marBottom w:val="0"/>
              <w:divBdr>
                <w:top w:val="none" w:sz="0" w:space="0" w:color="auto"/>
                <w:left w:val="none" w:sz="0" w:space="0" w:color="auto"/>
                <w:bottom w:val="none" w:sz="0" w:space="0" w:color="auto"/>
                <w:right w:val="none" w:sz="0" w:space="0" w:color="auto"/>
              </w:divBdr>
            </w:div>
          </w:divsChild>
        </w:div>
        <w:div w:id="131139436">
          <w:marLeft w:val="0"/>
          <w:marRight w:val="0"/>
          <w:marTop w:val="0"/>
          <w:marBottom w:val="0"/>
          <w:divBdr>
            <w:top w:val="none" w:sz="0" w:space="0" w:color="auto"/>
            <w:left w:val="none" w:sz="0" w:space="0" w:color="auto"/>
            <w:bottom w:val="none" w:sz="0" w:space="0" w:color="auto"/>
            <w:right w:val="none" w:sz="0" w:space="0" w:color="auto"/>
          </w:divBdr>
          <w:divsChild>
            <w:div w:id="389380048">
              <w:marLeft w:val="0"/>
              <w:marRight w:val="0"/>
              <w:marTop w:val="0"/>
              <w:marBottom w:val="0"/>
              <w:divBdr>
                <w:top w:val="none" w:sz="0" w:space="0" w:color="auto"/>
                <w:left w:val="none" w:sz="0" w:space="0" w:color="auto"/>
                <w:bottom w:val="none" w:sz="0" w:space="0" w:color="auto"/>
                <w:right w:val="none" w:sz="0" w:space="0" w:color="auto"/>
              </w:divBdr>
            </w:div>
          </w:divsChild>
        </w:div>
        <w:div w:id="134566526">
          <w:marLeft w:val="0"/>
          <w:marRight w:val="0"/>
          <w:marTop w:val="0"/>
          <w:marBottom w:val="0"/>
          <w:divBdr>
            <w:top w:val="none" w:sz="0" w:space="0" w:color="auto"/>
            <w:left w:val="none" w:sz="0" w:space="0" w:color="auto"/>
            <w:bottom w:val="none" w:sz="0" w:space="0" w:color="auto"/>
            <w:right w:val="none" w:sz="0" w:space="0" w:color="auto"/>
          </w:divBdr>
          <w:divsChild>
            <w:div w:id="40130943">
              <w:marLeft w:val="0"/>
              <w:marRight w:val="0"/>
              <w:marTop w:val="0"/>
              <w:marBottom w:val="0"/>
              <w:divBdr>
                <w:top w:val="none" w:sz="0" w:space="0" w:color="auto"/>
                <w:left w:val="none" w:sz="0" w:space="0" w:color="auto"/>
                <w:bottom w:val="none" w:sz="0" w:space="0" w:color="auto"/>
                <w:right w:val="none" w:sz="0" w:space="0" w:color="auto"/>
              </w:divBdr>
            </w:div>
          </w:divsChild>
        </w:div>
        <w:div w:id="216599260">
          <w:marLeft w:val="0"/>
          <w:marRight w:val="0"/>
          <w:marTop w:val="0"/>
          <w:marBottom w:val="0"/>
          <w:divBdr>
            <w:top w:val="none" w:sz="0" w:space="0" w:color="auto"/>
            <w:left w:val="none" w:sz="0" w:space="0" w:color="auto"/>
            <w:bottom w:val="none" w:sz="0" w:space="0" w:color="auto"/>
            <w:right w:val="none" w:sz="0" w:space="0" w:color="auto"/>
          </w:divBdr>
          <w:divsChild>
            <w:div w:id="265580405">
              <w:marLeft w:val="0"/>
              <w:marRight w:val="0"/>
              <w:marTop w:val="0"/>
              <w:marBottom w:val="0"/>
              <w:divBdr>
                <w:top w:val="none" w:sz="0" w:space="0" w:color="auto"/>
                <w:left w:val="none" w:sz="0" w:space="0" w:color="auto"/>
                <w:bottom w:val="none" w:sz="0" w:space="0" w:color="auto"/>
                <w:right w:val="none" w:sz="0" w:space="0" w:color="auto"/>
              </w:divBdr>
            </w:div>
          </w:divsChild>
        </w:div>
        <w:div w:id="218320980">
          <w:marLeft w:val="0"/>
          <w:marRight w:val="0"/>
          <w:marTop w:val="0"/>
          <w:marBottom w:val="0"/>
          <w:divBdr>
            <w:top w:val="none" w:sz="0" w:space="0" w:color="auto"/>
            <w:left w:val="none" w:sz="0" w:space="0" w:color="auto"/>
            <w:bottom w:val="none" w:sz="0" w:space="0" w:color="auto"/>
            <w:right w:val="none" w:sz="0" w:space="0" w:color="auto"/>
          </w:divBdr>
          <w:divsChild>
            <w:div w:id="853223087">
              <w:marLeft w:val="0"/>
              <w:marRight w:val="0"/>
              <w:marTop w:val="0"/>
              <w:marBottom w:val="0"/>
              <w:divBdr>
                <w:top w:val="none" w:sz="0" w:space="0" w:color="auto"/>
                <w:left w:val="none" w:sz="0" w:space="0" w:color="auto"/>
                <w:bottom w:val="none" w:sz="0" w:space="0" w:color="auto"/>
                <w:right w:val="none" w:sz="0" w:space="0" w:color="auto"/>
              </w:divBdr>
            </w:div>
          </w:divsChild>
        </w:div>
        <w:div w:id="238633923">
          <w:marLeft w:val="0"/>
          <w:marRight w:val="0"/>
          <w:marTop w:val="0"/>
          <w:marBottom w:val="0"/>
          <w:divBdr>
            <w:top w:val="none" w:sz="0" w:space="0" w:color="auto"/>
            <w:left w:val="none" w:sz="0" w:space="0" w:color="auto"/>
            <w:bottom w:val="none" w:sz="0" w:space="0" w:color="auto"/>
            <w:right w:val="none" w:sz="0" w:space="0" w:color="auto"/>
          </w:divBdr>
          <w:divsChild>
            <w:div w:id="1951937677">
              <w:marLeft w:val="0"/>
              <w:marRight w:val="0"/>
              <w:marTop w:val="0"/>
              <w:marBottom w:val="0"/>
              <w:divBdr>
                <w:top w:val="none" w:sz="0" w:space="0" w:color="auto"/>
                <w:left w:val="none" w:sz="0" w:space="0" w:color="auto"/>
                <w:bottom w:val="none" w:sz="0" w:space="0" w:color="auto"/>
                <w:right w:val="none" w:sz="0" w:space="0" w:color="auto"/>
              </w:divBdr>
            </w:div>
          </w:divsChild>
        </w:div>
        <w:div w:id="239146278">
          <w:marLeft w:val="0"/>
          <w:marRight w:val="0"/>
          <w:marTop w:val="0"/>
          <w:marBottom w:val="0"/>
          <w:divBdr>
            <w:top w:val="none" w:sz="0" w:space="0" w:color="auto"/>
            <w:left w:val="none" w:sz="0" w:space="0" w:color="auto"/>
            <w:bottom w:val="none" w:sz="0" w:space="0" w:color="auto"/>
            <w:right w:val="none" w:sz="0" w:space="0" w:color="auto"/>
          </w:divBdr>
          <w:divsChild>
            <w:div w:id="93328776">
              <w:marLeft w:val="0"/>
              <w:marRight w:val="0"/>
              <w:marTop w:val="0"/>
              <w:marBottom w:val="0"/>
              <w:divBdr>
                <w:top w:val="none" w:sz="0" w:space="0" w:color="auto"/>
                <w:left w:val="none" w:sz="0" w:space="0" w:color="auto"/>
                <w:bottom w:val="none" w:sz="0" w:space="0" w:color="auto"/>
                <w:right w:val="none" w:sz="0" w:space="0" w:color="auto"/>
              </w:divBdr>
            </w:div>
          </w:divsChild>
        </w:div>
        <w:div w:id="282419221">
          <w:marLeft w:val="0"/>
          <w:marRight w:val="0"/>
          <w:marTop w:val="0"/>
          <w:marBottom w:val="0"/>
          <w:divBdr>
            <w:top w:val="none" w:sz="0" w:space="0" w:color="auto"/>
            <w:left w:val="none" w:sz="0" w:space="0" w:color="auto"/>
            <w:bottom w:val="none" w:sz="0" w:space="0" w:color="auto"/>
            <w:right w:val="none" w:sz="0" w:space="0" w:color="auto"/>
          </w:divBdr>
          <w:divsChild>
            <w:div w:id="1750272828">
              <w:marLeft w:val="0"/>
              <w:marRight w:val="0"/>
              <w:marTop w:val="0"/>
              <w:marBottom w:val="0"/>
              <w:divBdr>
                <w:top w:val="none" w:sz="0" w:space="0" w:color="auto"/>
                <w:left w:val="none" w:sz="0" w:space="0" w:color="auto"/>
                <w:bottom w:val="none" w:sz="0" w:space="0" w:color="auto"/>
                <w:right w:val="none" w:sz="0" w:space="0" w:color="auto"/>
              </w:divBdr>
            </w:div>
          </w:divsChild>
        </w:div>
        <w:div w:id="291060444">
          <w:marLeft w:val="0"/>
          <w:marRight w:val="0"/>
          <w:marTop w:val="0"/>
          <w:marBottom w:val="0"/>
          <w:divBdr>
            <w:top w:val="none" w:sz="0" w:space="0" w:color="auto"/>
            <w:left w:val="none" w:sz="0" w:space="0" w:color="auto"/>
            <w:bottom w:val="none" w:sz="0" w:space="0" w:color="auto"/>
            <w:right w:val="none" w:sz="0" w:space="0" w:color="auto"/>
          </w:divBdr>
          <w:divsChild>
            <w:div w:id="933246593">
              <w:marLeft w:val="0"/>
              <w:marRight w:val="0"/>
              <w:marTop w:val="0"/>
              <w:marBottom w:val="0"/>
              <w:divBdr>
                <w:top w:val="none" w:sz="0" w:space="0" w:color="auto"/>
                <w:left w:val="none" w:sz="0" w:space="0" w:color="auto"/>
                <w:bottom w:val="none" w:sz="0" w:space="0" w:color="auto"/>
                <w:right w:val="none" w:sz="0" w:space="0" w:color="auto"/>
              </w:divBdr>
            </w:div>
          </w:divsChild>
        </w:div>
        <w:div w:id="292447757">
          <w:marLeft w:val="0"/>
          <w:marRight w:val="0"/>
          <w:marTop w:val="0"/>
          <w:marBottom w:val="0"/>
          <w:divBdr>
            <w:top w:val="none" w:sz="0" w:space="0" w:color="auto"/>
            <w:left w:val="none" w:sz="0" w:space="0" w:color="auto"/>
            <w:bottom w:val="none" w:sz="0" w:space="0" w:color="auto"/>
            <w:right w:val="none" w:sz="0" w:space="0" w:color="auto"/>
          </w:divBdr>
          <w:divsChild>
            <w:div w:id="307902839">
              <w:marLeft w:val="0"/>
              <w:marRight w:val="0"/>
              <w:marTop w:val="0"/>
              <w:marBottom w:val="0"/>
              <w:divBdr>
                <w:top w:val="none" w:sz="0" w:space="0" w:color="auto"/>
                <w:left w:val="none" w:sz="0" w:space="0" w:color="auto"/>
                <w:bottom w:val="none" w:sz="0" w:space="0" w:color="auto"/>
                <w:right w:val="none" w:sz="0" w:space="0" w:color="auto"/>
              </w:divBdr>
            </w:div>
          </w:divsChild>
        </w:div>
        <w:div w:id="294454598">
          <w:marLeft w:val="0"/>
          <w:marRight w:val="0"/>
          <w:marTop w:val="0"/>
          <w:marBottom w:val="0"/>
          <w:divBdr>
            <w:top w:val="none" w:sz="0" w:space="0" w:color="auto"/>
            <w:left w:val="none" w:sz="0" w:space="0" w:color="auto"/>
            <w:bottom w:val="none" w:sz="0" w:space="0" w:color="auto"/>
            <w:right w:val="none" w:sz="0" w:space="0" w:color="auto"/>
          </w:divBdr>
          <w:divsChild>
            <w:div w:id="1825002589">
              <w:marLeft w:val="0"/>
              <w:marRight w:val="0"/>
              <w:marTop w:val="0"/>
              <w:marBottom w:val="0"/>
              <w:divBdr>
                <w:top w:val="none" w:sz="0" w:space="0" w:color="auto"/>
                <w:left w:val="none" w:sz="0" w:space="0" w:color="auto"/>
                <w:bottom w:val="none" w:sz="0" w:space="0" w:color="auto"/>
                <w:right w:val="none" w:sz="0" w:space="0" w:color="auto"/>
              </w:divBdr>
            </w:div>
          </w:divsChild>
        </w:div>
        <w:div w:id="308753602">
          <w:marLeft w:val="0"/>
          <w:marRight w:val="0"/>
          <w:marTop w:val="0"/>
          <w:marBottom w:val="0"/>
          <w:divBdr>
            <w:top w:val="none" w:sz="0" w:space="0" w:color="auto"/>
            <w:left w:val="none" w:sz="0" w:space="0" w:color="auto"/>
            <w:bottom w:val="none" w:sz="0" w:space="0" w:color="auto"/>
            <w:right w:val="none" w:sz="0" w:space="0" w:color="auto"/>
          </w:divBdr>
          <w:divsChild>
            <w:div w:id="774130951">
              <w:marLeft w:val="0"/>
              <w:marRight w:val="0"/>
              <w:marTop w:val="0"/>
              <w:marBottom w:val="0"/>
              <w:divBdr>
                <w:top w:val="none" w:sz="0" w:space="0" w:color="auto"/>
                <w:left w:val="none" w:sz="0" w:space="0" w:color="auto"/>
                <w:bottom w:val="none" w:sz="0" w:space="0" w:color="auto"/>
                <w:right w:val="none" w:sz="0" w:space="0" w:color="auto"/>
              </w:divBdr>
            </w:div>
          </w:divsChild>
        </w:div>
        <w:div w:id="318005126">
          <w:marLeft w:val="0"/>
          <w:marRight w:val="0"/>
          <w:marTop w:val="0"/>
          <w:marBottom w:val="0"/>
          <w:divBdr>
            <w:top w:val="none" w:sz="0" w:space="0" w:color="auto"/>
            <w:left w:val="none" w:sz="0" w:space="0" w:color="auto"/>
            <w:bottom w:val="none" w:sz="0" w:space="0" w:color="auto"/>
            <w:right w:val="none" w:sz="0" w:space="0" w:color="auto"/>
          </w:divBdr>
          <w:divsChild>
            <w:div w:id="1427770733">
              <w:marLeft w:val="0"/>
              <w:marRight w:val="0"/>
              <w:marTop w:val="0"/>
              <w:marBottom w:val="0"/>
              <w:divBdr>
                <w:top w:val="none" w:sz="0" w:space="0" w:color="auto"/>
                <w:left w:val="none" w:sz="0" w:space="0" w:color="auto"/>
                <w:bottom w:val="none" w:sz="0" w:space="0" w:color="auto"/>
                <w:right w:val="none" w:sz="0" w:space="0" w:color="auto"/>
              </w:divBdr>
            </w:div>
          </w:divsChild>
        </w:div>
        <w:div w:id="319584235">
          <w:marLeft w:val="0"/>
          <w:marRight w:val="0"/>
          <w:marTop w:val="0"/>
          <w:marBottom w:val="0"/>
          <w:divBdr>
            <w:top w:val="none" w:sz="0" w:space="0" w:color="auto"/>
            <w:left w:val="none" w:sz="0" w:space="0" w:color="auto"/>
            <w:bottom w:val="none" w:sz="0" w:space="0" w:color="auto"/>
            <w:right w:val="none" w:sz="0" w:space="0" w:color="auto"/>
          </w:divBdr>
          <w:divsChild>
            <w:div w:id="199974312">
              <w:marLeft w:val="0"/>
              <w:marRight w:val="0"/>
              <w:marTop w:val="0"/>
              <w:marBottom w:val="0"/>
              <w:divBdr>
                <w:top w:val="none" w:sz="0" w:space="0" w:color="auto"/>
                <w:left w:val="none" w:sz="0" w:space="0" w:color="auto"/>
                <w:bottom w:val="none" w:sz="0" w:space="0" w:color="auto"/>
                <w:right w:val="none" w:sz="0" w:space="0" w:color="auto"/>
              </w:divBdr>
            </w:div>
          </w:divsChild>
        </w:div>
        <w:div w:id="327903558">
          <w:marLeft w:val="0"/>
          <w:marRight w:val="0"/>
          <w:marTop w:val="0"/>
          <w:marBottom w:val="0"/>
          <w:divBdr>
            <w:top w:val="none" w:sz="0" w:space="0" w:color="auto"/>
            <w:left w:val="none" w:sz="0" w:space="0" w:color="auto"/>
            <w:bottom w:val="none" w:sz="0" w:space="0" w:color="auto"/>
            <w:right w:val="none" w:sz="0" w:space="0" w:color="auto"/>
          </w:divBdr>
          <w:divsChild>
            <w:div w:id="2140956766">
              <w:marLeft w:val="0"/>
              <w:marRight w:val="0"/>
              <w:marTop w:val="0"/>
              <w:marBottom w:val="0"/>
              <w:divBdr>
                <w:top w:val="none" w:sz="0" w:space="0" w:color="auto"/>
                <w:left w:val="none" w:sz="0" w:space="0" w:color="auto"/>
                <w:bottom w:val="none" w:sz="0" w:space="0" w:color="auto"/>
                <w:right w:val="none" w:sz="0" w:space="0" w:color="auto"/>
              </w:divBdr>
            </w:div>
          </w:divsChild>
        </w:div>
        <w:div w:id="330257980">
          <w:marLeft w:val="0"/>
          <w:marRight w:val="0"/>
          <w:marTop w:val="0"/>
          <w:marBottom w:val="0"/>
          <w:divBdr>
            <w:top w:val="none" w:sz="0" w:space="0" w:color="auto"/>
            <w:left w:val="none" w:sz="0" w:space="0" w:color="auto"/>
            <w:bottom w:val="none" w:sz="0" w:space="0" w:color="auto"/>
            <w:right w:val="none" w:sz="0" w:space="0" w:color="auto"/>
          </w:divBdr>
          <w:divsChild>
            <w:div w:id="1673331519">
              <w:marLeft w:val="0"/>
              <w:marRight w:val="0"/>
              <w:marTop w:val="0"/>
              <w:marBottom w:val="0"/>
              <w:divBdr>
                <w:top w:val="none" w:sz="0" w:space="0" w:color="auto"/>
                <w:left w:val="none" w:sz="0" w:space="0" w:color="auto"/>
                <w:bottom w:val="none" w:sz="0" w:space="0" w:color="auto"/>
                <w:right w:val="none" w:sz="0" w:space="0" w:color="auto"/>
              </w:divBdr>
            </w:div>
          </w:divsChild>
        </w:div>
        <w:div w:id="364602919">
          <w:marLeft w:val="0"/>
          <w:marRight w:val="0"/>
          <w:marTop w:val="0"/>
          <w:marBottom w:val="0"/>
          <w:divBdr>
            <w:top w:val="none" w:sz="0" w:space="0" w:color="auto"/>
            <w:left w:val="none" w:sz="0" w:space="0" w:color="auto"/>
            <w:bottom w:val="none" w:sz="0" w:space="0" w:color="auto"/>
            <w:right w:val="none" w:sz="0" w:space="0" w:color="auto"/>
          </w:divBdr>
          <w:divsChild>
            <w:div w:id="1710032773">
              <w:marLeft w:val="0"/>
              <w:marRight w:val="0"/>
              <w:marTop w:val="0"/>
              <w:marBottom w:val="0"/>
              <w:divBdr>
                <w:top w:val="none" w:sz="0" w:space="0" w:color="auto"/>
                <w:left w:val="none" w:sz="0" w:space="0" w:color="auto"/>
                <w:bottom w:val="none" w:sz="0" w:space="0" w:color="auto"/>
                <w:right w:val="none" w:sz="0" w:space="0" w:color="auto"/>
              </w:divBdr>
            </w:div>
          </w:divsChild>
        </w:div>
        <w:div w:id="379938883">
          <w:marLeft w:val="0"/>
          <w:marRight w:val="0"/>
          <w:marTop w:val="0"/>
          <w:marBottom w:val="0"/>
          <w:divBdr>
            <w:top w:val="none" w:sz="0" w:space="0" w:color="auto"/>
            <w:left w:val="none" w:sz="0" w:space="0" w:color="auto"/>
            <w:bottom w:val="none" w:sz="0" w:space="0" w:color="auto"/>
            <w:right w:val="none" w:sz="0" w:space="0" w:color="auto"/>
          </w:divBdr>
          <w:divsChild>
            <w:div w:id="166361037">
              <w:marLeft w:val="0"/>
              <w:marRight w:val="0"/>
              <w:marTop w:val="0"/>
              <w:marBottom w:val="0"/>
              <w:divBdr>
                <w:top w:val="none" w:sz="0" w:space="0" w:color="auto"/>
                <w:left w:val="none" w:sz="0" w:space="0" w:color="auto"/>
                <w:bottom w:val="none" w:sz="0" w:space="0" w:color="auto"/>
                <w:right w:val="none" w:sz="0" w:space="0" w:color="auto"/>
              </w:divBdr>
            </w:div>
          </w:divsChild>
        </w:div>
        <w:div w:id="382142313">
          <w:marLeft w:val="0"/>
          <w:marRight w:val="0"/>
          <w:marTop w:val="0"/>
          <w:marBottom w:val="0"/>
          <w:divBdr>
            <w:top w:val="none" w:sz="0" w:space="0" w:color="auto"/>
            <w:left w:val="none" w:sz="0" w:space="0" w:color="auto"/>
            <w:bottom w:val="none" w:sz="0" w:space="0" w:color="auto"/>
            <w:right w:val="none" w:sz="0" w:space="0" w:color="auto"/>
          </w:divBdr>
          <w:divsChild>
            <w:div w:id="196819883">
              <w:marLeft w:val="0"/>
              <w:marRight w:val="0"/>
              <w:marTop w:val="0"/>
              <w:marBottom w:val="0"/>
              <w:divBdr>
                <w:top w:val="none" w:sz="0" w:space="0" w:color="auto"/>
                <w:left w:val="none" w:sz="0" w:space="0" w:color="auto"/>
                <w:bottom w:val="none" w:sz="0" w:space="0" w:color="auto"/>
                <w:right w:val="none" w:sz="0" w:space="0" w:color="auto"/>
              </w:divBdr>
            </w:div>
          </w:divsChild>
        </w:div>
        <w:div w:id="384373020">
          <w:marLeft w:val="0"/>
          <w:marRight w:val="0"/>
          <w:marTop w:val="0"/>
          <w:marBottom w:val="0"/>
          <w:divBdr>
            <w:top w:val="none" w:sz="0" w:space="0" w:color="auto"/>
            <w:left w:val="none" w:sz="0" w:space="0" w:color="auto"/>
            <w:bottom w:val="none" w:sz="0" w:space="0" w:color="auto"/>
            <w:right w:val="none" w:sz="0" w:space="0" w:color="auto"/>
          </w:divBdr>
          <w:divsChild>
            <w:div w:id="1661696626">
              <w:marLeft w:val="0"/>
              <w:marRight w:val="0"/>
              <w:marTop w:val="0"/>
              <w:marBottom w:val="0"/>
              <w:divBdr>
                <w:top w:val="none" w:sz="0" w:space="0" w:color="auto"/>
                <w:left w:val="none" w:sz="0" w:space="0" w:color="auto"/>
                <w:bottom w:val="none" w:sz="0" w:space="0" w:color="auto"/>
                <w:right w:val="none" w:sz="0" w:space="0" w:color="auto"/>
              </w:divBdr>
            </w:div>
          </w:divsChild>
        </w:div>
        <w:div w:id="388457256">
          <w:marLeft w:val="0"/>
          <w:marRight w:val="0"/>
          <w:marTop w:val="0"/>
          <w:marBottom w:val="0"/>
          <w:divBdr>
            <w:top w:val="none" w:sz="0" w:space="0" w:color="auto"/>
            <w:left w:val="none" w:sz="0" w:space="0" w:color="auto"/>
            <w:bottom w:val="none" w:sz="0" w:space="0" w:color="auto"/>
            <w:right w:val="none" w:sz="0" w:space="0" w:color="auto"/>
          </w:divBdr>
          <w:divsChild>
            <w:div w:id="1345519873">
              <w:marLeft w:val="0"/>
              <w:marRight w:val="0"/>
              <w:marTop w:val="0"/>
              <w:marBottom w:val="0"/>
              <w:divBdr>
                <w:top w:val="none" w:sz="0" w:space="0" w:color="auto"/>
                <w:left w:val="none" w:sz="0" w:space="0" w:color="auto"/>
                <w:bottom w:val="none" w:sz="0" w:space="0" w:color="auto"/>
                <w:right w:val="none" w:sz="0" w:space="0" w:color="auto"/>
              </w:divBdr>
            </w:div>
          </w:divsChild>
        </w:div>
        <w:div w:id="399207012">
          <w:marLeft w:val="0"/>
          <w:marRight w:val="0"/>
          <w:marTop w:val="0"/>
          <w:marBottom w:val="0"/>
          <w:divBdr>
            <w:top w:val="none" w:sz="0" w:space="0" w:color="auto"/>
            <w:left w:val="none" w:sz="0" w:space="0" w:color="auto"/>
            <w:bottom w:val="none" w:sz="0" w:space="0" w:color="auto"/>
            <w:right w:val="none" w:sz="0" w:space="0" w:color="auto"/>
          </w:divBdr>
          <w:divsChild>
            <w:div w:id="63530318">
              <w:marLeft w:val="0"/>
              <w:marRight w:val="0"/>
              <w:marTop w:val="0"/>
              <w:marBottom w:val="0"/>
              <w:divBdr>
                <w:top w:val="none" w:sz="0" w:space="0" w:color="auto"/>
                <w:left w:val="none" w:sz="0" w:space="0" w:color="auto"/>
                <w:bottom w:val="none" w:sz="0" w:space="0" w:color="auto"/>
                <w:right w:val="none" w:sz="0" w:space="0" w:color="auto"/>
              </w:divBdr>
            </w:div>
          </w:divsChild>
        </w:div>
        <w:div w:id="414330015">
          <w:marLeft w:val="0"/>
          <w:marRight w:val="0"/>
          <w:marTop w:val="0"/>
          <w:marBottom w:val="0"/>
          <w:divBdr>
            <w:top w:val="none" w:sz="0" w:space="0" w:color="auto"/>
            <w:left w:val="none" w:sz="0" w:space="0" w:color="auto"/>
            <w:bottom w:val="none" w:sz="0" w:space="0" w:color="auto"/>
            <w:right w:val="none" w:sz="0" w:space="0" w:color="auto"/>
          </w:divBdr>
          <w:divsChild>
            <w:div w:id="335110341">
              <w:marLeft w:val="0"/>
              <w:marRight w:val="0"/>
              <w:marTop w:val="0"/>
              <w:marBottom w:val="0"/>
              <w:divBdr>
                <w:top w:val="none" w:sz="0" w:space="0" w:color="auto"/>
                <w:left w:val="none" w:sz="0" w:space="0" w:color="auto"/>
                <w:bottom w:val="none" w:sz="0" w:space="0" w:color="auto"/>
                <w:right w:val="none" w:sz="0" w:space="0" w:color="auto"/>
              </w:divBdr>
            </w:div>
          </w:divsChild>
        </w:div>
        <w:div w:id="477261713">
          <w:marLeft w:val="0"/>
          <w:marRight w:val="0"/>
          <w:marTop w:val="0"/>
          <w:marBottom w:val="0"/>
          <w:divBdr>
            <w:top w:val="none" w:sz="0" w:space="0" w:color="auto"/>
            <w:left w:val="none" w:sz="0" w:space="0" w:color="auto"/>
            <w:bottom w:val="none" w:sz="0" w:space="0" w:color="auto"/>
            <w:right w:val="none" w:sz="0" w:space="0" w:color="auto"/>
          </w:divBdr>
          <w:divsChild>
            <w:div w:id="1681347093">
              <w:marLeft w:val="0"/>
              <w:marRight w:val="0"/>
              <w:marTop w:val="0"/>
              <w:marBottom w:val="0"/>
              <w:divBdr>
                <w:top w:val="none" w:sz="0" w:space="0" w:color="auto"/>
                <w:left w:val="none" w:sz="0" w:space="0" w:color="auto"/>
                <w:bottom w:val="none" w:sz="0" w:space="0" w:color="auto"/>
                <w:right w:val="none" w:sz="0" w:space="0" w:color="auto"/>
              </w:divBdr>
            </w:div>
          </w:divsChild>
        </w:div>
        <w:div w:id="480001612">
          <w:marLeft w:val="0"/>
          <w:marRight w:val="0"/>
          <w:marTop w:val="0"/>
          <w:marBottom w:val="0"/>
          <w:divBdr>
            <w:top w:val="none" w:sz="0" w:space="0" w:color="auto"/>
            <w:left w:val="none" w:sz="0" w:space="0" w:color="auto"/>
            <w:bottom w:val="none" w:sz="0" w:space="0" w:color="auto"/>
            <w:right w:val="none" w:sz="0" w:space="0" w:color="auto"/>
          </w:divBdr>
          <w:divsChild>
            <w:div w:id="1101145495">
              <w:marLeft w:val="0"/>
              <w:marRight w:val="0"/>
              <w:marTop w:val="0"/>
              <w:marBottom w:val="0"/>
              <w:divBdr>
                <w:top w:val="none" w:sz="0" w:space="0" w:color="auto"/>
                <w:left w:val="none" w:sz="0" w:space="0" w:color="auto"/>
                <w:bottom w:val="none" w:sz="0" w:space="0" w:color="auto"/>
                <w:right w:val="none" w:sz="0" w:space="0" w:color="auto"/>
              </w:divBdr>
            </w:div>
          </w:divsChild>
        </w:div>
        <w:div w:id="494810015">
          <w:marLeft w:val="0"/>
          <w:marRight w:val="0"/>
          <w:marTop w:val="0"/>
          <w:marBottom w:val="0"/>
          <w:divBdr>
            <w:top w:val="none" w:sz="0" w:space="0" w:color="auto"/>
            <w:left w:val="none" w:sz="0" w:space="0" w:color="auto"/>
            <w:bottom w:val="none" w:sz="0" w:space="0" w:color="auto"/>
            <w:right w:val="none" w:sz="0" w:space="0" w:color="auto"/>
          </w:divBdr>
          <w:divsChild>
            <w:div w:id="1324236908">
              <w:marLeft w:val="0"/>
              <w:marRight w:val="0"/>
              <w:marTop w:val="0"/>
              <w:marBottom w:val="0"/>
              <w:divBdr>
                <w:top w:val="none" w:sz="0" w:space="0" w:color="auto"/>
                <w:left w:val="none" w:sz="0" w:space="0" w:color="auto"/>
                <w:bottom w:val="none" w:sz="0" w:space="0" w:color="auto"/>
                <w:right w:val="none" w:sz="0" w:space="0" w:color="auto"/>
              </w:divBdr>
            </w:div>
          </w:divsChild>
        </w:div>
        <w:div w:id="495921835">
          <w:marLeft w:val="0"/>
          <w:marRight w:val="0"/>
          <w:marTop w:val="0"/>
          <w:marBottom w:val="0"/>
          <w:divBdr>
            <w:top w:val="none" w:sz="0" w:space="0" w:color="auto"/>
            <w:left w:val="none" w:sz="0" w:space="0" w:color="auto"/>
            <w:bottom w:val="none" w:sz="0" w:space="0" w:color="auto"/>
            <w:right w:val="none" w:sz="0" w:space="0" w:color="auto"/>
          </w:divBdr>
          <w:divsChild>
            <w:div w:id="1255548831">
              <w:marLeft w:val="0"/>
              <w:marRight w:val="0"/>
              <w:marTop w:val="0"/>
              <w:marBottom w:val="0"/>
              <w:divBdr>
                <w:top w:val="none" w:sz="0" w:space="0" w:color="auto"/>
                <w:left w:val="none" w:sz="0" w:space="0" w:color="auto"/>
                <w:bottom w:val="none" w:sz="0" w:space="0" w:color="auto"/>
                <w:right w:val="none" w:sz="0" w:space="0" w:color="auto"/>
              </w:divBdr>
            </w:div>
          </w:divsChild>
        </w:div>
        <w:div w:id="528420302">
          <w:marLeft w:val="0"/>
          <w:marRight w:val="0"/>
          <w:marTop w:val="0"/>
          <w:marBottom w:val="0"/>
          <w:divBdr>
            <w:top w:val="none" w:sz="0" w:space="0" w:color="auto"/>
            <w:left w:val="none" w:sz="0" w:space="0" w:color="auto"/>
            <w:bottom w:val="none" w:sz="0" w:space="0" w:color="auto"/>
            <w:right w:val="none" w:sz="0" w:space="0" w:color="auto"/>
          </w:divBdr>
          <w:divsChild>
            <w:div w:id="677852228">
              <w:marLeft w:val="0"/>
              <w:marRight w:val="0"/>
              <w:marTop w:val="0"/>
              <w:marBottom w:val="0"/>
              <w:divBdr>
                <w:top w:val="none" w:sz="0" w:space="0" w:color="auto"/>
                <w:left w:val="none" w:sz="0" w:space="0" w:color="auto"/>
                <w:bottom w:val="none" w:sz="0" w:space="0" w:color="auto"/>
                <w:right w:val="none" w:sz="0" w:space="0" w:color="auto"/>
              </w:divBdr>
            </w:div>
          </w:divsChild>
        </w:div>
        <w:div w:id="540829220">
          <w:marLeft w:val="0"/>
          <w:marRight w:val="0"/>
          <w:marTop w:val="0"/>
          <w:marBottom w:val="0"/>
          <w:divBdr>
            <w:top w:val="none" w:sz="0" w:space="0" w:color="auto"/>
            <w:left w:val="none" w:sz="0" w:space="0" w:color="auto"/>
            <w:bottom w:val="none" w:sz="0" w:space="0" w:color="auto"/>
            <w:right w:val="none" w:sz="0" w:space="0" w:color="auto"/>
          </w:divBdr>
          <w:divsChild>
            <w:div w:id="591858069">
              <w:marLeft w:val="0"/>
              <w:marRight w:val="0"/>
              <w:marTop w:val="0"/>
              <w:marBottom w:val="0"/>
              <w:divBdr>
                <w:top w:val="none" w:sz="0" w:space="0" w:color="auto"/>
                <w:left w:val="none" w:sz="0" w:space="0" w:color="auto"/>
                <w:bottom w:val="none" w:sz="0" w:space="0" w:color="auto"/>
                <w:right w:val="none" w:sz="0" w:space="0" w:color="auto"/>
              </w:divBdr>
            </w:div>
          </w:divsChild>
        </w:div>
        <w:div w:id="554699787">
          <w:marLeft w:val="0"/>
          <w:marRight w:val="0"/>
          <w:marTop w:val="0"/>
          <w:marBottom w:val="0"/>
          <w:divBdr>
            <w:top w:val="none" w:sz="0" w:space="0" w:color="auto"/>
            <w:left w:val="none" w:sz="0" w:space="0" w:color="auto"/>
            <w:bottom w:val="none" w:sz="0" w:space="0" w:color="auto"/>
            <w:right w:val="none" w:sz="0" w:space="0" w:color="auto"/>
          </w:divBdr>
          <w:divsChild>
            <w:div w:id="822620044">
              <w:marLeft w:val="0"/>
              <w:marRight w:val="0"/>
              <w:marTop w:val="0"/>
              <w:marBottom w:val="0"/>
              <w:divBdr>
                <w:top w:val="none" w:sz="0" w:space="0" w:color="auto"/>
                <w:left w:val="none" w:sz="0" w:space="0" w:color="auto"/>
                <w:bottom w:val="none" w:sz="0" w:space="0" w:color="auto"/>
                <w:right w:val="none" w:sz="0" w:space="0" w:color="auto"/>
              </w:divBdr>
            </w:div>
          </w:divsChild>
        </w:div>
        <w:div w:id="557866595">
          <w:marLeft w:val="0"/>
          <w:marRight w:val="0"/>
          <w:marTop w:val="0"/>
          <w:marBottom w:val="0"/>
          <w:divBdr>
            <w:top w:val="none" w:sz="0" w:space="0" w:color="auto"/>
            <w:left w:val="none" w:sz="0" w:space="0" w:color="auto"/>
            <w:bottom w:val="none" w:sz="0" w:space="0" w:color="auto"/>
            <w:right w:val="none" w:sz="0" w:space="0" w:color="auto"/>
          </w:divBdr>
          <w:divsChild>
            <w:div w:id="1505433092">
              <w:marLeft w:val="0"/>
              <w:marRight w:val="0"/>
              <w:marTop w:val="0"/>
              <w:marBottom w:val="0"/>
              <w:divBdr>
                <w:top w:val="none" w:sz="0" w:space="0" w:color="auto"/>
                <w:left w:val="none" w:sz="0" w:space="0" w:color="auto"/>
                <w:bottom w:val="none" w:sz="0" w:space="0" w:color="auto"/>
                <w:right w:val="none" w:sz="0" w:space="0" w:color="auto"/>
              </w:divBdr>
            </w:div>
          </w:divsChild>
        </w:div>
        <w:div w:id="561329160">
          <w:marLeft w:val="0"/>
          <w:marRight w:val="0"/>
          <w:marTop w:val="0"/>
          <w:marBottom w:val="0"/>
          <w:divBdr>
            <w:top w:val="none" w:sz="0" w:space="0" w:color="auto"/>
            <w:left w:val="none" w:sz="0" w:space="0" w:color="auto"/>
            <w:bottom w:val="none" w:sz="0" w:space="0" w:color="auto"/>
            <w:right w:val="none" w:sz="0" w:space="0" w:color="auto"/>
          </w:divBdr>
          <w:divsChild>
            <w:div w:id="384186740">
              <w:marLeft w:val="0"/>
              <w:marRight w:val="0"/>
              <w:marTop w:val="0"/>
              <w:marBottom w:val="0"/>
              <w:divBdr>
                <w:top w:val="none" w:sz="0" w:space="0" w:color="auto"/>
                <w:left w:val="none" w:sz="0" w:space="0" w:color="auto"/>
                <w:bottom w:val="none" w:sz="0" w:space="0" w:color="auto"/>
                <w:right w:val="none" w:sz="0" w:space="0" w:color="auto"/>
              </w:divBdr>
            </w:div>
          </w:divsChild>
        </w:div>
        <w:div w:id="565461312">
          <w:marLeft w:val="0"/>
          <w:marRight w:val="0"/>
          <w:marTop w:val="0"/>
          <w:marBottom w:val="0"/>
          <w:divBdr>
            <w:top w:val="none" w:sz="0" w:space="0" w:color="auto"/>
            <w:left w:val="none" w:sz="0" w:space="0" w:color="auto"/>
            <w:bottom w:val="none" w:sz="0" w:space="0" w:color="auto"/>
            <w:right w:val="none" w:sz="0" w:space="0" w:color="auto"/>
          </w:divBdr>
          <w:divsChild>
            <w:div w:id="1664507057">
              <w:marLeft w:val="0"/>
              <w:marRight w:val="0"/>
              <w:marTop w:val="0"/>
              <w:marBottom w:val="0"/>
              <w:divBdr>
                <w:top w:val="none" w:sz="0" w:space="0" w:color="auto"/>
                <w:left w:val="none" w:sz="0" w:space="0" w:color="auto"/>
                <w:bottom w:val="none" w:sz="0" w:space="0" w:color="auto"/>
                <w:right w:val="none" w:sz="0" w:space="0" w:color="auto"/>
              </w:divBdr>
            </w:div>
          </w:divsChild>
        </w:div>
        <w:div w:id="586305988">
          <w:marLeft w:val="0"/>
          <w:marRight w:val="0"/>
          <w:marTop w:val="0"/>
          <w:marBottom w:val="0"/>
          <w:divBdr>
            <w:top w:val="none" w:sz="0" w:space="0" w:color="auto"/>
            <w:left w:val="none" w:sz="0" w:space="0" w:color="auto"/>
            <w:bottom w:val="none" w:sz="0" w:space="0" w:color="auto"/>
            <w:right w:val="none" w:sz="0" w:space="0" w:color="auto"/>
          </w:divBdr>
          <w:divsChild>
            <w:div w:id="1516731368">
              <w:marLeft w:val="0"/>
              <w:marRight w:val="0"/>
              <w:marTop w:val="0"/>
              <w:marBottom w:val="0"/>
              <w:divBdr>
                <w:top w:val="none" w:sz="0" w:space="0" w:color="auto"/>
                <w:left w:val="none" w:sz="0" w:space="0" w:color="auto"/>
                <w:bottom w:val="none" w:sz="0" w:space="0" w:color="auto"/>
                <w:right w:val="none" w:sz="0" w:space="0" w:color="auto"/>
              </w:divBdr>
            </w:div>
          </w:divsChild>
        </w:div>
        <w:div w:id="587887728">
          <w:marLeft w:val="0"/>
          <w:marRight w:val="0"/>
          <w:marTop w:val="0"/>
          <w:marBottom w:val="0"/>
          <w:divBdr>
            <w:top w:val="none" w:sz="0" w:space="0" w:color="auto"/>
            <w:left w:val="none" w:sz="0" w:space="0" w:color="auto"/>
            <w:bottom w:val="none" w:sz="0" w:space="0" w:color="auto"/>
            <w:right w:val="none" w:sz="0" w:space="0" w:color="auto"/>
          </w:divBdr>
          <w:divsChild>
            <w:div w:id="1242452355">
              <w:marLeft w:val="0"/>
              <w:marRight w:val="0"/>
              <w:marTop w:val="0"/>
              <w:marBottom w:val="0"/>
              <w:divBdr>
                <w:top w:val="none" w:sz="0" w:space="0" w:color="auto"/>
                <w:left w:val="none" w:sz="0" w:space="0" w:color="auto"/>
                <w:bottom w:val="none" w:sz="0" w:space="0" w:color="auto"/>
                <w:right w:val="none" w:sz="0" w:space="0" w:color="auto"/>
              </w:divBdr>
            </w:div>
          </w:divsChild>
        </w:div>
        <w:div w:id="587928298">
          <w:marLeft w:val="0"/>
          <w:marRight w:val="0"/>
          <w:marTop w:val="0"/>
          <w:marBottom w:val="0"/>
          <w:divBdr>
            <w:top w:val="none" w:sz="0" w:space="0" w:color="auto"/>
            <w:left w:val="none" w:sz="0" w:space="0" w:color="auto"/>
            <w:bottom w:val="none" w:sz="0" w:space="0" w:color="auto"/>
            <w:right w:val="none" w:sz="0" w:space="0" w:color="auto"/>
          </w:divBdr>
          <w:divsChild>
            <w:div w:id="635110448">
              <w:marLeft w:val="0"/>
              <w:marRight w:val="0"/>
              <w:marTop w:val="0"/>
              <w:marBottom w:val="0"/>
              <w:divBdr>
                <w:top w:val="none" w:sz="0" w:space="0" w:color="auto"/>
                <w:left w:val="none" w:sz="0" w:space="0" w:color="auto"/>
                <w:bottom w:val="none" w:sz="0" w:space="0" w:color="auto"/>
                <w:right w:val="none" w:sz="0" w:space="0" w:color="auto"/>
              </w:divBdr>
            </w:div>
            <w:div w:id="770466016">
              <w:marLeft w:val="0"/>
              <w:marRight w:val="0"/>
              <w:marTop w:val="0"/>
              <w:marBottom w:val="0"/>
              <w:divBdr>
                <w:top w:val="none" w:sz="0" w:space="0" w:color="auto"/>
                <w:left w:val="none" w:sz="0" w:space="0" w:color="auto"/>
                <w:bottom w:val="none" w:sz="0" w:space="0" w:color="auto"/>
                <w:right w:val="none" w:sz="0" w:space="0" w:color="auto"/>
              </w:divBdr>
            </w:div>
          </w:divsChild>
        </w:div>
        <w:div w:id="596406403">
          <w:marLeft w:val="0"/>
          <w:marRight w:val="0"/>
          <w:marTop w:val="0"/>
          <w:marBottom w:val="0"/>
          <w:divBdr>
            <w:top w:val="none" w:sz="0" w:space="0" w:color="auto"/>
            <w:left w:val="none" w:sz="0" w:space="0" w:color="auto"/>
            <w:bottom w:val="none" w:sz="0" w:space="0" w:color="auto"/>
            <w:right w:val="none" w:sz="0" w:space="0" w:color="auto"/>
          </w:divBdr>
          <w:divsChild>
            <w:div w:id="828132712">
              <w:marLeft w:val="0"/>
              <w:marRight w:val="0"/>
              <w:marTop w:val="0"/>
              <w:marBottom w:val="0"/>
              <w:divBdr>
                <w:top w:val="none" w:sz="0" w:space="0" w:color="auto"/>
                <w:left w:val="none" w:sz="0" w:space="0" w:color="auto"/>
                <w:bottom w:val="none" w:sz="0" w:space="0" w:color="auto"/>
                <w:right w:val="none" w:sz="0" w:space="0" w:color="auto"/>
              </w:divBdr>
            </w:div>
          </w:divsChild>
        </w:div>
        <w:div w:id="634139367">
          <w:marLeft w:val="0"/>
          <w:marRight w:val="0"/>
          <w:marTop w:val="0"/>
          <w:marBottom w:val="0"/>
          <w:divBdr>
            <w:top w:val="none" w:sz="0" w:space="0" w:color="auto"/>
            <w:left w:val="none" w:sz="0" w:space="0" w:color="auto"/>
            <w:bottom w:val="none" w:sz="0" w:space="0" w:color="auto"/>
            <w:right w:val="none" w:sz="0" w:space="0" w:color="auto"/>
          </w:divBdr>
          <w:divsChild>
            <w:div w:id="2071070194">
              <w:marLeft w:val="0"/>
              <w:marRight w:val="0"/>
              <w:marTop w:val="0"/>
              <w:marBottom w:val="0"/>
              <w:divBdr>
                <w:top w:val="none" w:sz="0" w:space="0" w:color="auto"/>
                <w:left w:val="none" w:sz="0" w:space="0" w:color="auto"/>
                <w:bottom w:val="none" w:sz="0" w:space="0" w:color="auto"/>
                <w:right w:val="none" w:sz="0" w:space="0" w:color="auto"/>
              </w:divBdr>
            </w:div>
          </w:divsChild>
        </w:div>
        <w:div w:id="658922976">
          <w:marLeft w:val="0"/>
          <w:marRight w:val="0"/>
          <w:marTop w:val="0"/>
          <w:marBottom w:val="0"/>
          <w:divBdr>
            <w:top w:val="none" w:sz="0" w:space="0" w:color="auto"/>
            <w:left w:val="none" w:sz="0" w:space="0" w:color="auto"/>
            <w:bottom w:val="none" w:sz="0" w:space="0" w:color="auto"/>
            <w:right w:val="none" w:sz="0" w:space="0" w:color="auto"/>
          </w:divBdr>
          <w:divsChild>
            <w:div w:id="1127092209">
              <w:marLeft w:val="0"/>
              <w:marRight w:val="0"/>
              <w:marTop w:val="0"/>
              <w:marBottom w:val="0"/>
              <w:divBdr>
                <w:top w:val="none" w:sz="0" w:space="0" w:color="auto"/>
                <w:left w:val="none" w:sz="0" w:space="0" w:color="auto"/>
                <w:bottom w:val="none" w:sz="0" w:space="0" w:color="auto"/>
                <w:right w:val="none" w:sz="0" w:space="0" w:color="auto"/>
              </w:divBdr>
            </w:div>
          </w:divsChild>
        </w:div>
        <w:div w:id="677973947">
          <w:marLeft w:val="0"/>
          <w:marRight w:val="0"/>
          <w:marTop w:val="0"/>
          <w:marBottom w:val="0"/>
          <w:divBdr>
            <w:top w:val="none" w:sz="0" w:space="0" w:color="auto"/>
            <w:left w:val="none" w:sz="0" w:space="0" w:color="auto"/>
            <w:bottom w:val="none" w:sz="0" w:space="0" w:color="auto"/>
            <w:right w:val="none" w:sz="0" w:space="0" w:color="auto"/>
          </w:divBdr>
          <w:divsChild>
            <w:div w:id="1772238816">
              <w:marLeft w:val="0"/>
              <w:marRight w:val="0"/>
              <w:marTop w:val="0"/>
              <w:marBottom w:val="0"/>
              <w:divBdr>
                <w:top w:val="none" w:sz="0" w:space="0" w:color="auto"/>
                <w:left w:val="none" w:sz="0" w:space="0" w:color="auto"/>
                <w:bottom w:val="none" w:sz="0" w:space="0" w:color="auto"/>
                <w:right w:val="none" w:sz="0" w:space="0" w:color="auto"/>
              </w:divBdr>
            </w:div>
          </w:divsChild>
        </w:div>
        <w:div w:id="698043207">
          <w:marLeft w:val="0"/>
          <w:marRight w:val="0"/>
          <w:marTop w:val="0"/>
          <w:marBottom w:val="0"/>
          <w:divBdr>
            <w:top w:val="none" w:sz="0" w:space="0" w:color="auto"/>
            <w:left w:val="none" w:sz="0" w:space="0" w:color="auto"/>
            <w:bottom w:val="none" w:sz="0" w:space="0" w:color="auto"/>
            <w:right w:val="none" w:sz="0" w:space="0" w:color="auto"/>
          </w:divBdr>
          <w:divsChild>
            <w:div w:id="1812481086">
              <w:marLeft w:val="0"/>
              <w:marRight w:val="0"/>
              <w:marTop w:val="0"/>
              <w:marBottom w:val="0"/>
              <w:divBdr>
                <w:top w:val="none" w:sz="0" w:space="0" w:color="auto"/>
                <w:left w:val="none" w:sz="0" w:space="0" w:color="auto"/>
                <w:bottom w:val="none" w:sz="0" w:space="0" w:color="auto"/>
                <w:right w:val="none" w:sz="0" w:space="0" w:color="auto"/>
              </w:divBdr>
            </w:div>
          </w:divsChild>
        </w:div>
        <w:div w:id="706564140">
          <w:marLeft w:val="0"/>
          <w:marRight w:val="0"/>
          <w:marTop w:val="0"/>
          <w:marBottom w:val="0"/>
          <w:divBdr>
            <w:top w:val="none" w:sz="0" w:space="0" w:color="auto"/>
            <w:left w:val="none" w:sz="0" w:space="0" w:color="auto"/>
            <w:bottom w:val="none" w:sz="0" w:space="0" w:color="auto"/>
            <w:right w:val="none" w:sz="0" w:space="0" w:color="auto"/>
          </w:divBdr>
          <w:divsChild>
            <w:div w:id="1063215195">
              <w:marLeft w:val="0"/>
              <w:marRight w:val="0"/>
              <w:marTop w:val="0"/>
              <w:marBottom w:val="0"/>
              <w:divBdr>
                <w:top w:val="none" w:sz="0" w:space="0" w:color="auto"/>
                <w:left w:val="none" w:sz="0" w:space="0" w:color="auto"/>
                <w:bottom w:val="none" w:sz="0" w:space="0" w:color="auto"/>
                <w:right w:val="none" w:sz="0" w:space="0" w:color="auto"/>
              </w:divBdr>
            </w:div>
          </w:divsChild>
        </w:div>
        <w:div w:id="708799683">
          <w:marLeft w:val="0"/>
          <w:marRight w:val="0"/>
          <w:marTop w:val="0"/>
          <w:marBottom w:val="0"/>
          <w:divBdr>
            <w:top w:val="none" w:sz="0" w:space="0" w:color="auto"/>
            <w:left w:val="none" w:sz="0" w:space="0" w:color="auto"/>
            <w:bottom w:val="none" w:sz="0" w:space="0" w:color="auto"/>
            <w:right w:val="none" w:sz="0" w:space="0" w:color="auto"/>
          </w:divBdr>
          <w:divsChild>
            <w:div w:id="1589075809">
              <w:marLeft w:val="0"/>
              <w:marRight w:val="0"/>
              <w:marTop w:val="0"/>
              <w:marBottom w:val="0"/>
              <w:divBdr>
                <w:top w:val="none" w:sz="0" w:space="0" w:color="auto"/>
                <w:left w:val="none" w:sz="0" w:space="0" w:color="auto"/>
                <w:bottom w:val="none" w:sz="0" w:space="0" w:color="auto"/>
                <w:right w:val="none" w:sz="0" w:space="0" w:color="auto"/>
              </w:divBdr>
            </w:div>
          </w:divsChild>
        </w:div>
        <w:div w:id="717431525">
          <w:marLeft w:val="0"/>
          <w:marRight w:val="0"/>
          <w:marTop w:val="0"/>
          <w:marBottom w:val="0"/>
          <w:divBdr>
            <w:top w:val="none" w:sz="0" w:space="0" w:color="auto"/>
            <w:left w:val="none" w:sz="0" w:space="0" w:color="auto"/>
            <w:bottom w:val="none" w:sz="0" w:space="0" w:color="auto"/>
            <w:right w:val="none" w:sz="0" w:space="0" w:color="auto"/>
          </w:divBdr>
          <w:divsChild>
            <w:div w:id="929196457">
              <w:marLeft w:val="0"/>
              <w:marRight w:val="0"/>
              <w:marTop w:val="0"/>
              <w:marBottom w:val="0"/>
              <w:divBdr>
                <w:top w:val="none" w:sz="0" w:space="0" w:color="auto"/>
                <w:left w:val="none" w:sz="0" w:space="0" w:color="auto"/>
                <w:bottom w:val="none" w:sz="0" w:space="0" w:color="auto"/>
                <w:right w:val="none" w:sz="0" w:space="0" w:color="auto"/>
              </w:divBdr>
            </w:div>
          </w:divsChild>
        </w:div>
        <w:div w:id="718088097">
          <w:marLeft w:val="0"/>
          <w:marRight w:val="0"/>
          <w:marTop w:val="0"/>
          <w:marBottom w:val="0"/>
          <w:divBdr>
            <w:top w:val="none" w:sz="0" w:space="0" w:color="auto"/>
            <w:left w:val="none" w:sz="0" w:space="0" w:color="auto"/>
            <w:bottom w:val="none" w:sz="0" w:space="0" w:color="auto"/>
            <w:right w:val="none" w:sz="0" w:space="0" w:color="auto"/>
          </w:divBdr>
          <w:divsChild>
            <w:div w:id="893004207">
              <w:marLeft w:val="0"/>
              <w:marRight w:val="0"/>
              <w:marTop w:val="0"/>
              <w:marBottom w:val="0"/>
              <w:divBdr>
                <w:top w:val="none" w:sz="0" w:space="0" w:color="auto"/>
                <w:left w:val="none" w:sz="0" w:space="0" w:color="auto"/>
                <w:bottom w:val="none" w:sz="0" w:space="0" w:color="auto"/>
                <w:right w:val="none" w:sz="0" w:space="0" w:color="auto"/>
              </w:divBdr>
            </w:div>
          </w:divsChild>
        </w:div>
        <w:div w:id="766996988">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 w:id="772289618">
          <w:marLeft w:val="0"/>
          <w:marRight w:val="0"/>
          <w:marTop w:val="0"/>
          <w:marBottom w:val="0"/>
          <w:divBdr>
            <w:top w:val="none" w:sz="0" w:space="0" w:color="auto"/>
            <w:left w:val="none" w:sz="0" w:space="0" w:color="auto"/>
            <w:bottom w:val="none" w:sz="0" w:space="0" w:color="auto"/>
            <w:right w:val="none" w:sz="0" w:space="0" w:color="auto"/>
          </w:divBdr>
          <w:divsChild>
            <w:div w:id="1293942979">
              <w:marLeft w:val="0"/>
              <w:marRight w:val="0"/>
              <w:marTop w:val="0"/>
              <w:marBottom w:val="0"/>
              <w:divBdr>
                <w:top w:val="none" w:sz="0" w:space="0" w:color="auto"/>
                <w:left w:val="none" w:sz="0" w:space="0" w:color="auto"/>
                <w:bottom w:val="none" w:sz="0" w:space="0" w:color="auto"/>
                <w:right w:val="none" w:sz="0" w:space="0" w:color="auto"/>
              </w:divBdr>
            </w:div>
          </w:divsChild>
        </w:div>
        <w:div w:id="832842292">
          <w:marLeft w:val="0"/>
          <w:marRight w:val="0"/>
          <w:marTop w:val="0"/>
          <w:marBottom w:val="0"/>
          <w:divBdr>
            <w:top w:val="none" w:sz="0" w:space="0" w:color="auto"/>
            <w:left w:val="none" w:sz="0" w:space="0" w:color="auto"/>
            <w:bottom w:val="none" w:sz="0" w:space="0" w:color="auto"/>
            <w:right w:val="none" w:sz="0" w:space="0" w:color="auto"/>
          </w:divBdr>
          <w:divsChild>
            <w:div w:id="1003045163">
              <w:marLeft w:val="0"/>
              <w:marRight w:val="0"/>
              <w:marTop w:val="0"/>
              <w:marBottom w:val="0"/>
              <w:divBdr>
                <w:top w:val="none" w:sz="0" w:space="0" w:color="auto"/>
                <w:left w:val="none" w:sz="0" w:space="0" w:color="auto"/>
                <w:bottom w:val="none" w:sz="0" w:space="0" w:color="auto"/>
                <w:right w:val="none" w:sz="0" w:space="0" w:color="auto"/>
              </w:divBdr>
            </w:div>
          </w:divsChild>
        </w:div>
        <w:div w:id="888883831">
          <w:marLeft w:val="0"/>
          <w:marRight w:val="0"/>
          <w:marTop w:val="0"/>
          <w:marBottom w:val="0"/>
          <w:divBdr>
            <w:top w:val="none" w:sz="0" w:space="0" w:color="auto"/>
            <w:left w:val="none" w:sz="0" w:space="0" w:color="auto"/>
            <w:bottom w:val="none" w:sz="0" w:space="0" w:color="auto"/>
            <w:right w:val="none" w:sz="0" w:space="0" w:color="auto"/>
          </w:divBdr>
          <w:divsChild>
            <w:div w:id="410590618">
              <w:marLeft w:val="0"/>
              <w:marRight w:val="0"/>
              <w:marTop w:val="0"/>
              <w:marBottom w:val="0"/>
              <w:divBdr>
                <w:top w:val="none" w:sz="0" w:space="0" w:color="auto"/>
                <w:left w:val="none" w:sz="0" w:space="0" w:color="auto"/>
                <w:bottom w:val="none" w:sz="0" w:space="0" w:color="auto"/>
                <w:right w:val="none" w:sz="0" w:space="0" w:color="auto"/>
              </w:divBdr>
            </w:div>
          </w:divsChild>
        </w:div>
        <w:div w:id="890506380">
          <w:marLeft w:val="0"/>
          <w:marRight w:val="0"/>
          <w:marTop w:val="0"/>
          <w:marBottom w:val="0"/>
          <w:divBdr>
            <w:top w:val="none" w:sz="0" w:space="0" w:color="auto"/>
            <w:left w:val="none" w:sz="0" w:space="0" w:color="auto"/>
            <w:bottom w:val="none" w:sz="0" w:space="0" w:color="auto"/>
            <w:right w:val="none" w:sz="0" w:space="0" w:color="auto"/>
          </w:divBdr>
          <w:divsChild>
            <w:div w:id="1545823744">
              <w:marLeft w:val="0"/>
              <w:marRight w:val="0"/>
              <w:marTop w:val="0"/>
              <w:marBottom w:val="0"/>
              <w:divBdr>
                <w:top w:val="none" w:sz="0" w:space="0" w:color="auto"/>
                <w:left w:val="none" w:sz="0" w:space="0" w:color="auto"/>
                <w:bottom w:val="none" w:sz="0" w:space="0" w:color="auto"/>
                <w:right w:val="none" w:sz="0" w:space="0" w:color="auto"/>
              </w:divBdr>
            </w:div>
          </w:divsChild>
        </w:div>
        <w:div w:id="902253115">
          <w:marLeft w:val="0"/>
          <w:marRight w:val="0"/>
          <w:marTop w:val="0"/>
          <w:marBottom w:val="0"/>
          <w:divBdr>
            <w:top w:val="none" w:sz="0" w:space="0" w:color="auto"/>
            <w:left w:val="none" w:sz="0" w:space="0" w:color="auto"/>
            <w:bottom w:val="none" w:sz="0" w:space="0" w:color="auto"/>
            <w:right w:val="none" w:sz="0" w:space="0" w:color="auto"/>
          </w:divBdr>
          <w:divsChild>
            <w:div w:id="341399573">
              <w:marLeft w:val="0"/>
              <w:marRight w:val="0"/>
              <w:marTop w:val="0"/>
              <w:marBottom w:val="0"/>
              <w:divBdr>
                <w:top w:val="none" w:sz="0" w:space="0" w:color="auto"/>
                <w:left w:val="none" w:sz="0" w:space="0" w:color="auto"/>
                <w:bottom w:val="none" w:sz="0" w:space="0" w:color="auto"/>
                <w:right w:val="none" w:sz="0" w:space="0" w:color="auto"/>
              </w:divBdr>
            </w:div>
          </w:divsChild>
        </w:div>
        <w:div w:id="907375343">
          <w:marLeft w:val="0"/>
          <w:marRight w:val="0"/>
          <w:marTop w:val="0"/>
          <w:marBottom w:val="0"/>
          <w:divBdr>
            <w:top w:val="none" w:sz="0" w:space="0" w:color="auto"/>
            <w:left w:val="none" w:sz="0" w:space="0" w:color="auto"/>
            <w:bottom w:val="none" w:sz="0" w:space="0" w:color="auto"/>
            <w:right w:val="none" w:sz="0" w:space="0" w:color="auto"/>
          </w:divBdr>
          <w:divsChild>
            <w:div w:id="57217337">
              <w:marLeft w:val="0"/>
              <w:marRight w:val="0"/>
              <w:marTop w:val="0"/>
              <w:marBottom w:val="0"/>
              <w:divBdr>
                <w:top w:val="none" w:sz="0" w:space="0" w:color="auto"/>
                <w:left w:val="none" w:sz="0" w:space="0" w:color="auto"/>
                <w:bottom w:val="none" w:sz="0" w:space="0" w:color="auto"/>
                <w:right w:val="none" w:sz="0" w:space="0" w:color="auto"/>
              </w:divBdr>
            </w:div>
          </w:divsChild>
        </w:div>
        <w:div w:id="907766365">
          <w:marLeft w:val="0"/>
          <w:marRight w:val="0"/>
          <w:marTop w:val="0"/>
          <w:marBottom w:val="0"/>
          <w:divBdr>
            <w:top w:val="none" w:sz="0" w:space="0" w:color="auto"/>
            <w:left w:val="none" w:sz="0" w:space="0" w:color="auto"/>
            <w:bottom w:val="none" w:sz="0" w:space="0" w:color="auto"/>
            <w:right w:val="none" w:sz="0" w:space="0" w:color="auto"/>
          </w:divBdr>
          <w:divsChild>
            <w:div w:id="1379741060">
              <w:marLeft w:val="0"/>
              <w:marRight w:val="0"/>
              <w:marTop w:val="0"/>
              <w:marBottom w:val="0"/>
              <w:divBdr>
                <w:top w:val="none" w:sz="0" w:space="0" w:color="auto"/>
                <w:left w:val="none" w:sz="0" w:space="0" w:color="auto"/>
                <w:bottom w:val="none" w:sz="0" w:space="0" w:color="auto"/>
                <w:right w:val="none" w:sz="0" w:space="0" w:color="auto"/>
              </w:divBdr>
            </w:div>
          </w:divsChild>
        </w:div>
        <w:div w:id="912399904">
          <w:marLeft w:val="0"/>
          <w:marRight w:val="0"/>
          <w:marTop w:val="0"/>
          <w:marBottom w:val="0"/>
          <w:divBdr>
            <w:top w:val="none" w:sz="0" w:space="0" w:color="auto"/>
            <w:left w:val="none" w:sz="0" w:space="0" w:color="auto"/>
            <w:bottom w:val="none" w:sz="0" w:space="0" w:color="auto"/>
            <w:right w:val="none" w:sz="0" w:space="0" w:color="auto"/>
          </w:divBdr>
          <w:divsChild>
            <w:div w:id="672150223">
              <w:marLeft w:val="0"/>
              <w:marRight w:val="0"/>
              <w:marTop w:val="0"/>
              <w:marBottom w:val="0"/>
              <w:divBdr>
                <w:top w:val="none" w:sz="0" w:space="0" w:color="auto"/>
                <w:left w:val="none" w:sz="0" w:space="0" w:color="auto"/>
                <w:bottom w:val="none" w:sz="0" w:space="0" w:color="auto"/>
                <w:right w:val="none" w:sz="0" w:space="0" w:color="auto"/>
              </w:divBdr>
            </w:div>
          </w:divsChild>
        </w:div>
        <w:div w:id="1033581259">
          <w:marLeft w:val="0"/>
          <w:marRight w:val="0"/>
          <w:marTop w:val="0"/>
          <w:marBottom w:val="0"/>
          <w:divBdr>
            <w:top w:val="none" w:sz="0" w:space="0" w:color="auto"/>
            <w:left w:val="none" w:sz="0" w:space="0" w:color="auto"/>
            <w:bottom w:val="none" w:sz="0" w:space="0" w:color="auto"/>
            <w:right w:val="none" w:sz="0" w:space="0" w:color="auto"/>
          </w:divBdr>
          <w:divsChild>
            <w:div w:id="1951930384">
              <w:marLeft w:val="0"/>
              <w:marRight w:val="0"/>
              <w:marTop w:val="0"/>
              <w:marBottom w:val="0"/>
              <w:divBdr>
                <w:top w:val="none" w:sz="0" w:space="0" w:color="auto"/>
                <w:left w:val="none" w:sz="0" w:space="0" w:color="auto"/>
                <w:bottom w:val="none" w:sz="0" w:space="0" w:color="auto"/>
                <w:right w:val="none" w:sz="0" w:space="0" w:color="auto"/>
              </w:divBdr>
            </w:div>
          </w:divsChild>
        </w:div>
        <w:div w:id="1034767564">
          <w:marLeft w:val="0"/>
          <w:marRight w:val="0"/>
          <w:marTop w:val="0"/>
          <w:marBottom w:val="0"/>
          <w:divBdr>
            <w:top w:val="none" w:sz="0" w:space="0" w:color="auto"/>
            <w:left w:val="none" w:sz="0" w:space="0" w:color="auto"/>
            <w:bottom w:val="none" w:sz="0" w:space="0" w:color="auto"/>
            <w:right w:val="none" w:sz="0" w:space="0" w:color="auto"/>
          </w:divBdr>
          <w:divsChild>
            <w:div w:id="1310401680">
              <w:marLeft w:val="0"/>
              <w:marRight w:val="0"/>
              <w:marTop w:val="0"/>
              <w:marBottom w:val="0"/>
              <w:divBdr>
                <w:top w:val="none" w:sz="0" w:space="0" w:color="auto"/>
                <w:left w:val="none" w:sz="0" w:space="0" w:color="auto"/>
                <w:bottom w:val="none" w:sz="0" w:space="0" w:color="auto"/>
                <w:right w:val="none" w:sz="0" w:space="0" w:color="auto"/>
              </w:divBdr>
            </w:div>
          </w:divsChild>
        </w:div>
        <w:div w:id="1054618591">
          <w:marLeft w:val="0"/>
          <w:marRight w:val="0"/>
          <w:marTop w:val="0"/>
          <w:marBottom w:val="0"/>
          <w:divBdr>
            <w:top w:val="none" w:sz="0" w:space="0" w:color="auto"/>
            <w:left w:val="none" w:sz="0" w:space="0" w:color="auto"/>
            <w:bottom w:val="none" w:sz="0" w:space="0" w:color="auto"/>
            <w:right w:val="none" w:sz="0" w:space="0" w:color="auto"/>
          </w:divBdr>
          <w:divsChild>
            <w:div w:id="73476034">
              <w:marLeft w:val="0"/>
              <w:marRight w:val="0"/>
              <w:marTop w:val="0"/>
              <w:marBottom w:val="0"/>
              <w:divBdr>
                <w:top w:val="none" w:sz="0" w:space="0" w:color="auto"/>
                <w:left w:val="none" w:sz="0" w:space="0" w:color="auto"/>
                <w:bottom w:val="none" w:sz="0" w:space="0" w:color="auto"/>
                <w:right w:val="none" w:sz="0" w:space="0" w:color="auto"/>
              </w:divBdr>
            </w:div>
          </w:divsChild>
        </w:div>
        <w:div w:id="1084381812">
          <w:marLeft w:val="0"/>
          <w:marRight w:val="0"/>
          <w:marTop w:val="0"/>
          <w:marBottom w:val="0"/>
          <w:divBdr>
            <w:top w:val="none" w:sz="0" w:space="0" w:color="auto"/>
            <w:left w:val="none" w:sz="0" w:space="0" w:color="auto"/>
            <w:bottom w:val="none" w:sz="0" w:space="0" w:color="auto"/>
            <w:right w:val="none" w:sz="0" w:space="0" w:color="auto"/>
          </w:divBdr>
          <w:divsChild>
            <w:div w:id="1243638843">
              <w:marLeft w:val="0"/>
              <w:marRight w:val="0"/>
              <w:marTop w:val="0"/>
              <w:marBottom w:val="0"/>
              <w:divBdr>
                <w:top w:val="none" w:sz="0" w:space="0" w:color="auto"/>
                <w:left w:val="none" w:sz="0" w:space="0" w:color="auto"/>
                <w:bottom w:val="none" w:sz="0" w:space="0" w:color="auto"/>
                <w:right w:val="none" w:sz="0" w:space="0" w:color="auto"/>
              </w:divBdr>
            </w:div>
          </w:divsChild>
        </w:div>
        <w:div w:id="1091852507">
          <w:marLeft w:val="0"/>
          <w:marRight w:val="0"/>
          <w:marTop w:val="0"/>
          <w:marBottom w:val="0"/>
          <w:divBdr>
            <w:top w:val="none" w:sz="0" w:space="0" w:color="auto"/>
            <w:left w:val="none" w:sz="0" w:space="0" w:color="auto"/>
            <w:bottom w:val="none" w:sz="0" w:space="0" w:color="auto"/>
            <w:right w:val="none" w:sz="0" w:space="0" w:color="auto"/>
          </w:divBdr>
          <w:divsChild>
            <w:div w:id="1519931696">
              <w:marLeft w:val="0"/>
              <w:marRight w:val="0"/>
              <w:marTop w:val="0"/>
              <w:marBottom w:val="0"/>
              <w:divBdr>
                <w:top w:val="none" w:sz="0" w:space="0" w:color="auto"/>
                <w:left w:val="none" w:sz="0" w:space="0" w:color="auto"/>
                <w:bottom w:val="none" w:sz="0" w:space="0" w:color="auto"/>
                <w:right w:val="none" w:sz="0" w:space="0" w:color="auto"/>
              </w:divBdr>
            </w:div>
          </w:divsChild>
        </w:div>
        <w:div w:id="1101754031">
          <w:marLeft w:val="0"/>
          <w:marRight w:val="0"/>
          <w:marTop w:val="0"/>
          <w:marBottom w:val="0"/>
          <w:divBdr>
            <w:top w:val="none" w:sz="0" w:space="0" w:color="auto"/>
            <w:left w:val="none" w:sz="0" w:space="0" w:color="auto"/>
            <w:bottom w:val="none" w:sz="0" w:space="0" w:color="auto"/>
            <w:right w:val="none" w:sz="0" w:space="0" w:color="auto"/>
          </w:divBdr>
          <w:divsChild>
            <w:div w:id="1429958535">
              <w:marLeft w:val="0"/>
              <w:marRight w:val="0"/>
              <w:marTop w:val="0"/>
              <w:marBottom w:val="0"/>
              <w:divBdr>
                <w:top w:val="none" w:sz="0" w:space="0" w:color="auto"/>
                <w:left w:val="none" w:sz="0" w:space="0" w:color="auto"/>
                <w:bottom w:val="none" w:sz="0" w:space="0" w:color="auto"/>
                <w:right w:val="none" w:sz="0" w:space="0" w:color="auto"/>
              </w:divBdr>
            </w:div>
          </w:divsChild>
        </w:div>
        <w:div w:id="1106853934">
          <w:marLeft w:val="0"/>
          <w:marRight w:val="0"/>
          <w:marTop w:val="0"/>
          <w:marBottom w:val="0"/>
          <w:divBdr>
            <w:top w:val="none" w:sz="0" w:space="0" w:color="auto"/>
            <w:left w:val="none" w:sz="0" w:space="0" w:color="auto"/>
            <w:bottom w:val="none" w:sz="0" w:space="0" w:color="auto"/>
            <w:right w:val="none" w:sz="0" w:space="0" w:color="auto"/>
          </w:divBdr>
          <w:divsChild>
            <w:div w:id="1624389177">
              <w:marLeft w:val="0"/>
              <w:marRight w:val="0"/>
              <w:marTop w:val="0"/>
              <w:marBottom w:val="0"/>
              <w:divBdr>
                <w:top w:val="none" w:sz="0" w:space="0" w:color="auto"/>
                <w:left w:val="none" w:sz="0" w:space="0" w:color="auto"/>
                <w:bottom w:val="none" w:sz="0" w:space="0" w:color="auto"/>
                <w:right w:val="none" w:sz="0" w:space="0" w:color="auto"/>
              </w:divBdr>
            </w:div>
          </w:divsChild>
        </w:div>
        <w:div w:id="1124035746">
          <w:marLeft w:val="0"/>
          <w:marRight w:val="0"/>
          <w:marTop w:val="0"/>
          <w:marBottom w:val="0"/>
          <w:divBdr>
            <w:top w:val="none" w:sz="0" w:space="0" w:color="auto"/>
            <w:left w:val="none" w:sz="0" w:space="0" w:color="auto"/>
            <w:bottom w:val="none" w:sz="0" w:space="0" w:color="auto"/>
            <w:right w:val="none" w:sz="0" w:space="0" w:color="auto"/>
          </w:divBdr>
          <w:divsChild>
            <w:div w:id="1991905987">
              <w:marLeft w:val="0"/>
              <w:marRight w:val="0"/>
              <w:marTop w:val="0"/>
              <w:marBottom w:val="0"/>
              <w:divBdr>
                <w:top w:val="none" w:sz="0" w:space="0" w:color="auto"/>
                <w:left w:val="none" w:sz="0" w:space="0" w:color="auto"/>
                <w:bottom w:val="none" w:sz="0" w:space="0" w:color="auto"/>
                <w:right w:val="none" w:sz="0" w:space="0" w:color="auto"/>
              </w:divBdr>
            </w:div>
          </w:divsChild>
        </w:div>
        <w:div w:id="1144664401">
          <w:marLeft w:val="0"/>
          <w:marRight w:val="0"/>
          <w:marTop w:val="0"/>
          <w:marBottom w:val="0"/>
          <w:divBdr>
            <w:top w:val="none" w:sz="0" w:space="0" w:color="auto"/>
            <w:left w:val="none" w:sz="0" w:space="0" w:color="auto"/>
            <w:bottom w:val="none" w:sz="0" w:space="0" w:color="auto"/>
            <w:right w:val="none" w:sz="0" w:space="0" w:color="auto"/>
          </w:divBdr>
          <w:divsChild>
            <w:div w:id="326131740">
              <w:marLeft w:val="0"/>
              <w:marRight w:val="0"/>
              <w:marTop w:val="0"/>
              <w:marBottom w:val="0"/>
              <w:divBdr>
                <w:top w:val="none" w:sz="0" w:space="0" w:color="auto"/>
                <w:left w:val="none" w:sz="0" w:space="0" w:color="auto"/>
                <w:bottom w:val="none" w:sz="0" w:space="0" w:color="auto"/>
                <w:right w:val="none" w:sz="0" w:space="0" w:color="auto"/>
              </w:divBdr>
            </w:div>
          </w:divsChild>
        </w:div>
        <w:div w:id="1146970110">
          <w:marLeft w:val="0"/>
          <w:marRight w:val="0"/>
          <w:marTop w:val="0"/>
          <w:marBottom w:val="0"/>
          <w:divBdr>
            <w:top w:val="none" w:sz="0" w:space="0" w:color="auto"/>
            <w:left w:val="none" w:sz="0" w:space="0" w:color="auto"/>
            <w:bottom w:val="none" w:sz="0" w:space="0" w:color="auto"/>
            <w:right w:val="none" w:sz="0" w:space="0" w:color="auto"/>
          </w:divBdr>
          <w:divsChild>
            <w:div w:id="283656739">
              <w:marLeft w:val="0"/>
              <w:marRight w:val="0"/>
              <w:marTop w:val="0"/>
              <w:marBottom w:val="0"/>
              <w:divBdr>
                <w:top w:val="none" w:sz="0" w:space="0" w:color="auto"/>
                <w:left w:val="none" w:sz="0" w:space="0" w:color="auto"/>
                <w:bottom w:val="none" w:sz="0" w:space="0" w:color="auto"/>
                <w:right w:val="none" w:sz="0" w:space="0" w:color="auto"/>
              </w:divBdr>
            </w:div>
          </w:divsChild>
        </w:div>
        <w:div w:id="1172260608">
          <w:marLeft w:val="0"/>
          <w:marRight w:val="0"/>
          <w:marTop w:val="0"/>
          <w:marBottom w:val="0"/>
          <w:divBdr>
            <w:top w:val="none" w:sz="0" w:space="0" w:color="auto"/>
            <w:left w:val="none" w:sz="0" w:space="0" w:color="auto"/>
            <w:bottom w:val="none" w:sz="0" w:space="0" w:color="auto"/>
            <w:right w:val="none" w:sz="0" w:space="0" w:color="auto"/>
          </w:divBdr>
          <w:divsChild>
            <w:div w:id="675115481">
              <w:marLeft w:val="0"/>
              <w:marRight w:val="0"/>
              <w:marTop w:val="0"/>
              <w:marBottom w:val="0"/>
              <w:divBdr>
                <w:top w:val="none" w:sz="0" w:space="0" w:color="auto"/>
                <w:left w:val="none" w:sz="0" w:space="0" w:color="auto"/>
                <w:bottom w:val="none" w:sz="0" w:space="0" w:color="auto"/>
                <w:right w:val="none" w:sz="0" w:space="0" w:color="auto"/>
              </w:divBdr>
            </w:div>
          </w:divsChild>
        </w:div>
        <w:div w:id="1226183704">
          <w:marLeft w:val="0"/>
          <w:marRight w:val="0"/>
          <w:marTop w:val="0"/>
          <w:marBottom w:val="0"/>
          <w:divBdr>
            <w:top w:val="none" w:sz="0" w:space="0" w:color="auto"/>
            <w:left w:val="none" w:sz="0" w:space="0" w:color="auto"/>
            <w:bottom w:val="none" w:sz="0" w:space="0" w:color="auto"/>
            <w:right w:val="none" w:sz="0" w:space="0" w:color="auto"/>
          </w:divBdr>
          <w:divsChild>
            <w:div w:id="423495322">
              <w:marLeft w:val="0"/>
              <w:marRight w:val="0"/>
              <w:marTop w:val="0"/>
              <w:marBottom w:val="0"/>
              <w:divBdr>
                <w:top w:val="none" w:sz="0" w:space="0" w:color="auto"/>
                <w:left w:val="none" w:sz="0" w:space="0" w:color="auto"/>
                <w:bottom w:val="none" w:sz="0" w:space="0" w:color="auto"/>
                <w:right w:val="none" w:sz="0" w:space="0" w:color="auto"/>
              </w:divBdr>
            </w:div>
          </w:divsChild>
        </w:div>
        <w:div w:id="1239753794">
          <w:marLeft w:val="0"/>
          <w:marRight w:val="0"/>
          <w:marTop w:val="0"/>
          <w:marBottom w:val="0"/>
          <w:divBdr>
            <w:top w:val="none" w:sz="0" w:space="0" w:color="auto"/>
            <w:left w:val="none" w:sz="0" w:space="0" w:color="auto"/>
            <w:bottom w:val="none" w:sz="0" w:space="0" w:color="auto"/>
            <w:right w:val="none" w:sz="0" w:space="0" w:color="auto"/>
          </w:divBdr>
          <w:divsChild>
            <w:div w:id="2086875805">
              <w:marLeft w:val="0"/>
              <w:marRight w:val="0"/>
              <w:marTop w:val="0"/>
              <w:marBottom w:val="0"/>
              <w:divBdr>
                <w:top w:val="none" w:sz="0" w:space="0" w:color="auto"/>
                <w:left w:val="none" w:sz="0" w:space="0" w:color="auto"/>
                <w:bottom w:val="none" w:sz="0" w:space="0" w:color="auto"/>
                <w:right w:val="none" w:sz="0" w:space="0" w:color="auto"/>
              </w:divBdr>
            </w:div>
          </w:divsChild>
        </w:div>
        <w:div w:id="1242566144">
          <w:marLeft w:val="0"/>
          <w:marRight w:val="0"/>
          <w:marTop w:val="0"/>
          <w:marBottom w:val="0"/>
          <w:divBdr>
            <w:top w:val="none" w:sz="0" w:space="0" w:color="auto"/>
            <w:left w:val="none" w:sz="0" w:space="0" w:color="auto"/>
            <w:bottom w:val="none" w:sz="0" w:space="0" w:color="auto"/>
            <w:right w:val="none" w:sz="0" w:space="0" w:color="auto"/>
          </w:divBdr>
          <w:divsChild>
            <w:div w:id="917177543">
              <w:marLeft w:val="0"/>
              <w:marRight w:val="0"/>
              <w:marTop w:val="0"/>
              <w:marBottom w:val="0"/>
              <w:divBdr>
                <w:top w:val="none" w:sz="0" w:space="0" w:color="auto"/>
                <w:left w:val="none" w:sz="0" w:space="0" w:color="auto"/>
                <w:bottom w:val="none" w:sz="0" w:space="0" w:color="auto"/>
                <w:right w:val="none" w:sz="0" w:space="0" w:color="auto"/>
              </w:divBdr>
            </w:div>
          </w:divsChild>
        </w:div>
        <w:div w:id="1245455401">
          <w:marLeft w:val="0"/>
          <w:marRight w:val="0"/>
          <w:marTop w:val="0"/>
          <w:marBottom w:val="0"/>
          <w:divBdr>
            <w:top w:val="none" w:sz="0" w:space="0" w:color="auto"/>
            <w:left w:val="none" w:sz="0" w:space="0" w:color="auto"/>
            <w:bottom w:val="none" w:sz="0" w:space="0" w:color="auto"/>
            <w:right w:val="none" w:sz="0" w:space="0" w:color="auto"/>
          </w:divBdr>
          <w:divsChild>
            <w:div w:id="680352890">
              <w:marLeft w:val="0"/>
              <w:marRight w:val="0"/>
              <w:marTop w:val="0"/>
              <w:marBottom w:val="0"/>
              <w:divBdr>
                <w:top w:val="none" w:sz="0" w:space="0" w:color="auto"/>
                <w:left w:val="none" w:sz="0" w:space="0" w:color="auto"/>
                <w:bottom w:val="none" w:sz="0" w:space="0" w:color="auto"/>
                <w:right w:val="none" w:sz="0" w:space="0" w:color="auto"/>
              </w:divBdr>
            </w:div>
          </w:divsChild>
        </w:div>
        <w:div w:id="1261983347">
          <w:marLeft w:val="0"/>
          <w:marRight w:val="0"/>
          <w:marTop w:val="0"/>
          <w:marBottom w:val="0"/>
          <w:divBdr>
            <w:top w:val="none" w:sz="0" w:space="0" w:color="auto"/>
            <w:left w:val="none" w:sz="0" w:space="0" w:color="auto"/>
            <w:bottom w:val="none" w:sz="0" w:space="0" w:color="auto"/>
            <w:right w:val="none" w:sz="0" w:space="0" w:color="auto"/>
          </w:divBdr>
          <w:divsChild>
            <w:div w:id="1783574283">
              <w:marLeft w:val="0"/>
              <w:marRight w:val="0"/>
              <w:marTop w:val="0"/>
              <w:marBottom w:val="0"/>
              <w:divBdr>
                <w:top w:val="none" w:sz="0" w:space="0" w:color="auto"/>
                <w:left w:val="none" w:sz="0" w:space="0" w:color="auto"/>
                <w:bottom w:val="none" w:sz="0" w:space="0" w:color="auto"/>
                <w:right w:val="none" w:sz="0" w:space="0" w:color="auto"/>
              </w:divBdr>
            </w:div>
          </w:divsChild>
        </w:div>
        <w:div w:id="1267302387">
          <w:marLeft w:val="0"/>
          <w:marRight w:val="0"/>
          <w:marTop w:val="0"/>
          <w:marBottom w:val="0"/>
          <w:divBdr>
            <w:top w:val="none" w:sz="0" w:space="0" w:color="auto"/>
            <w:left w:val="none" w:sz="0" w:space="0" w:color="auto"/>
            <w:bottom w:val="none" w:sz="0" w:space="0" w:color="auto"/>
            <w:right w:val="none" w:sz="0" w:space="0" w:color="auto"/>
          </w:divBdr>
          <w:divsChild>
            <w:div w:id="884565928">
              <w:marLeft w:val="0"/>
              <w:marRight w:val="0"/>
              <w:marTop w:val="0"/>
              <w:marBottom w:val="0"/>
              <w:divBdr>
                <w:top w:val="none" w:sz="0" w:space="0" w:color="auto"/>
                <w:left w:val="none" w:sz="0" w:space="0" w:color="auto"/>
                <w:bottom w:val="none" w:sz="0" w:space="0" w:color="auto"/>
                <w:right w:val="none" w:sz="0" w:space="0" w:color="auto"/>
              </w:divBdr>
            </w:div>
          </w:divsChild>
        </w:div>
        <w:div w:id="1270087848">
          <w:marLeft w:val="0"/>
          <w:marRight w:val="0"/>
          <w:marTop w:val="0"/>
          <w:marBottom w:val="0"/>
          <w:divBdr>
            <w:top w:val="none" w:sz="0" w:space="0" w:color="auto"/>
            <w:left w:val="none" w:sz="0" w:space="0" w:color="auto"/>
            <w:bottom w:val="none" w:sz="0" w:space="0" w:color="auto"/>
            <w:right w:val="none" w:sz="0" w:space="0" w:color="auto"/>
          </w:divBdr>
          <w:divsChild>
            <w:div w:id="1427923493">
              <w:marLeft w:val="0"/>
              <w:marRight w:val="0"/>
              <w:marTop w:val="0"/>
              <w:marBottom w:val="0"/>
              <w:divBdr>
                <w:top w:val="none" w:sz="0" w:space="0" w:color="auto"/>
                <w:left w:val="none" w:sz="0" w:space="0" w:color="auto"/>
                <w:bottom w:val="none" w:sz="0" w:space="0" w:color="auto"/>
                <w:right w:val="none" w:sz="0" w:space="0" w:color="auto"/>
              </w:divBdr>
            </w:div>
          </w:divsChild>
        </w:div>
        <w:div w:id="1306010074">
          <w:marLeft w:val="0"/>
          <w:marRight w:val="0"/>
          <w:marTop w:val="0"/>
          <w:marBottom w:val="0"/>
          <w:divBdr>
            <w:top w:val="none" w:sz="0" w:space="0" w:color="auto"/>
            <w:left w:val="none" w:sz="0" w:space="0" w:color="auto"/>
            <w:bottom w:val="none" w:sz="0" w:space="0" w:color="auto"/>
            <w:right w:val="none" w:sz="0" w:space="0" w:color="auto"/>
          </w:divBdr>
          <w:divsChild>
            <w:div w:id="43679681">
              <w:marLeft w:val="0"/>
              <w:marRight w:val="0"/>
              <w:marTop w:val="0"/>
              <w:marBottom w:val="0"/>
              <w:divBdr>
                <w:top w:val="none" w:sz="0" w:space="0" w:color="auto"/>
                <w:left w:val="none" w:sz="0" w:space="0" w:color="auto"/>
                <w:bottom w:val="none" w:sz="0" w:space="0" w:color="auto"/>
                <w:right w:val="none" w:sz="0" w:space="0" w:color="auto"/>
              </w:divBdr>
            </w:div>
          </w:divsChild>
        </w:div>
        <w:div w:id="1328284423">
          <w:marLeft w:val="0"/>
          <w:marRight w:val="0"/>
          <w:marTop w:val="0"/>
          <w:marBottom w:val="0"/>
          <w:divBdr>
            <w:top w:val="none" w:sz="0" w:space="0" w:color="auto"/>
            <w:left w:val="none" w:sz="0" w:space="0" w:color="auto"/>
            <w:bottom w:val="none" w:sz="0" w:space="0" w:color="auto"/>
            <w:right w:val="none" w:sz="0" w:space="0" w:color="auto"/>
          </w:divBdr>
          <w:divsChild>
            <w:div w:id="1643653075">
              <w:marLeft w:val="0"/>
              <w:marRight w:val="0"/>
              <w:marTop w:val="0"/>
              <w:marBottom w:val="0"/>
              <w:divBdr>
                <w:top w:val="none" w:sz="0" w:space="0" w:color="auto"/>
                <w:left w:val="none" w:sz="0" w:space="0" w:color="auto"/>
                <w:bottom w:val="none" w:sz="0" w:space="0" w:color="auto"/>
                <w:right w:val="none" w:sz="0" w:space="0" w:color="auto"/>
              </w:divBdr>
            </w:div>
          </w:divsChild>
        </w:div>
        <w:div w:id="1344476548">
          <w:marLeft w:val="0"/>
          <w:marRight w:val="0"/>
          <w:marTop w:val="0"/>
          <w:marBottom w:val="0"/>
          <w:divBdr>
            <w:top w:val="none" w:sz="0" w:space="0" w:color="auto"/>
            <w:left w:val="none" w:sz="0" w:space="0" w:color="auto"/>
            <w:bottom w:val="none" w:sz="0" w:space="0" w:color="auto"/>
            <w:right w:val="none" w:sz="0" w:space="0" w:color="auto"/>
          </w:divBdr>
          <w:divsChild>
            <w:div w:id="2093624996">
              <w:marLeft w:val="0"/>
              <w:marRight w:val="0"/>
              <w:marTop w:val="0"/>
              <w:marBottom w:val="0"/>
              <w:divBdr>
                <w:top w:val="none" w:sz="0" w:space="0" w:color="auto"/>
                <w:left w:val="none" w:sz="0" w:space="0" w:color="auto"/>
                <w:bottom w:val="none" w:sz="0" w:space="0" w:color="auto"/>
                <w:right w:val="none" w:sz="0" w:space="0" w:color="auto"/>
              </w:divBdr>
            </w:div>
          </w:divsChild>
        </w:div>
        <w:div w:id="1367439561">
          <w:marLeft w:val="0"/>
          <w:marRight w:val="0"/>
          <w:marTop w:val="0"/>
          <w:marBottom w:val="0"/>
          <w:divBdr>
            <w:top w:val="none" w:sz="0" w:space="0" w:color="auto"/>
            <w:left w:val="none" w:sz="0" w:space="0" w:color="auto"/>
            <w:bottom w:val="none" w:sz="0" w:space="0" w:color="auto"/>
            <w:right w:val="none" w:sz="0" w:space="0" w:color="auto"/>
          </w:divBdr>
          <w:divsChild>
            <w:div w:id="993028836">
              <w:marLeft w:val="0"/>
              <w:marRight w:val="0"/>
              <w:marTop w:val="0"/>
              <w:marBottom w:val="0"/>
              <w:divBdr>
                <w:top w:val="none" w:sz="0" w:space="0" w:color="auto"/>
                <w:left w:val="none" w:sz="0" w:space="0" w:color="auto"/>
                <w:bottom w:val="none" w:sz="0" w:space="0" w:color="auto"/>
                <w:right w:val="none" w:sz="0" w:space="0" w:color="auto"/>
              </w:divBdr>
            </w:div>
          </w:divsChild>
        </w:div>
        <w:div w:id="1368488503">
          <w:marLeft w:val="0"/>
          <w:marRight w:val="0"/>
          <w:marTop w:val="0"/>
          <w:marBottom w:val="0"/>
          <w:divBdr>
            <w:top w:val="none" w:sz="0" w:space="0" w:color="auto"/>
            <w:left w:val="none" w:sz="0" w:space="0" w:color="auto"/>
            <w:bottom w:val="none" w:sz="0" w:space="0" w:color="auto"/>
            <w:right w:val="none" w:sz="0" w:space="0" w:color="auto"/>
          </w:divBdr>
          <w:divsChild>
            <w:div w:id="1687974729">
              <w:marLeft w:val="0"/>
              <w:marRight w:val="0"/>
              <w:marTop w:val="0"/>
              <w:marBottom w:val="0"/>
              <w:divBdr>
                <w:top w:val="none" w:sz="0" w:space="0" w:color="auto"/>
                <w:left w:val="none" w:sz="0" w:space="0" w:color="auto"/>
                <w:bottom w:val="none" w:sz="0" w:space="0" w:color="auto"/>
                <w:right w:val="none" w:sz="0" w:space="0" w:color="auto"/>
              </w:divBdr>
            </w:div>
          </w:divsChild>
        </w:div>
        <w:div w:id="1377314463">
          <w:marLeft w:val="0"/>
          <w:marRight w:val="0"/>
          <w:marTop w:val="0"/>
          <w:marBottom w:val="0"/>
          <w:divBdr>
            <w:top w:val="none" w:sz="0" w:space="0" w:color="auto"/>
            <w:left w:val="none" w:sz="0" w:space="0" w:color="auto"/>
            <w:bottom w:val="none" w:sz="0" w:space="0" w:color="auto"/>
            <w:right w:val="none" w:sz="0" w:space="0" w:color="auto"/>
          </w:divBdr>
          <w:divsChild>
            <w:div w:id="880480583">
              <w:marLeft w:val="0"/>
              <w:marRight w:val="0"/>
              <w:marTop w:val="0"/>
              <w:marBottom w:val="0"/>
              <w:divBdr>
                <w:top w:val="none" w:sz="0" w:space="0" w:color="auto"/>
                <w:left w:val="none" w:sz="0" w:space="0" w:color="auto"/>
                <w:bottom w:val="none" w:sz="0" w:space="0" w:color="auto"/>
                <w:right w:val="none" w:sz="0" w:space="0" w:color="auto"/>
              </w:divBdr>
            </w:div>
          </w:divsChild>
        </w:div>
        <w:div w:id="1381175700">
          <w:marLeft w:val="0"/>
          <w:marRight w:val="0"/>
          <w:marTop w:val="0"/>
          <w:marBottom w:val="0"/>
          <w:divBdr>
            <w:top w:val="none" w:sz="0" w:space="0" w:color="auto"/>
            <w:left w:val="none" w:sz="0" w:space="0" w:color="auto"/>
            <w:bottom w:val="none" w:sz="0" w:space="0" w:color="auto"/>
            <w:right w:val="none" w:sz="0" w:space="0" w:color="auto"/>
          </w:divBdr>
          <w:divsChild>
            <w:div w:id="2089419101">
              <w:marLeft w:val="0"/>
              <w:marRight w:val="0"/>
              <w:marTop w:val="0"/>
              <w:marBottom w:val="0"/>
              <w:divBdr>
                <w:top w:val="none" w:sz="0" w:space="0" w:color="auto"/>
                <w:left w:val="none" w:sz="0" w:space="0" w:color="auto"/>
                <w:bottom w:val="none" w:sz="0" w:space="0" w:color="auto"/>
                <w:right w:val="none" w:sz="0" w:space="0" w:color="auto"/>
              </w:divBdr>
            </w:div>
          </w:divsChild>
        </w:div>
        <w:div w:id="1393386185">
          <w:marLeft w:val="0"/>
          <w:marRight w:val="0"/>
          <w:marTop w:val="0"/>
          <w:marBottom w:val="0"/>
          <w:divBdr>
            <w:top w:val="none" w:sz="0" w:space="0" w:color="auto"/>
            <w:left w:val="none" w:sz="0" w:space="0" w:color="auto"/>
            <w:bottom w:val="none" w:sz="0" w:space="0" w:color="auto"/>
            <w:right w:val="none" w:sz="0" w:space="0" w:color="auto"/>
          </w:divBdr>
          <w:divsChild>
            <w:div w:id="877468479">
              <w:marLeft w:val="0"/>
              <w:marRight w:val="0"/>
              <w:marTop w:val="0"/>
              <w:marBottom w:val="0"/>
              <w:divBdr>
                <w:top w:val="none" w:sz="0" w:space="0" w:color="auto"/>
                <w:left w:val="none" w:sz="0" w:space="0" w:color="auto"/>
                <w:bottom w:val="none" w:sz="0" w:space="0" w:color="auto"/>
                <w:right w:val="none" w:sz="0" w:space="0" w:color="auto"/>
              </w:divBdr>
            </w:div>
          </w:divsChild>
        </w:div>
        <w:div w:id="1398554148">
          <w:marLeft w:val="0"/>
          <w:marRight w:val="0"/>
          <w:marTop w:val="0"/>
          <w:marBottom w:val="0"/>
          <w:divBdr>
            <w:top w:val="none" w:sz="0" w:space="0" w:color="auto"/>
            <w:left w:val="none" w:sz="0" w:space="0" w:color="auto"/>
            <w:bottom w:val="none" w:sz="0" w:space="0" w:color="auto"/>
            <w:right w:val="none" w:sz="0" w:space="0" w:color="auto"/>
          </w:divBdr>
          <w:divsChild>
            <w:div w:id="920026750">
              <w:marLeft w:val="0"/>
              <w:marRight w:val="0"/>
              <w:marTop w:val="0"/>
              <w:marBottom w:val="0"/>
              <w:divBdr>
                <w:top w:val="none" w:sz="0" w:space="0" w:color="auto"/>
                <w:left w:val="none" w:sz="0" w:space="0" w:color="auto"/>
                <w:bottom w:val="none" w:sz="0" w:space="0" w:color="auto"/>
                <w:right w:val="none" w:sz="0" w:space="0" w:color="auto"/>
              </w:divBdr>
            </w:div>
          </w:divsChild>
        </w:div>
        <w:div w:id="1403992529">
          <w:marLeft w:val="0"/>
          <w:marRight w:val="0"/>
          <w:marTop w:val="0"/>
          <w:marBottom w:val="0"/>
          <w:divBdr>
            <w:top w:val="none" w:sz="0" w:space="0" w:color="auto"/>
            <w:left w:val="none" w:sz="0" w:space="0" w:color="auto"/>
            <w:bottom w:val="none" w:sz="0" w:space="0" w:color="auto"/>
            <w:right w:val="none" w:sz="0" w:space="0" w:color="auto"/>
          </w:divBdr>
          <w:divsChild>
            <w:div w:id="1409695450">
              <w:marLeft w:val="0"/>
              <w:marRight w:val="0"/>
              <w:marTop w:val="0"/>
              <w:marBottom w:val="0"/>
              <w:divBdr>
                <w:top w:val="none" w:sz="0" w:space="0" w:color="auto"/>
                <w:left w:val="none" w:sz="0" w:space="0" w:color="auto"/>
                <w:bottom w:val="none" w:sz="0" w:space="0" w:color="auto"/>
                <w:right w:val="none" w:sz="0" w:space="0" w:color="auto"/>
              </w:divBdr>
            </w:div>
          </w:divsChild>
        </w:div>
        <w:div w:id="1422797937">
          <w:marLeft w:val="0"/>
          <w:marRight w:val="0"/>
          <w:marTop w:val="0"/>
          <w:marBottom w:val="0"/>
          <w:divBdr>
            <w:top w:val="none" w:sz="0" w:space="0" w:color="auto"/>
            <w:left w:val="none" w:sz="0" w:space="0" w:color="auto"/>
            <w:bottom w:val="none" w:sz="0" w:space="0" w:color="auto"/>
            <w:right w:val="none" w:sz="0" w:space="0" w:color="auto"/>
          </w:divBdr>
          <w:divsChild>
            <w:div w:id="1492411351">
              <w:marLeft w:val="0"/>
              <w:marRight w:val="0"/>
              <w:marTop w:val="0"/>
              <w:marBottom w:val="0"/>
              <w:divBdr>
                <w:top w:val="none" w:sz="0" w:space="0" w:color="auto"/>
                <w:left w:val="none" w:sz="0" w:space="0" w:color="auto"/>
                <w:bottom w:val="none" w:sz="0" w:space="0" w:color="auto"/>
                <w:right w:val="none" w:sz="0" w:space="0" w:color="auto"/>
              </w:divBdr>
            </w:div>
          </w:divsChild>
        </w:div>
        <w:div w:id="1432703983">
          <w:marLeft w:val="0"/>
          <w:marRight w:val="0"/>
          <w:marTop w:val="0"/>
          <w:marBottom w:val="0"/>
          <w:divBdr>
            <w:top w:val="none" w:sz="0" w:space="0" w:color="auto"/>
            <w:left w:val="none" w:sz="0" w:space="0" w:color="auto"/>
            <w:bottom w:val="none" w:sz="0" w:space="0" w:color="auto"/>
            <w:right w:val="none" w:sz="0" w:space="0" w:color="auto"/>
          </w:divBdr>
          <w:divsChild>
            <w:div w:id="769199517">
              <w:marLeft w:val="0"/>
              <w:marRight w:val="0"/>
              <w:marTop w:val="0"/>
              <w:marBottom w:val="0"/>
              <w:divBdr>
                <w:top w:val="none" w:sz="0" w:space="0" w:color="auto"/>
                <w:left w:val="none" w:sz="0" w:space="0" w:color="auto"/>
                <w:bottom w:val="none" w:sz="0" w:space="0" w:color="auto"/>
                <w:right w:val="none" w:sz="0" w:space="0" w:color="auto"/>
              </w:divBdr>
            </w:div>
          </w:divsChild>
        </w:div>
        <w:div w:id="1440370182">
          <w:marLeft w:val="0"/>
          <w:marRight w:val="0"/>
          <w:marTop w:val="0"/>
          <w:marBottom w:val="0"/>
          <w:divBdr>
            <w:top w:val="none" w:sz="0" w:space="0" w:color="auto"/>
            <w:left w:val="none" w:sz="0" w:space="0" w:color="auto"/>
            <w:bottom w:val="none" w:sz="0" w:space="0" w:color="auto"/>
            <w:right w:val="none" w:sz="0" w:space="0" w:color="auto"/>
          </w:divBdr>
          <w:divsChild>
            <w:div w:id="2081714570">
              <w:marLeft w:val="0"/>
              <w:marRight w:val="0"/>
              <w:marTop w:val="0"/>
              <w:marBottom w:val="0"/>
              <w:divBdr>
                <w:top w:val="none" w:sz="0" w:space="0" w:color="auto"/>
                <w:left w:val="none" w:sz="0" w:space="0" w:color="auto"/>
                <w:bottom w:val="none" w:sz="0" w:space="0" w:color="auto"/>
                <w:right w:val="none" w:sz="0" w:space="0" w:color="auto"/>
              </w:divBdr>
            </w:div>
          </w:divsChild>
        </w:div>
        <w:div w:id="1447192459">
          <w:marLeft w:val="0"/>
          <w:marRight w:val="0"/>
          <w:marTop w:val="0"/>
          <w:marBottom w:val="0"/>
          <w:divBdr>
            <w:top w:val="none" w:sz="0" w:space="0" w:color="auto"/>
            <w:left w:val="none" w:sz="0" w:space="0" w:color="auto"/>
            <w:bottom w:val="none" w:sz="0" w:space="0" w:color="auto"/>
            <w:right w:val="none" w:sz="0" w:space="0" w:color="auto"/>
          </w:divBdr>
          <w:divsChild>
            <w:div w:id="1426657483">
              <w:marLeft w:val="0"/>
              <w:marRight w:val="0"/>
              <w:marTop w:val="0"/>
              <w:marBottom w:val="0"/>
              <w:divBdr>
                <w:top w:val="none" w:sz="0" w:space="0" w:color="auto"/>
                <w:left w:val="none" w:sz="0" w:space="0" w:color="auto"/>
                <w:bottom w:val="none" w:sz="0" w:space="0" w:color="auto"/>
                <w:right w:val="none" w:sz="0" w:space="0" w:color="auto"/>
              </w:divBdr>
            </w:div>
          </w:divsChild>
        </w:div>
        <w:div w:id="1457917062">
          <w:marLeft w:val="0"/>
          <w:marRight w:val="0"/>
          <w:marTop w:val="0"/>
          <w:marBottom w:val="0"/>
          <w:divBdr>
            <w:top w:val="none" w:sz="0" w:space="0" w:color="auto"/>
            <w:left w:val="none" w:sz="0" w:space="0" w:color="auto"/>
            <w:bottom w:val="none" w:sz="0" w:space="0" w:color="auto"/>
            <w:right w:val="none" w:sz="0" w:space="0" w:color="auto"/>
          </w:divBdr>
          <w:divsChild>
            <w:div w:id="1856534001">
              <w:marLeft w:val="0"/>
              <w:marRight w:val="0"/>
              <w:marTop w:val="0"/>
              <w:marBottom w:val="0"/>
              <w:divBdr>
                <w:top w:val="none" w:sz="0" w:space="0" w:color="auto"/>
                <w:left w:val="none" w:sz="0" w:space="0" w:color="auto"/>
                <w:bottom w:val="none" w:sz="0" w:space="0" w:color="auto"/>
                <w:right w:val="none" w:sz="0" w:space="0" w:color="auto"/>
              </w:divBdr>
            </w:div>
          </w:divsChild>
        </w:div>
        <w:div w:id="1468817605">
          <w:marLeft w:val="0"/>
          <w:marRight w:val="0"/>
          <w:marTop w:val="0"/>
          <w:marBottom w:val="0"/>
          <w:divBdr>
            <w:top w:val="none" w:sz="0" w:space="0" w:color="auto"/>
            <w:left w:val="none" w:sz="0" w:space="0" w:color="auto"/>
            <w:bottom w:val="none" w:sz="0" w:space="0" w:color="auto"/>
            <w:right w:val="none" w:sz="0" w:space="0" w:color="auto"/>
          </w:divBdr>
          <w:divsChild>
            <w:div w:id="410544391">
              <w:marLeft w:val="0"/>
              <w:marRight w:val="0"/>
              <w:marTop w:val="0"/>
              <w:marBottom w:val="0"/>
              <w:divBdr>
                <w:top w:val="none" w:sz="0" w:space="0" w:color="auto"/>
                <w:left w:val="none" w:sz="0" w:space="0" w:color="auto"/>
                <w:bottom w:val="none" w:sz="0" w:space="0" w:color="auto"/>
                <w:right w:val="none" w:sz="0" w:space="0" w:color="auto"/>
              </w:divBdr>
            </w:div>
          </w:divsChild>
        </w:div>
        <w:div w:id="1470047397">
          <w:marLeft w:val="0"/>
          <w:marRight w:val="0"/>
          <w:marTop w:val="0"/>
          <w:marBottom w:val="0"/>
          <w:divBdr>
            <w:top w:val="none" w:sz="0" w:space="0" w:color="auto"/>
            <w:left w:val="none" w:sz="0" w:space="0" w:color="auto"/>
            <w:bottom w:val="none" w:sz="0" w:space="0" w:color="auto"/>
            <w:right w:val="none" w:sz="0" w:space="0" w:color="auto"/>
          </w:divBdr>
          <w:divsChild>
            <w:div w:id="278687377">
              <w:marLeft w:val="0"/>
              <w:marRight w:val="0"/>
              <w:marTop w:val="0"/>
              <w:marBottom w:val="0"/>
              <w:divBdr>
                <w:top w:val="none" w:sz="0" w:space="0" w:color="auto"/>
                <w:left w:val="none" w:sz="0" w:space="0" w:color="auto"/>
                <w:bottom w:val="none" w:sz="0" w:space="0" w:color="auto"/>
                <w:right w:val="none" w:sz="0" w:space="0" w:color="auto"/>
              </w:divBdr>
            </w:div>
          </w:divsChild>
        </w:div>
        <w:div w:id="1480031061">
          <w:marLeft w:val="0"/>
          <w:marRight w:val="0"/>
          <w:marTop w:val="0"/>
          <w:marBottom w:val="0"/>
          <w:divBdr>
            <w:top w:val="none" w:sz="0" w:space="0" w:color="auto"/>
            <w:left w:val="none" w:sz="0" w:space="0" w:color="auto"/>
            <w:bottom w:val="none" w:sz="0" w:space="0" w:color="auto"/>
            <w:right w:val="none" w:sz="0" w:space="0" w:color="auto"/>
          </w:divBdr>
          <w:divsChild>
            <w:div w:id="1071805223">
              <w:marLeft w:val="0"/>
              <w:marRight w:val="0"/>
              <w:marTop w:val="0"/>
              <w:marBottom w:val="0"/>
              <w:divBdr>
                <w:top w:val="none" w:sz="0" w:space="0" w:color="auto"/>
                <w:left w:val="none" w:sz="0" w:space="0" w:color="auto"/>
                <w:bottom w:val="none" w:sz="0" w:space="0" w:color="auto"/>
                <w:right w:val="none" w:sz="0" w:space="0" w:color="auto"/>
              </w:divBdr>
            </w:div>
          </w:divsChild>
        </w:div>
        <w:div w:id="1488017467">
          <w:marLeft w:val="0"/>
          <w:marRight w:val="0"/>
          <w:marTop w:val="0"/>
          <w:marBottom w:val="0"/>
          <w:divBdr>
            <w:top w:val="none" w:sz="0" w:space="0" w:color="auto"/>
            <w:left w:val="none" w:sz="0" w:space="0" w:color="auto"/>
            <w:bottom w:val="none" w:sz="0" w:space="0" w:color="auto"/>
            <w:right w:val="none" w:sz="0" w:space="0" w:color="auto"/>
          </w:divBdr>
          <w:divsChild>
            <w:div w:id="1022786014">
              <w:marLeft w:val="0"/>
              <w:marRight w:val="0"/>
              <w:marTop w:val="0"/>
              <w:marBottom w:val="0"/>
              <w:divBdr>
                <w:top w:val="none" w:sz="0" w:space="0" w:color="auto"/>
                <w:left w:val="none" w:sz="0" w:space="0" w:color="auto"/>
                <w:bottom w:val="none" w:sz="0" w:space="0" w:color="auto"/>
                <w:right w:val="none" w:sz="0" w:space="0" w:color="auto"/>
              </w:divBdr>
            </w:div>
          </w:divsChild>
        </w:div>
        <w:div w:id="1511096101">
          <w:marLeft w:val="0"/>
          <w:marRight w:val="0"/>
          <w:marTop w:val="0"/>
          <w:marBottom w:val="0"/>
          <w:divBdr>
            <w:top w:val="none" w:sz="0" w:space="0" w:color="auto"/>
            <w:left w:val="none" w:sz="0" w:space="0" w:color="auto"/>
            <w:bottom w:val="none" w:sz="0" w:space="0" w:color="auto"/>
            <w:right w:val="none" w:sz="0" w:space="0" w:color="auto"/>
          </w:divBdr>
          <w:divsChild>
            <w:div w:id="210306364">
              <w:marLeft w:val="0"/>
              <w:marRight w:val="0"/>
              <w:marTop w:val="0"/>
              <w:marBottom w:val="0"/>
              <w:divBdr>
                <w:top w:val="none" w:sz="0" w:space="0" w:color="auto"/>
                <w:left w:val="none" w:sz="0" w:space="0" w:color="auto"/>
                <w:bottom w:val="none" w:sz="0" w:space="0" w:color="auto"/>
                <w:right w:val="none" w:sz="0" w:space="0" w:color="auto"/>
              </w:divBdr>
            </w:div>
          </w:divsChild>
        </w:div>
        <w:div w:id="1524442423">
          <w:marLeft w:val="0"/>
          <w:marRight w:val="0"/>
          <w:marTop w:val="0"/>
          <w:marBottom w:val="0"/>
          <w:divBdr>
            <w:top w:val="none" w:sz="0" w:space="0" w:color="auto"/>
            <w:left w:val="none" w:sz="0" w:space="0" w:color="auto"/>
            <w:bottom w:val="none" w:sz="0" w:space="0" w:color="auto"/>
            <w:right w:val="none" w:sz="0" w:space="0" w:color="auto"/>
          </w:divBdr>
          <w:divsChild>
            <w:div w:id="950011543">
              <w:marLeft w:val="0"/>
              <w:marRight w:val="0"/>
              <w:marTop w:val="0"/>
              <w:marBottom w:val="0"/>
              <w:divBdr>
                <w:top w:val="none" w:sz="0" w:space="0" w:color="auto"/>
                <w:left w:val="none" w:sz="0" w:space="0" w:color="auto"/>
                <w:bottom w:val="none" w:sz="0" w:space="0" w:color="auto"/>
                <w:right w:val="none" w:sz="0" w:space="0" w:color="auto"/>
              </w:divBdr>
            </w:div>
          </w:divsChild>
        </w:div>
        <w:div w:id="1535003397">
          <w:marLeft w:val="0"/>
          <w:marRight w:val="0"/>
          <w:marTop w:val="0"/>
          <w:marBottom w:val="0"/>
          <w:divBdr>
            <w:top w:val="none" w:sz="0" w:space="0" w:color="auto"/>
            <w:left w:val="none" w:sz="0" w:space="0" w:color="auto"/>
            <w:bottom w:val="none" w:sz="0" w:space="0" w:color="auto"/>
            <w:right w:val="none" w:sz="0" w:space="0" w:color="auto"/>
          </w:divBdr>
          <w:divsChild>
            <w:div w:id="323633773">
              <w:marLeft w:val="0"/>
              <w:marRight w:val="0"/>
              <w:marTop w:val="0"/>
              <w:marBottom w:val="0"/>
              <w:divBdr>
                <w:top w:val="none" w:sz="0" w:space="0" w:color="auto"/>
                <w:left w:val="none" w:sz="0" w:space="0" w:color="auto"/>
                <w:bottom w:val="none" w:sz="0" w:space="0" w:color="auto"/>
                <w:right w:val="none" w:sz="0" w:space="0" w:color="auto"/>
              </w:divBdr>
            </w:div>
          </w:divsChild>
        </w:div>
        <w:div w:id="1557013644">
          <w:marLeft w:val="0"/>
          <w:marRight w:val="0"/>
          <w:marTop w:val="0"/>
          <w:marBottom w:val="0"/>
          <w:divBdr>
            <w:top w:val="none" w:sz="0" w:space="0" w:color="auto"/>
            <w:left w:val="none" w:sz="0" w:space="0" w:color="auto"/>
            <w:bottom w:val="none" w:sz="0" w:space="0" w:color="auto"/>
            <w:right w:val="none" w:sz="0" w:space="0" w:color="auto"/>
          </w:divBdr>
          <w:divsChild>
            <w:div w:id="1073162475">
              <w:marLeft w:val="0"/>
              <w:marRight w:val="0"/>
              <w:marTop w:val="0"/>
              <w:marBottom w:val="0"/>
              <w:divBdr>
                <w:top w:val="none" w:sz="0" w:space="0" w:color="auto"/>
                <w:left w:val="none" w:sz="0" w:space="0" w:color="auto"/>
                <w:bottom w:val="none" w:sz="0" w:space="0" w:color="auto"/>
                <w:right w:val="none" w:sz="0" w:space="0" w:color="auto"/>
              </w:divBdr>
            </w:div>
          </w:divsChild>
        </w:div>
        <w:div w:id="1596399573">
          <w:marLeft w:val="0"/>
          <w:marRight w:val="0"/>
          <w:marTop w:val="0"/>
          <w:marBottom w:val="0"/>
          <w:divBdr>
            <w:top w:val="none" w:sz="0" w:space="0" w:color="auto"/>
            <w:left w:val="none" w:sz="0" w:space="0" w:color="auto"/>
            <w:bottom w:val="none" w:sz="0" w:space="0" w:color="auto"/>
            <w:right w:val="none" w:sz="0" w:space="0" w:color="auto"/>
          </w:divBdr>
          <w:divsChild>
            <w:div w:id="1272131843">
              <w:marLeft w:val="0"/>
              <w:marRight w:val="0"/>
              <w:marTop w:val="0"/>
              <w:marBottom w:val="0"/>
              <w:divBdr>
                <w:top w:val="none" w:sz="0" w:space="0" w:color="auto"/>
                <w:left w:val="none" w:sz="0" w:space="0" w:color="auto"/>
                <w:bottom w:val="none" w:sz="0" w:space="0" w:color="auto"/>
                <w:right w:val="none" w:sz="0" w:space="0" w:color="auto"/>
              </w:divBdr>
            </w:div>
          </w:divsChild>
        </w:div>
        <w:div w:id="1598178425">
          <w:marLeft w:val="0"/>
          <w:marRight w:val="0"/>
          <w:marTop w:val="0"/>
          <w:marBottom w:val="0"/>
          <w:divBdr>
            <w:top w:val="none" w:sz="0" w:space="0" w:color="auto"/>
            <w:left w:val="none" w:sz="0" w:space="0" w:color="auto"/>
            <w:bottom w:val="none" w:sz="0" w:space="0" w:color="auto"/>
            <w:right w:val="none" w:sz="0" w:space="0" w:color="auto"/>
          </w:divBdr>
          <w:divsChild>
            <w:div w:id="1329140236">
              <w:marLeft w:val="0"/>
              <w:marRight w:val="0"/>
              <w:marTop w:val="0"/>
              <w:marBottom w:val="0"/>
              <w:divBdr>
                <w:top w:val="none" w:sz="0" w:space="0" w:color="auto"/>
                <w:left w:val="none" w:sz="0" w:space="0" w:color="auto"/>
                <w:bottom w:val="none" w:sz="0" w:space="0" w:color="auto"/>
                <w:right w:val="none" w:sz="0" w:space="0" w:color="auto"/>
              </w:divBdr>
            </w:div>
          </w:divsChild>
        </w:div>
        <w:div w:id="1608805715">
          <w:marLeft w:val="0"/>
          <w:marRight w:val="0"/>
          <w:marTop w:val="0"/>
          <w:marBottom w:val="0"/>
          <w:divBdr>
            <w:top w:val="none" w:sz="0" w:space="0" w:color="auto"/>
            <w:left w:val="none" w:sz="0" w:space="0" w:color="auto"/>
            <w:bottom w:val="none" w:sz="0" w:space="0" w:color="auto"/>
            <w:right w:val="none" w:sz="0" w:space="0" w:color="auto"/>
          </w:divBdr>
          <w:divsChild>
            <w:div w:id="80100635">
              <w:marLeft w:val="0"/>
              <w:marRight w:val="0"/>
              <w:marTop w:val="0"/>
              <w:marBottom w:val="0"/>
              <w:divBdr>
                <w:top w:val="none" w:sz="0" w:space="0" w:color="auto"/>
                <w:left w:val="none" w:sz="0" w:space="0" w:color="auto"/>
                <w:bottom w:val="none" w:sz="0" w:space="0" w:color="auto"/>
                <w:right w:val="none" w:sz="0" w:space="0" w:color="auto"/>
              </w:divBdr>
            </w:div>
          </w:divsChild>
        </w:div>
        <w:div w:id="1623077219">
          <w:marLeft w:val="0"/>
          <w:marRight w:val="0"/>
          <w:marTop w:val="0"/>
          <w:marBottom w:val="0"/>
          <w:divBdr>
            <w:top w:val="none" w:sz="0" w:space="0" w:color="auto"/>
            <w:left w:val="none" w:sz="0" w:space="0" w:color="auto"/>
            <w:bottom w:val="none" w:sz="0" w:space="0" w:color="auto"/>
            <w:right w:val="none" w:sz="0" w:space="0" w:color="auto"/>
          </w:divBdr>
          <w:divsChild>
            <w:div w:id="114184043">
              <w:marLeft w:val="0"/>
              <w:marRight w:val="0"/>
              <w:marTop w:val="0"/>
              <w:marBottom w:val="0"/>
              <w:divBdr>
                <w:top w:val="none" w:sz="0" w:space="0" w:color="auto"/>
                <w:left w:val="none" w:sz="0" w:space="0" w:color="auto"/>
                <w:bottom w:val="none" w:sz="0" w:space="0" w:color="auto"/>
                <w:right w:val="none" w:sz="0" w:space="0" w:color="auto"/>
              </w:divBdr>
            </w:div>
          </w:divsChild>
        </w:div>
        <w:div w:id="1674647783">
          <w:marLeft w:val="0"/>
          <w:marRight w:val="0"/>
          <w:marTop w:val="0"/>
          <w:marBottom w:val="0"/>
          <w:divBdr>
            <w:top w:val="none" w:sz="0" w:space="0" w:color="auto"/>
            <w:left w:val="none" w:sz="0" w:space="0" w:color="auto"/>
            <w:bottom w:val="none" w:sz="0" w:space="0" w:color="auto"/>
            <w:right w:val="none" w:sz="0" w:space="0" w:color="auto"/>
          </w:divBdr>
          <w:divsChild>
            <w:div w:id="706494024">
              <w:marLeft w:val="0"/>
              <w:marRight w:val="0"/>
              <w:marTop w:val="0"/>
              <w:marBottom w:val="0"/>
              <w:divBdr>
                <w:top w:val="none" w:sz="0" w:space="0" w:color="auto"/>
                <w:left w:val="none" w:sz="0" w:space="0" w:color="auto"/>
                <w:bottom w:val="none" w:sz="0" w:space="0" w:color="auto"/>
                <w:right w:val="none" w:sz="0" w:space="0" w:color="auto"/>
              </w:divBdr>
            </w:div>
          </w:divsChild>
        </w:div>
        <w:div w:id="1725525238">
          <w:marLeft w:val="0"/>
          <w:marRight w:val="0"/>
          <w:marTop w:val="0"/>
          <w:marBottom w:val="0"/>
          <w:divBdr>
            <w:top w:val="none" w:sz="0" w:space="0" w:color="auto"/>
            <w:left w:val="none" w:sz="0" w:space="0" w:color="auto"/>
            <w:bottom w:val="none" w:sz="0" w:space="0" w:color="auto"/>
            <w:right w:val="none" w:sz="0" w:space="0" w:color="auto"/>
          </w:divBdr>
          <w:divsChild>
            <w:div w:id="684482186">
              <w:marLeft w:val="0"/>
              <w:marRight w:val="0"/>
              <w:marTop w:val="0"/>
              <w:marBottom w:val="0"/>
              <w:divBdr>
                <w:top w:val="none" w:sz="0" w:space="0" w:color="auto"/>
                <w:left w:val="none" w:sz="0" w:space="0" w:color="auto"/>
                <w:bottom w:val="none" w:sz="0" w:space="0" w:color="auto"/>
                <w:right w:val="none" w:sz="0" w:space="0" w:color="auto"/>
              </w:divBdr>
            </w:div>
          </w:divsChild>
        </w:div>
        <w:div w:id="1736272840">
          <w:marLeft w:val="0"/>
          <w:marRight w:val="0"/>
          <w:marTop w:val="0"/>
          <w:marBottom w:val="0"/>
          <w:divBdr>
            <w:top w:val="none" w:sz="0" w:space="0" w:color="auto"/>
            <w:left w:val="none" w:sz="0" w:space="0" w:color="auto"/>
            <w:bottom w:val="none" w:sz="0" w:space="0" w:color="auto"/>
            <w:right w:val="none" w:sz="0" w:space="0" w:color="auto"/>
          </w:divBdr>
          <w:divsChild>
            <w:div w:id="1053574672">
              <w:marLeft w:val="0"/>
              <w:marRight w:val="0"/>
              <w:marTop w:val="0"/>
              <w:marBottom w:val="0"/>
              <w:divBdr>
                <w:top w:val="none" w:sz="0" w:space="0" w:color="auto"/>
                <w:left w:val="none" w:sz="0" w:space="0" w:color="auto"/>
                <w:bottom w:val="none" w:sz="0" w:space="0" w:color="auto"/>
                <w:right w:val="none" w:sz="0" w:space="0" w:color="auto"/>
              </w:divBdr>
            </w:div>
          </w:divsChild>
        </w:div>
        <w:div w:id="1749422037">
          <w:marLeft w:val="0"/>
          <w:marRight w:val="0"/>
          <w:marTop w:val="0"/>
          <w:marBottom w:val="0"/>
          <w:divBdr>
            <w:top w:val="none" w:sz="0" w:space="0" w:color="auto"/>
            <w:left w:val="none" w:sz="0" w:space="0" w:color="auto"/>
            <w:bottom w:val="none" w:sz="0" w:space="0" w:color="auto"/>
            <w:right w:val="none" w:sz="0" w:space="0" w:color="auto"/>
          </w:divBdr>
          <w:divsChild>
            <w:div w:id="1701976368">
              <w:marLeft w:val="0"/>
              <w:marRight w:val="0"/>
              <w:marTop w:val="0"/>
              <w:marBottom w:val="0"/>
              <w:divBdr>
                <w:top w:val="none" w:sz="0" w:space="0" w:color="auto"/>
                <w:left w:val="none" w:sz="0" w:space="0" w:color="auto"/>
                <w:bottom w:val="none" w:sz="0" w:space="0" w:color="auto"/>
                <w:right w:val="none" w:sz="0" w:space="0" w:color="auto"/>
              </w:divBdr>
            </w:div>
          </w:divsChild>
        </w:div>
        <w:div w:id="1753239619">
          <w:marLeft w:val="0"/>
          <w:marRight w:val="0"/>
          <w:marTop w:val="0"/>
          <w:marBottom w:val="0"/>
          <w:divBdr>
            <w:top w:val="none" w:sz="0" w:space="0" w:color="auto"/>
            <w:left w:val="none" w:sz="0" w:space="0" w:color="auto"/>
            <w:bottom w:val="none" w:sz="0" w:space="0" w:color="auto"/>
            <w:right w:val="none" w:sz="0" w:space="0" w:color="auto"/>
          </w:divBdr>
          <w:divsChild>
            <w:div w:id="972444680">
              <w:marLeft w:val="0"/>
              <w:marRight w:val="0"/>
              <w:marTop w:val="0"/>
              <w:marBottom w:val="0"/>
              <w:divBdr>
                <w:top w:val="none" w:sz="0" w:space="0" w:color="auto"/>
                <w:left w:val="none" w:sz="0" w:space="0" w:color="auto"/>
                <w:bottom w:val="none" w:sz="0" w:space="0" w:color="auto"/>
                <w:right w:val="none" w:sz="0" w:space="0" w:color="auto"/>
              </w:divBdr>
            </w:div>
          </w:divsChild>
        </w:div>
        <w:div w:id="1758482681">
          <w:marLeft w:val="0"/>
          <w:marRight w:val="0"/>
          <w:marTop w:val="0"/>
          <w:marBottom w:val="0"/>
          <w:divBdr>
            <w:top w:val="none" w:sz="0" w:space="0" w:color="auto"/>
            <w:left w:val="none" w:sz="0" w:space="0" w:color="auto"/>
            <w:bottom w:val="none" w:sz="0" w:space="0" w:color="auto"/>
            <w:right w:val="none" w:sz="0" w:space="0" w:color="auto"/>
          </w:divBdr>
          <w:divsChild>
            <w:div w:id="1298608534">
              <w:marLeft w:val="0"/>
              <w:marRight w:val="0"/>
              <w:marTop w:val="0"/>
              <w:marBottom w:val="0"/>
              <w:divBdr>
                <w:top w:val="none" w:sz="0" w:space="0" w:color="auto"/>
                <w:left w:val="none" w:sz="0" w:space="0" w:color="auto"/>
                <w:bottom w:val="none" w:sz="0" w:space="0" w:color="auto"/>
                <w:right w:val="none" w:sz="0" w:space="0" w:color="auto"/>
              </w:divBdr>
            </w:div>
          </w:divsChild>
        </w:div>
        <w:div w:id="1762293736">
          <w:marLeft w:val="0"/>
          <w:marRight w:val="0"/>
          <w:marTop w:val="0"/>
          <w:marBottom w:val="0"/>
          <w:divBdr>
            <w:top w:val="none" w:sz="0" w:space="0" w:color="auto"/>
            <w:left w:val="none" w:sz="0" w:space="0" w:color="auto"/>
            <w:bottom w:val="none" w:sz="0" w:space="0" w:color="auto"/>
            <w:right w:val="none" w:sz="0" w:space="0" w:color="auto"/>
          </w:divBdr>
          <w:divsChild>
            <w:div w:id="2134862311">
              <w:marLeft w:val="0"/>
              <w:marRight w:val="0"/>
              <w:marTop w:val="0"/>
              <w:marBottom w:val="0"/>
              <w:divBdr>
                <w:top w:val="none" w:sz="0" w:space="0" w:color="auto"/>
                <w:left w:val="none" w:sz="0" w:space="0" w:color="auto"/>
                <w:bottom w:val="none" w:sz="0" w:space="0" w:color="auto"/>
                <w:right w:val="none" w:sz="0" w:space="0" w:color="auto"/>
              </w:divBdr>
            </w:div>
          </w:divsChild>
        </w:div>
        <w:div w:id="1800875220">
          <w:marLeft w:val="0"/>
          <w:marRight w:val="0"/>
          <w:marTop w:val="0"/>
          <w:marBottom w:val="0"/>
          <w:divBdr>
            <w:top w:val="none" w:sz="0" w:space="0" w:color="auto"/>
            <w:left w:val="none" w:sz="0" w:space="0" w:color="auto"/>
            <w:bottom w:val="none" w:sz="0" w:space="0" w:color="auto"/>
            <w:right w:val="none" w:sz="0" w:space="0" w:color="auto"/>
          </w:divBdr>
          <w:divsChild>
            <w:div w:id="609506563">
              <w:marLeft w:val="0"/>
              <w:marRight w:val="0"/>
              <w:marTop w:val="0"/>
              <w:marBottom w:val="0"/>
              <w:divBdr>
                <w:top w:val="none" w:sz="0" w:space="0" w:color="auto"/>
                <w:left w:val="none" w:sz="0" w:space="0" w:color="auto"/>
                <w:bottom w:val="none" w:sz="0" w:space="0" w:color="auto"/>
                <w:right w:val="none" w:sz="0" w:space="0" w:color="auto"/>
              </w:divBdr>
            </w:div>
          </w:divsChild>
        </w:div>
        <w:div w:id="1817336940">
          <w:marLeft w:val="0"/>
          <w:marRight w:val="0"/>
          <w:marTop w:val="0"/>
          <w:marBottom w:val="0"/>
          <w:divBdr>
            <w:top w:val="none" w:sz="0" w:space="0" w:color="auto"/>
            <w:left w:val="none" w:sz="0" w:space="0" w:color="auto"/>
            <w:bottom w:val="none" w:sz="0" w:space="0" w:color="auto"/>
            <w:right w:val="none" w:sz="0" w:space="0" w:color="auto"/>
          </w:divBdr>
          <w:divsChild>
            <w:div w:id="270086520">
              <w:marLeft w:val="0"/>
              <w:marRight w:val="0"/>
              <w:marTop w:val="0"/>
              <w:marBottom w:val="0"/>
              <w:divBdr>
                <w:top w:val="none" w:sz="0" w:space="0" w:color="auto"/>
                <w:left w:val="none" w:sz="0" w:space="0" w:color="auto"/>
                <w:bottom w:val="none" w:sz="0" w:space="0" w:color="auto"/>
                <w:right w:val="none" w:sz="0" w:space="0" w:color="auto"/>
              </w:divBdr>
            </w:div>
          </w:divsChild>
        </w:div>
        <w:div w:id="1825731081">
          <w:marLeft w:val="0"/>
          <w:marRight w:val="0"/>
          <w:marTop w:val="0"/>
          <w:marBottom w:val="0"/>
          <w:divBdr>
            <w:top w:val="none" w:sz="0" w:space="0" w:color="auto"/>
            <w:left w:val="none" w:sz="0" w:space="0" w:color="auto"/>
            <w:bottom w:val="none" w:sz="0" w:space="0" w:color="auto"/>
            <w:right w:val="none" w:sz="0" w:space="0" w:color="auto"/>
          </w:divBdr>
          <w:divsChild>
            <w:div w:id="882526369">
              <w:marLeft w:val="0"/>
              <w:marRight w:val="0"/>
              <w:marTop w:val="0"/>
              <w:marBottom w:val="0"/>
              <w:divBdr>
                <w:top w:val="none" w:sz="0" w:space="0" w:color="auto"/>
                <w:left w:val="none" w:sz="0" w:space="0" w:color="auto"/>
                <w:bottom w:val="none" w:sz="0" w:space="0" w:color="auto"/>
                <w:right w:val="none" w:sz="0" w:space="0" w:color="auto"/>
              </w:divBdr>
            </w:div>
          </w:divsChild>
        </w:div>
        <w:div w:id="1849514992">
          <w:marLeft w:val="0"/>
          <w:marRight w:val="0"/>
          <w:marTop w:val="0"/>
          <w:marBottom w:val="0"/>
          <w:divBdr>
            <w:top w:val="none" w:sz="0" w:space="0" w:color="auto"/>
            <w:left w:val="none" w:sz="0" w:space="0" w:color="auto"/>
            <w:bottom w:val="none" w:sz="0" w:space="0" w:color="auto"/>
            <w:right w:val="none" w:sz="0" w:space="0" w:color="auto"/>
          </w:divBdr>
          <w:divsChild>
            <w:div w:id="1728644916">
              <w:marLeft w:val="0"/>
              <w:marRight w:val="0"/>
              <w:marTop w:val="0"/>
              <w:marBottom w:val="0"/>
              <w:divBdr>
                <w:top w:val="none" w:sz="0" w:space="0" w:color="auto"/>
                <w:left w:val="none" w:sz="0" w:space="0" w:color="auto"/>
                <w:bottom w:val="none" w:sz="0" w:space="0" w:color="auto"/>
                <w:right w:val="none" w:sz="0" w:space="0" w:color="auto"/>
              </w:divBdr>
            </w:div>
          </w:divsChild>
        </w:div>
        <w:div w:id="1878738629">
          <w:marLeft w:val="0"/>
          <w:marRight w:val="0"/>
          <w:marTop w:val="0"/>
          <w:marBottom w:val="0"/>
          <w:divBdr>
            <w:top w:val="none" w:sz="0" w:space="0" w:color="auto"/>
            <w:left w:val="none" w:sz="0" w:space="0" w:color="auto"/>
            <w:bottom w:val="none" w:sz="0" w:space="0" w:color="auto"/>
            <w:right w:val="none" w:sz="0" w:space="0" w:color="auto"/>
          </w:divBdr>
          <w:divsChild>
            <w:div w:id="1921020849">
              <w:marLeft w:val="0"/>
              <w:marRight w:val="0"/>
              <w:marTop w:val="0"/>
              <w:marBottom w:val="0"/>
              <w:divBdr>
                <w:top w:val="none" w:sz="0" w:space="0" w:color="auto"/>
                <w:left w:val="none" w:sz="0" w:space="0" w:color="auto"/>
                <w:bottom w:val="none" w:sz="0" w:space="0" w:color="auto"/>
                <w:right w:val="none" w:sz="0" w:space="0" w:color="auto"/>
              </w:divBdr>
            </w:div>
          </w:divsChild>
        </w:div>
        <w:div w:id="1880045595">
          <w:marLeft w:val="0"/>
          <w:marRight w:val="0"/>
          <w:marTop w:val="0"/>
          <w:marBottom w:val="0"/>
          <w:divBdr>
            <w:top w:val="none" w:sz="0" w:space="0" w:color="auto"/>
            <w:left w:val="none" w:sz="0" w:space="0" w:color="auto"/>
            <w:bottom w:val="none" w:sz="0" w:space="0" w:color="auto"/>
            <w:right w:val="none" w:sz="0" w:space="0" w:color="auto"/>
          </w:divBdr>
          <w:divsChild>
            <w:div w:id="564100411">
              <w:marLeft w:val="0"/>
              <w:marRight w:val="0"/>
              <w:marTop w:val="0"/>
              <w:marBottom w:val="0"/>
              <w:divBdr>
                <w:top w:val="none" w:sz="0" w:space="0" w:color="auto"/>
                <w:left w:val="none" w:sz="0" w:space="0" w:color="auto"/>
                <w:bottom w:val="none" w:sz="0" w:space="0" w:color="auto"/>
                <w:right w:val="none" w:sz="0" w:space="0" w:color="auto"/>
              </w:divBdr>
            </w:div>
          </w:divsChild>
        </w:div>
        <w:div w:id="1889142699">
          <w:marLeft w:val="0"/>
          <w:marRight w:val="0"/>
          <w:marTop w:val="0"/>
          <w:marBottom w:val="0"/>
          <w:divBdr>
            <w:top w:val="none" w:sz="0" w:space="0" w:color="auto"/>
            <w:left w:val="none" w:sz="0" w:space="0" w:color="auto"/>
            <w:bottom w:val="none" w:sz="0" w:space="0" w:color="auto"/>
            <w:right w:val="none" w:sz="0" w:space="0" w:color="auto"/>
          </w:divBdr>
          <w:divsChild>
            <w:div w:id="1641106450">
              <w:marLeft w:val="0"/>
              <w:marRight w:val="0"/>
              <w:marTop w:val="0"/>
              <w:marBottom w:val="0"/>
              <w:divBdr>
                <w:top w:val="none" w:sz="0" w:space="0" w:color="auto"/>
                <w:left w:val="none" w:sz="0" w:space="0" w:color="auto"/>
                <w:bottom w:val="none" w:sz="0" w:space="0" w:color="auto"/>
                <w:right w:val="none" w:sz="0" w:space="0" w:color="auto"/>
              </w:divBdr>
            </w:div>
          </w:divsChild>
        </w:div>
        <w:div w:id="1895000440">
          <w:marLeft w:val="0"/>
          <w:marRight w:val="0"/>
          <w:marTop w:val="0"/>
          <w:marBottom w:val="0"/>
          <w:divBdr>
            <w:top w:val="none" w:sz="0" w:space="0" w:color="auto"/>
            <w:left w:val="none" w:sz="0" w:space="0" w:color="auto"/>
            <w:bottom w:val="none" w:sz="0" w:space="0" w:color="auto"/>
            <w:right w:val="none" w:sz="0" w:space="0" w:color="auto"/>
          </w:divBdr>
          <w:divsChild>
            <w:div w:id="804929293">
              <w:marLeft w:val="0"/>
              <w:marRight w:val="0"/>
              <w:marTop w:val="0"/>
              <w:marBottom w:val="0"/>
              <w:divBdr>
                <w:top w:val="none" w:sz="0" w:space="0" w:color="auto"/>
                <w:left w:val="none" w:sz="0" w:space="0" w:color="auto"/>
                <w:bottom w:val="none" w:sz="0" w:space="0" w:color="auto"/>
                <w:right w:val="none" w:sz="0" w:space="0" w:color="auto"/>
              </w:divBdr>
            </w:div>
          </w:divsChild>
        </w:div>
        <w:div w:id="1901556543">
          <w:marLeft w:val="0"/>
          <w:marRight w:val="0"/>
          <w:marTop w:val="0"/>
          <w:marBottom w:val="0"/>
          <w:divBdr>
            <w:top w:val="none" w:sz="0" w:space="0" w:color="auto"/>
            <w:left w:val="none" w:sz="0" w:space="0" w:color="auto"/>
            <w:bottom w:val="none" w:sz="0" w:space="0" w:color="auto"/>
            <w:right w:val="none" w:sz="0" w:space="0" w:color="auto"/>
          </w:divBdr>
          <w:divsChild>
            <w:div w:id="1500385621">
              <w:marLeft w:val="0"/>
              <w:marRight w:val="0"/>
              <w:marTop w:val="0"/>
              <w:marBottom w:val="0"/>
              <w:divBdr>
                <w:top w:val="none" w:sz="0" w:space="0" w:color="auto"/>
                <w:left w:val="none" w:sz="0" w:space="0" w:color="auto"/>
                <w:bottom w:val="none" w:sz="0" w:space="0" w:color="auto"/>
                <w:right w:val="none" w:sz="0" w:space="0" w:color="auto"/>
              </w:divBdr>
            </w:div>
          </w:divsChild>
        </w:div>
        <w:div w:id="1902204411">
          <w:marLeft w:val="0"/>
          <w:marRight w:val="0"/>
          <w:marTop w:val="0"/>
          <w:marBottom w:val="0"/>
          <w:divBdr>
            <w:top w:val="none" w:sz="0" w:space="0" w:color="auto"/>
            <w:left w:val="none" w:sz="0" w:space="0" w:color="auto"/>
            <w:bottom w:val="none" w:sz="0" w:space="0" w:color="auto"/>
            <w:right w:val="none" w:sz="0" w:space="0" w:color="auto"/>
          </w:divBdr>
          <w:divsChild>
            <w:div w:id="809519102">
              <w:marLeft w:val="0"/>
              <w:marRight w:val="0"/>
              <w:marTop w:val="0"/>
              <w:marBottom w:val="0"/>
              <w:divBdr>
                <w:top w:val="none" w:sz="0" w:space="0" w:color="auto"/>
                <w:left w:val="none" w:sz="0" w:space="0" w:color="auto"/>
                <w:bottom w:val="none" w:sz="0" w:space="0" w:color="auto"/>
                <w:right w:val="none" w:sz="0" w:space="0" w:color="auto"/>
              </w:divBdr>
            </w:div>
          </w:divsChild>
        </w:div>
        <w:div w:id="1914657252">
          <w:marLeft w:val="0"/>
          <w:marRight w:val="0"/>
          <w:marTop w:val="0"/>
          <w:marBottom w:val="0"/>
          <w:divBdr>
            <w:top w:val="none" w:sz="0" w:space="0" w:color="auto"/>
            <w:left w:val="none" w:sz="0" w:space="0" w:color="auto"/>
            <w:bottom w:val="none" w:sz="0" w:space="0" w:color="auto"/>
            <w:right w:val="none" w:sz="0" w:space="0" w:color="auto"/>
          </w:divBdr>
          <w:divsChild>
            <w:div w:id="610087278">
              <w:marLeft w:val="0"/>
              <w:marRight w:val="0"/>
              <w:marTop w:val="0"/>
              <w:marBottom w:val="0"/>
              <w:divBdr>
                <w:top w:val="none" w:sz="0" w:space="0" w:color="auto"/>
                <w:left w:val="none" w:sz="0" w:space="0" w:color="auto"/>
                <w:bottom w:val="none" w:sz="0" w:space="0" w:color="auto"/>
                <w:right w:val="none" w:sz="0" w:space="0" w:color="auto"/>
              </w:divBdr>
            </w:div>
          </w:divsChild>
        </w:div>
        <w:div w:id="1936160689">
          <w:marLeft w:val="0"/>
          <w:marRight w:val="0"/>
          <w:marTop w:val="0"/>
          <w:marBottom w:val="0"/>
          <w:divBdr>
            <w:top w:val="none" w:sz="0" w:space="0" w:color="auto"/>
            <w:left w:val="none" w:sz="0" w:space="0" w:color="auto"/>
            <w:bottom w:val="none" w:sz="0" w:space="0" w:color="auto"/>
            <w:right w:val="none" w:sz="0" w:space="0" w:color="auto"/>
          </w:divBdr>
          <w:divsChild>
            <w:div w:id="2121023579">
              <w:marLeft w:val="0"/>
              <w:marRight w:val="0"/>
              <w:marTop w:val="0"/>
              <w:marBottom w:val="0"/>
              <w:divBdr>
                <w:top w:val="none" w:sz="0" w:space="0" w:color="auto"/>
                <w:left w:val="none" w:sz="0" w:space="0" w:color="auto"/>
                <w:bottom w:val="none" w:sz="0" w:space="0" w:color="auto"/>
                <w:right w:val="none" w:sz="0" w:space="0" w:color="auto"/>
              </w:divBdr>
            </w:div>
          </w:divsChild>
        </w:div>
        <w:div w:id="1953783447">
          <w:marLeft w:val="0"/>
          <w:marRight w:val="0"/>
          <w:marTop w:val="0"/>
          <w:marBottom w:val="0"/>
          <w:divBdr>
            <w:top w:val="none" w:sz="0" w:space="0" w:color="auto"/>
            <w:left w:val="none" w:sz="0" w:space="0" w:color="auto"/>
            <w:bottom w:val="none" w:sz="0" w:space="0" w:color="auto"/>
            <w:right w:val="none" w:sz="0" w:space="0" w:color="auto"/>
          </w:divBdr>
          <w:divsChild>
            <w:div w:id="576785932">
              <w:marLeft w:val="0"/>
              <w:marRight w:val="0"/>
              <w:marTop w:val="0"/>
              <w:marBottom w:val="0"/>
              <w:divBdr>
                <w:top w:val="none" w:sz="0" w:space="0" w:color="auto"/>
                <w:left w:val="none" w:sz="0" w:space="0" w:color="auto"/>
                <w:bottom w:val="none" w:sz="0" w:space="0" w:color="auto"/>
                <w:right w:val="none" w:sz="0" w:space="0" w:color="auto"/>
              </w:divBdr>
            </w:div>
          </w:divsChild>
        </w:div>
        <w:div w:id="1987775481">
          <w:marLeft w:val="0"/>
          <w:marRight w:val="0"/>
          <w:marTop w:val="0"/>
          <w:marBottom w:val="0"/>
          <w:divBdr>
            <w:top w:val="none" w:sz="0" w:space="0" w:color="auto"/>
            <w:left w:val="none" w:sz="0" w:space="0" w:color="auto"/>
            <w:bottom w:val="none" w:sz="0" w:space="0" w:color="auto"/>
            <w:right w:val="none" w:sz="0" w:space="0" w:color="auto"/>
          </w:divBdr>
          <w:divsChild>
            <w:div w:id="404302457">
              <w:marLeft w:val="0"/>
              <w:marRight w:val="0"/>
              <w:marTop w:val="0"/>
              <w:marBottom w:val="0"/>
              <w:divBdr>
                <w:top w:val="none" w:sz="0" w:space="0" w:color="auto"/>
                <w:left w:val="none" w:sz="0" w:space="0" w:color="auto"/>
                <w:bottom w:val="none" w:sz="0" w:space="0" w:color="auto"/>
                <w:right w:val="none" w:sz="0" w:space="0" w:color="auto"/>
              </w:divBdr>
            </w:div>
          </w:divsChild>
        </w:div>
        <w:div w:id="2003308906">
          <w:marLeft w:val="0"/>
          <w:marRight w:val="0"/>
          <w:marTop w:val="0"/>
          <w:marBottom w:val="0"/>
          <w:divBdr>
            <w:top w:val="none" w:sz="0" w:space="0" w:color="auto"/>
            <w:left w:val="none" w:sz="0" w:space="0" w:color="auto"/>
            <w:bottom w:val="none" w:sz="0" w:space="0" w:color="auto"/>
            <w:right w:val="none" w:sz="0" w:space="0" w:color="auto"/>
          </w:divBdr>
          <w:divsChild>
            <w:div w:id="287519017">
              <w:marLeft w:val="0"/>
              <w:marRight w:val="0"/>
              <w:marTop w:val="0"/>
              <w:marBottom w:val="0"/>
              <w:divBdr>
                <w:top w:val="none" w:sz="0" w:space="0" w:color="auto"/>
                <w:left w:val="none" w:sz="0" w:space="0" w:color="auto"/>
                <w:bottom w:val="none" w:sz="0" w:space="0" w:color="auto"/>
                <w:right w:val="none" w:sz="0" w:space="0" w:color="auto"/>
              </w:divBdr>
            </w:div>
          </w:divsChild>
        </w:div>
        <w:div w:id="2045910364">
          <w:marLeft w:val="0"/>
          <w:marRight w:val="0"/>
          <w:marTop w:val="0"/>
          <w:marBottom w:val="0"/>
          <w:divBdr>
            <w:top w:val="none" w:sz="0" w:space="0" w:color="auto"/>
            <w:left w:val="none" w:sz="0" w:space="0" w:color="auto"/>
            <w:bottom w:val="none" w:sz="0" w:space="0" w:color="auto"/>
            <w:right w:val="none" w:sz="0" w:space="0" w:color="auto"/>
          </w:divBdr>
          <w:divsChild>
            <w:div w:id="724261944">
              <w:marLeft w:val="0"/>
              <w:marRight w:val="0"/>
              <w:marTop w:val="0"/>
              <w:marBottom w:val="0"/>
              <w:divBdr>
                <w:top w:val="none" w:sz="0" w:space="0" w:color="auto"/>
                <w:left w:val="none" w:sz="0" w:space="0" w:color="auto"/>
                <w:bottom w:val="none" w:sz="0" w:space="0" w:color="auto"/>
                <w:right w:val="none" w:sz="0" w:space="0" w:color="auto"/>
              </w:divBdr>
            </w:div>
          </w:divsChild>
        </w:div>
        <w:div w:id="2053112089">
          <w:marLeft w:val="0"/>
          <w:marRight w:val="0"/>
          <w:marTop w:val="0"/>
          <w:marBottom w:val="0"/>
          <w:divBdr>
            <w:top w:val="none" w:sz="0" w:space="0" w:color="auto"/>
            <w:left w:val="none" w:sz="0" w:space="0" w:color="auto"/>
            <w:bottom w:val="none" w:sz="0" w:space="0" w:color="auto"/>
            <w:right w:val="none" w:sz="0" w:space="0" w:color="auto"/>
          </w:divBdr>
          <w:divsChild>
            <w:div w:id="676007620">
              <w:marLeft w:val="0"/>
              <w:marRight w:val="0"/>
              <w:marTop w:val="0"/>
              <w:marBottom w:val="0"/>
              <w:divBdr>
                <w:top w:val="none" w:sz="0" w:space="0" w:color="auto"/>
                <w:left w:val="none" w:sz="0" w:space="0" w:color="auto"/>
                <w:bottom w:val="none" w:sz="0" w:space="0" w:color="auto"/>
                <w:right w:val="none" w:sz="0" w:space="0" w:color="auto"/>
              </w:divBdr>
            </w:div>
          </w:divsChild>
        </w:div>
        <w:div w:id="2070493357">
          <w:marLeft w:val="0"/>
          <w:marRight w:val="0"/>
          <w:marTop w:val="0"/>
          <w:marBottom w:val="0"/>
          <w:divBdr>
            <w:top w:val="none" w:sz="0" w:space="0" w:color="auto"/>
            <w:left w:val="none" w:sz="0" w:space="0" w:color="auto"/>
            <w:bottom w:val="none" w:sz="0" w:space="0" w:color="auto"/>
            <w:right w:val="none" w:sz="0" w:space="0" w:color="auto"/>
          </w:divBdr>
          <w:divsChild>
            <w:div w:id="662316942">
              <w:marLeft w:val="0"/>
              <w:marRight w:val="0"/>
              <w:marTop w:val="0"/>
              <w:marBottom w:val="0"/>
              <w:divBdr>
                <w:top w:val="none" w:sz="0" w:space="0" w:color="auto"/>
                <w:left w:val="none" w:sz="0" w:space="0" w:color="auto"/>
                <w:bottom w:val="none" w:sz="0" w:space="0" w:color="auto"/>
                <w:right w:val="none" w:sz="0" w:space="0" w:color="auto"/>
              </w:divBdr>
            </w:div>
          </w:divsChild>
        </w:div>
        <w:div w:id="2129617115">
          <w:marLeft w:val="0"/>
          <w:marRight w:val="0"/>
          <w:marTop w:val="0"/>
          <w:marBottom w:val="0"/>
          <w:divBdr>
            <w:top w:val="none" w:sz="0" w:space="0" w:color="auto"/>
            <w:left w:val="none" w:sz="0" w:space="0" w:color="auto"/>
            <w:bottom w:val="none" w:sz="0" w:space="0" w:color="auto"/>
            <w:right w:val="none" w:sz="0" w:space="0" w:color="auto"/>
          </w:divBdr>
          <w:divsChild>
            <w:div w:id="698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2602">
      <w:bodyDiv w:val="1"/>
      <w:marLeft w:val="0"/>
      <w:marRight w:val="0"/>
      <w:marTop w:val="0"/>
      <w:marBottom w:val="0"/>
      <w:divBdr>
        <w:top w:val="none" w:sz="0" w:space="0" w:color="auto"/>
        <w:left w:val="none" w:sz="0" w:space="0" w:color="auto"/>
        <w:bottom w:val="none" w:sz="0" w:space="0" w:color="auto"/>
        <w:right w:val="none" w:sz="0" w:space="0" w:color="auto"/>
      </w:divBdr>
      <w:divsChild>
        <w:div w:id="99033166">
          <w:marLeft w:val="0"/>
          <w:marRight w:val="0"/>
          <w:marTop w:val="0"/>
          <w:marBottom w:val="0"/>
          <w:divBdr>
            <w:top w:val="none" w:sz="0" w:space="0" w:color="auto"/>
            <w:left w:val="none" w:sz="0" w:space="0" w:color="auto"/>
            <w:bottom w:val="none" w:sz="0" w:space="0" w:color="auto"/>
            <w:right w:val="none" w:sz="0" w:space="0" w:color="auto"/>
          </w:divBdr>
          <w:divsChild>
            <w:div w:id="890962470">
              <w:marLeft w:val="0"/>
              <w:marRight w:val="0"/>
              <w:marTop w:val="0"/>
              <w:marBottom w:val="0"/>
              <w:divBdr>
                <w:top w:val="none" w:sz="0" w:space="0" w:color="auto"/>
                <w:left w:val="none" w:sz="0" w:space="0" w:color="auto"/>
                <w:bottom w:val="none" w:sz="0" w:space="0" w:color="auto"/>
                <w:right w:val="none" w:sz="0" w:space="0" w:color="auto"/>
              </w:divBdr>
            </w:div>
          </w:divsChild>
        </w:div>
        <w:div w:id="105925824">
          <w:marLeft w:val="0"/>
          <w:marRight w:val="0"/>
          <w:marTop w:val="0"/>
          <w:marBottom w:val="0"/>
          <w:divBdr>
            <w:top w:val="none" w:sz="0" w:space="0" w:color="auto"/>
            <w:left w:val="none" w:sz="0" w:space="0" w:color="auto"/>
            <w:bottom w:val="none" w:sz="0" w:space="0" w:color="auto"/>
            <w:right w:val="none" w:sz="0" w:space="0" w:color="auto"/>
          </w:divBdr>
          <w:divsChild>
            <w:div w:id="1844125805">
              <w:marLeft w:val="0"/>
              <w:marRight w:val="0"/>
              <w:marTop w:val="0"/>
              <w:marBottom w:val="0"/>
              <w:divBdr>
                <w:top w:val="none" w:sz="0" w:space="0" w:color="auto"/>
                <w:left w:val="none" w:sz="0" w:space="0" w:color="auto"/>
                <w:bottom w:val="none" w:sz="0" w:space="0" w:color="auto"/>
                <w:right w:val="none" w:sz="0" w:space="0" w:color="auto"/>
              </w:divBdr>
            </w:div>
          </w:divsChild>
        </w:div>
        <w:div w:id="217862754">
          <w:marLeft w:val="0"/>
          <w:marRight w:val="0"/>
          <w:marTop w:val="0"/>
          <w:marBottom w:val="0"/>
          <w:divBdr>
            <w:top w:val="none" w:sz="0" w:space="0" w:color="auto"/>
            <w:left w:val="none" w:sz="0" w:space="0" w:color="auto"/>
            <w:bottom w:val="none" w:sz="0" w:space="0" w:color="auto"/>
            <w:right w:val="none" w:sz="0" w:space="0" w:color="auto"/>
          </w:divBdr>
          <w:divsChild>
            <w:div w:id="1822580923">
              <w:marLeft w:val="0"/>
              <w:marRight w:val="0"/>
              <w:marTop w:val="0"/>
              <w:marBottom w:val="0"/>
              <w:divBdr>
                <w:top w:val="none" w:sz="0" w:space="0" w:color="auto"/>
                <w:left w:val="none" w:sz="0" w:space="0" w:color="auto"/>
                <w:bottom w:val="none" w:sz="0" w:space="0" w:color="auto"/>
                <w:right w:val="none" w:sz="0" w:space="0" w:color="auto"/>
              </w:divBdr>
            </w:div>
          </w:divsChild>
        </w:div>
        <w:div w:id="236790552">
          <w:marLeft w:val="0"/>
          <w:marRight w:val="0"/>
          <w:marTop w:val="0"/>
          <w:marBottom w:val="0"/>
          <w:divBdr>
            <w:top w:val="none" w:sz="0" w:space="0" w:color="auto"/>
            <w:left w:val="none" w:sz="0" w:space="0" w:color="auto"/>
            <w:bottom w:val="none" w:sz="0" w:space="0" w:color="auto"/>
            <w:right w:val="none" w:sz="0" w:space="0" w:color="auto"/>
          </w:divBdr>
          <w:divsChild>
            <w:div w:id="358168206">
              <w:marLeft w:val="0"/>
              <w:marRight w:val="0"/>
              <w:marTop w:val="0"/>
              <w:marBottom w:val="0"/>
              <w:divBdr>
                <w:top w:val="none" w:sz="0" w:space="0" w:color="auto"/>
                <w:left w:val="none" w:sz="0" w:space="0" w:color="auto"/>
                <w:bottom w:val="none" w:sz="0" w:space="0" w:color="auto"/>
                <w:right w:val="none" w:sz="0" w:space="0" w:color="auto"/>
              </w:divBdr>
            </w:div>
          </w:divsChild>
        </w:div>
        <w:div w:id="244994883">
          <w:marLeft w:val="0"/>
          <w:marRight w:val="0"/>
          <w:marTop w:val="0"/>
          <w:marBottom w:val="0"/>
          <w:divBdr>
            <w:top w:val="none" w:sz="0" w:space="0" w:color="auto"/>
            <w:left w:val="none" w:sz="0" w:space="0" w:color="auto"/>
            <w:bottom w:val="none" w:sz="0" w:space="0" w:color="auto"/>
            <w:right w:val="none" w:sz="0" w:space="0" w:color="auto"/>
          </w:divBdr>
          <w:divsChild>
            <w:div w:id="1780024511">
              <w:marLeft w:val="0"/>
              <w:marRight w:val="0"/>
              <w:marTop w:val="0"/>
              <w:marBottom w:val="0"/>
              <w:divBdr>
                <w:top w:val="none" w:sz="0" w:space="0" w:color="auto"/>
                <w:left w:val="none" w:sz="0" w:space="0" w:color="auto"/>
                <w:bottom w:val="none" w:sz="0" w:space="0" w:color="auto"/>
                <w:right w:val="none" w:sz="0" w:space="0" w:color="auto"/>
              </w:divBdr>
            </w:div>
          </w:divsChild>
        </w:div>
        <w:div w:id="258370255">
          <w:marLeft w:val="0"/>
          <w:marRight w:val="0"/>
          <w:marTop w:val="0"/>
          <w:marBottom w:val="0"/>
          <w:divBdr>
            <w:top w:val="none" w:sz="0" w:space="0" w:color="auto"/>
            <w:left w:val="none" w:sz="0" w:space="0" w:color="auto"/>
            <w:bottom w:val="none" w:sz="0" w:space="0" w:color="auto"/>
            <w:right w:val="none" w:sz="0" w:space="0" w:color="auto"/>
          </w:divBdr>
          <w:divsChild>
            <w:div w:id="606698536">
              <w:marLeft w:val="0"/>
              <w:marRight w:val="0"/>
              <w:marTop w:val="0"/>
              <w:marBottom w:val="0"/>
              <w:divBdr>
                <w:top w:val="none" w:sz="0" w:space="0" w:color="auto"/>
                <w:left w:val="none" w:sz="0" w:space="0" w:color="auto"/>
                <w:bottom w:val="none" w:sz="0" w:space="0" w:color="auto"/>
                <w:right w:val="none" w:sz="0" w:space="0" w:color="auto"/>
              </w:divBdr>
            </w:div>
            <w:div w:id="693388407">
              <w:marLeft w:val="0"/>
              <w:marRight w:val="0"/>
              <w:marTop w:val="0"/>
              <w:marBottom w:val="0"/>
              <w:divBdr>
                <w:top w:val="none" w:sz="0" w:space="0" w:color="auto"/>
                <w:left w:val="none" w:sz="0" w:space="0" w:color="auto"/>
                <w:bottom w:val="none" w:sz="0" w:space="0" w:color="auto"/>
                <w:right w:val="none" w:sz="0" w:space="0" w:color="auto"/>
              </w:divBdr>
            </w:div>
            <w:div w:id="829717596">
              <w:marLeft w:val="0"/>
              <w:marRight w:val="0"/>
              <w:marTop w:val="0"/>
              <w:marBottom w:val="0"/>
              <w:divBdr>
                <w:top w:val="none" w:sz="0" w:space="0" w:color="auto"/>
                <w:left w:val="none" w:sz="0" w:space="0" w:color="auto"/>
                <w:bottom w:val="none" w:sz="0" w:space="0" w:color="auto"/>
                <w:right w:val="none" w:sz="0" w:space="0" w:color="auto"/>
              </w:divBdr>
            </w:div>
          </w:divsChild>
        </w:div>
        <w:div w:id="278803814">
          <w:marLeft w:val="0"/>
          <w:marRight w:val="0"/>
          <w:marTop w:val="0"/>
          <w:marBottom w:val="0"/>
          <w:divBdr>
            <w:top w:val="none" w:sz="0" w:space="0" w:color="auto"/>
            <w:left w:val="none" w:sz="0" w:space="0" w:color="auto"/>
            <w:bottom w:val="none" w:sz="0" w:space="0" w:color="auto"/>
            <w:right w:val="none" w:sz="0" w:space="0" w:color="auto"/>
          </w:divBdr>
          <w:divsChild>
            <w:div w:id="529925391">
              <w:marLeft w:val="0"/>
              <w:marRight w:val="0"/>
              <w:marTop w:val="0"/>
              <w:marBottom w:val="0"/>
              <w:divBdr>
                <w:top w:val="none" w:sz="0" w:space="0" w:color="auto"/>
                <w:left w:val="none" w:sz="0" w:space="0" w:color="auto"/>
                <w:bottom w:val="none" w:sz="0" w:space="0" w:color="auto"/>
                <w:right w:val="none" w:sz="0" w:space="0" w:color="auto"/>
              </w:divBdr>
            </w:div>
          </w:divsChild>
        </w:div>
        <w:div w:id="371737016">
          <w:marLeft w:val="0"/>
          <w:marRight w:val="0"/>
          <w:marTop w:val="0"/>
          <w:marBottom w:val="0"/>
          <w:divBdr>
            <w:top w:val="none" w:sz="0" w:space="0" w:color="auto"/>
            <w:left w:val="none" w:sz="0" w:space="0" w:color="auto"/>
            <w:bottom w:val="none" w:sz="0" w:space="0" w:color="auto"/>
            <w:right w:val="none" w:sz="0" w:space="0" w:color="auto"/>
          </w:divBdr>
          <w:divsChild>
            <w:div w:id="507987523">
              <w:marLeft w:val="0"/>
              <w:marRight w:val="0"/>
              <w:marTop w:val="0"/>
              <w:marBottom w:val="0"/>
              <w:divBdr>
                <w:top w:val="none" w:sz="0" w:space="0" w:color="auto"/>
                <w:left w:val="none" w:sz="0" w:space="0" w:color="auto"/>
                <w:bottom w:val="none" w:sz="0" w:space="0" w:color="auto"/>
                <w:right w:val="none" w:sz="0" w:space="0" w:color="auto"/>
              </w:divBdr>
            </w:div>
          </w:divsChild>
        </w:div>
        <w:div w:id="418334010">
          <w:marLeft w:val="0"/>
          <w:marRight w:val="0"/>
          <w:marTop w:val="0"/>
          <w:marBottom w:val="0"/>
          <w:divBdr>
            <w:top w:val="none" w:sz="0" w:space="0" w:color="auto"/>
            <w:left w:val="none" w:sz="0" w:space="0" w:color="auto"/>
            <w:bottom w:val="none" w:sz="0" w:space="0" w:color="auto"/>
            <w:right w:val="none" w:sz="0" w:space="0" w:color="auto"/>
          </w:divBdr>
          <w:divsChild>
            <w:div w:id="580024622">
              <w:marLeft w:val="0"/>
              <w:marRight w:val="0"/>
              <w:marTop w:val="0"/>
              <w:marBottom w:val="0"/>
              <w:divBdr>
                <w:top w:val="none" w:sz="0" w:space="0" w:color="auto"/>
                <w:left w:val="none" w:sz="0" w:space="0" w:color="auto"/>
                <w:bottom w:val="none" w:sz="0" w:space="0" w:color="auto"/>
                <w:right w:val="none" w:sz="0" w:space="0" w:color="auto"/>
              </w:divBdr>
            </w:div>
          </w:divsChild>
        </w:div>
        <w:div w:id="453252062">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
          </w:divsChild>
        </w:div>
        <w:div w:id="479618634">
          <w:marLeft w:val="0"/>
          <w:marRight w:val="0"/>
          <w:marTop w:val="0"/>
          <w:marBottom w:val="0"/>
          <w:divBdr>
            <w:top w:val="none" w:sz="0" w:space="0" w:color="auto"/>
            <w:left w:val="none" w:sz="0" w:space="0" w:color="auto"/>
            <w:bottom w:val="none" w:sz="0" w:space="0" w:color="auto"/>
            <w:right w:val="none" w:sz="0" w:space="0" w:color="auto"/>
          </w:divBdr>
          <w:divsChild>
            <w:div w:id="98113341">
              <w:marLeft w:val="0"/>
              <w:marRight w:val="0"/>
              <w:marTop w:val="0"/>
              <w:marBottom w:val="0"/>
              <w:divBdr>
                <w:top w:val="none" w:sz="0" w:space="0" w:color="auto"/>
                <w:left w:val="none" w:sz="0" w:space="0" w:color="auto"/>
                <w:bottom w:val="none" w:sz="0" w:space="0" w:color="auto"/>
                <w:right w:val="none" w:sz="0" w:space="0" w:color="auto"/>
              </w:divBdr>
            </w:div>
          </w:divsChild>
        </w:div>
        <w:div w:id="524905349">
          <w:marLeft w:val="0"/>
          <w:marRight w:val="0"/>
          <w:marTop w:val="0"/>
          <w:marBottom w:val="0"/>
          <w:divBdr>
            <w:top w:val="none" w:sz="0" w:space="0" w:color="auto"/>
            <w:left w:val="none" w:sz="0" w:space="0" w:color="auto"/>
            <w:bottom w:val="none" w:sz="0" w:space="0" w:color="auto"/>
            <w:right w:val="none" w:sz="0" w:space="0" w:color="auto"/>
          </w:divBdr>
          <w:divsChild>
            <w:div w:id="202714966">
              <w:marLeft w:val="0"/>
              <w:marRight w:val="0"/>
              <w:marTop w:val="0"/>
              <w:marBottom w:val="0"/>
              <w:divBdr>
                <w:top w:val="none" w:sz="0" w:space="0" w:color="auto"/>
                <w:left w:val="none" w:sz="0" w:space="0" w:color="auto"/>
                <w:bottom w:val="none" w:sz="0" w:space="0" w:color="auto"/>
                <w:right w:val="none" w:sz="0" w:space="0" w:color="auto"/>
              </w:divBdr>
            </w:div>
          </w:divsChild>
        </w:div>
        <w:div w:id="547688089">
          <w:marLeft w:val="0"/>
          <w:marRight w:val="0"/>
          <w:marTop w:val="0"/>
          <w:marBottom w:val="0"/>
          <w:divBdr>
            <w:top w:val="none" w:sz="0" w:space="0" w:color="auto"/>
            <w:left w:val="none" w:sz="0" w:space="0" w:color="auto"/>
            <w:bottom w:val="none" w:sz="0" w:space="0" w:color="auto"/>
            <w:right w:val="none" w:sz="0" w:space="0" w:color="auto"/>
          </w:divBdr>
          <w:divsChild>
            <w:div w:id="949118922">
              <w:marLeft w:val="0"/>
              <w:marRight w:val="0"/>
              <w:marTop w:val="0"/>
              <w:marBottom w:val="0"/>
              <w:divBdr>
                <w:top w:val="none" w:sz="0" w:space="0" w:color="auto"/>
                <w:left w:val="none" w:sz="0" w:space="0" w:color="auto"/>
                <w:bottom w:val="none" w:sz="0" w:space="0" w:color="auto"/>
                <w:right w:val="none" w:sz="0" w:space="0" w:color="auto"/>
              </w:divBdr>
            </w:div>
            <w:div w:id="1516841614">
              <w:marLeft w:val="0"/>
              <w:marRight w:val="0"/>
              <w:marTop w:val="0"/>
              <w:marBottom w:val="0"/>
              <w:divBdr>
                <w:top w:val="none" w:sz="0" w:space="0" w:color="auto"/>
                <w:left w:val="none" w:sz="0" w:space="0" w:color="auto"/>
                <w:bottom w:val="none" w:sz="0" w:space="0" w:color="auto"/>
                <w:right w:val="none" w:sz="0" w:space="0" w:color="auto"/>
              </w:divBdr>
            </w:div>
          </w:divsChild>
        </w:div>
        <w:div w:id="564224053">
          <w:marLeft w:val="0"/>
          <w:marRight w:val="0"/>
          <w:marTop w:val="0"/>
          <w:marBottom w:val="0"/>
          <w:divBdr>
            <w:top w:val="none" w:sz="0" w:space="0" w:color="auto"/>
            <w:left w:val="none" w:sz="0" w:space="0" w:color="auto"/>
            <w:bottom w:val="none" w:sz="0" w:space="0" w:color="auto"/>
            <w:right w:val="none" w:sz="0" w:space="0" w:color="auto"/>
          </w:divBdr>
          <w:divsChild>
            <w:div w:id="1051730173">
              <w:marLeft w:val="0"/>
              <w:marRight w:val="0"/>
              <w:marTop w:val="0"/>
              <w:marBottom w:val="0"/>
              <w:divBdr>
                <w:top w:val="none" w:sz="0" w:space="0" w:color="auto"/>
                <w:left w:val="none" w:sz="0" w:space="0" w:color="auto"/>
                <w:bottom w:val="none" w:sz="0" w:space="0" w:color="auto"/>
                <w:right w:val="none" w:sz="0" w:space="0" w:color="auto"/>
              </w:divBdr>
            </w:div>
          </w:divsChild>
        </w:div>
        <w:div w:id="601302675">
          <w:marLeft w:val="0"/>
          <w:marRight w:val="0"/>
          <w:marTop w:val="0"/>
          <w:marBottom w:val="0"/>
          <w:divBdr>
            <w:top w:val="none" w:sz="0" w:space="0" w:color="auto"/>
            <w:left w:val="none" w:sz="0" w:space="0" w:color="auto"/>
            <w:bottom w:val="none" w:sz="0" w:space="0" w:color="auto"/>
            <w:right w:val="none" w:sz="0" w:space="0" w:color="auto"/>
          </w:divBdr>
          <w:divsChild>
            <w:div w:id="1296065367">
              <w:marLeft w:val="0"/>
              <w:marRight w:val="0"/>
              <w:marTop w:val="0"/>
              <w:marBottom w:val="0"/>
              <w:divBdr>
                <w:top w:val="none" w:sz="0" w:space="0" w:color="auto"/>
                <w:left w:val="none" w:sz="0" w:space="0" w:color="auto"/>
                <w:bottom w:val="none" w:sz="0" w:space="0" w:color="auto"/>
                <w:right w:val="none" w:sz="0" w:space="0" w:color="auto"/>
              </w:divBdr>
            </w:div>
            <w:div w:id="1672565194">
              <w:marLeft w:val="0"/>
              <w:marRight w:val="0"/>
              <w:marTop w:val="0"/>
              <w:marBottom w:val="0"/>
              <w:divBdr>
                <w:top w:val="none" w:sz="0" w:space="0" w:color="auto"/>
                <w:left w:val="none" w:sz="0" w:space="0" w:color="auto"/>
                <w:bottom w:val="none" w:sz="0" w:space="0" w:color="auto"/>
                <w:right w:val="none" w:sz="0" w:space="0" w:color="auto"/>
              </w:divBdr>
            </w:div>
          </w:divsChild>
        </w:div>
        <w:div w:id="672486712">
          <w:marLeft w:val="0"/>
          <w:marRight w:val="0"/>
          <w:marTop w:val="0"/>
          <w:marBottom w:val="0"/>
          <w:divBdr>
            <w:top w:val="none" w:sz="0" w:space="0" w:color="auto"/>
            <w:left w:val="none" w:sz="0" w:space="0" w:color="auto"/>
            <w:bottom w:val="none" w:sz="0" w:space="0" w:color="auto"/>
            <w:right w:val="none" w:sz="0" w:space="0" w:color="auto"/>
          </w:divBdr>
          <w:divsChild>
            <w:div w:id="1945573876">
              <w:marLeft w:val="0"/>
              <w:marRight w:val="0"/>
              <w:marTop w:val="0"/>
              <w:marBottom w:val="0"/>
              <w:divBdr>
                <w:top w:val="none" w:sz="0" w:space="0" w:color="auto"/>
                <w:left w:val="none" w:sz="0" w:space="0" w:color="auto"/>
                <w:bottom w:val="none" w:sz="0" w:space="0" w:color="auto"/>
                <w:right w:val="none" w:sz="0" w:space="0" w:color="auto"/>
              </w:divBdr>
            </w:div>
          </w:divsChild>
        </w:div>
        <w:div w:id="673805116">
          <w:marLeft w:val="0"/>
          <w:marRight w:val="0"/>
          <w:marTop w:val="0"/>
          <w:marBottom w:val="0"/>
          <w:divBdr>
            <w:top w:val="none" w:sz="0" w:space="0" w:color="auto"/>
            <w:left w:val="none" w:sz="0" w:space="0" w:color="auto"/>
            <w:bottom w:val="none" w:sz="0" w:space="0" w:color="auto"/>
            <w:right w:val="none" w:sz="0" w:space="0" w:color="auto"/>
          </w:divBdr>
          <w:divsChild>
            <w:div w:id="1188131475">
              <w:marLeft w:val="0"/>
              <w:marRight w:val="0"/>
              <w:marTop w:val="0"/>
              <w:marBottom w:val="0"/>
              <w:divBdr>
                <w:top w:val="none" w:sz="0" w:space="0" w:color="auto"/>
                <w:left w:val="none" w:sz="0" w:space="0" w:color="auto"/>
                <w:bottom w:val="none" w:sz="0" w:space="0" w:color="auto"/>
                <w:right w:val="none" w:sz="0" w:space="0" w:color="auto"/>
              </w:divBdr>
            </w:div>
          </w:divsChild>
        </w:div>
        <w:div w:id="688529264">
          <w:marLeft w:val="0"/>
          <w:marRight w:val="0"/>
          <w:marTop w:val="0"/>
          <w:marBottom w:val="0"/>
          <w:divBdr>
            <w:top w:val="none" w:sz="0" w:space="0" w:color="auto"/>
            <w:left w:val="none" w:sz="0" w:space="0" w:color="auto"/>
            <w:bottom w:val="none" w:sz="0" w:space="0" w:color="auto"/>
            <w:right w:val="none" w:sz="0" w:space="0" w:color="auto"/>
          </w:divBdr>
          <w:divsChild>
            <w:div w:id="282735377">
              <w:marLeft w:val="0"/>
              <w:marRight w:val="0"/>
              <w:marTop w:val="0"/>
              <w:marBottom w:val="0"/>
              <w:divBdr>
                <w:top w:val="none" w:sz="0" w:space="0" w:color="auto"/>
                <w:left w:val="none" w:sz="0" w:space="0" w:color="auto"/>
                <w:bottom w:val="none" w:sz="0" w:space="0" w:color="auto"/>
                <w:right w:val="none" w:sz="0" w:space="0" w:color="auto"/>
              </w:divBdr>
            </w:div>
          </w:divsChild>
        </w:div>
        <w:div w:id="710108848">
          <w:marLeft w:val="0"/>
          <w:marRight w:val="0"/>
          <w:marTop w:val="0"/>
          <w:marBottom w:val="0"/>
          <w:divBdr>
            <w:top w:val="none" w:sz="0" w:space="0" w:color="auto"/>
            <w:left w:val="none" w:sz="0" w:space="0" w:color="auto"/>
            <w:bottom w:val="none" w:sz="0" w:space="0" w:color="auto"/>
            <w:right w:val="none" w:sz="0" w:space="0" w:color="auto"/>
          </w:divBdr>
          <w:divsChild>
            <w:div w:id="1659921343">
              <w:marLeft w:val="0"/>
              <w:marRight w:val="0"/>
              <w:marTop w:val="0"/>
              <w:marBottom w:val="0"/>
              <w:divBdr>
                <w:top w:val="none" w:sz="0" w:space="0" w:color="auto"/>
                <w:left w:val="none" w:sz="0" w:space="0" w:color="auto"/>
                <w:bottom w:val="none" w:sz="0" w:space="0" w:color="auto"/>
                <w:right w:val="none" w:sz="0" w:space="0" w:color="auto"/>
              </w:divBdr>
            </w:div>
          </w:divsChild>
        </w:div>
        <w:div w:id="711854167">
          <w:marLeft w:val="0"/>
          <w:marRight w:val="0"/>
          <w:marTop w:val="0"/>
          <w:marBottom w:val="0"/>
          <w:divBdr>
            <w:top w:val="none" w:sz="0" w:space="0" w:color="auto"/>
            <w:left w:val="none" w:sz="0" w:space="0" w:color="auto"/>
            <w:bottom w:val="none" w:sz="0" w:space="0" w:color="auto"/>
            <w:right w:val="none" w:sz="0" w:space="0" w:color="auto"/>
          </w:divBdr>
          <w:divsChild>
            <w:div w:id="525095726">
              <w:marLeft w:val="0"/>
              <w:marRight w:val="0"/>
              <w:marTop w:val="0"/>
              <w:marBottom w:val="0"/>
              <w:divBdr>
                <w:top w:val="none" w:sz="0" w:space="0" w:color="auto"/>
                <w:left w:val="none" w:sz="0" w:space="0" w:color="auto"/>
                <w:bottom w:val="none" w:sz="0" w:space="0" w:color="auto"/>
                <w:right w:val="none" w:sz="0" w:space="0" w:color="auto"/>
              </w:divBdr>
            </w:div>
          </w:divsChild>
        </w:div>
        <w:div w:id="711882076">
          <w:marLeft w:val="0"/>
          <w:marRight w:val="0"/>
          <w:marTop w:val="0"/>
          <w:marBottom w:val="0"/>
          <w:divBdr>
            <w:top w:val="none" w:sz="0" w:space="0" w:color="auto"/>
            <w:left w:val="none" w:sz="0" w:space="0" w:color="auto"/>
            <w:bottom w:val="none" w:sz="0" w:space="0" w:color="auto"/>
            <w:right w:val="none" w:sz="0" w:space="0" w:color="auto"/>
          </w:divBdr>
          <w:divsChild>
            <w:div w:id="606428518">
              <w:marLeft w:val="0"/>
              <w:marRight w:val="0"/>
              <w:marTop w:val="0"/>
              <w:marBottom w:val="0"/>
              <w:divBdr>
                <w:top w:val="none" w:sz="0" w:space="0" w:color="auto"/>
                <w:left w:val="none" w:sz="0" w:space="0" w:color="auto"/>
                <w:bottom w:val="none" w:sz="0" w:space="0" w:color="auto"/>
                <w:right w:val="none" w:sz="0" w:space="0" w:color="auto"/>
              </w:divBdr>
            </w:div>
          </w:divsChild>
        </w:div>
        <w:div w:id="755397033">
          <w:marLeft w:val="0"/>
          <w:marRight w:val="0"/>
          <w:marTop w:val="0"/>
          <w:marBottom w:val="0"/>
          <w:divBdr>
            <w:top w:val="none" w:sz="0" w:space="0" w:color="auto"/>
            <w:left w:val="none" w:sz="0" w:space="0" w:color="auto"/>
            <w:bottom w:val="none" w:sz="0" w:space="0" w:color="auto"/>
            <w:right w:val="none" w:sz="0" w:space="0" w:color="auto"/>
          </w:divBdr>
          <w:divsChild>
            <w:div w:id="484204862">
              <w:marLeft w:val="0"/>
              <w:marRight w:val="0"/>
              <w:marTop w:val="0"/>
              <w:marBottom w:val="0"/>
              <w:divBdr>
                <w:top w:val="none" w:sz="0" w:space="0" w:color="auto"/>
                <w:left w:val="none" w:sz="0" w:space="0" w:color="auto"/>
                <w:bottom w:val="none" w:sz="0" w:space="0" w:color="auto"/>
                <w:right w:val="none" w:sz="0" w:space="0" w:color="auto"/>
              </w:divBdr>
            </w:div>
          </w:divsChild>
        </w:div>
        <w:div w:id="821386979">
          <w:marLeft w:val="0"/>
          <w:marRight w:val="0"/>
          <w:marTop w:val="0"/>
          <w:marBottom w:val="0"/>
          <w:divBdr>
            <w:top w:val="none" w:sz="0" w:space="0" w:color="auto"/>
            <w:left w:val="none" w:sz="0" w:space="0" w:color="auto"/>
            <w:bottom w:val="none" w:sz="0" w:space="0" w:color="auto"/>
            <w:right w:val="none" w:sz="0" w:space="0" w:color="auto"/>
          </w:divBdr>
          <w:divsChild>
            <w:div w:id="6448066">
              <w:marLeft w:val="0"/>
              <w:marRight w:val="0"/>
              <w:marTop w:val="0"/>
              <w:marBottom w:val="0"/>
              <w:divBdr>
                <w:top w:val="none" w:sz="0" w:space="0" w:color="auto"/>
                <w:left w:val="none" w:sz="0" w:space="0" w:color="auto"/>
                <w:bottom w:val="none" w:sz="0" w:space="0" w:color="auto"/>
                <w:right w:val="none" w:sz="0" w:space="0" w:color="auto"/>
              </w:divBdr>
            </w:div>
            <w:div w:id="1800798421">
              <w:marLeft w:val="0"/>
              <w:marRight w:val="0"/>
              <w:marTop w:val="0"/>
              <w:marBottom w:val="0"/>
              <w:divBdr>
                <w:top w:val="none" w:sz="0" w:space="0" w:color="auto"/>
                <w:left w:val="none" w:sz="0" w:space="0" w:color="auto"/>
                <w:bottom w:val="none" w:sz="0" w:space="0" w:color="auto"/>
                <w:right w:val="none" w:sz="0" w:space="0" w:color="auto"/>
              </w:divBdr>
            </w:div>
          </w:divsChild>
        </w:div>
        <w:div w:id="831873644">
          <w:marLeft w:val="0"/>
          <w:marRight w:val="0"/>
          <w:marTop w:val="0"/>
          <w:marBottom w:val="0"/>
          <w:divBdr>
            <w:top w:val="none" w:sz="0" w:space="0" w:color="auto"/>
            <w:left w:val="none" w:sz="0" w:space="0" w:color="auto"/>
            <w:bottom w:val="none" w:sz="0" w:space="0" w:color="auto"/>
            <w:right w:val="none" w:sz="0" w:space="0" w:color="auto"/>
          </w:divBdr>
          <w:divsChild>
            <w:div w:id="145898548">
              <w:marLeft w:val="0"/>
              <w:marRight w:val="0"/>
              <w:marTop w:val="0"/>
              <w:marBottom w:val="0"/>
              <w:divBdr>
                <w:top w:val="none" w:sz="0" w:space="0" w:color="auto"/>
                <w:left w:val="none" w:sz="0" w:space="0" w:color="auto"/>
                <w:bottom w:val="none" w:sz="0" w:space="0" w:color="auto"/>
                <w:right w:val="none" w:sz="0" w:space="0" w:color="auto"/>
              </w:divBdr>
            </w:div>
          </w:divsChild>
        </w:div>
        <w:div w:id="848636294">
          <w:marLeft w:val="0"/>
          <w:marRight w:val="0"/>
          <w:marTop w:val="0"/>
          <w:marBottom w:val="0"/>
          <w:divBdr>
            <w:top w:val="none" w:sz="0" w:space="0" w:color="auto"/>
            <w:left w:val="none" w:sz="0" w:space="0" w:color="auto"/>
            <w:bottom w:val="none" w:sz="0" w:space="0" w:color="auto"/>
            <w:right w:val="none" w:sz="0" w:space="0" w:color="auto"/>
          </w:divBdr>
          <w:divsChild>
            <w:div w:id="1151867904">
              <w:marLeft w:val="0"/>
              <w:marRight w:val="0"/>
              <w:marTop w:val="0"/>
              <w:marBottom w:val="0"/>
              <w:divBdr>
                <w:top w:val="none" w:sz="0" w:space="0" w:color="auto"/>
                <w:left w:val="none" w:sz="0" w:space="0" w:color="auto"/>
                <w:bottom w:val="none" w:sz="0" w:space="0" w:color="auto"/>
                <w:right w:val="none" w:sz="0" w:space="0" w:color="auto"/>
              </w:divBdr>
            </w:div>
          </w:divsChild>
        </w:div>
        <w:div w:id="881865889">
          <w:marLeft w:val="0"/>
          <w:marRight w:val="0"/>
          <w:marTop w:val="0"/>
          <w:marBottom w:val="0"/>
          <w:divBdr>
            <w:top w:val="none" w:sz="0" w:space="0" w:color="auto"/>
            <w:left w:val="none" w:sz="0" w:space="0" w:color="auto"/>
            <w:bottom w:val="none" w:sz="0" w:space="0" w:color="auto"/>
            <w:right w:val="none" w:sz="0" w:space="0" w:color="auto"/>
          </w:divBdr>
          <w:divsChild>
            <w:div w:id="741366682">
              <w:marLeft w:val="0"/>
              <w:marRight w:val="0"/>
              <w:marTop w:val="0"/>
              <w:marBottom w:val="0"/>
              <w:divBdr>
                <w:top w:val="none" w:sz="0" w:space="0" w:color="auto"/>
                <w:left w:val="none" w:sz="0" w:space="0" w:color="auto"/>
                <w:bottom w:val="none" w:sz="0" w:space="0" w:color="auto"/>
                <w:right w:val="none" w:sz="0" w:space="0" w:color="auto"/>
              </w:divBdr>
            </w:div>
          </w:divsChild>
        </w:div>
        <w:div w:id="883641861">
          <w:marLeft w:val="0"/>
          <w:marRight w:val="0"/>
          <w:marTop w:val="0"/>
          <w:marBottom w:val="0"/>
          <w:divBdr>
            <w:top w:val="none" w:sz="0" w:space="0" w:color="auto"/>
            <w:left w:val="none" w:sz="0" w:space="0" w:color="auto"/>
            <w:bottom w:val="none" w:sz="0" w:space="0" w:color="auto"/>
            <w:right w:val="none" w:sz="0" w:space="0" w:color="auto"/>
          </w:divBdr>
          <w:divsChild>
            <w:div w:id="1819301792">
              <w:marLeft w:val="0"/>
              <w:marRight w:val="0"/>
              <w:marTop w:val="0"/>
              <w:marBottom w:val="0"/>
              <w:divBdr>
                <w:top w:val="none" w:sz="0" w:space="0" w:color="auto"/>
                <w:left w:val="none" w:sz="0" w:space="0" w:color="auto"/>
                <w:bottom w:val="none" w:sz="0" w:space="0" w:color="auto"/>
                <w:right w:val="none" w:sz="0" w:space="0" w:color="auto"/>
              </w:divBdr>
            </w:div>
          </w:divsChild>
        </w:div>
        <w:div w:id="951404191">
          <w:marLeft w:val="0"/>
          <w:marRight w:val="0"/>
          <w:marTop w:val="0"/>
          <w:marBottom w:val="0"/>
          <w:divBdr>
            <w:top w:val="none" w:sz="0" w:space="0" w:color="auto"/>
            <w:left w:val="none" w:sz="0" w:space="0" w:color="auto"/>
            <w:bottom w:val="none" w:sz="0" w:space="0" w:color="auto"/>
            <w:right w:val="none" w:sz="0" w:space="0" w:color="auto"/>
          </w:divBdr>
          <w:divsChild>
            <w:div w:id="970331662">
              <w:marLeft w:val="0"/>
              <w:marRight w:val="0"/>
              <w:marTop w:val="0"/>
              <w:marBottom w:val="0"/>
              <w:divBdr>
                <w:top w:val="none" w:sz="0" w:space="0" w:color="auto"/>
                <w:left w:val="none" w:sz="0" w:space="0" w:color="auto"/>
                <w:bottom w:val="none" w:sz="0" w:space="0" w:color="auto"/>
                <w:right w:val="none" w:sz="0" w:space="0" w:color="auto"/>
              </w:divBdr>
            </w:div>
          </w:divsChild>
        </w:div>
        <w:div w:id="1102841997">
          <w:marLeft w:val="0"/>
          <w:marRight w:val="0"/>
          <w:marTop w:val="0"/>
          <w:marBottom w:val="0"/>
          <w:divBdr>
            <w:top w:val="none" w:sz="0" w:space="0" w:color="auto"/>
            <w:left w:val="none" w:sz="0" w:space="0" w:color="auto"/>
            <w:bottom w:val="none" w:sz="0" w:space="0" w:color="auto"/>
            <w:right w:val="none" w:sz="0" w:space="0" w:color="auto"/>
          </w:divBdr>
          <w:divsChild>
            <w:div w:id="1254506502">
              <w:marLeft w:val="0"/>
              <w:marRight w:val="0"/>
              <w:marTop w:val="0"/>
              <w:marBottom w:val="0"/>
              <w:divBdr>
                <w:top w:val="none" w:sz="0" w:space="0" w:color="auto"/>
                <w:left w:val="none" w:sz="0" w:space="0" w:color="auto"/>
                <w:bottom w:val="none" w:sz="0" w:space="0" w:color="auto"/>
                <w:right w:val="none" w:sz="0" w:space="0" w:color="auto"/>
              </w:divBdr>
            </w:div>
          </w:divsChild>
        </w:div>
        <w:div w:id="1279876173">
          <w:marLeft w:val="0"/>
          <w:marRight w:val="0"/>
          <w:marTop w:val="0"/>
          <w:marBottom w:val="0"/>
          <w:divBdr>
            <w:top w:val="none" w:sz="0" w:space="0" w:color="auto"/>
            <w:left w:val="none" w:sz="0" w:space="0" w:color="auto"/>
            <w:bottom w:val="none" w:sz="0" w:space="0" w:color="auto"/>
            <w:right w:val="none" w:sz="0" w:space="0" w:color="auto"/>
          </w:divBdr>
          <w:divsChild>
            <w:div w:id="1641230561">
              <w:marLeft w:val="0"/>
              <w:marRight w:val="0"/>
              <w:marTop w:val="0"/>
              <w:marBottom w:val="0"/>
              <w:divBdr>
                <w:top w:val="none" w:sz="0" w:space="0" w:color="auto"/>
                <w:left w:val="none" w:sz="0" w:space="0" w:color="auto"/>
                <w:bottom w:val="none" w:sz="0" w:space="0" w:color="auto"/>
                <w:right w:val="none" w:sz="0" w:space="0" w:color="auto"/>
              </w:divBdr>
            </w:div>
          </w:divsChild>
        </w:div>
        <w:div w:id="1286082561">
          <w:marLeft w:val="0"/>
          <w:marRight w:val="0"/>
          <w:marTop w:val="0"/>
          <w:marBottom w:val="0"/>
          <w:divBdr>
            <w:top w:val="none" w:sz="0" w:space="0" w:color="auto"/>
            <w:left w:val="none" w:sz="0" w:space="0" w:color="auto"/>
            <w:bottom w:val="none" w:sz="0" w:space="0" w:color="auto"/>
            <w:right w:val="none" w:sz="0" w:space="0" w:color="auto"/>
          </w:divBdr>
          <w:divsChild>
            <w:div w:id="2115634802">
              <w:marLeft w:val="0"/>
              <w:marRight w:val="0"/>
              <w:marTop w:val="0"/>
              <w:marBottom w:val="0"/>
              <w:divBdr>
                <w:top w:val="none" w:sz="0" w:space="0" w:color="auto"/>
                <w:left w:val="none" w:sz="0" w:space="0" w:color="auto"/>
                <w:bottom w:val="none" w:sz="0" w:space="0" w:color="auto"/>
                <w:right w:val="none" w:sz="0" w:space="0" w:color="auto"/>
              </w:divBdr>
            </w:div>
          </w:divsChild>
        </w:div>
        <w:div w:id="1305038190">
          <w:marLeft w:val="0"/>
          <w:marRight w:val="0"/>
          <w:marTop w:val="0"/>
          <w:marBottom w:val="0"/>
          <w:divBdr>
            <w:top w:val="none" w:sz="0" w:space="0" w:color="auto"/>
            <w:left w:val="none" w:sz="0" w:space="0" w:color="auto"/>
            <w:bottom w:val="none" w:sz="0" w:space="0" w:color="auto"/>
            <w:right w:val="none" w:sz="0" w:space="0" w:color="auto"/>
          </w:divBdr>
          <w:divsChild>
            <w:div w:id="1349017455">
              <w:marLeft w:val="0"/>
              <w:marRight w:val="0"/>
              <w:marTop w:val="0"/>
              <w:marBottom w:val="0"/>
              <w:divBdr>
                <w:top w:val="none" w:sz="0" w:space="0" w:color="auto"/>
                <w:left w:val="none" w:sz="0" w:space="0" w:color="auto"/>
                <w:bottom w:val="none" w:sz="0" w:space="0" w:color="auto"/>
                <w:right w:val="none" w:sz="0" w:space="0" w:color="auto"/>
              </w:divBdr>
            </w:div>
          </w:divsChild>
        </w:div>
        <w:div w:id="1357775716">
          <w:marLeft w:val="0"/>
          <w:marRight w:val="0"/>
          <w:marTop w:val="0"/>
          <w:marBottom w:val="0"/>
          <w:divBdr>
            <w:top w:val="none" w:sz="0" w:space="0" w:color="auto"/>
            <w:left w:val="none" w:sz="0" w:space="0" w:color="auto"/>
            <w:bottom w:val="none" w:sz="0" w:space="0" w:color="auto"/>
            <w:right w:val="none" w:sz="0" w:space="0" w:color="auto"/>
          </w:divBdr>
          <w:divsChild>
            <w:div w:id="138034690">
              <w:marLeft w:val="0"/>
              <w:marRight w:val="0"/>
              <w:marTop w:val="0"/>
              <w:marBottom w:val="0"/>
              <w:divBdr>
                <w:top w:val="none" w:sz="0" w:space="0" w:color="auto"/>
                <w:left w:val="none" w:sz="0" w:space="0" w:color="auto"/>
                <w:bottom w:val="none" w:sz="0" w:space="0" w:color="auto"/>
                <w:right w:val="none" w:sz="0" w:space="0" w:color="auto"/>
              </w:divBdr>
            </w:div>
            <w:div w:id="2087342068">
              <w:marLeft w:val="0"/>
              <w:marRight w:val="0"/>
              <w:marTop w:val="0"/>
              <w:marBottom w:val="0"/>
              <w:divBdr>
                <w:top w:val="none" w:sz="0" w:space="0" w:color="auto"/>
                <w:left w:val="none" w:sz="0" w:space="0" w:color="auto"/>
                <w:bottom w:val="none" w:sz="0" w:space="0" w:color="auto"/>
                <w:right w:val="none" w:sz="0" w:space="0" w:color="auto"/>
              </w:divBdr>
            </w:div>
          </w:divsChild>
        </w:div>
        <w:div w:id="1362632978">
          <w:marLeft w:val="0"/>
          <w:marRight w:val="0"/>
          <w:marTop w:val="0"/>
          <w:marBottom w:val="0"/>
          <w:divBdr>
            <w:top w:val="none" w:sz="0" w:space="0" w:color="auto"/>
            <w:left w:val="none" w:sz="0" w:space="0" w:color="auto"/>
            <w:bottom w:val="none" w:sz="0" w:space="0" w:color="auto"/>
            <w:right w:val="none" w:sz="0" w:space="0" w:color="auto"/>
          </w:divBdr>
          <w:divsChild>
            <w:div w:id="1721830676">
              <w:marLeft w:val="0"/>
              <w:marRight w:val="0"/>
              <w:marTop w:val="0"/>
              <w:marBottom w:val="0"/>
              <w:divBdr>
                <w:top w:val="none" w:sz="0" w:space="0" w:color="auto"/>
                <w:left w:val="none" w:sz="0" w:space="0" w:color="auto"/>
                <w:bottom w:val="none" w:sz="0" w:space="0" w:color="auto"/>
                <w:right w:val="none" w:sz="0" w:space="0" w:color="auto"/>
              </w:divBdr>
            </w:div>
          </w:divsChild>
        </w:div>
        <w:div w:id="1418088807">
          <w:marLeft w:val="0"/>
          <w:marRight w:val="0"/>
          <w:marTop w:val="0"/>
          <w:marBottom w:val="0"/>
          <w:divBdr>
            <w:top w:val="none" w:sz="0" w:space="0" w:color="auto"/>
            <w:left w:val="none" w:sz="0" w:space="0" w:color="auto"/>
            <w:bottom w:val="none" w:sz="0" w:space="0" w:color="auto"/>
            <w:right w:val="none" w:sz="0" w:space="0" w:color="auto"/>
          </w:divBdr>
          <w:divsChild>
            <w:div w:id="49967551">
              <w:marLeft w:val="0"/>
              <w:marRight w:val="0"/>
              <w:marTop w:val="0"/>
              <w:marBottom w:val="0"/>
              <w:divBdr>
                <w:top w:val="none" w:sz="0" w:space="0" w:color="auto"/>
                <w:left w:val="none" w:sz="0" w:space="0" w:color="auto"/>
                <w:bottom w:val="none" w:sz="0" w:space="0" w:color="auto"/>
                <w:right w:val="none" w:sz="0" w:space="0" w:color="auto"/>
              </w:divBdr>
            </w:div>
          </w:divsChild>
        </w:div>
        <w:div w:id="1512908768">
          <w:marLeft w:val="0"/>
          <w:marRight w:val="0"/>
          <w:marTop w:val="0"/>
          <w:marBottom w:val="0"/>
          <w:divBdr>
            <w:top w:val="none" w:sz="0" w:space="0" w:color="auto"/>
            <w:left w:val="none" w:sz="0" w:space="0" w:color="auto"/>
            <w:bottom w:val="none" w:sz="0" w:space="0" w:color="auto"/>
            <w:right w:val="none" w:sz="0" w:space="0" w:color="auto"/>
          </w:divBdr>
          <w:divsChild>
            <w:div w:id="259607592">
              <w:marLeft w:val="0"/>
              <w:marRight w:val="0"/>
              <w:marTop w:val="0"/>
              <w:marBottom w:val="0"/>
              <w:divBdr>
                <w:top w:val="none" w:sz="0" w:space="0" w:color="auto"/>
                <w:left w:val="none" w:sz="0" w:space="0" w:color="auto"/>
                <w:bottom w:val="none" w:sz="0" w:space="0" w:color="auto"/>
                <w:right w:val="none" w:sz="0" w:space="0" w:color="auto"/>
              </w:divBdr>
            </w:div>
            <w:div w:id="1166674443">
              <w:marLeft w:val="0"/>
              <w:marRight w:val="0"/>
              <w:marTop w:val="0"/>
              <w:marBottom w:val="0"/>
              <w:divBdr>
                <w:top w:val="none" w:sz="0" w:space="0" w:color="auto"/>
                <w:left w:val="none" w:sz="0" w:space="0" w:color="auto"/>
                <w:bottom w:val="none" w:sz="0" w:space="0" w:color="auto"/>
                <w:right w:val="none" w:sz="0" w:space="0" w:color="auto"/>
              </w:divBdr>
            </w:div>
          </w:divsChild>
        </w:div>
        <w:div w:id="1552881342">
          <w:marLeft w:val="0"/>
          <w:marRight w:val="0"/>
          <w:marTop w:val="0"/>
          <w:marBottom w:val="0"/>
          <w:divBdr>
            <w:top w:val="none" w:sz="0" w:space="0" w:color="auto"/>
            <w:left w:val="none" w:sz="0" w:space="0" w:color="auto"/>
            <w:bottom w:val="none" w:sz="0" w:space="0" w:color="auto"/>
            <w:right w:val="none" w:sz="0" w:space="0" w:color="auto"/>
          </w:divBdr>
          <w:divsChild>
            <w:div w:id="1804929981">
              <w:marLeft w:val="0"/>
              <w:marRight w:val="0"/>
              <w:marTop w:val="0"/>
              <w:marBottom w:val="0"/>
              <w:divBdr>
                <w:top w:val="none" w:sz="0" w:space="0" w:color="auto"/>
                <w:left w:val="none" w:sz="0" w:space="0" w:color="auto"/>
                <w:bottom w:val="none" w:sz="0" w:space="0" w:color="auto"/>
                <w:right w:val="none" w:sz="0" w:space="0" w:color="auto"/>
              </w:divBdr>
            </w:div>
          </w:divsChild>
        </w:div>
        <w:div w:id="1575772052">
          <w:marLeft w:val="0"/>
          <w:marRight w:val="0"/>
          <w:marTop w:val="0"/>
          <w:marBottom w:val="0"/>
          <w:divBdr>
            <w:top w:val="none" w:sz="0" w:space="0" w:color="auto"/>
            <w:left w:val="none" w:sz="0" w:space="0" w:color="auto"/>
            <w:bottom w:val="none" w:sz="0" w:space="0" w:color="auto"/>
            <w:right w:val="none" w:sz="0" w:space="0" w:color="auto"/>
          </w:divBdr>
          <w:divsChild>
            <w:div w:id="66848661">
              <w:marLeft w:val="0"/>
              <w:marRight w:val="0"/>
              <w:marTop w:val="0"/>
              <w:marBottom w:val="0"/>
              <w:divBdr>
                <w:top w:val="none" w:sz="0" w:space="0" w:color="auto"/>
                <w:left w:val="none" w:sz="0" w:space="0" w:color="auto"/>
                <w:bottom w:val="none" w:sz="0" w:space="0" w:color="auto"/>
                <w:right w:val="none" w:sz="0" w:space="0" w:color="auto"/>
              </w:divBdr>
            </w:div>
          </w:divsChild>
        </w:div>
        <w:div w:id="1598441681">
          <w:marLeft w:val="0"/>
          <w:marRight w:val="0"/>
          <w:marTop w:val="0"/>
          <w:marBottom w:val="0"/>
          <w:divBdr>
            <w:top w:val="none" w:sz="0" w:space="0" w:color="auto"/>
            <w:left w:val="none" w:sz="0" w:space="0" w:color="auto"/>
            <w:bottom w:val="none" w:sz="0" w:space="0" w:color="auto"/>
            <w:right w:val="none" w:sz="0" w:space="0" w:color="auto"/>
          </w:divBdr>
          <w:divsChild>
            <w:div w:id="1009334242">
              <w:marLeft w:val="0"/>
              <w:marRight w:val="0"/>
              <w:marTop w:val="0"/>
              <w:marBottom w:val="0"/>
              <w:divBdr>
                <w:top w:val="none" w:sz="0" w:space="0" w:color="auto"/>
                <w:left w:val="none" w:sz="0" w:space="0" w:color="auto"/>
                <w:bottom w:val="none" w:sz="0" w:space="0" w:color="auto"/>
                <w:right w:val="none" w:sz="0" w:space="0" w:color="auto"/>
              </w:divBdr>
            </w:div>
          </w:divsChild>
        </w:div>
        <w:div w:id="1614941446">
          <w:marLeft w:val="0"/>
          <w:marRight w:val="0"/>
          <w:marTop w:val="0"/>
          <w:marBottom w:val="0"/>
          <w:divBdr>
            <w:top w:val="none" w:sz="0" w:space="0" w:color="auto"/>
            <w:left w:val="none" w:sz="0" w:space="0" w:color="auto"/>
            <w:bottom w:val="none" w:sz="0" w:space="0" w:color="auto"/>
            <w:right w:val="none" w:sz="0" w:space="0" w:color="auto"/>
          </w:divBdr>
          <w:divsChild>
            <w:div w:id="300618636">
              <w:marLeft w:val="0"/>
              <w:marRight w:val="0"/>
              <w:marTop w:val="0"/>
              <w:marBottom w:val="0"/>
              <w:divBdr>
                <w:top w:val="none" w:sz="0" w:space="0" w:color="auto"/>
                <w:left w:val="none" w:sz="0" w:space="0" w:color="auto"/>
                <w:bottom w:val="none" w:sz="0" w:space="0" w:color="auto"/>
                <w:right w:val="none" w:sz="0" w:space="0" w:color="auto"/>
              </w:divBdr>
            </w:div>
          </w:divsChild>
        </w:div>
        <w:div w:id="1662584582">
          <w:marLeft w:val="0"/>
          <w:marRight w:val="0"/>
          <w:marTop w:val="0"/>
          <w:marBottom w:val="0"/>
          <w:divBdr>
            <w:top w:val="none" w:sz="0" w:space="0" w:color="auto"/>
            <w:left w:val="none" w:sz="0" w:space="0" w:color="auto"/>
            <w:bottom w:val="none" w:sz="0" w:space="0" w:color="auto"/>
            <w:right w:val="none" w:sz="0" w:space="0" w:color="auto"/>
          </w:divBdr>
          <w:divsChild>
            <w:div w:id="620038">
              <w:marLeft w:val="0"/>
              <w:marRight w:val="0"/>
              <w:marTop w:val="0"/>
              <w:marBottom w:val="0"/>
              <w:divBdr>
                <w:top w:val="none" w:sz="0" w:space="0" w:color="auto"/>
                <w:left w:val="none" w:sz="0" w:space="0" w:color="auto"/>
                <w:bottom w:val="none" w:sz="0" w:space="0" w:color="auto"/>
                <w:right w:val="none" w:sz="0" w:space="0" w:color="auto"/>
              </w:divBdr>
            </w:div>
          </w:divsChild>
        </w:div>
        <w:div w:id="1693266774">
          <w:marLeft w:val="0"/>
          <w:marRight w:val="0"/>
          <w:marTop w:val="0"/>
          <w:marBottom w:val="0"/>
          <w:divBdr>
            <w:top w:val="none" w:sz="0" w:space="0" w:color="auto"/>
            <w:left w:val="none" w:sz="0" w:space="0" w:color="auto"/>
            <w:bottom w:val="none" w:sz="0" w:space="0" w:color="auto"/>
            <w:right w:val="none" w:sz="0" w:space="0" w:color="auto"/>
          </w:divBdr>
          <w:divsChild>
            <w:div w:id="977951693">
              <w:marLeft w:val="0"/>
              <w:marRight w:val="0"/>
              <w:marTop w:val="0"/>
              <w:marBottom w:val="0"/>
              <w:divBdr>
                <w:top w:val="none" w:sz="0" w:space="0" w:color="auto"/>
                <w:left w:val="none" w:sz="0" w:space="0" w:color="auto"/>
                <w:bottom w:val="none" w:sz="0" w:space="0" w:color="auto"/>
                <w:right w:val="none" w:sz="0" w:space="0" w:color="auto"/>
              </w:divBdr>
            </w:div>
            <w:div w:id="1283655602">
              <w:marLeft w:val="0"/>
              <w:marRight w:val="0"/>
              <w:marTop w:val="0"/>
              <w:marBottom w:val="0"/>
              <w:divBdr>
                <w:top w:val="none" w:sz="0" w:space="0" w:color="auto"/>
                <w:left w:val="none" w:sz="0" w:space="0" w:color="auto"/>
                <w:bottom w:val="none" w:sz="0" w:space="0" w:color="auto"/>
                <w:right w:val="none" w:sz="0" w:space="0" w:color="auto"/>
              </w:divBdr>
            </w:div>
          </w:divsChild>
        </w:div>
        <w:div w:id="1838616852">
          <w:marLeft w:val="0"/>
          <w:marRight w:val="0"/>
          <w:marTop w:val="0"/>
          <w:marBottom w:val="0"/>
          <w:divBdr>
            <w:top w:val="none" w:sz="0" w:space="0" w:color="auto"/>
            <w:left w:val="none" w:sz="0" w:space="0" w:color="auto"/>
            <w:bottom w:val="none" w:sz="0" w:space="0" w:color="auto"/>
            <w:right w:val="none" w:sz="0" w:space="0" w:color="auto"/>
          </w:divBdr>
          <w:divsChild>
            <w:div w:id="635838989">
              <w:marLeft w:val="0"/>
              <w:marRight w:val="0"/>
              <w:marTop w:val="0"/>
              <w:marBottom w:val="0"/>
              <w:divBdr>
                <w:top w:val="none" w:sz="0" w:space="0" w:color="auto"/>
                <w:left w:val="none" w:sz="0" w:space="0" w:color="auto"/>
                <w:bottom w:val="none" w:sz="0" w:space="0" w:color="auto"/>
                <w:right w:val="none" w:sz="0" w:space="0" w:color="auto"/>
              </w:divBdr>
            </w:div>
          </w:divsChild>
        </w:div>
        <w:div w:id="1892886686">
          <w:marLeft w:val="0"/>
          <w:marRight w:val="0"/>
          <w:marTop w:val="0"/>
          <w:marBottom w:val="0"/>
          <w:divBdr>
            <w:top w:val="none" w:sz="0" w:space="0" w:color="auto"/>
            <w:left w:val="none" w:sz="0" w:space="0" w:color="auto"/>
            <w:bottom w:val="none" w:sz="0" w:space="0" w:color="auto"/>
            <w:right w:val="none" w:sz="0" w:space="0" w:color="auto"/>
          </w:divBdr>
          <w:divsChild>
            <w:div w:id="427702526">
              <w:marLeft w:val="0"/>
              <w:marRight w:val="0"/>
              <w:marTop w:val="0"/>
              <w:marBottom w:val="0"/>
              <w:divBdr>
                <w:top w:val="none" w:sz="0" w:space="0" w:color="auto"/>
                <w:left w:val="none" w:sz="0" w:space="0" w:color="auto"/>
                <w:bottom w:val="none" w:sz="0" w:space="0" w:color="auto"/>
                <w:right w:val="none" w:sz="0" w:space="0" w:color="auto"/>
              </w:divBdr>
            </w:div>
          </w:divsChild>
        </w:div>
        <w:div w:id="1951662546">
          <w:marLeft w:val="0"/>
          <w:marRight w:val="0"/>
          <w:marTop w:val="0"/>
          <w:marBottom w:val="0"/>
          <w:divBdr>
            <w:top w:val="none" w:sz="0" w:space="0" w:color="auto"/>
            <w:left w:val="none" w:sz="0" w:space="0" w:color="auto"/>
            <w:bottom w:val="none" w:sz="0" w:space="0" w:color="auto"/>
            <w:right w:val="none" w:sz="0" w:space="0" w:color="auto"/>
          </w:divBdr>
          <w:divsChild>
            <w:div w:id="909343672">
              <w:marLeft w:val="0"/>
              <w:marRight w:val="0"/>
              <w:marTop w:val="0"/>
              <w:marBottom w:val="0"/>
              <w:divBdr>
                <w:top w:val="none" w:sz="0" w:space="0" w:color="auto"/>
                <w:left w:val="none" w:sz="0" w:space="0" w:color="auto"/>
                <w:bottom w:val="none" w:sz="0" w:space="0" w:color="auto"/>
                <w:right w:val="none" w:sz="0" w:space="0" w:color="auto"/>
              </w:divBdr>
            </w:div>
          </w:divsChild>
        </w:div>
        <w:div w:id="2015304181">
          <w:marLeft w:val="0"/>
          <w:marRight w:val="0"/>
          <w:marTop w:val="0"/>
          <w:marBottom w:val="0"/>
          <w:divBdr>
            <w:top w:val="none" w:sz="0" w:space="0" w:color="auto"/>
            <w:left w:val="none" w:sz="0" w:space="0" w:color="auto"/>
            <w:bottom w:val="none" w:sz="0" w:space="0" w:color="auto"/>
            <w:right w:val="none" w:sz="0" w:space="0" w:color="auto"/>
          </w:divBdr>
          <w:divsChild>
            <w:div w:id="166362110">
              <w:marLeft w:val="0"/>
              <w:marRight w:val="0"/>
              <w:marTop w:val="0"/>
              <w:marBottom w:val="0"/>
              <w:divBdr>
                <w:top w:val="none" w:sz="0" w:space="0" w:color="auto"/>
                <w:left w:val="none" w:sz="0" w:space="0" w:color="auto"/>
                <w:bottom w:val="none" w:sz="0" w:space="0" w:color="auto"/>
                <w:right w:val="none" w:sz="0" w:space="0" w:color="auto"/>
              </w:divBdr>
            </w:div>
          </w:divsChild>
        </w:div>
        <w:div w:id="2031638188">
          <w:marLeft w:val="0"/>
          <w:marRight w:val="0"/>
          <w:marTop w:val="0"/>
          <w:marBottom w:val="0"/>
          <w:divBdr>
            <w:top w:val="none" w:sz="0" w:space="0" w:color="auto"/>
            <w:left w:val="none" w:sz="0" w:space="0" w:color="auto"/>
            <w:bottom w:val="none" w:sz="0" w:space="0" w:color="auto"/>
            <w:right w:val="none" w:sz="0" w:space="0" w:color="auto"/>
          </w:divBdr>
          <w:divsChild>
            <w:div w:id="1328826386">
              <w:marLeft w:val="0"/>
              <w:marRight w:val="0"/>
              <w:marTop w:val="0"/>
              <w:marBottom w:val="0"/>
              <w:divBdr>
                <w:top w:val="none" w:sz="0" w:space="0" w:color="auto"/>
                <w:left w:val="none" w:sz="0" w:space="0" w:color="auto"/>
                <w:bottom w:val="none" w:sz="0" w:space="0" w:color="auto"/>
                <w:right w:val="none" w:sz="0" w:space="0" w:color="auto"/>
              </w:divBdr>
            </w:div>
          </w:divsChild>
        </w:div>
        <w:div w:id="2062248245">
          <w:marLeft w:val="0"/>
          <w:marRight w:val="0"/>
          <w:marTop w:val="0"/>
          <w:marBottom w:val="0"/>
          <w:divBdr>
            <w:top w:val="none" w:sz="0" w:space="0" w:color="auto"/>
            <w:left w:val="none" w:sz="0" w:space="0" w:color="auto"/>
            <w:bottom w:val="none" w:sz="0" w:space="0" w:color="auto"/>
            <w:right w:val="none" w:sz="0" w:space="0" w:color="auto"/>
          </w:divBdr>
          <w:divsChild>
            <w:div w:id="1897737546">
              <w:marLeft w:val="0"/>
              <w:marRight w:val="0"/>
              <w:marTop w:val="0"/>
              <w:marBottom w:val="0"/>
              <w:divBdr>
                <w:top w:val="none" w:sz="0" w:space="0" w:color="auto"/>
                <w:left w:val="none" w:sz="0" w:space="0" w:color="auto"/>
                <w:bottom w:val="none" w:sz="0" w:space="0" w:color="auto"/>
                <w:right w:val="none" w:sz="0" w:space="0" w:color="auto"/>
              </w:divBdr>
            </w:div>
          </w:divsChild>
        </w:div>
        <w:div w:id="2087025400">
          <w:marLeft w:val="0"/>
          <w:marRight w:val="0"/>
          <w:marTop w:val="0"/>
          <w:marBottom w:val="0"/>
          <w:divBdr>
            <w:top w:val="none" w:sz="0" w:space="0" w:color="auto"/>
            <w:left w:val="none" w:sz="0" w:space="0" w:color="auto"/>
            <w:bottom w:val="none" w:sz="0" w:space="0" w:color="auto"/>
            <w:right w:val="none" w:sz="0" w:space="0" w:color="auto"/>
          </w:divBdr>
          <w:divsChild>
            <w:div w:id="635329679">
              <w:marLeft w:val="0"/>
              <w:marRight w:val="0"/>
              <w:marTop w:val="0"/>
              <w:marBottom w:val="0"/>
              <w:divBdr>
                <w:top w:val="none" w:sz="0" w:space="0" w:color="auto"/>
                <w:left w:val="none" w:sz="0" w:space="0" w:color="auto"/>
                <w:bottom w:val="none" w:sz="0" w:space="0" w:color="auto"/>
                <w:right w:val="none" w:sz="0" w:space="0" w:color="auto"/>
              </w:divBdr>
            </w:div>
          </w:divsChild>
        </w:div>
        <w:div w:id="2128699700">
          <w:marLeft w:val="0"/>
          <w:marRight w:val="0"/>
          <w:marTop w:val="0"/>
          <w:marBottom w:val="0"/>
          <w:divBdr>
            <w:top w:val="none" w:sz="0" w:space="0" w:color="auto"/>
            <w:left w:val="none" w:sz="0" w:space="0" w:color="auto"/>
            <w:bottom w:val="none" w:sz="0" w:space="0" w:color="auto"/>
            <w:right w:val="none" w:sz="0" w:space="0" w:color="auto"/>
          </w:divBdr>
          <w:divsChild>
            <w:div w:id="18050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739">
      <w:bodyDiv w:val="1"/>
      <w:marLeft w:val="0"/>
      <w:marRight w:val="0"/>
      <w:marTop w:val="0"/>
      <w:marBottom w:val="0"/>
      <w:divBdr>
        <w:top w:val="none" w:sz="0" w:space="0" w:color="auto"/>
        <w:left w:val="none" w:sz="0" w:space="0" w:color="auto"/>
        <w:bottom w:val="none" w:sz="0" w:space="0" w:color="auto"/>
        <w:right w:val="none" w:sz="0" w:space="0" w:color="auto"/>
      </w:divBdr>
    </w:div>
    <w:div w:id="1254436681">
      <w:bodyDiv w:val="1"/>
      <w:marLeft w:val="0"/>
      <w:marRight w:val="0"/>
      <w:marTop w:val="0"/>
      <w:marBottom w:val="0"/>
      <w:divBdr>
        <w:top w:val="none" w:sz="0" w:space="0" w:color="auto"/>
        <w:left w:val="none" w:sz="0" w:space="0" w:color="auto"/>
        <w:bottom w:val="none" w:sz="0" w:space="0" w:color="auto"/>
        <w:right w:val="none" w:sz="0" w:space="0" w:color="auto"/>
      </w:divBdr>
      <w:divsChild>
        <w:div w:id="1861375">
          <w:marLeft w:val="0"/>
          <w:marRight w:val="0"/>
          <w:marTop w:val="0"/>
          <w:marBottom w:val="0"/>
          <w:divBdr>
            <w:top w:val="none" w:sz="0" w:space="0" w:color="auto"/>
            <w:left w:val="none" w:sz="0" w:space="0" w:color="auto"/>
            <w:bottom w:val="none" w:sz="0" w:space="0" w:color="auto"/>
            <w:right w:val="none" w:sz="0" w:space="0" w:color="auto"/>
          </w:divBdr>
          <w:divsChild>
            <w:div w:id="1723746882">
              <w:marLeft w:val="0"/>
              <w:marRight w:val="0"/>
              <w:marTop w:val="0"/>
              <w:marBottom w:val="0"/>
              <w:divBdr>
                <w:top w:val="none" w:sz="0" w:space="0" w:color="auto"/>
                <w:left w:val="none" w:sz="0" w:space="0" w:color="auto"/>
                <w:bottom w:val="none" w:sz="0" w:space="0" w:color="auto"/>
                <w:right w:val="none" w:sz="0" w:space="0" w:color="auto"/>
              </w:divBdr>
            </w:div>
            <w:div w:id="1954943965">
              <w:marLeft w:val="0"/>
              <w:marRight w:val="0"/>
              <w:marTop w:val="0"/>
              <w:marBottom w:val="0"/>
              <w:divBdr>
                <w:top w:val="none" w:sz="0" w:space="0" w:color="auto"/>
                <w:left w:val="none" w:sz="0" w:space="0" w:color="auto"/>
                <w:bottom w:val="none" w:sz="0" w:space="0" w:color="auto"/>
                <w:right w:val="none" w:sz="0" w:space="0" w:color="auto"/>
              </w:divBdr>
            </w:div>
          </w:divsChild>
        </w:div>
        <w:div w:id="4282806">
          <w:marLeft w:val="0"/>
          <w:marRight w:val="0"/>
          <w:marTop w:val="0"/>
          <w:marBottom w:val="0"/>
          <w:divBdr>
            <w:top w:val="none" w:sz="0" w:space="0" w:color="auto"/>
            <w:left w:val="none" w:sz="0" w:space="0" w:color="auto"/>
            <w:bottom w:val="none" w:sz="0" w:space="0" w:color="auto"/>
            <w:right w:val="none" w:sz="0" w:space="0" w:color="auto"/>
          </w:divBdr>
          <w:divsChild>
            <w:div w:id="2108958883">
              <w:marLeft w:val="0"/>
              <w:marRight w:val="0"/>
              <w:marTop w:val="0"/>
              <w:marBottom w:val="0"/>
              <w:divBdr>
                <w:top w:val="none" w:sz="0" w:space="0" w:color="auto"/>
                <w:left w:val="none" w:sz="0" w:space="0" w:color="auto"/>
                <w:bottom w:val="none" w:sz="0" w:space="0" w:color="auto"/>
                <w:right w:val="none" w:sz="0" w:space="0" w:color="auto"/>
              </w:divBdr>
            </w:div>
          </w:divsChild>
        </w:div>
        <w:div w:id="19429254">
          <w:marLeft w:val="0"/>
          <w:marRight w:val="0"/>
          <w:marTop w:val="0"/>
          <w:marBottom w:val="0"/>
          <w:divBdr>
            <w:top w:val="none" w:sz="0" w:space="0" w:color="auto"/>
            <w:left w:val="none" w:sz="0" w:space="0" w:color="auto"/>
            <w:bottom w:val="none" w:sz="0" w:space="0" w:color="auto"/>
            <w:right w:val="none" w:sz="0" w:space="0" w:color="auto"/>
          </w:divBdr>
          <w:divsChild>
            <w:div w:id="953832357">
              <w:marLeft w:val="0"/>
              <w:marRight w:val="0"/>
              <w:marTop w:val="0"/>
              <w:marBottom w:val="0"/>
              <w:divBdr>
                <w:top w:val="none" w:sz="0" w:space="0" w:color="auto"/>
                <w:left w:val="none" w:sz="0" w:space="0" w:color="auto"/>
                <w:bottom w:val="none" w:sz="0" w:space="0" w:color="auto"/>
                <w:right w:val="none" w:sz="0" w:space="0" w:color="auto"/>
              </w:divBdr>
            </w:div>
          </w:divsChild>
        </w:div>
        <w:div w:id="122501265">
          <w:marLeft w:val="0"/>
          <w:marRight w:val="0"/>
          <w:marTop w:val="0"/>
          <w:marBottom w:val="0"/>
          <w:divBdr>
            <w:top w:val="none" w:sz="0" w:space="0" w:color="auto"/>
            <w:left w:val="none" w:sz="0" w:space="0" w:color="auto"/>
            <w:bottom w:val="none" w:sz="0" w:space="0" w:color="auto"/>
            <w:right w:val="none" w:sz="0" w:space="0" w:color="auto"/>
          </w:divBdr>
          <w:divsChild>
            <w:div w:id="1570191487">
              <w:marLeft w:val="0"/>
              <w:marRight w:val="0"/>
              <w:marTop w:val="0"/>
              <w:marBottom w:val="0"/>
              <w:divBdr>
                <w:top w:val="none" w:sz="0" w:space="0" w:color="auto"/>
                <w:left w:val="none" w:sz="0" w:space="0" w:color="auto"/>
                <w:bottom w:val="none" w:sz="0" w:space="0" w:color="auto"/>
                <w:right w:val="none" w:sz="0" w:space="0" w:color="auto"/>
              </w:divBdr>
            </w:div>
          </w:divsChild>
        </w:div>
        <w:div w:id="211888493">
          <w:marLeft w:val="0"/>
          <w:marRight w:val="0"/>
          <w:marTop w:val="0"/>
          <w:marBottom w:val="0"/>
          <w:divBdr>
            <w:top w:val="none" w:sz="0" w:space="0" w:color="auto"/>
            <w:left w:val="none" w:sz="0" w:space="0" w:color="auto"/>
            <w:bottom w:val="none" w:sz="0" w:space="0" w:color="auto"/>
            <w:right w:val="none" w:sz="0" w:space="0" w:color="auto"/>
          </w:divBdr>
          <w:divsChild>
            <w:div w:id="810832385">
              <w:marLeft w:val="0"/>
              <w:marRight w:val="0"/>
              <w:marTop w:val="0"/>
              <w:marBottom w:val="0"/>
              <w:divBdr>
                <w:top w:val="none" w:sz="0" w:space="0" w:color="auto"/>
                <w:left w:val="none" w:sz="0" w:space="0" w:color="auto"/>
                <w:bottom w:val="none" w:sz="0" w:space="0" w:color="auto"/>
                <w:right w:val="none" w:sz="0" w:space="0" w:color="auto"/>
              </w:divBdr>
            </w:div>
          </w:divsChild>
        </w:div>
        <w:div w:id="216824922">
          <w:marLeft w:val="0"/>
          <w:marRight w:val="0"/>
          <w:marTop w:val="0"/>
          <w:marBottom w:val="0"/>
          <w:divBdr>
            <w:top w:val="none" w:sz="0" w:space="0" w:color="auto"/>
            <w:left w:val="none" w:sz="0" w:space="0" w:color="auto"/>
            <w:bottom w:val="none" w:sz="0" w:space="0" w:color="auto"/>
            <w:right w:val="none" w:sz="0" w:space="0" w:color="auto"/>
          </w:divBdr>
          <w:divsChild>
            <w:div w:id="1820538984">
              <w:marLeft w:val="0"/>
              <w:marRight w:val="0"/>
              <w:marTop w:val="0"/>
              <w:marBottom w:val="0"/>
              <w:divBdr>
                <w:top w:val="none" w:sz="0" w:space="0" w:color="auto"/>
                <w:left w:val="none" w:sz="0" w:space="0" w:color="auto"/>
                <w:bottom w:val="none" w:sz="0" w:space="0" w:color="auto"/>
                <w:right w:val="none" w:sz="0" w:space="0" w:color="auto"/>
              </w:divBdr>
            </w:div>
          </w:divsChild>
        </w:div>
        <w:div w:id="295792846">
          <w:marLeft w:val="0"/>
          <w:marRight w:val="0"/>
          <w:marTop w:val="0"/>
          <w:marBottom w:val="0"/>
          <w:divBdr>
            <w:top w:val="none" w:sz="0" w:space="0" w:color="auto"/>
            <w:left w:val="none" w:sz="0" w:space="0" w:color="auto"/>
            <w:bottom w:val="none" w:sz="0" w:space="0" w:color="auto"/>
            <w:right w:val="none" w:sz="0" w:space="0" w:color="auto"/>
          </w:divBdr>
          <w:divsChild>
            <w:div w:id="1957637300">
              <w:marLeft w:val="0"/>
              <w:marRight w:val="0"/>
              <w:marTop w:val="0"/>
              <w:marBottom w:val="0"/>
              <w:divBdr>
                <w:top w:val="none" w:sz="0" w:space="0" w:color="auto"/>
                <w:left w:val="none" w:sz="0" w:space="0" w:color="auto"/>
                <w:bottom w:val="none" w:sz="0" w:space="0" w:color="auto"/>
                <w:right w:val="none" w:sz="0" w:space="0" w:color="auto"/>
              </w:divBdr>
            </w:div>
          </w:divsChild>
        </w:div>
        <w:div w:id="341861997">
          <w:marLeft w:val="0"/>
          <w:marRight w:val="0"/>
          <w:marTop w:val="0"/>
          <w:marBottom w:val="0"/>
          <w:divBdr>
            <w:top w:val="none" w:sz="0" w:space="0" w:color="auto"/>
            <w:left w:val="none" w:sz="0" w:space="0" w:color="auto"/>
            <w:bottom w:val="none" w:sz="0" w:space="0" w:color="auto"/>
            <w:right w:val="none" w:sz="0" w:space="0" w:color="auto"/>
          </w:divBdr>
          <w:divsChild>
            <w:div w:id="1611277882">
              <w:marLeft w:val="0"/>
              <w:marRight w:val="0"/>
              <w:marTop w:val="0"/>
              <w:marBottom w:val="0"/>
              <w:divBdr>
                <w:top w:val="none" w:sz="0" w:space="0" w:color="auto"/>
                <w:left w:val="none" w:sz="0" w:space="0" w:color="auto"/>
                <w:bottom w:val="none" w:sz="0" w:space="0" w:color="auto"/>
                <w:right w:val="none" w:sz="0" w:space="0" w:color="auto"/>
              </w:divBdr>
            </w:div>
          </w:divsChild>
        </w:div>
        <w:div w:id="358969832">
          <w:marLeft w:val="0"/>
          <w:marRight w:val="0"/>
          <w:marTop w:val="0"/>
          <w:marBottom w:val="0"/>
          <w:divBdr>
            <w:top w:val="none" w:sz="0" w:space="0" w:color="auto"/>
            <w:left w:val="none" w:sz="0" w:space="0" w:color="auto"/>
            <w:bottom w:val="none" w:sz="0" w:space="0" w:color="auto"/>
            <w:right w:val="none" w:sz="0" w:space="0" w:color="auto"/>
          </w:divBdr>
          <w:divsChild>
            <w:div w:id="2067102425">
              <w:marLeft w:val="0"/>
              <w:marRight w:val="0"/>
              <w:marTop w:val="0"/>
              <w:marBottom w:val="0"/>
              <w:divBdr>
                <w:top w:val="none" w:sz="0" w:space="0" w:color="auto"/>
                <w:left w:val="none" w:sz="0" w:space="0" w:color="auto"/>
                <w:bottom w:val="none" w:sz="0" w:space="0" w:color="auto"/>
                <w:right w:val="none" w:sz="0" w:space="0" w:color="auto"/>
              </w:divBdr>
            </w:div>
          </w:divsChild>
        </w:div>
        <w:div w:id="371005876">
          <w:marLeft w:val="0"/>
          <w:marRight w:val="0"/>
          <w:marTop w:val="0"/>
          <w:marBottom w:val="0"/>
          <w:divBdr>
            <w:top w:val="none" w:sz="0" w:space="0" w:color="auto"/>
            <w:left w:val="none" w:sz="0" w:space="0" w:color="auto"/>
            <w:bottom w:val="none" w:sz="0" w:space="0" w:color="auto"/>
            <w:right w:val="none" w:sz="0" w:space="0" w:color="auto"/>
          </w:divBdr>
          <w:divsChild>
            <w:div w:id="1361466985">
              <w:marLeft w:val="0"/>
              <w:marRight w:val="0"/>
              <w:marTop w:val="0"/>
              <w:marBottom w:val="0"/>
              <w:divBdr>
                <w:top w:val="none" w:sz="0" w:space="0" w:color="auto"/>
                <w:left w:val="none" w:sz="0" w:space="0" w:color="auto"/>
                <w:bottom w:val="none" w:sz="0" w:space="0" w:color="auto"/>
                <w:right w:val="none" w:sz="0" w:space="0" w:color="auto"/>
              </w:divBdr>
            </w:div>
          </w:divsChild>
        </w:div>
        <w:div w:id="391582135">
          <w:marLeft w:val="0"/>
          <w:marRight w:val="0"/>
          <w:marTop w:val="0"/>
          <w:marBottom w:val="0"/>
          <w:divBdr>
            <w:top w:val="none" w:sz="0" w:space="0" w:color="auto"/>
            <w:left w:val="none" w:sz="0" w:space="0" w:color="auto"/>
            <w:bottom w:val="none" w:sz="0" w:space="0" w:color="auto"/>
            <w:right w:val="none" w:sz="0" w:space="0" w:color="auto"/>
          </w:divBdr>
          <w:divsChild>
            <w:div w:id="284122896">
              <w:marLeft w:val="0"/>
              <w:marRight w:val="0"/>
              <w:marTop w:val="0"/>
              <w:marBottom w:val="0"/>
              <w:divBdr>
                <w:top w:val="none" w:sz="0" w:space="0" w:color="auto"/>
                <w:left w:val="none" w:sz="0" w:space="0" w:color="auto"/>
                <w:bottom w:val="none" w:sz="0" w:space="0" w:color="auto"/>
                <w:right w:val="none" w:sz="0" w:space="0" w:color="auto"/>
              </w:divBdr>
            </w:div>
          </w:divsChild>
        </w:div>
        <w:div w:id="492186510">
          <w:marLeft w:val="0"/>
          <w:marRight w:val="0"/>
          <w:marTop w:val="0"/>
          <w:marBottom w:val="0"/>
          <w:divBdr>
            <w:top w:val="none" w:sz="0" w:space="0" w:color="auto"/>
            <w:left w:val="none" w:sz="0" w:space="0" w:color="auto"/>
            <w:bottom w:val="none" w:sz="0" w:space="0" w:color="auto"/>
            <w:right w:val="none" w:sz="0" w:space="0" w:color="auto"/>
          </w:divBdr>
          <w:divsChild>
            <w:div w:id="1073429629">
              <w:marLeft w:val="0"/>
              <w:marRight w:val="0"/>
              <w:marTop w:val="0"/>
              <w:marBottom w:val="0"/>
              <w:divBdr>
                <w:top w:val="none" w:sz="0" w:space="0" w:color="auto"/>
                <w:left w:val="none" w:sz="0" w:space="0" w:color="auto"/>
                <w:bottom w:val="none" w:sz="0" w:space="0" w:color="auto"/>
                <w:right w:val="none" w:sz="0" w:space="0" w:color="auto"/>
              </w:divBdr>
            </w:div>
          </w:divsChild>
        </w:div>
        <w:div w:id="666399194">
          <w:marLeft w:val="0"/>
          <w:marRight w:val="0"/>
          <w:marTop w:val="0"/>
          <w:marBottom w:val="0"/>
          <w:divBdr>
            <w:top w:val="none" w:sz="0" w:space="0" w:color="auto"/>
            <w:left w:val="none" w:sz="0" w:space="0" w:color="auto"/>
            <w:bottom w:val="none" w:sz="0" w:space="0" w:color="auto"/>
            <w:right w:val="none" w:sz="0" w:space="0" w:color="auto"/>
          </w:divBdr>
          <w:divsChild>
            <w:div w:id="1221093968">
              <w:marLeft w:val="0"/>
              <w:marRight w:val="0"/>
              <w:marTop w:val="0"/>
              <w:marBottom w:val="0"/>
              <w:divBdr>
                <w:top w:val="none" w:sz="0" w:space="0" w:color="auto"/>
                <w:left w:val="none" w:sz="0" w:space="0" w:color="auto"/>
                <w:bottom w:val="none" w:sz="0" w:space="0" w:color="auto"/>
                <w:right w:val="none" w:sz="0" w:space="0" w:color="auto"/>
              </w:divBdr>
            </w:div>
          </w:divsChild>
        </w:div>
        <w:div w:id="677345734">
          <w:marLeft w:val="0"/>
          <w:marRight w:val="0"/>
          <w:marTop w:val="0"/>
          <w:marBottom w:val="0"/>
          <w:divBdr>
            <w:top w:val="none" w:sz="0" w:space="0" w:color="auto"/>
            <w:left w:val="none" w:sz="0" w:space="0" w:color="auto"/>
            <w:bottom w:val="none" w:sz="0" w:space="0" w:color="auto"/>
            <w:right w:val="none" w:sz="0" w:space="0" w:color="auto"/>
          </w:divBdr>
          <w:divsChild>
            <w:div w:id="1872179618">
              <w:marLeft w:val="0"/>
              <w:marRight w:val="0"/>
              <w:marTop w:val="0"/>
              <w:marBottom w:val="0"/>
              <w:divBdr>
                <w:top w:val="none" w:sz="0" w:space="0" w:color="auto"/>
                <w:left w:val="none" w:sz="0" w:space="0" w:color="auto"/>
                <w:bottom w:val="none" w:sz="0" w:space="0" w:color="auto"/>
                <w:right w:val="none" w:sz="0" w:space="0" w:color="auto"/>
              </w:divBdr>
            </w:div>
          </w:divsChild>
        </w:div>
        <w:div w:id="701785342">
          <w:marLeft w:val="0"/>
          <w:marRight w:val="0"/>
          <w:marTop w:val="0"/>
          <w:marBottom w:val="0"/>
          <w:divBdr>
            <w:top w:val="none" w:sz="0" w:space="0" w:color="auto"/>
            <w:left w:val="none" w:sz="0" w:space="0" w:color="auto"/>
            <w:bottom w:val="none" w:sz="0" w:space="0" w:color="auto"/>
            <w:right w:val="none" w:sz="0" w:space="0" w:color="auto"/>
          </w:divBdr>
          <w:divsChild>
            <w:div w:id="894270731">
              <w:marLeft w:val="0"/>
              <w:marRight w:val="0"/>
              <w:marTop w:val="0"/>
              <w:marBottom w:val="0"/>
              <w:divBdr>
                <w:top w:val="none" w:sz="0" w:space="0" w:color="auto"/>
                <w:left w:val="none" w:sz="0" w:space="0" w:color="auto"/>
                <w:bottom w:val="none" w:sz="0" w:space="0" w:color="auto"/>
                <w:right w:val="none" w:sz="0" w:space="0" w:color="auto"/>
              </w:divBdr>
            </w:div>
          </w:divsChild>
        </w:div>
        <w:div w:id="723991366">
          <w:marLeft w:val="0"/>
          <w:marRight w:val="0"/>
          <w:marTop w:val="0"/>
          <w:marBottom w:val="0"/>
          <w:divBdr>
            <w:top w:val="none" w:sz="0" w:space="0" w:color="auto"/>
            <w:left w:val="none" w:sz="0" w:space="0" w:color="auto"/>
            <w:bottom w:val="none" w:sz="0" w:space="0" w:color="auto"/>
            <w:right w:val="none" w:sz="0" w:space="0" w:color="auto"/>
          </w:divBdr>
          <w:divsChild>
            <w:div w:id="1477456287">
              <w:marLeft w:val="0"/>
              <w:marRight w:val="0"/>
              <w:marTop w:val="0"/>
              <w:marBottom w:val="0"/>
              <w:divBdr>
                <w:top w:val="none" w:sz="0" w:space="0" w:color="auto"/>
                <w:left w:val="none" w:sz="0" w:space="0" w:color="auto"/>
                <w:bottom w:val="none" w:sz="0" w:space="0" w:color="auto"/>
                <w:right w:val="none" w:sz="0" w:space="0" w:color="auto"/>
              </w:divBdr>
            </w:div>
          </w:divsChild>
        </w:div>
        <w:div w:id="749084414">
          <w:marLeft w:val="0"/>
          <w:marRight w:val="0"/>
          <w:marTop w:val="0"/>
          <w:marBottom w:val="0"/>
          <w:divBdr>
            <w:top w:val="none" w:sz="0" w:space="0" w:color="auto"/>
            <w:left w:val="none" w:sz="0" w:space="0" w:color="auto"/>
            <w:bottom w:val="none" w:sz="0" w:space="0" w:color="auto"/>
            <w:right w:val="none" w:sz="0" w:space="0" w:color="auto"/>
          </w:divBdr>
          <w:divsChild>
            <w:div w:id="958535369">
              <w:marLeft w:val="0"/>
              <w:marRight w:val="0"/>
              <w:marTop w:val="0"/>
              <w:marBottom w:val="0"/>
              <w:divBdr>
                <w:top w:val="none" w:sz="0" w:space="0" w:color="auto"/>
                <w:left w:val="none" w:sz="0" w:space="0" w:color="auto"/>
                <w:bottom w:val="none" w:sz="0" w:space="0" w:color="auto"/>
                <w:right w:val="none" w:sz="0" w:space="0" w:color="auto"/>
              </w:divBdr>
            </w:div>
          </w:divsChild>
        </w:div>
        <w:div w:id="775753864">
          <w:marLeft w:val="0"/>
          <w:marRight w:val="0"/>
          <w:marTop w:val="0"/>
          <w:marBottom w:val="0"/>
          <w:divBdr>
            <w:top w:val="none" w:sz="0" w:space="0" w:color="auto"/>
            <w:left w:val="none" w:sz="0" w:space="0" w:color="auto"/>
            <w:bottom w:val="none" w:sz="0" w:space="0" w:color="auto"/>
            <w:right w:val="none" w:sz="0" w:space="0" w:color="auto"/>
          </w:divBdr>
          <w:divsChild>
            <w:div w:id="1041250426">
              <w:marLeft w:val="0"/>
              <w:marRight w:val="0"/>
              <w:marTop w:val="0"/>
              <w:marBottom w:val="0"/>
              <w:divBdr>
                <w:top w:val="none" w:sz="0" w:space="0" w:color="auto"/>
                <w:left w:val="none" w:sz="0" w:space="0" w:color="auto"/>
                <w:bottom w:val="none" w:sz="0" w:space="0" w:color="auto"/>
                <w:right w:val="none" w:sz="0" w:space="0" w:color="auto"/>
              </w:divBdr>
            </w:div>
          </w:divsChild>
        </w:div>
        <w:div w:id="852761155">
          <w:marLeft w:val="0"/>
          <w:marRight w:val="0"/>
          <w:marTop w:val="0"/>
          <w:marBottom w:val="0"/>
          <w:divBdr>
            <w:top w:val="none" w:sz="0" w:space="0" w:color="auto"/>
            <w:left w:val="none" w:sz="0" w:space="0" w:color="auto"/>
            <w:bottom w:val="none" w:sz="0" w:space="0" w:color="auto"/>
            <w:right w:val="none" w:sz="0" w:space="0" w:color="auto"/>
          </w:divBdr>
          <w:divsChild>
            <w:div w:id="1176379953">
              <w:marLeft w:val="0"/>
              <w:marRight w:val="0"/>
              <w:marTop w:val="0"/>
              <w:marBottom w:val="0"/>
              <w:divBdr>
                <w:top w:val="none" w:sz="0" w:space="0" w:color="auto"/>
                <w:left w:val="none" w:sz="0" w:space="0" w:color="auto"/>
                <w:bottom w:val="none" w:sz="0" w:space="0" w:color="auto"/>
                <w:right w:val="none" w:sz="0" w:space="0" w:color="auto"/>
              </w:divBdr>
            </w:div>
          </w:divsChild>
        </w:div>
        <w:div w:id="861019924">
          <w:marLeft w:val="0"/>
          <w:marRight w:val="0"/>
          <w:marTop w:val="0"/>
          <w:marBottom w:val="0"/>
          <w:divBdr>
            <w:top w:val="none" w:sz="0" w:space="0" w:color="auto"/>
            <w:left w:val="none" w:sz="0" w:space="0" w:color="auto"/>
            <w:bottom w:val="none" w:sz="0" w:space="0" w:color="auto"/>
            <w:right w:val="none" w:sz="0" w:space="0" w:color="auto"/>
          </w:divBdr>
          <w:divsChild>
            <w:div w:id="678627657">
              <w:marLeft w:val="0"/>
              <w:marRight w:val="0"/>
              <w:marTop w:val="0"/>
              <w:marBottom w:val="0"/>
              <w:divBdr>
                <w:top w:val="none" w:sz="0" w:space="0" w:color="auto"/>
                <w:left w:val="none" w:sz="0" w:space="0" w:color="auto"/>
                <w:bottom w:val="none" w:sz="0" w:space="0" w:color="auto"/>
                <w:right w:val="none" w:sz="0" w:space="0" w:color="auto"/>
              </w:divBdr>
            </w:div>
          </w:divsChild>
        </w:div>
        <w:div w:id="892079610">
          <w:marLeft w:val="0"/>
          <w:marRight w:val="0"/>
          <w:marTop w:val="0"/>
          <w:marBottom w:val="0"/>
          <w:divBdr>
            <w:top w:val="none" w:sz="0" w:space="0" w:color="auto"/>
            <w:left w:val="none" w:sz="0" w:space="0" w:color="auto"/>
            <w:bottom w:val="none" w:sz="0" w:space="0" w:color="auto"/>
            <w:right w:val="none" w:sz="0" w:space="0" w:color="auto"/>
          </w:divBdr>
          <w:divsChild>
            <w:div w:id="1197891789">
              <w:marLeft w:val="0"/>
              <w:marRight w:val="0"/>
              <w:marTop w:val="0"/>
              <w:marBottom w:val="0"/>
              <w:divBdr>
                <w:top w:val="none" w:sz="0" w:space="0" w:color="auto"/>
                <w:left w:val="none" w:sz="0" w:space="0" w:color="auto"/>
                <w:bottom w:val="none" w:sz="0" w:space="0" w:color="auto"/>
                <w:right w:val="none" w:sz="0" w:space="0" w:color="auto"/>
              </w:divBdr>
            </w:div>
          </w:divsChild>
        </w:div>
        <w:div w:id="900560638">
          <w:marLeft w:val="0"/>
          <w:marRight w:val="0"/>
          <w:marTop w:val="0"/>
          <w:marBottom w:val="0"/>
          <w:divBdr>
            <w:top w:val="none" w:sz="0" w:space="0" w:color="auto"/>
            <w:left w:val="none" w:sz="0" w:space="0" w:color="auto"/>
            <w:bottom w:val="none" w:sz="0" w:space="0" w:color="auto"/>
            <w:right w:val="none" w:sz="0" w:space="0" w:color="auto"/>
          </w:divBdr>
          <w:divsChild>
            <w:div w:id="1224371753">
              <w:marLeft w:val="0"/>
              <w:marRight w:val="0"/>
              <w:marTop w:val="0"/>
              <w:marBottom w:val="0"/>
              <w:divBdr>
                <w:top w:val="none" w:sz="0" w:space="0" w:color="auto"/>
                <w:left w:val="none" w:sz="0" w:space="0" w:color="auto"/>
                <w:bottom w:val="none" w:sz="0" w:space="0" w:color="auto"/>
                <w:right w:val="none" w:sz="0" w:space="0" w:color="auto"/>
              </w:divBdr>
            </w:div>
          </w:divsChild>
        </w:div>
        <w:div w:id="963268629">
          <w:marLeft w:val="0"/>
          <w:marRight w:val="0"/>
          <w:marTop w:val="0"/>
          <w:marBottom w:val="0"/>
          <w:divBdr>
            <w:top w:val="none" w:sz="0" w:space="0" w:color="auto"/>
            <w:left w:val="none" w:sz="0" w:space="0" w:color="auto"/>
            <w:bottom w:val="none" w:sz="0" w:space="0" w:color="auto"/>
            <w:right w:val="none" w:sz="0" w:space="0" w:color="auto"/>
          </w:divBdr>
          <w:divsChild>
            <w:div w:id="1202354920">
              <w:marLeft w:val="0"/>
              <w:marRight w:val="0"/>
              <w:marTop w:val="0"/>
              <w:marBottom w:val="0"/>
              <w:divBdr>
                <w:top w:val="none" w:sz="0" w:space="0" w:color="auto"/>
                <w:left w:val="none" w:sz="0" w:space="0" w:color="auto"/>
                <w:bottom w:val="none" w:sz="0" w:space="0" w:color="auto"/>
                <w:right w:val="none" w:sz="0" w:space="0" w:color="auto"/>
              </w:divBdr>
            </w:div>
          </w:divsChild>
        </w:div>
        <w:div w:id="969626164">
          <w:marLeft w:val="0"/>
          <w:marRight w:val="0"/>
          <w:marTop w:val="0"/>
          <w:marBottom w:val="0"/>
          <w:divBdr>
            <w:top w:val="none" w:sz="0" w:space="0" w:color="auto"/>
            <w:left w:val="none" w:sz="0" w:space="0" w:color="auto"/>
            <w:bottom w:val="none" w:sz="0" w:space="0" w:color="auto"/>
            <w:right w:val="none" w:sz="0" w:space="0" w:color="auto"/>
          </w:divBdr>
          <w:divsChild>
            <w:div w:id="1267932267">
              <w:marLeft w:val="0"/>
              <w:marRight w:val="0"/>
              <w:marTop w:val="0"/>
              <w:marBottom w:val="0"/>
              <w:divBdr>
                <w:top w:val="none" w:sz="0" w:space="0" w:color="auto"/>
                <w:left w:val="none" w:sz="0" w:space="0" w:color="auto"/>
                <w:bottom w:val="none" w:sz="0" w:space="0" w:color="auto"/>
                <w:right w:val="none" w:sz="0" w:space="0" w:color="auto"/>
              </w:divBdr>
            </w:div>
          </w:divsChild>
        </w:div>
        <w:div w:id="1065954408">
          <w:marLeft w:val="0"/>
          <w:marRight w:val="0"/>
          <w:marTop w:val="0"/>
          <w:marBottom w:val="0"/>
          <w:divBdr>
            <w:top w:val="none" w:sz="0" w:space="0" w:color="auto"/>
            <w:left w:val="none" w:sz="0" w:space="0" w:color="auto"/>
            <w:bottom w:val="none" w:sz="0" w:space="0" w:color="auto"/>
            <w:right w:val="none" w:sz="0" w:space="0" w:color="auto"/>
          </w:divBdr>
          <w:divsChild>
            <w:div w:id="48187172">
              <w:marLeft w:val="0"/>
              <w:marRight w:val="0"/>
              <w:marTop w:val="0"/>
              <w:marBottom w:val="0"/>
              <w:divBdr>
                <w:top w:val="none" w:sz="0" w:space="0" w:color="auto"/>
                <w:left w:val="none" w:sz="0" w:space="0" w:color="auto"/>
                <w:bottom w:val="none" w:sz="0" w:space="0" w:color="auto"/>
                <w:right w:val="none" w:sz="0" w:space="0" w:color="auto"/>
              </w:divBdr>
            </w:div>
          </w:divsChild>
        </w:div>
        <w:div w:id="1152327860">
          <w:marLeft w:val="0"/>
          <w:marRight w:val="0"/>
          <w:marTop w:val="0"/>
          <w:marBottom w:val="0"/>
          <w:divBdr>
            <w:top w:val="none" w:sz="0" w:space="0" w:color="auto"/>
            <w:left w:val="none" w:sz="0" w:space="0" w:color="auto"/>
            <w:bottom w:val="none" w:sz="0" w:space="0" w:color="auto"/>
            <w:right w:val="none" w:sz="0" w:space="0" w:color="auto"/>
          </w:divBdr>
          <w:divsChild>
            <w:div w:id="983465888">
              <w:marLeft w:val="0"/>
              <w:marRight w:val="0"/>
              <w:marTop w:val="0"/>
              <w:marBottom w:val="0"/>
              <w:divBdr>
                <w:top w:val="none" w:sz="0" w:space="0" w:color="auto"/>
                <w:left w:val="none" w:sz="0" w:space="0" w:color="auto"/>
                <w:bottom w:val="none" w:sz="0" w:space="0" w:color="auto"/>
                <w:right w:val="none" w:sz="0" w:space="0" w:color="auto"/>
              </w:divBdr>
            </w:div>
          </w:divsChild>
        </w:div>
        <w:div w:id="1225916538">
          <w:marLeft w:val="0"/>
          <w:marRight w:val="0"/>
          <w:marTop w:val="0"/>
          <w:marBottom w:val="0"/>
          <w:divBdr>
            <w:top w:val="none" w:sz="0" w:space="0" w:color="auto"/>
            <w:left w:val="none" w:sz="0" w:space="0" w:color="auto"/>
            <w:bottom w:val="none" w:sz="0" w:space="0" w:color="auto"/>
            <w:right w:val="none" w:sz="0" w:space="0" w:color="auto"/>
          </w:divBdr>
          <w:divsChild>
            <w:div w:id="1411080134">
              <w:marLeft w:val="0"/>
              <w:marRight w:val="0"/>
              <w:marTop w:val="0"/>
              <w:marBottom w:val="0"/>
              <w:divBdr>
                <w:top w:val="none" w:sz="0" w:space="0" w:color="auto"/>
                <w:left w:val="none" w:sz="0" w:space="0" w:color="auto"/>
                <w:bottom w:val="none" w:sz="0" w:space="0" w:color="auto"/>
                <w:right w:val="none" w:sz="0" w:space="0" w:color="auto"/>
              </w:divBdr>
            </w:div>
          </w:divsChild>
        </w:div>
        <w:div w:id="1266689812">
          <w:marLeft w:val="0"/>
          <w:marRight w:val="0"/>
          <w:marTop w:val="0"/>
          <w:marBottom w:val="0"/>
          <w:divBdr>
            <w:top w:val="none" w:sz="0" w:space="0" w:color="auto"/>
            <w:left w:val="none" w:sz="0" w:space="0" w:color="auto"/>
            <w:bottom w:val="none" w:sz="0" w:space="0" w:color="auto"/>
            <w:right w:val="none" w:sz="0" w:space="0" w:color="auto"/>
          </w:divBdr>
          <w:divsChild>
            <w:div w:id="1199702985">
              <w:marLeft w:val="0"/>
              <w:marRight w:val="0"/>
              <w:marTop w:val="0"/>
              <w:marBottom w:val="0"/>
              <w:divBdr>
                <w:top w:val="none" w:sz="0" w:space="0" w:color="auto"/>
                <w:left w:val="none" w:sz="0" w:space="0" w:color="auto"/>
                <w:bottom w:val="none" w:sz="0" w:space="0" w:color="auto"/>
                <w:right w:val="none" w:sz="0" w:space="0" w:color="auto"/>
              </w:divBdr>
            </w:div>
          </w:divsChild>
        </w:div>
        <w:div w:id="1322347346">
          <w:marLeft w:val="0"/>
          <w:marRight w:val="0"/>
          <w:marTop w:val="0"/>
          <w:marBottom w:val="0"/>
          <w:divBdr>
            <w:top w:val="none" w:sz="0" w:space="0" w:color="auto"/>
            <w:left w:val="none" w:sz="0" w:space="0" w:color="auto"/>
            <w:bottom w:val="none" w:sz="0" w:space="0" w:color="auto"/>
            <w:right w:val="none" w:sz="0" w:space="0" w:color="auto"/>
          </w:divBdr>
          <w:divsChild>
            <w:div w:id="160588909">
              <w:marLeft w:val="0"/>
              <w:marRight w:val="0"/>
              <w:marTop w:val="0"/>
              <w:marBottom w:val="0"/>
              <w:divBdr>
                <w:top w:val="none" w:sz="0" w:space="0" w:color="auto"/>
                <w:left w:val="none" w:sz="0" w:space="0" w:color="auto"/>
                <w:bottom w:val="none" w:sz="0" w:space="0" w:color="auto"/>
                <w:right w:val="none" w:sz="0" w:space="0" w:color="auto"/>
              </w:divBdr>
            </w:div>
          </w:divsChild>
        </w:div>
        <w:div w:id="1378235838">
          <w:marLeft w:val="0"/>
          <w:marRight w:val="0"/>
          <w:marTop w:val="0"/>
          <w:marBottom w:val="0"/>
          <w:divBdr>
            <w:top w:val="none" w:sz="0" w:space="0" w:color="auto"/>
            <w:left w:val="none" w:sz="0" w:space="0" w:color="auto"/>
            <w:bottom w:val="none" w:sz="0" w:space="0" w:color="auto"/>
            <w:right w:val="none" w:sz="0" w:space="0" w:color="auto"/>
          </w:divBdr>
          <w:divsChild>
            <w:div w:id="1352607762">
              <w:marLeft w:val="0"/>
              <w:marRight w:val="0"/>
              <w:marTop w:val="0"/>
              <w:marBottom w:val="0"/>
              <w:divBdr>
                <w:top w:val="none" w:sz="0" w:space="0" w:color="auto"/>
                <w:left w:val="none" w:sz="0" w:space="0" w:color="auto"/>
                <w:bottom w:val="none" w:sz="0" w:space="0" w:color="auto"/>
                <w:right w:val="none" w:sz="0" w:space="0" w:color="auto"/>
              </w:divBdr>
            </w:div>
            <w:div w:id="1425960386">
              <w:marLeft w:val="0"/>
              <w:marRight w:val="0"/>
              <w:marTop w:val="0"/>
              <w:marBottom w:val="0"/>
              <w:divBdr>
                <w:top w:val="none" w:sz="0" w:space="0" w:color="auto"/>
                <w:left w:val="none" w:sz="0" w:space="0" w:color="auto"/>
                <w:bottom w:val="none" w:sz="0" w:space="0" w:color="auto"/>
                <w:right w:val="none" w:sz="0" w:space="0" w:color="auto"/>
              </w:divBdr>
            </w:div>
          </w:divsChild>
        </w:div>
        <w:div w:id="1401782049">
          <w:marLeft w:val="0"/>
          <w:marRight w:val="0"/>
          <w:marTop w:val="0"/>
          <w:marBottom w:val="0"/>
          <w:divBdr>
            <w:top w:val="none" w:sz="0" w:space="0" w:color="auto"/>
            <w:left w:val="none" w:sz="0" w:space="0" w:color="auto"/>
            <w:bottom w:val="none" w:sz="0" w:space="0" w:color="auto"/>
            <w:right w:val="none" w:sz="0" w:space="0" w:color="auto"/>
          </w:divBdr>
          <w:divsChild>
            <w:div w:id="1500732218">
              <w:marLeft w:val="0"/>
              <w:marRight w:val="0"/>
              <w:marTop w:val="0"/>
              <w:marBottom w:val="0"/>
              <w:divBdr>
                <w:top w:val="none" w:sz="0" w:space="0" w:color="auto"/>
                <w:left w:val="none" w:sz="0" w:space="0" w:color="auto"/>
                <w:bottom w:val="none" w:sz="0" w:space="0" w:color="auto"/>
                <w:right w:val="none" w:sz="0" w:space="0" w:color="auto"/>
              </w:divBdr>
            </w:div>
          </w:divsChild>
        </w:div>
        <w:div w:id="1409764599">
          <w:marLeft w:val="0"/>
          <w:marRight w:val="0"/>
          <w:marTop w:val="0"/>
          <w:marBottom w:val="0"/>
          <w:divBdr>
            <w:top w:val="none" w:sz="0" w:space="0" w:color="auto"/>
            <w:left w:val="none" w:sz="0" w:space="0" w:color="auto"/>
            <w:bottom w:val="none" w:sz="0" w:space="0" w:color="auto"/>
            <w:right w:val="none" w:sz="0" w:space="0" w:color="auto"/>
          </w:divBdr>
          <w:divsChild>
            <w:div w:id="1078283452">
              <w:marLeft w:val="0"/>
              <w:marRight w:val="0"/>
              <w:marTop w:val="0"/>
              <w:marBottom w:val="0"/>
              <w:divBdr>
                <w:top w:val="none" w:sz="0" w:space="0" w:color="auto"/>
                <w:left w:val="none" w:sz="0" w:space="0" w:color="auto"/>
                <w:bottom w:val="none" w:sz="0" w:space="0" w:color="auto"/>
                <w:right w:val="none" w:sz="0" w:space="0" w:color="auto"/>
              </w:divBdr>
            </w:div>
          </w:divsChild>
        </w:div>
        <w:div w:id="1424914222">
          <w:marLeft w:val="0"/>
          <w:marRight w:val="0"/>
          <w:marTop w:val="0"/>
          <w:marBottom w:val="0"/>
          <w:divBdr>
            <w:top w:val="none" w:sz="0" w:space="0" w:color="auto"/>
            <w:left w:val="none" w:sz="0" w:space="0" w:color="auto"/>
            <w:bottom w:val="none" w:sz="0" w:space="0" w:color="auto"/>
            <w:right w:val="none" w:sz="0" w:space="0" w:color="auto"/>
          </w:divBdr>
          <w:divsChild>
            <w:div w:id="1379402724">
              <w:marLeft w:val="0"/>
              <w:marRight w:val="0"/>
              <w:marTop w:val="0"/>
              <w:marBottom w:val="0"/>
              <w:divBdr>
                <w:top w:val="none" w:sz="0" w:space="0" w:color="auto"/>
                <w:left w:val="none" w:sz="0" w:space="0" w:color="auto"/>
                <w:bottom w:val="none" w:sz="0" w:space="0" w:color="auto"/>
                <w:right w:val="none" w:sz="0" w:space="0" w:color="auto"/>
              </w:divBdr>
            </w:div>
          </w:divsChild>
        </w:div>
        <w:div w:id="1461723071">
          <w:marLeft w:val="0"/>
          <w:marRight w:val="0"/>
          <w:marTop w:val="0"/>
          <w:marBottom w:val="0"/>
          <w:divBdr>
            <w:top w:val="none" w:sz="0" w:space="0" w:color="auto"/>
            <w:left w:val="none" w:sz="0" w:space="0" w:color="auto"/>
            <w:bottom w:val="none" w:sz="0" w:space="0" w:color="auto"/>
            <w:right w:val="none" w:sz="0" w:space="0" w:color="auto"/>
          </w:divBdr>
          <w:divsChild>
            <w:div w:id="1864398121">
              <w:marLeft w:val="0"/>
              <w:marRight w:val="0"/>
              <w:marTop w:val="0"/>
              <w:marBottom w:val="0"/>
              <w:divBdr>
                <w:top w:val="none" w:sz="0" w:space="0" w:color="auto"/>
                <w:left w:val="none" w:sz="0" w:space="0" w:color="auto"/>
                <w:bottom w:val="none" w:sz="0" w:space="0" w:color="auto"/>
                <w:right w:val="none" w:sz="0" w:space="0" w:color="auto"/>
              </w:divBdr>
            </w:div>
          </w:divsChild>
        </w:div>
        <w:div w:id="1462067732">
          <w:marLeft w:val="0"/>
          <w:marRight w:val="0"/>
          <w:marTop w:val="0"/>
          <w:marBottom w:val="0"/>
          <w:divBdr>
            <w:top w:val="none" w:sz="0" w:space="0" w:color="auto"/>
            <w:left w:val="none" w:sz="0" w:space="0" w:color="auto"/>
            <w:bottom w:val="none" w:sz="0" w:space="0" w:color="auto"/>
            <w:right w:val="none" w:sz="0" w:space="0" w:color="auto"/>
          </w:divBdr>
          <w:divsChild>
            <w:div w:id="2124762390">
              <w:marLeft w:val="0"/>
              <w:marRight w:val="0"/>
              <w:marTop w:val="0"/>
              <w:marBottom w:val="0"/>
              <w:divBdr>
                <w:top w:val="none" w:sz="0" w:space="0" w:color="auto"/>
                <w:left w:val="none" w:sz="0" w:space="0" w:color="auto"/>
                <w:bottom w:val="none" w:sz="0" w:space="0" w:color="auto"/>
                <w:right w:val="none" w:sz="0" w:space="0" w:color="auto"/>
              </w:divBdr>
            </w:div>
          </w:divsChild>
        </w:div>
        <w:div w:id="1516650842">
          <w:marLeft w:val="0"/>
          <w:marRight w:val="0"/>
          <w:marTop w:val="0"/>
          <w:marBottom w:val="0"/>
          <w:divBdr>
            <w:top w:val="none" w:sz="0" w:space="0" w:color="auto"/>
            <w:left w:val="none" w:sz="0" w:space="0" w:color="auto"/>
            <w:bottom w:val="none" w:sz="0" w:space="0" w:color="auto"/>
            <w:right w:val="none" w:sz="0" w:space="0" w:color="auto"/>
          </w:divBdr>
          <w:divsChild>
            <w:div w:id="380639366">
              <w:marLeft w:val="0"/>
              <w:marRight w:val="0"/>
              <w:marTop w:val="0"/>
              <w:marBottom w:val="0"/>
              <w:divBdr>
                <w:top w:val="none" w:sz="0" w:space="0" w:color="auto"/>
                <w:left w:val="none" w:sz="0" w:space="0" w:color="auto"/>
                <w:bottom w:val="none" w:sz="0" w:space="0" w:color="auto"/>
                <w:right w:val="none" w:sz="0" w:space="0" w:color="auto"/>
              </w:divBdr>
            </w:div>
          </w:divsChild>
        </w:div>
        <w:div w:id="1516797587">
          <w:marLeft w:val="0"/>
          <w:marRight w:val="0"/>
          <w:marTop w:val="0"/>
          <w:marBottom w:val="0"/>
          <w:divBdr>
            <w:top w:val="none" w:sz="0" w:space="0" w:color="auto"/>
            <w:left w:val="none" w:sz="0" w:space="0" w:color="auto"/>
            <w:bottom w:val="none" w:sz="0" w:space="0" w:color="auto"/>
            <w:right w:val="none" w:sz="0" w:space="0" w:color="auto"/>
          </w:divBdr>
          <w:divsChild>
            <w:div w:id="727455061">
              <w:marLeft w:val="0"/>
              <w:marRight w:val="0"/>
              <w:marTop w:val="0"/>
              <w:marBottom w:val="0"/>
              <w:divBdr>
                <w:top w:val="none" w:sz="0" w:space="0" w:color="auto"/>
                <w:left w:val="none" w:sz="0" w:space="0" w:color="auto"/>
                <w:bottom w:val="none" w:sz="0" w:space="0" w:color="auto"/>
                <w:right w:val="none" w:sz="0" w:space="0" w:color="auto"/>
              </w:divBdr>
            </w:div>
            <w:div w:id="1616596179">
              <w:marLeft w:val="0"/>
              <w:marRight w:val="0"/>
              <w:marTop w:val="0"/>
              <w:marBottom w:val="0"/>
              <w:divBdr>
                <w:top w:val="none" w:sz="0" w:space="0" w:color="auto"/>
                <w:left w:val="none" w:sz="0" w:space="0" w:color="auto"/>
                <w:bottom w:val="none" w:sz="0" w:space="0" w:color="auto"/>
                <w:right w:val="none" w:sz="0" w:space="0" w:color="auto"/>
              </w:divBdr>
            </w:div>
          </w:divsChild>
        </w:div>
        <w:div w:id="1538544972">
          <w:marLeft w:val="0"/>
          <w:marRight w:val="0"/>
          <w:marTop w:val="0"/>
          <w:marBottom w:val="0"/>
          <w:divBdr>
            <w:top w:val="none" w:sz="0" w:space="0" w:color="auto"/>
            <w:left w:val="none" w:sz="0" w:space="0" w:color="auto"/>
            <w:bottom w:val="none" w:sz="0" w:space="0" w:color="auto"/>
            <w:right w:val="none" w:sz="0" w:space="0" w:color="auto"/>
          </w:divBdr>
          <w:divsChild>
            <w:div w:id="2004234689">
              <w:marLeft w:val="0"/>
              <w:marRight w:val="0"/>
              <w:marTop w:val="0"/>
              <w:marBottom w:val="0"/>
              <w:divBdr>
                <w:top w:val="none" w:sz="0" w:space="0" w:color="auto"/>
                <w:left w:val="none" w:sz="0" w:space="0" w:color="auto"/>
                <w:bottom w:val="none" w:sz="0" w:space="0" w:color="auto"/>
                <w:right w:val="none" w:sz="0" w:space="0" w:color="auto"/>
              </w:divBdr>
            </w:div>
          </w:divsChild>
        </w:div>
        <w:div w:id="1581403481">
          <w:marLeft w:val="0"/>
          <w:marRight w:val="0"/>
          <w:marTop w:val="0"/>
          <w:marBottom w:val="0"/>
          <w:divBdr>
            <w:top w:val="none" w:sz="0" w:space="0" w:color="auto"/>
            <w:left w:val="none" w:sz="0" w:space="0" w:color="auto"/>
            <w:bottom w:val="none" w:sz="0" w:space="0" w:color="auto"/>
            <w:right w:val="none" w:sz="0" w:space="0" w:color="auto"/>
          </w:divBdr>
          <w:divsChild>
            <w:div w:id="371730023">
              <w:marLeft w:val="0"/>
              <w:marRight w:val="0"/>
              <w:marTop w:val="0"/>
              <w:marBottom w:val="0"/>
              <w:divBdr>
                <w:top w:val="none" w:sz="0" w:space="0" w:color="auto"/>
                <w:left w:val="none" w:sz="0" w:space="0" w:color="auto"/>
                <w:bottom w:val="none" w:sz="0" w:space="0" w:color="auto"/>
                <w:right w:val="none" w:sz="0" w:space="0" w:color="auto"/>
              </w:divBdr>
            </w:div>
          </w:divsChild>
        </w:div>
        <w:div w:id="1596596954">
          <w:marLeft w:val="0"/>
          <w:marRight w:val="0"/>
          <w:marTop w:val="0"/>
          <w:marBottom w:val="0"/>
          <w:divBdr>
            <w:top w:val="none" w:sz="0" w:space="0" w:color="auto"/>
            <w:left w:val="none" w:sz="0" w:space="0" w:color="auto"/>
            <w:bottom w:val="none" w:sz="0" w:space="0" w:color="auto"/>
            <w:right w:val="none" w:sz="0" w:space="0" w:color="auto"/>
          </w:divBdr>
          <w:divsChild>
            <w:div w:id="1371614207">
              <w:marLeft w:val="0"/>
              <w:marRight w:val="0"/>
              <w:marTop w:val="0"/>
              <w:marBottom w:val="0"/>
              <w:divBdr>
                <w:top w:val="none" w:sz="0" w:space="0" w:color="auto"/>
                <w:left w:val="none" w:sz="0" w:space="0" w:color="auto"/>
                <w:bottom w:val="none" w:sz="0" w:space="0" w:color="auto"/>
                <w:right w:val="none" w:sz="0" w:space="0" w:color="auto"/>
              </w:divBdr>
            </w:div>
          </w:divsChild>
        </w:div>
        <w:div w:id="1638073057">
          <w:marLeft w:val="0"/>
          <w:marRight w:val="0"/>
          <w:marTop w:val="0"/>
          <w:marBottom w:val="0"/>
          <w:divBdr>
            <w:top w:val="none" w:sz="0" w:space="0" w:color="auto"/>
            <w:left w:val="none" w:sz="0" w:space="0" w:color="auto"/>
            <w:bottom w:val="none" w:sz="0" w:space="0" w:color="auto"/>
            <w:right w:val="none" w:sz="0" w:space="0" w:color="auto"/>
          </w:divBdr>
          <w:divsChild>
            <w:div w:id="497044127">
              <w:marLeft w:val="0"/>
              <w:marRight w:val="0"/>
              <w:marTop w:val="0"/>
              <w:marBottom w:val="0"/>
              <w:divBdr>
                <w:top w:val="none" w:sz="0" w:space="0" w:color="auto"/>
                <w:left w:val="none" w:sz="0" w:space="0" w:color="auto"/>
                <w:bottom w:val="none" w:sz="0" w:space="0" w:color="auto"/>
                <w:right w:val="none" w:sz="0" w:space="0" w:color="auto"/>
              </w:divBdr>
            </w:div>
          </w:divsChild>
        </w:div>
        <w:div w:id="1641616258">
          <w:marLeft w:val="0"/>
          <w:marRight w:val="0"/>
          <w:marTop w:val="0"/>
          <w:marBottom w:val="0"/>
          <w:divBdr>
            <w:top w:val="none" w:sz="0" w:space="0" w:color="auto"/>
            <w:left w:val="none" w:sz="0" w:space="0" w:color="auto"/>
            <w:bottom w:val="none" w:sz="0" w:space="0" w:color="auto"/>
            <w:right w:val="none" w:sz="0" w:space="0" w:color="auto"/>
          </w:divBdr>
          <w:divsChild>
            <w:div w:id="1076779470">
              <w:marLeft w:val="0"/>
              <w:marRight w:val="0"/>
              <w:marTop w:val="0"/>
              <w:marBottom w:val="0"/>
              <w:divBdr>
                <w:top w:val="none" w:sz="0" w:space="0" w:color="auto"/>
                <w:left w:val="none" w:sz="0" w:space="0" w:color="auto"/>
                <w:bottom w:val="none" w:sz="0" w:space="0" w:color="auto"/>
                <w:right w:val="none" w:sz="0" w:space="0" w:color="auto"/>
              </w:divBdr>
            </w:div>
          </w:divsChild>
        </w:div>
        <w:div w:id="1700933299">
          <w:marLeft w:val="0"/>
          <w:marRight w:val="0"/>
          <w:marTop w:val="0"/>
          <w:marBottom w:val="0"/>
          <w:divBdr>
            <w:top w:val="none" w:sz="0" w:space="0" w:color="auto"/>
            <w:left w:val="none" w:sz="0" w:space="0" w:color="auto"/>
            <w:bottom w:val="none" w:sz="0" w:space="0" w:color="auto"/>
            <w:right w:val="none" w:sz="0" w:space="0" w:color="auto"/>
          </w:divBdr>
          <w:divsChild>
            <w:div w:id="161431916">
              <w:marLeft w:val="0"/>
              <w:marRight w:val="0"/>
              <w:marTop w:val="0"/>
              <w:marBottom w:val="0"/>
              <w:divBdr>
                <w:top w:val="none" w:sz="0" w:space="0" w:color="auto"/>
                <w:left w:val="none" w:sz="0" w:space="0" w:color="auto"/>
                <w:bottom w:val="none" w:sz="0" w:space="0" w:color="auto"/>
                <w:right w:val="none" w:sz="0" w:space="0" w:color="auto"/>
              </w:divBdr>
            </w:div>
          </w:divsChild>
        </w:div>
        <w:div w:id="1755711623">
          <w:marLeft w:val="0"/>
          <w:marRight w:val="0"/>
          <w:marTop w:val="0"/>
          <w:marBottom w:val="0"/>
          <w:divBdr>
            <w:top w:val="none" w:sz="0" w:space="0" w:color="auto"/>
            <w:left w:val="none" w:sz="0" w:space="0" w:color="auto"/>
            <w:bottom w:val="none" w:sz="0" w:space="0" w:color="auto"/>
            <w:right w:val="none" w:sz="0" w:space="0" w:color="auto"/>
          </w:divBdr>
          <w:divsChild>
            <w:div w:id="1828328338">
              <w:marLeft w:val="0"/>
              <w:marRight w:val="0"/>
              <w:marTop w:val="0"/>
              <w:marBottom w:val="0"/>
              <w:divBdr>
                <w:top w:val="none" w:sz="0" w:space="0" w:color="auto"/>
                <w:left w:val="none" w:sz="0" w:space="0" w:color="auto"/>
                <w:bottom w:val="none" w:sz="0" w:space="0" w:color="auto"/>
                <w:right w:val="none" w:sz="0" w:space="0" w:color="auto"/>
              </w:divBdr>
            </w:div>
            <w:div w:id="1958103081">
              <w:marLeft w:val="0"/>
              <w:marRight w:val="0"/>
              <w:marTop w:val="0"/>
              <w:marBottom w:val="0"/>
              <w:divBdr>
                <w:top w:val="none" w:sz="0" w:space="0" w:color="auto"/>
                <w:left w:val="none" w:sz="0" w:space="0" w:color="auto"/>
                <w:bottom w:val="none" w:sz="0" w:space="0" w:color="auto"/>
                <w:right w:val="none" w:sz="0" w:space="0" w:color="auto"/>
              </w:divBdr>
            </w:div>
          </w:divsChild>
        </w:div>
        <w:div w:id="1897204047">
          <w:marLeft w:val="0"/>
          <w:marRight w:val="0"/>
          <w:marTop w:val="0"/>
          <w:marBottom w:val="0"/>
          <w:divBdr>
            <w:top w:val="none" w:sz="0" w:space="0" w:color="auto"/>
            <w:left w:val="none" w:sz="0" w:space="0" w:color="auto"/>
            <w:bottom w:val="none" w:sz="0" w:space="0" w:color="auto"/>
            <w:right w:val="none" w:sz="0" w:space="0" w:color="auto"/>
          </w:divBdr>
          <w:divsChild>
            <w:div w:id="1168520545">
              <w:marLeft w:val="0"/>
              <w:marRight w:val="0"/>
              <w:marTop w:val="0"/>
              <w:marBottom w:val="0"/>
              <w:divBdr>
                <w:top w:val="none" w:sz="0" w:space="0" w:color="auto"/>
                <w:left w:val="none" w:sz="0" w:space="0" w:color="auto"/>
                <w:bottom w:val="none" w:sz="0" w:space="0" w:color="auto"/>
                <w:right w:val="none" w:sz="0" w:space="0" w:color="auto"/>
              </w:divBdr>
            </w:div>
          </w:divsChild>
        </w:div>
        <w:div w:id="1972706234">
          <w:marLeft w:val="0"/>
          <w:marRight w:val="0"/>
          <w:marTop w:val="0"/>
          <w:marBottom w:val="0"/>
          <w:divBdr>
            <w:top w:val="none" w:sz="0" w:space="0" w:color="auto"/>
            <w:left w:val="none" w:sz="0" w:space="0" w:color="auto"/>
            <w:bottom w:val="none" w:sz="0" w:space="0" w:color="auto"/>
            <w:right w:val="none" w:sz="0" w:space="0" w:color="auto"/>
          </w:divBdr>
          <w:divsChild>
            <w:div w:id="1340305362">
              <w:marLeft w:val="0"/>
              <w:marRight w:val="0"/>
              <w:marTop w:val="0"/>
              <w:marBottom w:val="0"/>
              <w:divBdr>
                <w:top w:val="none" w:sz="0" w:space="0" w:color="auto"/>
                <w:left w:val="none" w:sz="0" w:space="0" w:color="auto"/>
                <w:bottom w:val="none" w:sz="0" w:space="0" w:color="auto"/>
                <w:right w:val="none" w:sz="0" w:space="0" w:color="auto"/>
              </w:divBdr>
            </w:div>
          </w:divsChild>
        </w:div>
        <w:div w:id="2067871968">
          <w:marLeft w:val="0"/>
          <w:marRight w:val="0"/>
          <w:marTop w:val="0"/>
          <w:marBottom w:val="0"/>
          <w:divBdr>
            <w:top w:val="none" w:sz="0" w:space="0" w:color="auto"/>
            <w:left w:val="none" w:sz="0" w:space="0" w:color="auto"/>
            <w:bottom w:val="none" w:sz="0" w:space="0" w:color="auto"/>
            <w:right w:val="none" w:sz="0" w:space="0" w:color="auto"/>
          </w:divBdr>
          <w:divsChild>
            <w:div w:id="1925408962">
              <w:marLeft w:val="0"/>
              <w:marRight w:val="0"/>
              <w:marTop w:val="0"/>
              <w:marBottom w:val="0"/>
              <w:divBdr>
                <w:top w:val="none" w:sz="0" w:space="0" w:color="auto"/>
                <w:left w:val="none" w:sz="0" w:space="0" w:color="auto"/>
                <w:bottom w:val="none" w:sz="0" w:space="0" w:color="auto"/>
                <w:right w:val="none" w:sz="0" w:space="0" w:color="auto"/>
              </w:divBdr>
            </w:div>
          </w:divsChild>
        </w:div>
        <w:div w:id="2103602116">
          <w:marLeft w:val="0"/>
          <w:marRight w:val="0"/>
          <w:marTop w:val="0"/>
          <w:marBottom w:val="0"/>
          <w:divBdr>
            <w:top w:val="none" w:sz="0" w:space="0" w:color="auto"/>
            <w:left w:val="none" w:sz="0" w:space="0" w:color="auto"/>
            <w:bottom w:val="none" w:sz="0" w:space="0" w:color="auto"/>
            <w:right w:val="none" w:sz="0" w:space="0" w:color="auto"/>
          </w:divBdr>
          <w:divsChild>
            <w:div w:id="260266037">
              <w:marLeft w:val="0"/>
              <w:marRight w:val="0"/>
              <w:marTop w:val="0"/>
              <w:marBottom w:val="0"/>
              <w:divBdr>
                <w:top w:val="none" w:sz="0" w:space="0" w:color="auto"/>
                <w:left w:val="none" w:sz="0" w:space="0" w:color="auto"/>
                <w:bottom w:val="none" w:sz="0" w:space="0" w:color="auto"/>
                <w:right w:val="none" w:sz="0" w:space="0" w:color="auto"/>
              </w:divBdr>
            </w:div>
          </w:divsChild>
        </w:div>
        <w:div w:id="2113741588">
          <w:marLeft w:val="0"/>
          <w:marRight w:val="0"/>
          <w:marTop w:val="0"/>
          <w:marBottom w:val="0"/>
          <w:divBdr>
            <w:top w:val="none" w:sz="0" w:space="0" w:color="auto"/>
            <w:left w:val="none" w:sz="0" w:space="0" w:color="auto"/>
            <w:bottom w:val="none" w:sz="0" w:space="0" w:color="auto"/>
            <w:right w:val="none" w:sz="0" w:space="0" w:color="auto"/>
          </w:divBdr>
          <w:divsChild>
            <w:div w:id="1365902369">
              <w:marLeft w:val="0"/>
              <w:marRight w:val="0"/>
              <w:marTop w:val="0"/>
              <w:marBottom w:val="0"/>
              <w:divBdr>
                <w:top w:val="none" w:sz="0" w:space="0" w:color="auto"/>
                <w:left w:val="none" w:sz="0" w:space="0" w:color="auto"/>
                <w:bottom w:val="none" w:sz="0" w:space="0" w:color="auto"/>
                <w:right w:val="none" w:sz="0" w:space="0" w:color="auto"/>
              </w:divBdr>
            </w:div>
          </w:divsChild>
        </w:div>
        <w:div w:id="2142725174">
          <w:marLeft w:val="0"/>
          <w:marRight w:val="0"/>
          <w:marTop w:val="0"/>
          <w:marBottom w:val="0"/>
          <w:divBdr>
            <w:top w:val="none" w:sz="0" w:space="0" w:color="auto"/>
            <w:left w:val="none" w:sz="0" w:space="0" w:color="auto"/>
            <w:bottom w:val="none" w:sz="0" w:space="0" w:color="auto"/>
            <w:right w:val="none" w:sz="0" w:space="0" w:color="auto"/>
          </w:divBdr>
          <w:divsChild>
            <w:div w:id="10354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8045">
      <w:bodyDiv w:val="1"/>
      <w:marLeft w:val="0"/>
      <w:marRight w:val="0"/>
      <w:marTop w:val="0"/>
      <w:marBottom w:val="0"/>
      <w:divBdr>
        <w:top w:val="none" w:sz="0" w:space="0" w:color="auto"/>
        <w:left w:val="none" w:sz="0" w:space="0" w:color="auto"/>
        <w:bottom w:val="none" w:sz="0" w:space="0" w:color="auto"/>
        <w:right w:val="none" w:sz="0" w:space="0" w:color="auto"/>
      </w:divBdr>
    </w:div>
    <w:div w:id="1292521163">
      <w:bodyDiv w:val="1"/>
      <w:marLeft w:val="0"/>
      <w:marRight w:val="0"/>
      <w:marTop w:val="0"/>
      <w:marBottom w:val="0"/>
      <w:divBdr>
        <w:top w:val="none" w:sz="0" w:space="0" w:color="auto"/>
        <w:left w:val="none" w:sz="0" w:space="0" w:color="auto"/>
        <w:bottom w:val="none" w:sz="0" w:space="0" w:color="auto"/>
        <w:right w:val="none" w:sz="0" w:space="0" w:color="auto"/>
      </w:divBdr>
    </w:div>
    <w:div w:id="1324161323">
      <w:bodyDiv w:val="1"/>
      <w:marLeft w:val="0"/>
      <w:marRight w:val="0"/>
      <w:marTop w:val="0"/>
      <w:marBottom w:val="0"/>
      <w:divBdr>
        <w:top w:val="none" w:sz="0" w:space="0" w:color="auto"/>
        <w:left w:val="none" w:sz="0" w:space="0" w:color="auto"/>
        <w:bottom w:val="none" w:sz="0" w:space="0" w:color="auto"/>
        <w:right w:val="none" w:sz="0" w:space="0" w:color="auto"/>
      </w:divBdr>
    </w:div>
    <w:div w:id="1324772535">
      <w:bodyDiv w:val="1"/>
      <w:marLeft w:val="0"/>
      <w:marRight w:val="0"/>
      <w:marTop w:val="0"/>
      <w:marBottom w:val="0"/>
      <w:divBdr>
        <w:top w:val="none" w:sz="0" w:space="0" w:color="auto"/>
        <w:left w:val="none" w:sz="0" w:space="0" w:color="auto"/>
        <w:bottom w:val="none" w:sz="0" w:space="0" w:color="auto"/>
        <w:right w:val="none" w:sz="0" w:space="0" w:color="auto"/>
      </w:divBdr>
    </w:div>
    <w:div w:id="1339309416">
      <w:bodyDiv w:val="1"/>
      <w:marLeft w:val="0"/>
      <w:marRight w:val="0"/>
      <w:marTop w:val="0"/>
      <w:marBottom w:val="0"/>
      <w:divBdr>
        <w:top w:val="none" w:sz="0" w:space="0" w:color="auto"/>
        <w:left w:val="none" w:sz="0" w:space="0" w:color="auto"/>
        <w:bottom w:val="none" w:sz="0" w:space="0" w:color="auto"/>
        <w:right w:val="none" w:sz="0" w:space="0" w:color="auto"/>
      </w:divBdr>
    </w:div>
    <w:div w:id="1342585101">
      <w:bodyDiv w:val="1"/>
      <w:marLeft w:val="0"/>
      <w:marRight w:val="0"/>
      <w:marTop w:val="0"/>
      <w:marBottom w:val="0"/>
      <w:divBdr>
        <w:top w:val="none" w:sz="0" w:space="0" w:color="auto"/>
        <w:left w:val="none" w:sz="0" w:space="0" w:color="auto"/>
        <w:bottom w:val="none" w:sz="0" w:space="0" w:color="auto"/>
        <w:right w:val="none" w:sz="0" w:space="0" w:color="auto"/>
      </w:divBdr>
    </w:div>
    <w:div w:id="1389913486">
      <w:bodyDiv w:val="1"/>
      <w:marLeft w:val="0"/>
      <w:marRight w:val="0"/>
      <w:marTop w:val="0"/>
      <w:marBottom w:val="0"/>
      <w:divBdr>
        <w:top w:val="none" w:sz="0" w:space="0" w:color="auto"/>
        <w:left w:val="none" w:sz="0" w:space="0" w:color="auto"/>
        <w:bottom w:val="none" w:sz="0" w:space="0" w:color="auto"/>
        <w:right w:val="none" w:sz="0" w:space="0" w:color="auto"/>
      </w:divBdr>
    </w:div>
    <w:div w:id="1535271249">
      <w:bodyDiv w:val="1"/>
      <w:marLeft w:val="0"/>
      <w:marRight w:val="0"/>
      <w:marTop w:val="0"/>
      <w:marBottom w:val="0"/>
      <w:divBdr>
        <w:top w:val="none" w:sz="0" w:space="0" w:color="auto"/>
        <w:left w:val="none" w:sz="0" w:space="0" w:color="auto"/>
        <w:bottom w:val="none" w:sz="0" w:space="0" w:color="auto"/>
        <w:right w:val="none" w:sz="0" w:space="0" w:color="auto"/>
      </w:divBdr>
    </w:div>
    <w:div w:id="1542785253">
      <w:bodyDiv w:val="1"/>
      <w:marLeft w:val="0"/>
      <w:marRight w:val="0"/>
      <w:marTop w:val="0"/>
      <w:marBottom w:val="0"/>
      <w:divBdr>
        <w:top w:val="none" w:sz="0" w:space="0" w:color="auto"/>
        <w:left w:val="none" w:sz="0" w:space="0" w:color="auto"/>
        <w:bottom w:val="none" w:sz="0" w:space="0" w:color="auto"/>
        <w:right w:val="none" w:sz="0" w:space="0" w:color="auto"/>
      </w:divBdr>
    </w:div>
    <w:div w:id="1580745989">
      <w:bodyDiv w:val="1"/>
      <w:marLeft w:val="0"/>
      <w:marRight w:val="0"/>
      <w:marTop w:val="0"/>
      <w:marBottom w:val="0"/>
      <w:divBdr>
        <w:top w:val="none" w:sz="0" w:space="0" w:color="auto"/>
        <w:left w:val="none" w:sz="0" w:space="0" w:color="auto"/>
        <w:bottom w:val="none" w:sz="0" w:space="0" w:color="auto"/>
        <w:right w:val="none" w:sz="0" w:space="0" w:color="auto"/>
      </w:divBdr>
    </w:div>
    <w:div w:id="1601793712">
      <w:bodyDiv w:val="1"/>
      <w:marLeft w:val="0"/>
      <w:marRight w:val="0"/>
      <w:marTop w:val="0"/>
      <w:marBottom w:val="0"/>
      <w:divBdr>
        <w:top w:val="none" w:sz="0" w:space="0" w:color="auto"/>
        <w:left w:val="none" w:sz="0" w:space="0" w:color="auto"/>
        <w:bottom w:val="none" w:sz="0" w:space="0" w:color="auto"/>
        <w:right w:val="none" w:sz="0" w:space="0" w:color="auto"/>
      </w:divBdr>
      <w:divsChild>
        <w:div w:id="1884323181">
          <w:marLeft w:val="360"/>
          <w:marRight w:val="0"/>
          <w:marTop w:val="200"/>
          <w:marBottom w:val="0"/>
          <w:divBdr>
            <w:top w:val="none" w:sz="0" w:space="0" w:color="auto"/>
            <w:left w:val="none" w:sz="0" w:space="0" w:color="auto"/>
            <w:bottom w:val="none" w:sz="0" w:space="0" w:color="auto"/>
            <w:right w:val="none" w:sz="0" w:space="0" w:color="auto"/>
          </w:divBdr>
        </w:div>
      </w:divsChild>
    </w:div>
    <w:div w:id="1619608051">
      <w:bodyDiv w:val="1"/>
      <w:marLeft w:val="0"/>
      <w:marRight w:val="0"/>
      <w:marTop w:val="0"/>
      <w:marBottom w:val="0"/>
      <w:divBdr>
        <w:top w:val="none" w:sz="0" w:space="0" w:color="auto"/>
        <w:left w:val="none" w:sz="0" w:space="0" w:color="auto"/>
        <w:bottom w:val="none" w:sz="0" w:space="0" w:color="auto"/>
        <w:right w:val="none" w:sz="0" w:space="0" w:color="auto"/>
      </w:divBdr>
    </w:div>
    <w:div w:id="1701054774">
      <w:bodyDiv w:val="1"/>
      <w:marLeft w:val="0"/>
      <w:marRight w:val="0"/>
      <w:marTop w:val="0"/>
      <w:marBottom w:val="0"/>
      <w:divBdr>
        <w:top w:val="none" w:sz="0" w:space="0" w:color="auto"/>
        <w:left w:val="none" w:sz="0" w:space="0" w:color="auto"/>
        <w:bottom w:val="none" w:sz="0" w:space="0" w:color="auto"/>
        <w:right w:val="none" w:sz="0" w:space="0" w:color="auto"/>
      </w:divBdr>
    </w:div>
    <w:div w:id="1720206195">
      <w:bodyDiv w:val="1"/>
      <w:marLeft w:val="0"/>
      <w:marRight w:val="0"/>
      <w:marTop w:val="0"/>
      <w:marBottom w:val="0"/>
      <w:divBdr>
        <w:top w:val="none" w:sz="0" w:space="0" w:color="auto"/>
        <w:left w:val="none" w:sz="0" w:space="0" w:color="auto"/>
        <w:bottom w:val="none" w:sz="0" w:space="0" w:color="auto"/>
        <w:right w:val="none" w:sz="0" w:space="0" w:color="auto"/>
      </w:divBdr>
    </w:div>
    <w:div w:id="1729840189">
      <w:bodyDiv w:val="1"/>
      <w:marLeft w:val="0"/>
      <w:marRight w:val="0"/>
      <w:marTop w:val="0"/>
      <w:marBottom w:val="0"/>
      <w:divBdr>
        <w:top w:val="none" w:sz="0" w:space="0" w:color="auto"/>
        <w:left w:val="none" w:sz="0" w:space="0" w:color="auto"/>
        <w:bottom w:val="none" w:sz="0" w:space="0" w:color="auto"/>
        <w:right w:val="none" w:sz="0" w:space="0" w:color="auto"/>
      </w:divBdr>
    </w:div>
    <w:div w:id="1734161944">
      <w:bodyDiv w:val="1"/>
      <w:marLeft w:val="0"/>
      <w:marRight w:val="0"/>
      <w:marTop w:val="0"/>
      <w:marBottom w:val="0"/>
      <w:divBdr>
        <w:top w:val="none" w:sz="0" w:space="0" w:color="auto"/>
        <w:left w:val="none" w:sz="0" w:space="0" w:color="auto"/>
        <w:bottom w:val="none" w:sz="0" w:space="0" w:color="auto"/>
        <w:right w:val="none" w:sz="0" w:space="0" w:color="auto"/>
      </w:divBdr>
    </w:div>
    <w:div w:id="1758481051">
      <w:bodyDiv w:val="1"/>
      <w:marLeft w:val="0"/>
      <w:marRight w:val="0"/>
      <w:marTop w:val="0"/>
      <w:marBottom w:val="0"/>
      <w:divBdr>
        <w:top w:val="none" w:sz="0" w:space="0" w:color="auto"/>
        <w:left w:val="none" w:sz="0" w:space="0" w:color="auto"/>
        <w:bottom w:val="none" w:sz="0" w:space="0" w:color="auto"/>
        <w:right w:val="none" w:sz="0" w:space="0" w:color="auto"/>
      </w:divBdr>
    </w:div>
    <w:div w:id="1839228701">
      <w:bodyDiv w:val="1"/>
      <w:marLeft w:val="0"/>
      <w:marRight w:val="0"/>
      <w:marTop w:val="0"/>
      <w:marBottom w:val="0"/>
      <w:divBdr>
        <w:top w:val="none" w:sz="0" w:space="0" w:color="auto"/>
        <w:left w:val="none" w:sz="0" w:space="0" w:color="auto"/>
        <w:bottom w:val="none" w:sz="0" w:space="0" w:color="auto"/>
        <w:right w:val="none" w:sz="0" w:space="0" w:color="auto"/>
      </w:divBdr>
    </w:div>
    <w:div w:id="1878926804">
      <w:bodyDiv w:val="1"/>
      <w:marLeft w:val="0"/>
      <w:marRight w:val="0"/>
      <w:marTop w:val="0"/>
      <w:marBottom w:val="0"/>
      <w:divBdr>
        <w:top w:val="none" w:sz="0" w:space="0" w:color="auto"/>
        <w:left w:val="none" w:sz="0" w:space="0" w:color="auto"/>
        <w:bottom w:val="none" w:sz="0" w:space="0" w:color="auto"/>
        <w:right w:val="none" w:sz="0" w:space="0" w:color="auto"/>
      </w:divBdr>
    </w:div>
    <w:div w:id="1914462347">
      <w:bodyDiv w:val="1"/>
      <w:marLeft w:val="0"/>
      <w:marRight w:val="0"/>
      <w:marTop w:val="0"/>
      <w:marBottom w:val="0"/>
      <w:divBdr>
        <w:top w:val="none" w:sz="0" w:space="0" w:color="auto"/>
        <w:left w:val="none" w:sz="0" w:space="0" w:color="auto"/>
        <w:bottom w:val="none" w:sz="0" w:space="0" w:color="auto"/>
        <w:right w:val="none" w:sz="0" w:space="0" w:color="auto"/>
      </w:divBdr>
    </w:div>
    <w:div w:id="1938711116">
      <w:bodyDiv w:val="1"/>
      <w:marLeft w:val="0"/>
      <w:marRight w:val="0"/>
      <w:marTop w:val="0"/>
      <w:marBottom w:val="0"/>
      <w:divBdr>
        <w:top w:val="none" w:sz="0" w:space="0" w:color="auto"/>
        <w:left w:val="none" w:sz="0" w:space="0" w:color="auto"/>
        <w:bottom w:val="none" w:sz="0" w:space="0" w:color="auto"/>
        <w:right w:val="none" w:sz="0" w:space="0" w:color="auto"/>
      </w:divBdr>
      <w:divsChild>
        <w:div w:id="1786244">
          <w:marLeft w:val="0"/>
          <w:marRight w:val="0"/>
          <w:marTop w:val="0"/>
          <w:marBottom w:val="0"/>
          <w:divBdr>
            <w:top w:val="none" w:sz="0" w:space="0" w:color="auto"/>
            <w:left w:val="none" w:sz="0" w:space="0" w:color="auto"/>
            <w:bottom w:val="none" w:sz="0" w:space="0" w:color="auto"/>
            <w:right w:val="none" w:sz="0" w:space="0" w:color="auto"/>
          </w:divBdr>
          <w:divsChild>
            <w:div w:id="1512572912">
              <w:marLeft w:val="0"/>
              <w:marRight w:val="0"/>
              <w:marTop w:val="0"/>
              <w:marBottom w:val="0"/>
              <w:divBdr>
                <w:top w:val="none" w:sz="0" w:space="0" w:color="auto"/>
                <w:left w:val="none" w:sz="0" w:space="0" w:color="auto"/>
                <w:bottom w:val="none" w:sz="0" w:space="0" w:color="auto"/>
                <w:right w:val="none" w:sz="0" w:space="0" w:color="auto"/>
              </w:divBdr>
            </w:div>
          </w:divsChild>
        </w:div>
        <w:div w:id="3093718">
          <w:marLeft w:val="0"/>
          <w:marRight w:val="0"/>
          <w:marTop w:val="0"/>
          <w:marBottom w:val="0"/>
          <w:divBdr>
            <w:top w:val="none" w:sz="0" w:space="0" w:color="auto"/>
            <w:left w:val="none" w:sz="0" w:space="0" w:color="auto"/>
            <w:bottom w:val="none" w:sz="0" w:space="0" w:color="auto"/>
            <w:right w:val="none" w:sz="0" w:space="0" w:color="auto"/>
          </w:divBdr>
          <w:divsChild>
            <w:div w:id="1963029605">
              <w:marLeft w:val="0"/>
              <w:marRight w:val="0"/>
              <w:marTop w:val="0"/>
              <w:marBottom w:val="0"/>
              <w:divBdr>
                <w:top w:val="none" w:sz="0" w:space="0" w:color="auto"/>
                <w:left w:val="none" w:sz="0" w:space="0" w:color="auto"/>
                <w:bottom w:val="none" w:sz="0" w:space="0" w:color="auto"/>
                <w:right w:val="none" w:sz="0" w:space="0" w:color="auto"/>
              </w:divBdr>
            </w:div>
          </w:divsChild>
        </w:div>
        <w:div w:id="36322542">
          <w:marLeft w:val="0"/>
          <w:marRight w:val="0"/>
          <w:marTop w:val="0"/>
          <w:marBottom w:val="0"/>
          <w:divBdr>
            <w:top w:val="none" w:sz="0" w:space="0" w:color="auto"/>
            <w:left w:val="none" w:sz="0" w:space="0" w:color="auto"/>
            <w:bottom w:val="none" w:sz="0" w:space="0" w:color="auto"/>
            <w:right w:val="none" w:sz="0" w:space="0" w:color="auto"/>
          </w:divBdr>
          <w:divsChild>
            <w:div w:id="1348680655">
              <w:marLeft w:val="0"/>
              <w:marRight w:val="0"/>
              <w:marTop w:val="0"/>
              <w:marBottom w:val="0"/>
              <w:divBdr>
                <w:top w:val="none" w:sz="0" w:space="0" w:color="auto"/>
                <w:left w:val="none" w:sz="0" w:space="0" w:color="auto"/>
                <w:bottom w:val="none" w:sz="0" w:space="0" w:color="auto"/>
                <w:right w:val="none" w:sz="0" w:space="0" w:color="auto"/>
              </w:divBdr>
            </w:div>
          </w:divsChild>
        </w:div>
        <w:div w:id="39212399">
          <w:marLeft w:val="0"/>
          <w:marRight w:val="0"/>
          <w:marTop w:val="0"/>
          <w:marBottom w:val="0"/>
          <w:divBdr>
            <w:top w:val="none" w:sz="0" w:space="0" w:color="auto"/>
            <w:left w:val="none" w:sz="0" w:space="0" w:color="auto"/>
            <w:bottom w:val="none" w:sz="0" w:space="0" w:color="auto"/>
            <w:right w:val="none" w:sz="0" w:space="0" w:color="auto"/>
          </w:divBdr>
          <w:divsChild>
            <w:div w:id="891386952">
              <w:marLeft w:val="0"/>
              <w:marRight w:val="0"/>
              <w:marTop w:val="0"/>
              <w:marBottom w:val="0"/>
              <w:divBdr>
                <w:top w:val="none" w:sz="0" w:space="0" w:color="auto"/>
                <w:left w:val="none" w:sz="0" w:space="0" w:color="auto"/>
                <w:bottom w:val="none" w:sz="0" w:space="0" w:color="auto"/>
                <w:right w:val="none" w:sz="0" w:space="0" w:color="auto"/>
              </w:divBdr>
            </w:div>
          </w:divsChild>
        </w:div>
        <w:div w:id="67461294">
          <w:marLeft w:val="0"/>
          <w:marRight w:val="0"/>
          <w:marTop w:val="0"/>
          <w:marBottom w:val="0"/>
          <w:divBdr>
            <w:top w:val="none" w:sz="0" w:space="0" w:color="auto"/>
            <w:left w:val="none" w:sz="0" w:space="0" w:color="auto"/>
            <w:bottom w:val="none" w:sz="0" w:space="0" w:color="auto"/>
            <w:right w:val="none" w:sz="0" w:space="0" w:color="auto"/>
          </w:divBdr>
          <w:divsChild>
            <w:div w:id="1416393209">
              <w:marLeft w:val="0"/>
              <w:marRight w:val="0"/>
              <w:marTop w:val="0"/>
              <w:marBottom w:val="0"/>
              <w:divBdr>
                <w:top w:val="none" w:sz="0" w:space="0" w:color="auto"/>
                <w:left w:val="none" w:sz="0" w:space="0" w:color="auto"/>
                <w:bottom w:val="none" w:sz="0" w:space="0" w:color="auto"/>
                <w:right w:val="none" w:sz="0" w:space="0" w:color="auto"/>
              </w:divBdr>
            </w:div>
          </w:divsChild>
        </w:div>
        <w:div w:id="69931885">
          <w:marLeft w:val="0"/>
          <w:marRight w:val="0"/>
          <w:marTop w:val="0"/>
          <w:marBottom w:val="0"/>
          <w:divBdr>
            <w:top w:val="none" w:sz="0" w:space="0" w:color="auto"/>
            <w:left w:val="none" w:sz="0" w:space="0" w:color="auto"/>
            <w:bottom w:val="none" w:sz="0" w:space="0" w:color="auto"/>
            <w:right w:val="none" w:sz="0" w:space="0" w:color="auto"/>
          </w:divBdr>
          <w:divsChild>
            <w:div w:id="144588881">
              <w:marLeft w:val="0"/>
              <w:marRight w:val="0"/>
              <w:marTop w:val="0"/>
              <w:marBottom w:val="0"/>
              <w:divBdr>
                <w:top w:val="none" w:sz="0" w:space="0" w:color="auto"/>
                <w:left w:val="none" w:sz="0" w:space="0" w:color="auto"/>
                <w:bottom w:val="none" w:sz="0" w:space="0" w:color="auto"/>
                <w:right w:val="none" w:sz="0" w:space="0" w:color="auto"/>
              </w:divBdr>
            </w:div>
          </w:divsChild>
        </w:div>
        <w:div w:id="104810780">
          <w:marLeft w:val="0"/>
          <w:marRight w:val="0"/>
          <w:marTop w:val="0"/>
          <w:marBottom w:val="0"/>
          <w:divBdr>
            <w:top w:val="none" w:sz="0" w:space="0" w:color="auto"/>
            <w:left w:val="none" w:sz="0" w:space="0" w:color="auto"/>
            <w:bottom w:val="none" w:sz="0" w:space="0" w:color="auto"/>
            <w:right w:val="none" w:sz="0" w:space="0" w:color="auto"/>
          </w:divBdr>
          <w:divsChild>
            <w:div w:id="2007660436">
              <w:marLeft w:val="0"/>
              <w:marRight w:val="0"/>
              <w:marTop w:val="0"/>
              <w:marBottom w:val="0"/>
              <w:divBdr>
                <w:top w:val="none" w:sz="0" w:space="0" w:color="auto"/>
                <w:left w:val="none" w:sz="0" w:space="0" w:color="auto"/>
                <w:bottom w:val="none" w:sz="0" w:space="0" w:color="auto"/>
                <w:right w:val="none" w:sz="0" w:space="0" w:color="auto"/>
              </w:divBdr>
            </w:div>
          </w:divsChild>
        </w:div>
        <w:div w:id="111747625">
          <w:marLeft w:val="0"/>
          <w:marRight w:val="0"/>
          <w:marTop w:val="0"/>
          <w:marBottom w:val="0"/>
          <w:divBdr>
            <w:top w:val="none" w:sz="0" w:space="0" w:color="auto"/>
            <w:left w:val="none" w:sz="0" w:space="0" w:color="auto"/>
            <w:bottom w:val="none" w:sz="0" w:space="0" w:color="auto"/>
            <w:right w:val="none" w:sz="0" w:space="0" w:color="auto"/>
          </w:divBdr>
          <w:divsChild>
            <w:div w:id="910699003">
              <w:marLeft w:val="0"/>
              <w:marRight w:val="0"/>
              <w:marTop w:val="0"/>
              <w:marBottom w:val="0"/>
              <w:divBdr>
                <w:top w:val="none" w:sz="0" w:space="0" w:color="auto"/>
                <w:left w:val="none" w:sz="0" w:space="0" w:color="auto"/>
                <w:bottom w:val="none" w:sz="0" w:space="0" w:color="auto"/>
                <w:right w:val="none" w:sz="0" w:space="0" w:color="auto"/>
              </w:divBdr>
            </w:div>
          </w:divsChild>
        </w:div>
        <w:div w:id="117719599">
          <w:marLeft w:val="0"/>
          <w:marRight w:val="0"/>
          <w:marTop w:val="0"/>
          <w:marBottom w:val="0"/>
          <w:divBdr>
            <w:top w:val="none" w:sz="0" w:space="0" w:color="auto"/>
            <w:left w:val="none" w:sz="0" w:space="0" w:color="auto"/>
            <w:bottom w:val="none" w:sz="0" w:space="0" w:color="auto"/>
            <w:right w:val="none" w:sz="0" w:space="0" w:color="auto"/>
          </w:divBdr>
          <w:divsChild>
            <w:div w:id="116679657">
              <w:marLeft w:val="0"/>
              <w:marRight w:val="0"/>
              <w:marTop w:val="0"/>
              <w:marBottom w:val="0"/>
              <w:divBdr>
                <w:top w:val="none" w:sz="0" w:space="0" w:color="auto"/>
                <w:left w:val="none" w:sz="0" w:space="0" w:color="auto"/>
                <w:bottom w:val="none" w:sz="0" w:space="0" w:color="auto"/>
                <w:right w:val="none" w:sz="0" w:space="0" w:color="auto"/>
              </w:divBdr>
            </w:div>
          </w:divsChild>
        </w:div>
        <w:div w:id="135608727">
          <w:marLeft w:val="0"/>
          <w:marRight w:val="0"/>
          <w:marTop w:val="0"/>
          <w:marBottom w:val="0"/>
          <w:divBdr>
            <w:top w:val="none" w:sz="0" w:space="0" w:color="auto"/>
            <w:left w:val="none" w:sz="0" w:space="0" w:color="auto"/>
            <w:bottom w:val="none" w:sz="0" w:space="0" w:color="auto"/>
            <w:right w:val="none" w:sz="0" w:space="0" w:color="auto"/>
          </w:divBdr>
          <w:divsChild>
            <w:div w:id="227573155">
              <w:marLeft w:val="0"/>
              <w:marRight w:val="0"/>
              <w:marTop w:val="0"/>
              <w:marBottom w:val="0"/>
              <w:divBdr>
                <w:top w:val="none" w:sz="0" w:space="0" w:color="auto"/>
                <w:left w:val="none" w:sz="0" w:space="0" w:color="auto"/>
                <w:bottom w:val="none" w:sz="0" w:space="0" w:color="auto"/>
                <w:right w:val="none" w:sz="0" w:space="0" w:color="auto"/>
              </w:divBdr>
            </w:div>
          </w:divsChild>
        </w:div>
        <w:div w:id="146557478">
          <w:marLeft w:val="0"/>
          <w:marRight w:val="0"/>
          <w:marTop w:val="0"/>
          <w:marBottom w:val="0"/>
          <w:divBdr>
            <w:top w:val="none" w:sz="0" w:space="0" w:color="auto"/>
            <w:left w:val="none" w:sz="0" w:space="0" w:color="auto"/>
            <w:bottom w:val="none" w:sz="0" w:space="0" w:color="auto"/>
            <w:right w:val="none" w:sz="0" w:space="0" w:color="auto"/>
          </w:divBdr>
          <w:divsChild>
            <w:div w:id="2074114817">
              <w:marLeft w:val="0"/>
              <w:marRight w:val="0"/>
              <w:marTop w:val="0"/>
              <w:marBottom w:val="0"/>
              <w:divBdr>
                <w:top w:val="none" w:sz="0" w:space="0" w:color="auto"/>
                <w:left w:val="none" w:sz="0" w:space="0" w:color="auto"/>
                <w:bottom w:val="none" w:sz="0" w:space="0" w:color="auto"/>
                <w:right w:val="none" w:sz="0" w:space="0" w:color="auto"/>
              </w:divBdr>
            </w:div>
          </w:divsChild>
        </w:div>
        <w:div w:id="154995713">
          <w:marLeft w:val="0"/>
          <w:marRight w:val="0"/>
          <w:marTop w:val="0"/>
          <w:marBottom w:val="0"/>
          <w:divBdr>
            <w:top w:val="none" w:sz="0" w:space="0" w:color="auto"/>
            <w:left w:val="none" w:sz="0" w:space="0" w:color="auto"/>
            <w:bottom w:val="none" w:sz="0" w:space="0" w:color="auto"/>
            <w:right w:val="none" w:sz="0" w:space="0" w:color="auto"/>
          </w:divBdr>
          <w:divsChild>
            <w:div w:id="1877346255">
              <w:marLeft w:val="0"/>
              <w:marRight w:val="0"/>
              <w:marTop w:val="0"/>
              <w:marBottom w:val="0"/>
              <w:divBdr>
                <w:top w:val="none" w:sz="0" w:space="0" w:color="auto"/>
                <w:left w:val="none" w:sz="0" w:space="0" w:color="auto"/>
                <w:bottom w:val="none" w:sz="0" w:space="0" w:color="auto"/>
                <w:right w:val="none" w:sz="0" w:space="0" w:color="auto"/>
              </w:divBdr>
            </w:div>
          </w:divsChild>
        </w:div>
        <w:div w:id="208305643">
          <w:marLeft w:val="0"/>
          <w:marRight w:val="0"/>
          <w:marTop w:val="0"/>
          <w:marBottom w:val="0"/>
          <w:divBdr>
            <w:top w:val="none" w:sz="0" w:space="0" w:color="auto"/>
            <w:left w:val="none" w:sz="0" w:space="0" w:color="auto"/>
            <w:bottom w:val="none" w:sz="0" w:space="0" w:color="auto"/>
            <w:right w:val="none" w:sz="0" w:space="0" w:color="auto"/>
          </w:divBdr>
          <w:divsChild>
            <w:div w:id="1242719106">
              <w:marLeft w:val="0"/>
              <w:marRight w:val="0"/>
              <w:marTop w:val="0"/>
              <w:marBottom w:val="0"/>
              <w:divBdr>
                <w:top w:val="none" w:sz="0" w:space="0" w:color="auto"/>
                <w:left w:val="none" w:sz="0" w:space="0" w:color="auto"/>
                <w:bottom w:val="none" w:sz="0" w:space="0" w:color="auto"/>
                <w:right w:val="none" w:sz="0" w:space="0" w:color="auto"/>
              </w:divBdr>
            </w:div>
          </w:divsChild>
        </w:div>
        <w:div w:id="211119769">
          <w:marLeft w:val="0"/>
          <w:marRight w:val="0"/>
          <w:marTop w:val="0"/>
          <w:marBottom w:val="0"/>
          <w:divBdr>
            <w:top w:val="none" w:sz="0" w:space="0" w:color="auto"/>
            <w:left w:val="none" w:sz="0" w:space="0" w:color="auto"/>
            <w:bottom w:val="none" w:sz="0" w:space="0" w:color="auto"/>
            <w:right w:val="none" w:sz="0" w:space="0" w:color="auto"/>
          </w:divBdr>
          <w:divsChild>
            <w:div w:id="1125851686">
              <w:marLeft w:val="0"/>
              <w:marRight w:val="0"/>
              <w:marTop w:val="0"/>
              <w:marBottom w:val="0"/>
              <w:divBdr>
                <w:top w:val="none" w:sz="0" w:space="0" w:color="auto"/>
                <w:left w:val="none" w:sz="0" w:space="0" w:color="auto"/>
                <w:bottom w:val="none" w:sz="0" w:space="0" w:color="auto"/>
                <w:right w:val="none" w:sz="0" w:space="0" w:color="auto"/>
              </w:divBdr>
            </w:div>
          </w:divsChild>
        </w:div>
        <w:div w:id="215312538">
          <w:marLeft w:val="0"/>
          <w:marRight w:val="0"/>
          <w:marTop w:val="0"/>
          <w:marBottom w:val="0"/>
          <w:divBdr>
            <w:top w:val="none" w:sz="0" w:space="0" w:color="auto"/>
            <w:left w:val="none" w:sz="0" w:space="0" w:color="auto"/>
            <w:bottom w:val="none" w:sz="0" w:space="0" w:color="auto"/>
            <w:right w:val="none" w:sz="0" w:space="0" w:color="auto"/>
          </w:divBdr>
          <w:divsChild>
            <w:div w:id="1760710128">
              <w:marLeft w:val="0"/>
              <w:marRight w:val="0"/>
              <w:marTop w:val="0"/>
              <w:marBottom w:val="0"/>
              <w:divBdr>
                <w:top w:val="none" w:sz="0" w:space="0" w:color="auto"/>
                <w:left w:val="none" w:sz="0" w:space="0" w:color="auto"/>
                <w:bottom w:val="none" w:sz="0" w:space="0" w:color="auto"/>
                <w:right w:val="none" w:sz="0" w:space="0" w:color="auto"/>
              </w:divBdr>
            </w:div>
          </w:divsChild>
        </w:div>
        <w:div w:id="228468631">
          <w:marLeft w:val="0"/>
          <w:marRight w:val="0"/>
          <w:marTop w:val="0"/>
          <w:marBottom w:val="0"/>
          <w:divBdr>
            <w:top w:val="none" w:sz="0" w:space="0" w:color="auto"/>
            <w:left w:val="none" w:sz="0" w:space="0" w:color="auto"/>
            <w:bottom w:val="none" w:sz="0" w:space="0" w:color="auto"/>
            <w:right w:val="none" w:sz="0" w:space="0" w:color="auto"/>
          </w:divBdr>
          <w:divsChild>
            <w:div w:id="936866871">
              <w:marLeft w:val="0"/>
              <w:marRight w:val="0"/>
              <w:marTop w:val="0"/>
              <w:marBottom w:val="0"/>
              <w:divBdr>
                <w:top w:val="none" w:sz="0" w:space="0" w:color="auto"/>
                <w:left w:val="none" w:sz="0" w:space="0" w:color="auto"/>
                <w:bottom w:val="none" w:sz="0" w:space="0" w:color="auto"/>
                <w:right w:val="none" w:sz="0" w:space="0" w:color="auto"/>
              </w:divBdr>
            </w:div>
          </w:divsChild>
        </w:div>
        <w:div w:id="264776172">
          <w:marLeft w:val="0"/>
          <w:marRight w:val="0"/>
          <w:marTop w:val="0"/>
          <w:marBottom w:val="0"/>
          <w:divBdr>
            <w:top w:val="none" w:sz="0" w:space="0" w:color="auto"/>
            <w:left w:val="none" w:sz="0" w:space="0" w:color="auto"/>
            <w:bottom w:val="none" w:sz="0" w:space="0" w:color="auto"/>
            <w:right w:val="none" w:sz="0" w:space="0" w:color="auto"/>
          </w:divBdr>
          <w:divsChild>
            <w:div w:id="571045286">
              <w:marLeft w:val="0"/>
              <w:marRight w:val="0"/>
              <w:marTop w:val="0"/>
              <w:marBottom w:val="0"/>
              <w:divBdr>
                <w:top w:val="none" w:sz="0" w:space="0" w:color="auto"/>
                <w:left w:val="none" w:sz="0" w:space="0" w:color="auto"/>
                <w:bottom w:val="none" w:sz="0" w:space="0" w:color="auto"/>
                <w:right w:val="none" w:sz="0" w:space="0" w:color="auto"/>
              </w:divBdr>
            </w:div>
          </w:divsChild>
        </w:div>
        <w:div w:id="274335077">
          <w:marLeft w:val="0"/>
          <w:marRight w:val="0"/>
          <w:marTop w:val="0"/>
          <w:marBottom w:val="0"/>
          <w:divBdr>
            <w:top w:val="none" w:sz="0" w:space="0" w:color="auto"/>
            <w:left w:val="none" w:sz="0" w:space="0" w:color="auto"/>
            <w:bottom w:val="none" w:sz="0" w:space="0" w:color="auto"/>
            <w:right w:val="none" w:sz="0" w:space="0" w:color="auto"/>
          </w:divBdr>
          <w:divsChild>
            <w:div w:id="1947074717">
              <w:marLeft w:val="0"/>
              <w:marRight w:val="0"/>
              <w:marTop w:val="0"/>
              <w:marBottom w:val="0"/>
              <w:divBdr>
                <w:top w:val="none" w:sz="0" w:space="0" w:color="auto"/>
                <w:left w:val="none" w:sz="0" w:space="0" w:color="auto"/>
                <w:bottom w:val="none" w:sz="0" w:space="0" w:color="auto"/>
                <w:right w:val="none" w:sz="0" w:space="0" w:color="auto"/>
              </w:divBdr>
            </w:div>
          </w:divsChild>
        </w:div>
        <w:div w:id="291251230">
          <w:marLeft w:val="0"/>
          <w:marRight w:val="0"/>
          <w:marTop w:val="0"/>
          <w:marBottom w:val="0"/>
          <w:divBdr>
            <w:top w:val="none" w:sz="0" w:space="0" w:color="auto"/>
            <w:left w:val="none" w:sz="0" w:space="0" w:color="auto"/>
            <w:bottom w:val="none" w:sz="0" w:space="0" w:color="auto"/>
            <w:right w:val="none" w:sz="0" w:space="0" w:color="auto"/>
          </w:divBdr>
          <w:divsChild>
            <w:div w:id="304506654">
              <w:marLeft w:val="0"/>
              <w:marRight w:val="0"/>
              <w:marTop w:val="0"/>
              <w:marBottom w:val="0"/>
              <w:divBdr>
                <w:top w:val="none" w:sz="0" w:space="0" w:color="auto"/>
                <w:left w:val="none" w:sz="0" w:space="0" w:color="auto"/>
                <w:bottom w:val="none" w:sz="0" w:space="0" w:color="auto"/>
                <w:right w:val="none" w:sz="0" w:space="0" w:color="auto"/>
              </w:divBdr>
            </w:div>
          </w:divsChild>
        </w:div>
        <w:div w:id="292098366">
          <w:marLeft w:val="0"/>
          <w:marRight w:val="0"/>
          <w:marTop w:val="0"/>
          <w:marBottom w:val="0"/>
          <w:divBdr>
            <w:top w:val="none" w:sz="0" w:space="0" w:color="auto"/>
            <w:left w:val="none" w:sz="0" w:space="0" w:color="auto"/>
            <w:bottom w:val="none" w:sz="0" w:space="0" w:color="auto"/>
            <w:right w:val="none" w:sz="0" w:space="0" w:color="auto"/>
          </w:divBdr>
          <w:divsChild>
            <w:div w:id="353966219">
              <w:marLeft w:val="0"/>
              <w:marRight w:val="0"/>
              <w:marTop w:val="0"/>
              <w:marBottom w:val="0"/>
              <w:divBdr>
                <w:top w:val="none" w:sz="0" w:space="0" w:color="auto"/>
                <w:left w:val="none" w:sz="0" w:space="0" w:color="auto"/>
                <w:bottom w:val="none" w:sz="0" w:space="0" w:color="auto"/>
                <w:right w:val="none" w:sz="0" w:space="0" w:color="auto"/>
              </w:divBdr>
            </w:div>
          </w:divsChild>
        </w:div>
        <w:div w:id="298531425">
          <w:marLeft w:val="0"/>
          <w:marRight w:val="0"/>
          <w:marTop w:val="0"/>
          <w:marBottom w:val="0"/>
          <w:divBdr>
            <w:top w:val="none" w:sz="0" w:space="0" w:color="auto"/>
            <w:left w:val="none" w:sz="0" w:space="0" w:color="auto"/>
            <w:bottom w:val="none" w:sz="0" w:space="0" w:color="auto"/>
            <w:right w:val="none" w:sz="0" w:space="0" w:color="auto"/>
          </w:divBdr>
          <w:divsChild>
            <w:div w:id="321860842">
              <w:marLeft w:val="0"/>
              <w:marRight w:val="0"/>
              <w:marTop w:val="0"/>
              <w:marBottom w:val="0"/>
              <w:divBdr>
                <w:top w:val="none" w:sz="0" w:space="0" w:color="auto"/>
                <w:left w:val="none" w:sz="0" w:space="0" w:color="auto"/>
                <w:bottom w:val="none" w:sz="0" w:space="0" w:color="auto"/>
                <w:right w:val="none" w:sz="0" w:space="0" w:color="auto"/>
              </w:divBdr>
            </w:div>
          </w:divsChild>
        </w:div>
        <w:div w:id="306323630">
          <w:marLeft w:val="0"/>
          <w:marRight w:val="0"/>
          <w:marTop w:val="0"/>
          <w:marBottom w:val="0"/>
          <w:divBdr>
            <w:top w:val="none" w:sz="0" w:space="0" w:color="auto"/>
            <w:left w:val="none" w:sz="0" w:space="0" w:color="auto"/>
            <w:bottom w:val="none" w:sz="0" w:space="0" w:color="auto"/>
            <w:right w:val="none" w:sz="0" w:space="0" w:color="auto"/>
          </w:divBdr>
          <w:divsChild>
            <w:div w:id="1604799834">
              <w:marLeft w:val="0"/>
              <w:marRight w:val="0"/>
              <w:marTop w:val="0"/>
              <w:marBottom w:val="0"/>
              <w:divBdr>
                <w:top w:val="none" w:sz="0" w:space="0" w:color="auto"/>
                <w:left w:val="none" w:sz="0" w:space="0" w:color="auto"/>
                <w:bottom w:val="none" w:sz="0" w:space="0" w:color="auto"/>
                <w:right w:val="none" w:sz="0" w:space="0" w:color="auto"/>
              </w:divBdr>
            </w:div>
          </w:divsChild>
        </w:div>
        <w:div w:id="311326964">
          <w:marLeft w:val="0"/>
          <w:marRight w:val="0"/>
          <w:marTop w:val="0"/>
          <w:marBottom w:val="0"/>
          <w:divBdr>
            <w:top w:val="none" w:sz="0" w:space="0" w:color="auto"/>
            <w:left w:val="none" w:sz="0" w:space="0" w:color="auto"/>
            <w:bottom w:val="none" w:sz="0" w:space="0" w:color="auto"/>
            <w:right w:val="none" w:sz="0" w:space="0" w:color="auto"/>
          </w:divBdr>
          <w:divsChild>
            <w:div w:id="1313757344">
              <w:marLeft w:val="0"/>
              <w:marRight w:val="0"/>
              <w:marTop w:val="0"/>
              <w:marBottom w:val="0"/>
              <w:divBdr>
                <w:top w:val="none" w:sz="0" w:space="0" w:color="auto"/>
                <w:left w:val="none" w:sz="0" w:space="0" w:color="auto"/>
                <w:bottom w:val="none" w:sz="0" w:space="0" w:color="auto"/>
                <w:right w:val="none" w:sz="0" w:space="0" w:color="auto"/>
              </w:divBdr>
            </w:div>
          </w:divsChild>
        </w:div>
        <w:div w:id="311565994">
          <w:marLeft w:val="0"/>
          <w:marRight w:val="0"/>
          <w:marTop w:val="0"/>
          <w:marBottom w:val="0"/>
          <w:divBdr>
            <w:top w:val="none" w:sz="0" w:space="0" w:color="auto"/>
            <w:left w:val="none" w:sz="0" w:space="0" w:color="auto"/>
            <w:bottom w:val="none" w:sz="0" w:space="0" w:color="auto"/>
            <w:right w:val="none" w:sz="0" w:space="0" w:color="auto"/>
          </w:divBdr>
          <w:divsChild>
            <w:div w:id="81881296">
              <w:marLeft w:val="0"/>
              <w:marRight w:val="0"/>
              <w:marTop w:val="0"/>
              <w:marBottom w:val="0"/>
              <w:divBdr>
                <w:top w:val="none" w:sz="0" w:space="0" w:color="auto"/>
                <w:left w:val="none" w:sz="0" w:space="0" w:color="auto"/>
                <w:bottom w:val="none" w:sz="0" w:space="0" w:color="auto"/>
                <w:right w:val="none" w:sz="0" w:space="0" w:color="auto"/>
              </w:divBdr>
            </w:div>
          </w:divsChild>
        </w:div>
        <w:div w:id="332688889">
          <w:marLeft w:val="0"/>
          <w:marRight w:val="0"/>
          <w:marTop w:val="0"/>
          <w:marBottom w:val="0"/>
          <w:divBdr>
            <w:top w:val="none" w:sz="0" w:space="0" w:color="auto"/>
            <w:left w:val="none" w:sz="0" w:space="0" w:color="auto"/>
            <w:bottom w:val="none" w:sz="0" w:space="0" w:color="auto"/>
            <w:right w:val="none" w:sz="0" w:space="0" w:color="auto"/>
          </w:divBdr>
          <w:divsChild>
            <w:div w:id="294454603">
              <w:marLeft w:val="0"/>
              <w:marRight w:val="0"/>
              <w:marTop w:val="0"/>
              <w:marBottom w:val="0"/>
              <w:divBdr>
                <w:top w:val="none" w:sz="0" w:space="0" w:color="auto"/>
                <w:left w:val="none" w:sz="0" w:space="0" w:color="auto"/>
                <w:bottom w:val="none" w:sz="0" w:space="0" w:color="auto"/>
                <w:right w:val="none" w:sz="0" w:space="0" w:color="auto"/>
              </w:divBdr>
            </w:div>
          </w:divsChild>
        </w:div>
        <w:div w:id="336620721">
          <w:marLeft w:val="0"/>
          <w:marRight w:val="0"/>
          <w:marTop w:val="0"/>
          <w:marBottom w:val="0"/>
          <w:divBdr>
            <w:top w:val="none" w:sz="0" w:space="0" w:color="auto"/>
            <w:left w:val="none" w:sz="0" w:space="0" w:color="auto"/>
            <w:bottom w:val="none" w:sz="0" w:space="0" w:color="auto"/>
            <w:right w:val="none" w:sz="0" w:space="0" w:color="auto"/>
          </w:divBdr>
          <w:divsChild>
            <w:div w:id="912009636">
              <w:marLeft w:val="0"/>
              <w:marRight w:val="0"/>
              <w:marTop w:val="0"/>
              <w:marBottom w:val="0"/>
              <w:divBdr>
                <w:top w:val="none" w:sz="0" w:space="0" w:color="auto"/>
                <w:left w:val="none" w:sz="0" w:space="0" w:color="auto"/>
                <w:bottom w:val="none" w:sz="0" w:space="0" w:color="auto"/>
                <w:right w:val="none" w:sz="0" w:space="0" w:color="auto"/>
              </w:divBdr>
            </w:div>
          </w:divsChild>
        </w:div>
        <w:div w:id="342440021">
          <w:marLeft w:val="0"/>
          <w:marRight w:val="0"/>
          <w:marTop w:val="0"/>
          <w:marBottom w:val="0"/>
          <w:divBdr>
            <w:top w:val="none" w:sz="0" w:space="0" w:color="auto"/>
            <w:left w:val="none" w:sz="0" w:space="0" w:color="auto"/>
            <w:bottom w:val="none" w:sz="0" w:space="0" w:color="auto"/>
            <w:right w:val="none" w:sz="0" w:space="0" w:color="auto"/>
          </w:divBdr>
          <w:divsChild>
            <w:div w:id="44565324">
              <w:marLeft w:val="0"/>
              <w:marRight w:val="0"/>
              <w:marTop w:val="0"/>
              <w:marBottom w:val="0"/>
              <w:divBdr>
                <w:top w:val="none" w:sz="0" w:space="0" w:color="auto"/>
                <w:left w:val="none" w:sz="0" w:space="0" w:color="auto"/>
                <w:bottom w:val="none" w:sz="0" w:space="0" w:color="auto"/>
                <w:right w:val="none" w:sz="0" w:space="0" w:color="auto"/>
              </w:divBdr>
            </w:div>
          </w:divsChild>
        </w:div>
        <w:div w:id="351149755">
          <w:marLeft w:val="0"/>
          <w:marRight w:val="0"/>
          <w:marTop w:val="0"/>
          <w:marBottom w:val="0"/>
          <w:divBdr>
            <w:top w:val="none" w:sz="0" w:space="0" w:color="auto"/>
            <w:left w:val="none" w:sz="0" w:space="0" w:color="auto"/>
            <w:bottom w:val="none" w:sz="0" w:space="0" w:color="auto"/>
            <w:right w:val="none" w:sz="0" w:space="0" w:color="auto"/>
          </w:divBdr>
          <w:divsChild>
            <w:div w:id="803737315">
              <w:marLeft w:val="0"/>
              <w:marRight w:val="0"/>
              <w:marTop w:val="0"/>
              <w:marBottom w:val="0"/>
              <w:divBdr>
                <w:top w:val="none" w:sz="0" w:space="0" w:color="auto"/>
                <w:left w:val="none" w:sz="0" w:space="0" w:color="auto"/>
                <w:bottom w:val="none" w:sz="0" w:space="0" w:color="auto"/>
                <w:right w:val="none" w:sz="0" w:space="0" w:color="auto"/>
              </w:divBdr>
            </w:div>
          </w:divsChild>
        </w:div>
        <w:div w:id="361712379">
          <w:marLeft w:val="0"/>
          <w:marRight w:val="0"/>
          <w:marTop w:val="0"/>
          <w:marBottom w:val="0"/>
          <w:divBdr>
            <w:top w:val="none" w:sz="0" w:space="0" w:color="auto"/>
            <w:left w:val="none" w:sz="0" w:space="0" w:color="auto"/>
            <w:bottom w:val="none" w:sz="0" w:space="0" w:color="auto"/>
            <w:right w:val="none" w:sz="0" w:space="0" w:color="auto"/>
          </w:divBdr>
          <w:divsChild>
            <w:div w:id="857231997">
              <w:marLeft w:val="0"/>
              <w:marRight w:val="0"/>
              <w:marTop w:val="0"/>
              <w:marBottom w:val="0"/>
              <w:divBdr>
                <w:top w:val="none" w:sz="0" w:space="0" w:color="auto"/>
                <w:left w:val="none" w:sz="0" w:space="0" w:color="auto"/>
                <w:bottom w:val="none" w:sz="0" w:space="0" w:color="auto"/>
                <w:right w:val="none" w:sz="0" w:space="0" w:color="auto"/>
              </w:divBdr>
            </w:div>
          </w:divsChild>
        </w:div>
        <w:div w:id="370499786">
          <w:marLeft w:val="0"/>
          <w:marRight w:val="0"/>
          <w:marTop w:val="0"/>
          <w:marBottom w:val="0"/>
          <w:divBdr>
            <w:top w:val="none" w:sz="0" w:space="0" w:color="auto"/>
            <w:left w:val="none" w:sz="0" w:space="0" w:color="auto"/>
            <w:bottom w:val="none" w:sz="0" w:space="0" w:color="auto"/>
            <w:right w:val="none" w:sz="0" w:space="0" w:color="auto"/>
          </w:divBdr>
          <w:divsChild>
            <w:div w:id="1521502834">
              <w:marLeft w:val="0"/>
              <w:marRight w:val="0"/>
              <w:marTop w:val="0"/>
              <w:marBottom w:val="0"/>
              <w:divBdr>
                <w:top w:val="none" w:sz="0" w:space="0" w:color="auto"/>
                <w:left w:val="none" w:sz="0" w:space="0" w:color="auto"/>
                <w:bottom w:val="none" w:sz="0" w:space="0" w:color="auto"/>
                <w:right w:val="none" w:sz="0" w:space="0" w:color="auto"/>
              </w:divBdr>
            </w:div>
          </w:divsChild>
        </w:div>
        <w:div w:id="384914790">
          <w:marLeft w:val="0"/>
          <w:marRight w:val="0"/>
          <w:marTop w:val="0"/>
          <w:marBottom w:val="0"/>
          <w:divBdr>
            <w:top w:val="none" w:sz="0" w:space="0" w:color="auto"/>
            <w:left w:val="none" w:sz="0" w:space="0" w:color="auto"/>
            <w:bottom w:val="none" w:sz="0" w:space="0" w:color="auto"/>
            <w:right w:val="none" w:sz="0" w:space="0" w:color="auto"/>
          </w:divBdr>
          <w:divsChild>
            <w:div w:id="370884383">
              <w:marLeft w:val="0"/>
              <w:marRight w:val="0"/>
              <w:marTop w:val="0"/>
              <w:marBottom w:val="0"/>
              <w:divBdr>
                <w:top w:val="none" w:sz="0" w:space="0" w:color="auto"/>
                <w:left w:val="none" w:sz="0" w:space="0" w:color="auto"/>
                <w:bottom w:val="none" w:sz="0" w:space="0" w:color="auto"/>
                <w:right w:val="none" w:sz="0" w:space="0" w:color="auto"/>
              </w:divBdr>
            </w:div>
          </w:divsChild>
        </w:div>
        <w:div w:id="403570944">
          <w:marLeft w:val="0"/>
          <w:marRight w:val="0"/>
          <w:marTop w:val="0"/>
          <w:marBottom w:val="0"/>
          <w:divBdr>
            <w:top w:val="none" w:sz="0" w:space="0" w:color="auto"/>
            <w:left w:val="none" w:sz="0" w:space="0" w:color="auto"/>
            <w:bottom w:val="none" w:sz="0" w:space="0" w:color="auto"/>
            <w:right w:val="none" w:sz="0" w:space="0" w:color="auto"/>
          </w:divBdr>
          <w:divsChild>
            <w:div w:id="2078556051">
              <w:marLeft w:val="0"/>
              <w:marRight w:val="0"/>
              <w:marTop w:val="0"/>
              <w:marBottom w:val="0"/>
              <w:divBdr>
                <w:top w:val="none" w:sz="0" w:space="0" w:color="auto"/>
                <w:left w:val="none" w:sz="0" w:space="0" w:color="auto"/>
                <w:bottom w:val="none" w:sz="0" w:space="0" w:color="auto"/>
                <w:right w:val="none" w:sz="0" w:space="0" w:color="auto"/>
              </w:divBdr>
            </w:div>
          </w:divsChild>
        </w:div>
        <w:div w:id="415518237">
          <w:marLeft w:val="0"/>
          <w:marRight w:val="0"/>
          <w:marTop w:val="0"/>
          <w:marBottom w:val="0"/>
          <w:divBdr>
            <w:top w:val="none" w:sz="0" w:space="0" w:color="auto"/>
            <w:left w:val="none" w:sz="0" w:space="0" w:color="auto"/>
            <w:bottom w:val="none" w:sz="0" w:space="0" w:color="auto"/>
            <w:right w:val="none" w:sz="0" w:space="0" w:color="auto"/>
          </w:divBdr>
          <w:divsChild>
            <w:div w:id="917834980">
              <w:marLeft w:val="0"/>
              <w:marRight w:val="0"/>
              <w:marTop w:val="0"/>
              <w:marBottom w:val="0"/>
              <w:divBdr>
                <w:top w:val="none" w:sz="0" w:space="0" w:color="auto"/>
                <w:left w:val="none" w:sz="0" w:space="0" w:color="auto"/>
                <w:bottom w:val="none" w:sz="0" w:space="0" w:color="auto"/>
                <w:right w:val="none" w:sz="0" w:space="0" w:color="auto"/>
              </w:divBdr>
            </w:div>
          </w:divsChild>
        </w:div>
        <w:div w:id="428088314">
          <w:marLeft w:val="0"/>
          <w:marRight w:val="0"/>
          <w:marTop w:val="0"/>
          <w:marBottom w:val="0"/>
          <w:divBdr>
            <w:top w:val="none" w:sz="0" w:space="0" w:color="auto"/>
            <w:left w:val="none" w:sz="0" w:space="0" w:color="auto"/>
            <w:bottom w:val="none" w:sz="0" w:space="0" w:color="auto"/>
            <w:right w:val="none" w:sz="0" w:space="0" w:color="auto"/>
          </w:divBdr>
          <w:divsChild>
            <w:div w:id="754715446">
              <w:marLeft w:val="0"/>
              <w:marRight w:val="0"/>
              <w:marTop w:val="0"/>
              <w:marBottom w:val="0"/>
              <w:divBdr>
                <w:top w:val="none" w:sz="0" w:space="0" w:color="auto"/>
                <w:left w:val="none" w:sz="0" w:space="0" w:color="auto"/>
                <w:bottom w:val="none" w:sz="0" w:space="0" w:color="auto"/>
                <w:right w:val="none" w:sz="0" w:space="0" w:color="auto"/>
              </w:divBdr>
            </w:div>
          </w:divsChild>
        </w:div>
        <w:div w:id="498691860">
          <w:marLeft w:val="0"/>
          <w:marRight w:val="0"/>
          <w:marTop w:val="0"/>
          <w:marBottom w:val="0"/>
          <w:divBdr>
            <w:top w:val="none" w:sz="0" w:space="0" w:color="auto"/>
            <w:left w:val="none" w:sz="0" w:space="0" w:color="auto"/>
            <w:bottom w:val="none" w:sz="0" w:space="0" w:color="auto"/>
            <w:right w:val="none" w:sz="0" w:space="0" w:color="auto"/>
          </w:divBdr>
          <w:divsChild>
            <w:div w:id="88239102">
              <w:marLeft w:val="0"/>
              <w:marRight w:val="0"/>
              <w:marTop w:val="0"/>
              <w:marBottom w:val="0"/>
              <w:divBdr>
                <w:top w:val="none" w:sz="0" w:space="0" w:color="auto"/>
                <w:left w:val="none" w:sz="0" w:space="0" w:color="auto"/>
                <w:bottom w:val="none" w:sz="0" w:space="0" w:color="auto"/>
                <w:right w:val="none" w:sz="0" w:space="0" w:color="auto"/>
              </w:divBdr>
            </w:div>
          </w:divsChild>
        </w:div>
        <w:div w:id="499009091">
          <w:marLeft w:val="0"/>
          <w:marRight w:val="0"/>
          <w:marTop w:val="0"/>
          <w:marBottom w:val="0"/>
          <w:divBdr>
            <w:top w:val="none" w:sz="0" w:space="0" w:color="auto"/>
            <w:left w:val="none" w:sz="0" w:space="0" w:color="auto"/>
            <w:bottom w:val="none" w:sz="0" w:space="0" w:color="auto"/>
            <w:right w:val="none" w:sz="0" w:space="0" w:color="auto"/>
          </w:divBdr>
          <w:divsChild>
            <w:div w:id="1738937663">
              <w:marLeft w:val="0"/>
              <w:marRight w:val="0"/>
              <w:marTop w:val="0"/>
              <w:marBottom w:val="0"/>
              <w:divBdr>
                <w:top w:val="none" w:sz="0" w:space="0" w:color="auto"/>
                <w:left w:val="none" w:sz="0" w:space="0" w:color="auto"/>
                <w:bottom w:val="none" w:sz="0" w:space="0" w:color="auto"/>
                <w:right w:val="none" w:sz="0" w:space="0" w:color="auto"/>
              </w:divBdr>
            </w:div>
          </w:divsChild>
        </w:div>
        <w:div w:id="501744044">
          <w:marLeft w:val="0"/>
          <w:marRight w:val="0"/>
          <w:marTop w:val="0"/>
          <w:marBottom w:val="0"/>
          <w:divBdr>
            <w:top w:val="none" w:sz="0" w:space="0" w:color="auto"/>
            <w:left w:val="none" w:sz="0" w:space="0" w:color="auto"/>
            <w:bottom w:val="none" w:sz="0" w:space="0" w:color="auto"/>
            <w:right w:val="none" w:sz="0" w:space="0" w:color="auto"/>
          </w:divBdr>
          <w:divsChild>
            <w:div w:id="961880094">
              <w:marLeft w:val="0"/>
              <w:marRight w:val="0"/>
              <w:marTop w:val="0"/>
              <w:marBottom w:val="0"/>
              <w:divBdr>
                <w:top w:val="none" w:sz="0" w:space="0" w:color="auto"/>
                <w:left w:val="none" w:sz="0" w:space="0" w:color="auto"/>
                <w:bottom w:val="none" w:sz="0" w:space="0" w:color="auto"/>
                <w:right w:val="none" w:sz="0" w:space="0" w:color="auto"/>
              </w:divBdr>
            </w:div>
          </w:divsChild>
        </w:div>
        <w:div w:id="502471147">
          <w:marLeft w:val="0"/>
          <w:marRight w:val="0"/>
          <w:marTop w:val="0"/>
          <w:marBottom w:val="0"/>
          <w:divBdr>
            <w:top w:val="none" w:sz="0" w:space="0" w:color="auto"/>
            <w:left w:val="none" w:sz="0" w:space="0" w:color="auto"/>
            <w:bottom w:val="none" w:sz="0" w:space="0" w:color="auto"/>
            <w:right w:val="none" w:sz="0" w:space="0" w:color="auto"/>
          </w:divBdr>
          <w:divsChild>
            <w:div w:id="351299088">
              <w:marLeft w:val="0"/>
              <w:marRight w:val="0"/>
              <w:marTop w:val="0"/>
              <w:marBottom w:val="0"/>
              <w:divBdr>
                <w:top w:val="none" w:sz="0" w:space="0" w:color="auto"/>
                <w:left w:val="none" w:sz="0" w:space="0" w:color="auto"/>
                <w:bottom w:val="none" w:sz="0" w:space="0" w:color="auto"/>
                <w:right w:val="none" w:sz="0" w:space="0" w:color="auto"/>
              </w:divBdr>
            </w:div>
          </w:divsChild>
        </w:div>
        <w:div w:id="536702747">
          <w:marLeft w:val="0"/>
          <w:marRight w:val="0"/>
          <w:marTop w:val="0"/>
          <w:marBottom w:val="0"/>
          <w:divBdr>
            <w:top w:val="none" w:sz="0" w:space="0" w:color="auto"/>
            <w:left w:val="none" w:sz="0" w:space="0" w:color="auto"/>
            <w:bottom w:val="none" w:sz="0" w:space="0" w:color="auto"/>
            <w:right w:val="none" w:sz="0" w:space="0" w:color="auto"/>
          </w:divBdr>
          <w:divsChild>
            <w:div w:id="764810989">
              <w:marLeft w:val="0"/>
              <w:marRight w:val="0"/>
              <w:marTop w:val="0"/>
              <w:marBottom w:val="0"/>
              <w:divBdr>
                <w:top w:val="none" w:sz="0" w:space="0" w:color="auto"/>
                <w:left w:val="none" w:sz="0" w:space="0" w:color="auto"/>
                <w:bottom w:val="none" w:sz="0" w:space="0" w:color="auto"/>
                <w:right w:val="none" w:sz="0" w:space="0" w:color="auto"/>
              </w:divBdr>
            </w:div>
          </w:divsChild>
        </w:div>
        <w:div w:id="561137297">
          <w:marLeft w:val="0"/>
          <w:marRight w:val="0"/>
          <w:marTop w:val="0"/>
          <w:marBottom w:val="0"/>
          <w:divBdr>
            <w:top w:val="none" w:sz="0" w:space="0" w:color="auto"/>
            <w:left w:val="none" w:sz="0" w:space="0" w:color="auto"/>
            <w:bottom w:val="none" w:sz="0" w:space="0" w:color="auto"/>
            <w:right w:val="none" w:sz="0" w:space="0" w:color="auto"/>
          </w:divBdr>
          <w:divsChild>
            <w:div w:id="340426622">
              <w:marLeft w:val="0"/>
              <w:marRight w:val="0"/>
              <w:marTop w:val="0"/>
              <w:marBottom w:val="0"/>
              <w:divBdr>
                <w:top w:val="none" w:sz="0" w:space="0" w:color="auto"/>
                <w:left w:val="none" w:sz="0" w:space="0" w:color="auto"/>
                <w:bottom w:val="none" w:sz="0" w:space="0" w:color="auto"/>
                <w:right w:val="none" w:sz="0" w:space="0" w:color="auto"/>
              </w:divBdr>
            </w:div>
          </w:divsChild>
        </w:div>
        <w:div w:id="562059984">
          <w:marLeft w:val="0"/>
          <w:marRight w:val="0"/>
          <w:marTop w:val="0"/>
          <w:marBottom w:val="0"/>
          <w:divBdr>
            <w:top w:val="none" w:sz="0" w:space="0" w:color="auto"/>
            <w:left w:val="none" w:sz="0" w:space="0" w:color="auto"/>
            <w:bottom w:val="none" w:sz="0" w:space="0" w:color="auto"/>
            <w:right w:val="none" w:sz="0" w:space="0" w:color="auto"/>
          </w:divBdr>
          <w:divsChild>
            <w:div w:id="1828278876">
              <w:marLeft w:val="0"/>
              <w:marRight w:val="0"/>
              <w:marTop w:val="0"/>
              <w:marBottom w:val="0"/>
              <w:divBdr>
                <w:top w:val="none" w:sz="0" w:space="0" w:color="auto"/>
                <w:left w:val="none" w:sz="0" w:space="0" w:color="auto"/>
                <w:bottom w:val="none" w:sz="0" w:space="0" w:color="auto"/>
                <w:right w:val="none" w:sz="0" w:space="0" w:color="auto"/>
              </w:divBdr>
            </w:div>
          </w:divsChild>
        </w:div>
        <w:div w:id="574704557">
          <w:marLeft w:val="0"/>
          <w:marRight w:val="0"/>
          <w:marTop w:val="0"/>
          <w:marBottom w:val="0"/>
          <w:divBdr>
            <w:top w:val="none" w:sz="0" w:space="0" w:color="auto"/>
            <w:left w:val="none" w:sz="0" w:space="0" w:color="auto"/>
            <w:bottom w:val="none" w:sz="0" w:space="0" w:color="auto"/>
            <w:right w:val="none" w:sz="0" w:space="0" w:color="auto"/>
          </w:divBdr>
          <w:divsChild>
            <w:div w:id="1809468906">
              <w:marLeft w:val="0"/>
              <w:marRight w:val="0"/>
              <w:marTop w:val="0"/>
              <w:marBottom w:val="0"/>
              <w:divBdr>
                <w:top w:val="none" w:sz="0" w:space="0" w:color="auto"/>
                <w:left w:val="none" w:sz="0" w:space="0" w:color="auto"/>
                <w:bottom w:val="none" w:sz="0" w:space="0" w:color="auto"/>
                <w:right w:val="none" w:sz="0" w:space="0" w:color="auto"/>
              </w:divBdr>
            </w:div>
          </w:divsChild>
        </w:div>
        <w:div w:id="598417582">
          <w:marLeft w:val="0"/>
          <w:marRight w:val="0"/>
          <w:marTop w:val="0"/>
          <w:marBottom w:val="0"/>
          <w:divBdr>
            <w:top w:val="none" w:sz="0" w:space="0" w:color="auto"/>
            <w:left w:val="none" w:sz="0" w:space="0" w:color="auto"/>
            <w:bottom w:val="none" w:sz="0" w:space="0" w:color="auto"/>
            <w:right w:val="none" w:sz="0" w:space="0" w:color="auto"/>
          </w:divBdr>
          <w:divsChild>
            <w:div w:id="1288896866">
              <w:marLeft w:val="0"/>
              <w:marRight w:val="0"/>
              <w:marTop w:val="0"/>
              <w:marBottom w:val="0"/>
              <w:divBdr>
                <w:top w:val="none" w:sz="0" w:space="0" w:color="auto"/>
                <w:left w:val="none" w:sz="0" w:space="0" w:color="auto"/>
                <w:bottom w:val="none" w:sz="0" w:space="0" w:color="auto"/>
                <w:right w:val="none" w:sz="0" w:space="0" w:color="auto"/>
              </w:divBdr>
            </w:div>
          </w:divsChild>
        </w:div>
        <w:div w:id="638606928">
          <w:marLeft w:val="0"/>
          <w:marRight w:val="0"/>
          <w:marTop w:val="0"/>
          <w:marBottom w:val="0"/>
          <w:divBdr>
            <w:top w:val="none" w:sz="0" w:space="0" w:color="auto"/>
            <w:left w:val="none" w:sz="0" w:space="0" w:color="auto"/>
            <w:bottom w:val="none" w:sz="0" w:space="0" w:color="auto"/>
            <w:right w:val="none" w:sz="0" w:space="0" w:color="auto"/>
          </w:divBdr>
          <w:divsChild>
            <w:div w:id="1873180278">
              <w:marLeft w:val="0"/>
              <w:marRight w:val="0"/>
              <w:marTop w:val="0"/>
              <w:marBottom w:val="0"/>
              <w:divBdr>
                <w:top w:val="none" w:sz="0" w:space="0" w:color="auto"/>
                <w:left w:val="none" w:sz="0" w:space="0" w:color="auto"/>
                <w:bottom w:val="none" w:sz="0" w:space="0" w:color="auto"/>
                <w:right w:val="none" w:sz="0" w:space="0" w:color="auto"/>
              </w:divBdr>
            </w:div>
          </w:divsChild>
        </w:div>
        <w:div w:id="648899957">
          <w:marLeft w:val="0"/>
          <w:marRight w:val="0"/>
          <w:marTop w:val="0"/>
          <w:marBottom w:val="0"/>
          <w:divBdr>
            <w:top w:val="none" w:sz="0" w:space="0" w:color="auto"/>
            <w:left w:val="none" w:sz="0" w:space="0" w:color="auto"/>
            <w:bottom w:val="none" w:sz="0" w:space="0" w:color="auto"/>
            <w:right w:val="none" w:sz="0" w:space="0" w:color="auto"/>
          </w:divBdr>
          <w:divsChild>
            <w:div w:id="1431466443">
              <w:marLeft w:val="0"/>
              <w:marRight w:val="0"/>
              <w:marTop w:val="0"/>
              <w:marBottom w:val="0"/>
              <w:divBdr>
                <w:top w:val="none" w:sz="0" w:space="0" w:color="auto"/>
                <w:left w:val="none" w:sz="0" w:space="0" w:color="auto"/>
                <w:bottom w:val="none" w:sz="0" w:space="0" w:color="auto"/>
                <w:right w:val="none" w:sz="0" w:space="0" w:color="auto"/>
              </w:divBdr>
            </w:div>
          </w:divsChild>
        </w:div>
        <w:div w:id="652442167">
          <w:marLeft w:val="0"/>
          <w:marRight w:val="0"/>
          <w:marTop w:val="0"/>
          <w:marBottom w:val="0"/>
          <w:divBdr>
            <w:top w:val="none" w:sz="0" w:space="0" w:color="auto"/>
            <w:left w:val="none" w:sz="0" w:space="0" w:color="auto"/>
            <w:bottom w:val="none" w:sz="0" w:space="0" w:color="auto"/>
            <w:right w:val="none" w:sz="0" w:space="0" w:color="auto"/>
          </w:divBdr>
          <w:divsChild>
            <w:div w:id="1880317172">
              <w:marLeft w:val="0"/>
              <w:marRight w:val="0"/>
              <w:marTop w:val="0"/>
              <w:marBottom w:val="0"/>
              <w:divBdr>
                <w:top w:val="none" w:sz="0" w:space="0" w:color="auto"/>
                <w:left w:val="none" w:sz="0" w:space="0" w:color="auto"/>
                <w:bottom w:val="none" w:sz="0" w:space="0" w:color="auto"/>
                <w:right w:val="none" w:sz="0" w:space="0" w:color="auto"/>
              </w:divBdr>
            </w:div>
          </w:divsChild>
        </w:div>
        <w:div w:id="688990475">
          <w:marLeft w:val="0"/>
          <w:marRight w:val="0"/>
          <w:marTop w:val="0"/>
          <w:marBottom w:val="0"/>
          <w:divBdr>
            <w:top w:val="none" w:sz="0" w:space="0" w:color="auto"/>
            <w:left w:val="none" w:sz="0" w:space="0" w:color="auto"/>
            <w:bottom w:val="none" w:sz="0" w:space="0" w:color="auto"/>
            <w:right w:val="none" w:sz="0" w:space="0" w:color="auto"/>
          </w:divBdr>
          <w:divsChild>
            <w:div w:id="537087820">
              <w:marLeft w:val="0"/>
              <w:marRight w:val="0"/>
              <w:marTop w:val="0"/>
              <w:marBottom w:val="0"/>
              <w:divBdr>
                <w:top w:val="none" w:sz="0" w:space="0" w:color="auto"/>
                <w:left w:val="none" w:sz="0" w:space="0" w:color="auto"/>
                <w:bottom w:val="none" w:sz="0" w:space="0" w:color="auto"/>
                <w:right w:val="none" w:sz="0" w:space="0" w:color="auto"/>
              </w:divBdr>
            </w:div>
          </w:divsChild>
        </w:div>
        <w:div w:id="714890449">
          <w:marLeft w:val="0"/>
          <w:marRight w:val="0"/>
          <w:marTop w:val="0"/>
          <w:marBottom w:val="0"/>
          <w:divBdr>
            <w:top w:val="none" w:sz="0" w:space="0" w:color="auto"/>
            <w:left w:val="none" w:sz="0" w:space="0" w:color="auto"/>
            <w:bottom w:val="none" w:sz="0" w:space="0" w:color="auto"/>
            <w:right w:val="none" w:sz="0" w:space="0" w:color="auto"/>
          </w:divBdr>
          <w:divsChild>
            <w:div w:id="1375546542">
              <w:marLeft w:val="0"/>
              <w:marRight w:val="0"/>
              <w:marTop w:val="0"/>
              <w:marBottom w:val="0"/>
              <w:divBdr>
                <w:top w:val="none" w:sz="0" w:space="0" w:color="auto"/>
                <w:left w:val="none" w:sz="0" w:space="0" w:color="auto"/>
                <w:bottom w:val="none" w:sz="0" w:space="0" w:color="auto"/>
                <w:right w:val="none" w:sz="0" w:space="0" w:color="auto"/>
              </w:divBdr>
            </w:div>
          </w:divsChild>
        </w:div>
        <w:div w:id="718631871">
          <w:marLeft w:val="0"/>
          <w:marRight w:val="0"/>
          <w:marTop w:val="0"/>
          <w:marBottom w:val="0"/>
          <w:divBdr>
            <w:top w:val="none" w:sz="0" w:space="0" w:color="auto"/>
            <w:left w:val="none" w:sz="0" w:space="0" w:color="auto"/>
            <w:bottom w:val="none" w:sz="0" w:space="0" w:color="auto"/>
            <w:right w:val="none" w:sz="0" w:space="0" w:color="auto"/>
          </w:divBdr>
          <w:divsChild>
            <w:div w:id="1938632528">
              <w:marLeft w:val="0"/>
              <w:marRight w:val="0"/>
              <w:marTop w:val="0"/>
              <w:marBottom w:val="0"/>
              <w:divBdr>
                <w:top w:val="none" w:sz="0" w:space="0" w:color="auto"/>
                <w:left w:val="none" w:sz="0" w:space="0" w:color="auto"/>
                <w:bottom w:val="none" w:sz="0" w:space="0" w:color="auto"/>
                <w:right w:val="none" w:sz="0" w:space="0" w:color="auto"/>
              </w:divBdr>
            </w:div>
          </w:divsChild>
        </w:div>
        <w:div w:id="775372792">
          <w:marLeft w:val="0"/>
          <w:marRight w:val="0"/>
          <w:marTop w:val="0"/>
          <w:marBottom w:val="0"/>
          <w:divBdr>
            <w:top w:val="none" w:sz="0" w:space="0" w:color="auto"/>
            <w:left w:val="none" w:sz="0" w:space="0" w:color="auto"/>
            <w:bottom w:val="none" w:sz="0" w:space="0" w:color="auto"/>
            <w:right w:val="none" w:sz="0" w:space="0" w:color="auto"/>
          </w:divBdr>
          <w:divsChild>
            <w:div w:id="494079375">
              <w:marLeft w:val="0"/>
              <w:marRight w:val="0"/>
              <w:marTop w:val="0"/>
              <w:marBottom w:val="0"/>
              <w:divBdr>
                <w:top w:val="none" w:sz="0" w:space="0" w:color="auto"/>
                <w:left w:val="none" w:sz="0" w:space="0" w:color="auto"/>
                <w:bottom w:val="none" w:sz="0" w:space="0" w:color="auto"/>
                <w:right w:val="none" w:sz="0" w:space="0" w:color="auto"/>
              </w:divBdr>
            </w:div>
          </w:divsChild>
        </w:div>
        <w:div w:id="777332776">
          <w:marLeft w:val="0"/>
          <w:marRight w:val="0"/>
          <w:marTop w:val="0"/>
          <w:marBottom w:val="0"/>
          <w:divBdr>
            <w:top w:val="none" w:sz="0" w:space="0" w:color="auto"/>
            <w:left w:val="none" w:sz="0" w:space="0" w:color="auto"/>
            <w:bottom w:val="none" w:sz="0" w:space="0" w:color="auto"/>
            <w:right w:val="none" w:sz="0" w:space="0" w:color="auto"/>
          </w:divBdr>
          <w:divsChild>
            <w:div w:id="1658799574">
              <w:marLeft w:val="0"/>
              <w:marRight w:val="0"/>
              <w:marTop w:val="0"/>
              <w:marBottom w:val="0"/>
              <w:divBdr>
                <w:top w:val="none" w:sz="0" w:space="0" w:color="auto"/>
                <w:left w:val="none" w:sz="0" w:space="0" w:color="auto"/>
                <w:bottom w:val="none" w:sz="0" w:space="0" w:color="auto"/>
                <w:right w:val="none" w:sz="0" w:space="0" w:color="auto"/>
              </w:divBdr>
            </w:div>
          </w:divsChild>
        </w:div>
        <w:div w:id="782916991">
          <w:marLeft w:val="0"/>
          <w:marRight w:val="0"/>
          <w:marTop w:val="0"/>
          <w:marBottom w:val="0"/>
          <w:divBdr>
            <w:top w:val="none" w:sz="0" w:space="0" w:color="auto"/>
            <w:left w:val="none" w:sz="0" w:space="0" w:color="auto"/>
            <w:bottom w:val="none" w:sz="0" w:space="0" w:color="auto"/>
            <w:right w:val="none" w:sz="0" w:space="0" w:color="auto"/>
          </w:divBdr>
          <w:divsChild>
            <w:div w:id="465204380">
              <w:marLeft w:val="0"/>
              <w:marRight w:val="0"/>
              <w:marTop w:val="0"/>
              <w:marBottom w:val="0"/>
              <w:divBdr>
                <w:top w:val="none" w:sz="0" w:space="0" w:color="auto"/>
                <w:left w:val="none" w:sz="0" w:space="0" w:color="auto"/>
                <w:bottom w:val="none" w:sz="0" w:space="0" w:color="auto"/>
                <w:right w:val="none" w:sz="0" w:space="0" w:color="auto"/>
              </w:divBdr>
            </w:div>
          </w:divsChild>
        </w:div>
        <w:div w:id="902520622">
          <w:marLeft w:val="0"/>
          <w:marRight w:val="0"/>
          <w:marTop w:val="0"/>
          <w:marBottom w:val="0"/>
          <w:divBdr>
            <w:top w:val="none" w:sz="0" w:space="0" w:color="auto"/>
            <w:left w:val="none" w:sz="0" w:space="0" w:color="auto"/>
            <w:bottom w:val="none" w:sz="0" w:space="0" w:color="auto"/>
            <w:right w:val="none" w:sz="0" w:space="0" w:color="auto"/>
          </w:divBdr>
          <w:divsChild>
            <w:div w:id="1139809080">
              <w:marLeft w:val="0"/>
              <w:marRight w:val="0"/>
              <w:marTop w:val="0"/>
              <w:marBottom w:val="0"/>
              <w:divBdr>
                <w:top w:val="none" w:sz="0" w:space="0" w:color="auto"/>
                <w:left w:val="none" w:sz="0" w:space="0" w:color="auto"/>
                <w:bottom w:val="none" w:sz="0" w:space="0" w:color="auto"/>
                <w:right w:val="none" w:sz="0" w:space="0" w:color="auto"/>
              </w:divBdr>
            </w:div>
          </w:divsChild>
        </w:div>
        <w:div w:id="909002943">
          <w:marLeft w:val="0"/>
          <w:marRight w:val="0"/>
          <w:marTop w:val="0"/>
          <w:marBottom w:val="0"/>
          <w:divBdr>
            <w:top w:val="none" w:sz="0" w:space="0" w:color="auto"/>
            <w:left w:val="none" w:sz="0" w:space="0" w:color="auto"/>
            <w:bottom w:val="none" w:sz="0" w:space="0" w:color="auto"/>
            <w:right w:val="none" w:sz="0" w:space="0" w:color="auto"/>
          </w:divBdr>
          <w:divsChild>
            <w:div w:id="617222010">
              <w:marLeft w:val="0"/>
              <w:marRight w:val="0"/>
              <w:marTop w:val="0"/>
              <w:marBottom w:val="0"/>
              <w:divBdr>
                <w:top w:val="none" w:sz="0" w:space="0" w:color="auto"/>
                <w:left w:val="none" w:sz="0" w:space="0" w:color="auto"/>
                <w:bottom w:val="none" w:sz="0" w:space="0" w:color="auto"/>
                <w:right w:val="none" w:sz="0" w:space="0" w:color="auto"/>
              </w:divBdr>
            </w:div>
          </w:divsChild>
        </w:div>
        <w:div w:id="918825770">
          <w:marLeft w:val="0"/>
          <w:marRight w:val="0"/>
          <w:marTop w:val="0"/>
          <w:marBottom w:val="0"/>
          <w:divBdr>
            <w:top w:val="none" w:sz="0" w:space="0" w:color="auto"/>
            <w:left w:val="none" w:sz="0" w:space="0" w:color="auto"/>
            <w:bottom w:val="none" w:sz="0" w:space="0" w:color="auto"/>
            <w:right w:val="none" w:sz="0" w:space="0" w:color="auto"/>
          </w:divBdr>
          <w:divsChild>
            <w:div w:id="407312911">
              <w:marLeft w:val="0"/>
              <w:marRight w:val="0"/>
              <w:marTop w:val="0"/>
              <w:marBottom w:val="0"/>
              <w:divBdr>
                <w:top w:val="none" w:sz="0" w:space="0" w:color="auto"/>
                <w:left w:val="none" w:sz="0" w:space="0" w:color="auto"/>
                <w:bottom w:val="none" w:sz="0" w:space="0" w:color="auto"/>
                <w:right w:val="none" w:sz="0" w:space="0" w:color="auto"/>
              </w:divBdr>
            </w:div>
          </w:divsChild>
        </w:div>
        <w:div w:id="954022140">
          <w:marLeft w:val="0"/>
          <w:marRight w:val="0"/>
          <w:marTop w:val="0"/>
          <w:marBottom w:val="0"/>
          <w:divBdr>
            <w:top w:val="none" w:sz="0" w:space="0" w:color="auto"/>
            <w:left w:val="none" w:sz="0" w:space="0" w:color="auto"/>
            <w:bottom w:val="none" w:sz="0" w:space="0" w:color="auto"/>
            <w:right w:val="none" w:sz="0" w:space="0" w:color="auto"/>
          </w:divBdr>
          <w:divsChild>
            <w:div w:id="722674932">
              <w:marLeft w:val="0"/>
              <w:marRight w:val="0"/>
              <w:marTop w:val="0"/>
              <w:marBottom w:val="0"/>
              <w:divBdr>
                <w:top w:val="none" w:sz="0" w:space="0" w:color="auto"/>
                <w:left w:val="none" w:sz="0" w:space="0" w:color="auto"/>
                <w:bottom w:val="none" w:sz="0" w:space="0" w:color="auto"/>
                <w:right w:val="none" w:sz="0" w:space="0" w:color="auto"/>
              </w:divBdr>
            </w:div>
          </w:divsChild>
        </w:div>
        <w:div w:id="954603165">
          <w:marLeft w:val="0"/>
          <w:marRight w:val="0"/>
          <w:marTop w:val="0"/>
          <w:marBottom w:val="0"/>
          <w:divBdr>
            <w:top w:val="none" w:sz="0" w:space="0" w:color="auto"/>
            <w:left w:val="none" w:sz="0" w:space="0" w:color="auto"/>
            <w:bottom w:val="none" w:sz="0" w:space="0" w:color="auto"/>
            <w:right w:val="none" w:sz="0" w:space="0" w:color="auto"/>
          </w:divBdr>
          <w:divsChild>
            <w:div w:id="1559047433">
              <w:marLeft w:val="0"/>
              <w:marRight w:val="0"/>
              <w:marTop w:val="0"/>
              <w:marBottom w:val="0"/>
              <w:divBdr>
                <w:top w:val="none" w:sz="0" w:space="0" w:color="auto"/>
                <w:left w:val="none" w:sz="0" w:space="0" w:color="auto"/>
                <w:bottom w:val="none" w:sz="0" w:space="0" w:color="auto"/>
                <w:right w:val="none" w:sz="0" w:space="0" w:color="auto"/>
              </w:divBdr>
            </w:div>
          </w:divsChild>
        </w:div>
        <w:div w:id="962231012">
          <w:marLeft w:val="0"/>
          <w:marRight w:val="0"/>
          <w:marTop w:val="0"/>
          <w:marBottom w:val="0"/>
          <w:divBdr>
            <w:top w:val="none" w:sz="0" w:space="0" w:color="auto"/>
            <w:left w:val="none" w:sz="0" w:space="0" w:color="auto"/>
            <w:bottom w:val="none" w:sz="0" w:space="0" w:color="auto"/>
            <w:right w:val="none" w:sz="0" w:space="0" w:color="auto"/>
          </w:divBdr>
          <w:divsChild>
            <w:div w:id="173961052">
              <w:marLeft w:val="0"/>
              <w:marRight w:val="0"/>
              <w:marTop w:val="0"/>
              <w:marBottom w:val="0"/>
              <w:divBdr>
                <w:top w:val="none" w:sz="0" w:space="0" w:color="auto"/>
                <w:left w:val="none" w:sz="0" w:space="0" w:color="auto"/>
                <w:bottom w:val="none" w:sz="0" w:space="0" w:color="auto"/>
                <w:right w:val="none" w:sz="0" w:space="0" w:color="auto"/>
              </w:divBdr>
            </w:div>
          </w:divsChild>
        </w:div>
        <w:div w:id="1013651639">
          <w:marLeft w:val="0"/>
          <w:marRight w:val="0"/>
          <w:marTop w:val="0"/>
          <w:marBottom w:val="0"/>
          <w:divBdr>
            <w:top w:val="none" w:sz="0" w:space="0" w:color="auto"/>
            <w:left w:val="none" w:sz="0" w:space="0" w:color="auto"/>
            <w:bottom w:val="none" w:sz="0" w:space="0" w:color="auto"/>
            <w:right w:val="none" w:sz="0" w:space="0" w:color="auto"/>
          </w:divBdr>
          <w:divsChild>
            <w:div w:id="1037000672">
              <w:marLeft w:val="0"/>
              <w:marRight w:val="0"/>
              <w:marTop w:val="0"/>
              <w:marBottom w:val="0"/>
              <w:divBdr>
                <w:top w:val="none" w:sz="0" w:space="0" w:color="auto"/>
                <w:left w:val="none" w:sz="0" w:space="0" w:color="auto"/>
                <w:bottom w:val="none" w:sz="0" w:space="0" w:color="auto"/>
                <w:right w:val="none" w:sz="0" w:space="0" w:color="auto"/>
              </w:divBdr>
            </w:div>
          </w:divsChild>
        </w:div>
        <w:div w:id="1023171580">
          <w:marLeft w:val="0"/>
          <w:marRight w:val="0"/>
          <w:marTop w:val="0"/>
          <w:marBottom w:val="0"/>
          <w:divBdr>
            <w:top w:val="none" w:sz="0" w:space="0" w:color="auto"/>
            <w:left w:val="none" w:sz="0" w:space="0" w:color="auto"/>
            <w:bottom w:val="none" w:sz="0" w:space="0" w:color="auto"/>
            <w:right w:val="none" w:sz="0" w:space="0" w:color="auto"/>
          </w:divBdr>
          <w:divsChild>
            <w:div w:id="308436320">
              <w:marLeft w:val="0"/>
              <w:marRight w:val="0"/>
              <w:marTop w:val="0"/>
              <w:marBottom w:val="0"/>
              <w:divBdr>
                <w:top w:val="none" w:sz="0" w:space="0" w:color="auto"/>
                <w:left w:val="none" w:sz="0" w:space="0" w:color="auto"/>
                <w:bottom w:val="none" w:sz="0" w:space="0" w:color="auto"/>
                <w:right w:val="none" w:sz="0" w:space="0" w:color="auto"/>
              </w:divBdr>
            </w:div>
          </w:divsChild>
        </w:div>
        <w:div w:id="1034845219">
          <w:marLeft w:val="0"/>
          <w:marRight w:val="0"/>
          <w:marTop w:val="0"/>
          <w:marBottom w:val="0"/>
          <w:divBdr>
            <w:top w:val="none" w:sz="0" w:space="0" w:color="auto"/>
            <w:left w:val="none" w:sz="0" w:space="0" w:color="auto"/>
            <w:bottom w:val="none" w:sz="0" w:space="0" w:color="auto"/>
            <w:right w:val="none" w:sz="0" w:space="0" w:color="auto"/>
          </w:divBdr>
          <w:divsChild>
            <w:div w:id="617686714">
              <w:marLeft w:val="0"/>
              <w:marRight w:val="0"/>
              <w:marTop w:val="0"/>
              <w:marBottom w:val="0"/>
              <w:divBdr>
                <w:top w:val="none" w:sz="0" w:space="0" w:color="auto"/>
                <w:left w:val="none" w:sz="0" w:space="0" w:color="auto"/>
                <w:bottom w:val="none" w:sz="0" w:space="0" w:color="auto"/>
                <w:right w:val="none" w:sz="0" w:space="0" w:color="auto"/>
              </w:divBdr>
            </w:div>
          </w:divsChild>
        </w:div>
        <w:div w:id="1037047043">
          <w:marLeft w:val="0"/>
          <w:marRight w:val="0"/>
          <w:marTop w:val="0"/>
          <w:marBottom w:val="0"/>
          <w:divBdr>
            <w:top w:val="none" w:sz="0" w:space="0" w:color="auto"/>
            <w:left w:val="none" w:sz="0" w:space="0" w:color="auto"/>
            <w:bottom w:val="none" w:sz="0" w:space="0" w:color="auto"/>
            <w:right w:val="none" w:sz="0" w:space="0" w:color="auto"/>
          </w:divBdr>
          <w:divsChild>
            <w:div w:id="658654958">
              <w:marLeft w:val="0"/>
              <w:marRight w:val="0"/>
              <w:marTop w:val="0"/>
              <w:marBottom w:val="0"/>
              <w:divBdr>
                <w:top w:val="none" w:sz="0" w:space="0" w:color="auto"/>
                <w:left w:val="none" w:sz="0" w:space="0" w:color="auto"/>
                <w:bottom w:val="none" w:sz="0" w:space="0" w:color="auto"/>
                <w:right w:val="none" w:sz="0" w:space="0" w:color="auto"/>
              </w:divBdr>
            </w:div>
          </w:divsChild>
        </w:div>
        <w:div w:id="1045443457">
          <w:marLeft w:val="0"/>
          <w:marRight w:val="0"/>
          <w:marTop w:val="0"/>
          <w:marBottom w:val="0"/>
          <w:divBdr>
            <w:top w:val="none" w:sz="0" w:space="0" w:color="auto"/>
            <w:left w:val="none" w:sz="0" w:space="0" w:color="auto"/>
            <w:bottom w:val="none" w:sz="0" w:space="0" w:color="auto"/>
            <w:right w:val="none" w:sz="0" w:space="0" w:color="auto"/>
          </w:divBdr>
          <w:divsChild>
            <w:div w:id="595553990">
              <w:marLeft w:val="0"/>
              <w:marRight w:val="0"/>
              <w:marTop w:val="0"/>
              <w:marBottom w:val="0"/>
              <w:divBdr>
                <w:top w:val="none" w:sz="0" w:space="0" w:color="auto"/>
                <w:left w:val="none" w:sz="0" w:space="0" w:color="auto"/>
                <w:bottom w:val="none" w:sz="0" w:space="0" w:color="auto"/>
                <w:right w:val="none" w:sz="0" w:space="0" w:color="auto"/>
              </w:divBdr>
            </w:div>
          </w:divsChild>
        </w:div>
        <w:div w:id="1056708312">
          <w:marLeft w:val="0"/>
          <w:marRight w:val="0"/>
          <w:marTop w:val="0"/>
          <w:marBottom w:val="0"/>
          <w:divBdr>
            <w:top w:val="none" w:sz="0" w:space="0" w:color="auto"/>
            <w:left w:val="none" w:sz="0" w:space="0" w:color="auto"/>
            <w:bottom w:val="none" w:sz="0" w:space="0" w:color="auto"/>
            <w:right w:val="none" w:sz="0" w:space="0" w:color="auto"/>
          </w:divBdr>
          <w:divsChild>
            <w:div w:id="1947496130">
              <w:marLeft w:val="0"/>
              <w:marRight w:val="0"/>
              <w:marTop w:val="0"/>
              <w:marBottom w:val="0"/>
              <w:divBdr>
                <w:top w:val="none" w:sz="0" w:space="0" w:color="auto"/>
                <w:left w:val="none" w:sz="0" w:space="0" w:color="auto"/>
                <w:bottom w:val="none" w:sz="0" w:space="0" w:color="auto"/>
                <w:right w:val="none" w:sz="0" w:space="0" w:color="auto"/>
              </w:divBdr>
            </w:div>
          </w:divsChild>
        </w:div>
        <w:div w:id="1068501190">
          <w:marLeft w:val="0"/>
          <w:marRight w:val="0"/>
          <w:marTop w:val="0"/>
          <w:marBottom w:val="0"/>
          <w:divBdr>
            <w:top w:val="none" w:sz="0" w:space="0" w:color="auto"/>
            <w:left w:val="none" w:sz="0" w:space="0" w:color="auto"/>
            <w:bottom w:val="none" w:sz="0" w:space="0" w:color="auto"/>
            <w:right w:val="none" w:sz="0" w:space="0" w:color="auto"/>
          </w:divBdr>
          <w:divsChild>
            <w:div w:id="1214079385">
              <w:marLeft w:val="0"/>
              <w:marRight w:val="0"/>
              <w:marTop w:val="0"/>
              <w:marBottom w:val="0"/>
              <w:divBdr>
                <w:top w:val="none" w:sz="0" w:space="0" w:color="auto"/>
                <w:left w:val="none" w:sz="0" w:space="0" w:color="auto"/>
                <w:bottom w:val="none" w:sz="0" w:space="0" w:color="auto"/>
                <w:right w:val="none" w:sz="0" w:space="0" w:color="auto"/>
              </w:divBdr>
            </w:div>
          </w:divsChild>
        </w:div>
        <w:div w:id="1088382406">
          <w:marLeft w:val="0"/>
          <w:marRight w:val="0"/>
          <w:marTop w:val="0"/>
          <w:marBottom w:val="0"/>
          <w:divBdr>
            <w:top w:val="none" w:sz="0" w:space="0" w:color="auto"/>
            <w:left w:val="none" w:sz="0" w:space="0" w:color="auto"/>
            <w:bottom w:val="none" w:sz="0" w:space="0" w:color="auto"/>
            <w:right w:val="none" w:sz="0" w:space="0" w:color="auto"/>
          </w:divBdr>
          <w:divsChild>
            <w:div w:id="1463960379">
              <w:marLeft w:val="0"/>
              <w:marRight w:val="0"/>
              <w:marTop w:val="0"/>
              <w:marBottom w:val="0"/>
              <w:divBdr>
                <w:top w:val="none" w:sz="0" w:space="0" w:color="auto"/>
                <w:left w:val="none" w:sz="0" w:space="0" w:color="auto"/>
                <w:bottom w:val="none" w:sz="0" w:space="0" w:color="auto"/>
                <w:right w:val="none" w:sz="0" w:space="0" w:color="auto"/>
              </w:divBdr>
            </w:div>
          </w:divsChild>
        </w:div>
        <w:div w:id="1093041713">
          <w:marLeft w:val="0"/>
          <w:marRight w:val="0"/>
          <w:marTop w:val="0"/>
          <w:marBottom w:val="0"/>
          <w:divBdr>
            <w:top w:val="none" w:sz="0" w:space="0" w:color="auto"/>
            <w:left w:val="none" w:sz="0" w:space="0" w:color="auto"/>
            <w:bottom w:val="none" w:sz="0" w:space="0" w:color="auto"/>
            <w:right w:val="none" w:sz="0" w:space="0" w:color="auto"/>
          </w:divBdr>
          <w:divsChild>
            <w:div w:id="760033098">
              <w:marLeft w:val="0"/>
              <w:marRight w:val="0"/>
              <w:marTop w:val="0"/>
              <w:marBottom w:val="0"/>
              <w:divBdr>
                <w:top w:val="none" w:sz="0" w:space="0" w:color="auto"/>
                <w:left w:val="none" w:sz="0" w:space="0" w:color="auto"/>
                <w:bottom w:val="none" w:sz="0" w:space="0" w:color="auto"/>
                <w:right w:val="none" w:sz="0" w:space="0" w:color="auto"/>
              </w:divBdr>
            </w:div>
          </w:divsChild>
        </w:div>
        <w:div w:id="1116019242">
          <w:marLeft w:val="0"/>
          <w:marRight w:val="0"/>
          <w:marTop w:val="0"/>
          <w:marBottom w:val="0"/>
          <w:divBdr>
            <w:top w:val="none" w:sz="0" w:space="0" w:color="auto"/>
            <w:left w:val="none" w:sz="0" w:space="0" w:color="auto"/>
            <w:bottom w:val="none" w:sz="0" w:space="0" w:color="auto"/>
            <w:right w:val="none" w:sz="0" w:space="0" w:color="auto"/>
          </w:divBdr>
          <w:divsChild>
            <w:div w:id="1701588934">
              <w:marLeft w:val="0"/>
              <w:marRight w:val="0"/>
              <w:marTop w:val="0"/>
              <w:marBottom w:val="0"/>
              <w:divBdr>
                <w:top w:val="none" w:sz="0" w:space="0" w:color="auto"/>
                <w:left w:val="none" w:sz="0" w:space="0" w:color="auto"/>
                <w:bottom w:val="none" w:sz="0" w:space="0" w:color="auto"/>
                <w:right w:val="none" w:sz="0" w:space="0" w:color="auto"/>
              </w:divBdr>
            </w:div>
          </w:divsChild>
        </w:div>
        <w:div w:id="1131285858">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49597073">
          <w:marLeft w:val="0"/>
          <w:marRight w:val="0"/>
          <w:marTop w:val="0"/>
          <w:marBottom w:val="0"/>
          <w:divBdr>
            <w:top w:val="none" w:sz="0" w:space="0" w:color="auto"/>
            <w:left w:val="none" w:sz="0" w:space="0" w:color="auto"/>
            <w:bottom w:val="none" w:sz="0" w:space="0" w:color="auto"/>
            <w:right w:val="none" w:sz="0" w:space="0" w:color="auto"/>
          </w:divBdr>
          <w:divsChild>
            <w:div w:id="1348872210">
              <w:marLeft w:val="0"/>
              <w:marRight w:val="0"/>
              <w:marTop w:val="0"/>
              <w:marBottom w:val="0"/>
              <w:divBdr>
                <w:top w:val="none" w:sz="0" w:space="0" w:color="auto"/>
                <w:left w:val="none" w:sz="0" w:space="0" w:color="auto"/>
                <w:bottom w:val="none" w:sz="0" w:space="0" w:color="auto"/>
                <w:right w:val="none" w:sz="0" w:space="0" w:color="auto"/>
              </w:divBdr>
            </w:div>
          </w:divsChild>
        </w:div>
        <w:div w:id="1156461421">
          <w:marLeft w:val="0"/>
          <w:marRight w:val="0"/>
          <w:marTop w:val="0"/>
          <w:marBottom w:val="0"/>
          <w:divBdr>
            <w:top w:val="none" w:sz="0" w:space="0" w:color="auto"/>
            <w:left w:val="none" w:sz="0" w:space="0" w:color="auto"/>
            <w:bottom w:val="none" w:sz="0" w:space="0" w:color="auto"/>
            <w:right w:val="none" w:sz="0" w:space="0" w:color="auto"/>
          </w:divBdr>
          <w:divsChild>
            <w:div w:id="1532259167">
              <w:marLeft w:val="0"/>
              <w:marRight w:val="0"/>
              <w:marTop w:val="0"/>
              <w:marBottom w:val="0"/>
              <w:divBdr>
                <w:top w:val="none" w:sz="0" w:space="0" w:color="auto"/>
                <w:left w:val="none" w:sz="0" w:space="0" w:color="auto"/>
                <w:bottom w:val="none" w:sz="0" w:space="0" w:color="auto"/>
                <w:right w:val="none" w:sz="0" w:space="0" w:color="auto"/>
              </w:divBdr>
            </w:div>
          </w:divsChild>
        </w:div>
        <w:div w:id="1164928657">
          <w:marLeft w:val="0"/>
          <w:marRight w:val="0"/>
          <w:marTop w:val="0"/>
          <w:marBottom w:val="0"/>
          <w:divBdr>
            <w:top w:val="none" w:sz="0" w:space="0" w:color="auto"/>
            <w:left w:val="none" w:sz="0" w:space="0" w:color="auto"/>
            <w:bottom w:val="none" w:sz="0" w:space="0" w:color="auto"/>
            <w:right w:val="none" w:sz="0" w:space="0" w:color="auto"/>
          </w:divBdr>
          <w:divsChild>
            <w:div w:id="1049302923">
              <w:marLeft w:val="0"/>
              <w:marRight w:val="0"/>
              <w:marTop w:val="0"/>
              <w:marBottom w:val="0"/>
              <w:divBdr>
                <w:top w:val="none" w:sz="0" w:space="0" w:color="auto"/>
                <w:left w:val="none" w:sz="0" w:space="0" w:color="auto"/>
                <w:bottom w:val="none" w:sz="0" w:space="0" w:color="auto"/>
                <w:right w:val="none" w:sz="0" w:space="0" w:color="auto"/>
              </w:divBdr>
            </w:div>
          </w:divsChild>
        </w:div>
        <w:div w:id="1171799886">
          <w:marLeft w:val="0"/>
          <w:marRight w:val="0"/>
          <w:marTop w:val="0"/>
          <w:marBottom w:val="0"/>
          <w:divBdr>
            <w:top w:val="none" w:sz="0" w:space="0" w:color="auto"/>
            <w:left w:val="none" w:sz="0" w:space="0" w:color="auto"/>
            <w:bottom w:val="none" w:sz="0" w:space="0" w:color="auto"/>
            <w:right w:val="none" w:sz="0" w:space="0" w:color="auto"/>
          </w:divBdr>
          <w:divsChild>
            <w:div w:id="1140733287">
              <w:marLeft w:val="0"/>
              <w:marRight w:val="0"/>
              <w:marTop w:val="0"/>
              <w:marBottom w:val="0"/>
              <w:divBdr>
                <w:top w:val="none" w:sz="0" w:space="0" w:color="auto"/>
                <w:left w:val="none" w:sz="0" w:space="0" w:color="auto"/>
                <w:bottom w:val="none" w:sz="0" w:space="0" w:color="auto"/>
                <w:right w:val="none" w:sz="0" w:space="0" w:color="auto"/>
              </w:divBdr>
            </w:div>
          </w:divsChild>
        </w:div>
        <w:div w:id="1225069184">
          <w:marLeft w:val="0"/>
          <w:marRight w:val="0"/>
          <w:marTop w:val="0"/>
          <w:marBottom w:val="0"/>
          <w:divBdr>
            <w:top w:val="none" w:sz="0" w:space="0" w:color="auto"/>
            <w:left w:val="none" w:sz="0" w:space="0" w:color="auto"/>
            <w:bottom w:val="none" w:sz="0" w:space="0" w:color="auto"/>
            <w:right w:val="none" w:sz="0" w:space="0" w:color="auto"/>
          </w:divBdr>
          <w:divsChild>
            <w:div w:id="983923849">
              <w:marLeft w:val="0"/>
              <w:marRight w:val="0"/>
              <w:marTop w:val="0"/>
              <w:marBottom w:val="0"/>
              <w:divBdr>
                <w:top w:val="none" w:sz="0" w:space="0" w:color="auto"/>
                <w:left w:val="none" w:sz="0" w:space="0" w:color="auto"/>
                <w:bottom w:val="none" w:sz="0" w:space="0" w:color="auto"/>
                <w:right w:val="none" w:sz="0" w:space="0" w:color="auto"/>
              </w:divBdr>
            </w:div>
          </w:divsChild>
        </w:div>
        <w:div w:id="1262105575">
          <w:marLeft w:val="0"/>
          <w:marRight w:val="0"/>
          <w:marTop w:val="0"/>
          <w:marBottom w:val="0"/>
          <w:divBdr>
            <w:top w:val="none" w:sz="0" w:space="0" w:color="auto"/>
            <w:left w:val="none" w:sz="0" w:space="0" w:color="auto"/>
            <w:bottom w:val="none" w:sz="0" w:space="0" w:color="auto"/>
            <w:right w:val="none" w:sz="0" w:space="0" w:color="auto"/>
          </w:divBdr>
          <w:divsChild>
            <w:div w:id="29452360">
              <w:marLeft w:val="0"/>
              <w:marRight w:val="0"/>
              <w:marTop w:val="0"/>
              <w:marBottom w:val="0"/>
              <w:divBdr>
                <w:top w:val="none" w:sz="0" w:space="0" w:color="auto"/>
                <w:left w:val="none" w:sz="0" w:space="0" w:color="auto"/>
                <w:bottom w:val="none" w:sz="0" w:space="0" w:color="auto"/>
                <w:right w:val="none" w:sz="0" w:space="0" w:color="auto"/>
              </w:divBdr>
            </w:div>
          </w:divsChild>
        </w:div>
        <w:div w:id="1286037339">
          <w:marLeft w:val="0"/>
          <w:marRight w:val="0"/>
          <w:marTop w:val="0"/>
          <w:marBottom w:val="0"/>
          <w:divBdr>
            <w:top w:val="none" w:sz="0" w:space="0" w:color="auto"/>
            <w:left w:val="none" w:sz="0" w:space="0" w:color="auto"/>
            <w:bottom w:val="none" w:sz="0" w:space="0" w:color="auto"/>
            <w:right w:val="none" w:sz="0" w:space="0" w:color="auto"/>
          </w:divBdr>
          <w:divsChild>
            <w:div w:id="1496725209">
              <w:marLeft w:val="0"/>
              <w:marRight w:val="0"/>
              <w:marTop w:val="0"/>
              <w:marBottom w:val="0"/>
              <w:divBdr>
                <w:top w:val="none" w:sz="0" w:space="0" w:color="auto"/>
                <w:left w:val="none" w:sz="0" w:space="0" w:color="auto"/>
                <w:bottom w:val="none" w:sz="0" w:space="0" w:color="auto"/>
                <w:right w:val="none" w:sz="0" w:space="0" w:color="auto"/>
              </w:divBdr>
            </w:div>
          </w:divsChild>
        </w:div>
        <w:div w:id="1290862715">
          <w:marLeft w:val="0"/>
          <w:marRight w:val="0"/>
          <w:marTop w:val="0"/>
          <w:marBottom w:val="0"/>
          <w:divBdr>
            <w:top w:val="none" w:sz="0" w:space="0" w:color="auto"/>
            <w:left w:val="none" w:sz="0" w:space="0" w:color="auto"/>
            <w:bottom w:val="none" w:sz="0" w:space="0" w:color="auto"/>
            <w:right w:val="none" w:sz="0" w:space="0" w:color="auto"/>
          </w:divBdr>
          <w:divsChild>
            <w:div w:id="88039229">
              <w:marLeft w:val="0"/>
              <w:marRight w:val="0"/>
              <w:marTop w:val="0"/>
              <w:marBottom w:val="0"/>
              <w:divBdr>
                <w:top w:val="none" w:sz="0" w:space="0" w:color="auto"/>
                <w:left w:val="none" w:sz="0" w:space="0" w:color="auto"/>
                <w:bottom w:val="none" w:sz="0" w:space="0" w:color="auto"/>
                <w:right w:val="none" w:sz="0" w:space="0" w:color="auto"/>
              </w:divBdr>
            </w:div>
          </w:divsChild>
        </w:div>
        <w:div w:id="1293751812">
          <w:marLeft w:val="0"/>
          <w:marRight w:val="0"/>
          <w:marTop w:val="0"/>
          <w:marBottom w:val="0"/>
          <w:divBdr>
            <w:top w:val="none" w:sz="0" w:space="0" w:color="auto"/>
            <w:left w:val="none" w:sz="0" w:space="0" w:color="auto"/>
            <w:bottom w:val="none" w:sz="0" w:space="0" w:color="auto"/>
            <w:right w:val="none" w:sz="0" w:space="0" w:color="auto"/>
          </w:divBdr>
          <w:divsChild>
            <w:div w:id="1447969578">
              <w:marLeft w:val="0"/>
              <w:marRight w:val="0"/>
              <w:marTop w:val="0"/>
              <w:marBottom w:val="0"/>
              <w:divBdr>
                <w:top w:val="none" w:sz="0" w:space="0" w:color="auto"/>
                <w:left w:val="none" w:sz="0" w:space="0" w:color="auto"/>
                <w:bottom w:val="none" w:sz="0" w:space="0" w:color="auto"/>
                <w:right w:val="none" w:sz="0" w:space="0" w:color="auto"/>
              </w:divBdr>
            </w:div>
          </w:divsChild>
        </w:div>
        <w:div w:id="1305509126">
          <w:marLeft w:val="0"/>
          <w:marRight w:val="0"/>
          <w:marTop w:val="0"/>
          <w:marBottom w:val="0"/>
          <w:divBdr>
            <w:top w:val="none" w:sz="0" w:space="0" w:color="auto"/>
            <w:left w:val="none" w:sz="0" w:space="0" w:color="auto"/>
            <w:bottom w:val="none" w:sz="0" w:space="0" w:color="auto"/>
            <w:right w:val="none" w:sz="0" w:space="0" w:color="auto"/>
          </w:divBdr>
          <w:divsChild>
            <w:div w:id="553348149">
              <w:marLeft w:val="0"/>
              <w:marRight w:val="0"/>
              <w:marTop w:val="0"/>
              <w:marBottom w:val="0"/>
              <w:divBdr>
                <w:top w:val="none" w:sz="0" w:space="0" w:color="auto"/>
                <w:left w:val="none" w:sz="0" w:space="0" w:color="auto"/>
                <w:bottom w:val="none" w:sz="0" w:space="0" w:color="auto"/>
                <w:right w:val="none" w:sz="0" w:space="0" w:color="auto"/>
              </w:divBdr>
            </w:div>
          </w:divsChild>
        </w:div>
        <w:div w:id="1324429219">
          <w:marLeft w:val="0"/>
          <w:marRight w:val="0"/>
          <w:marTop w:val="0"/>
          <w:marBottom w:val="0"/>
          <w:divBdr>
            <w:top w:val="none" w:sz="0" w:space="0" w:color="auto"/>
            <w:left w:val="none" w:sz="0" w:space="0" w:color="auto"/>
            <w:bottom w:val="none" w:sz="0" w:space="0" w:color="auto"/>
            <w:right w:val="none" w:sz="0" w:space="0" w:color="auto"/>
          </w:divBdr>
          <w:divsChild>
            <w:div w:id="1048187267">
              <w:marLeft w:val="0"/>
              <w:marRight w:val="0"/>
              <w:marTop w:val="0"/>
              <w:marBottom w:val="0"/>
              <w:divBdr>
                <w:top w:val="none" w:sz="0" w:space="0" w:color="auto"/>
                <w:left w:val="none" w:sz="0" w:space="0" w:color="auto"/>
                <w:bottom w:val="none" w:sz="0" w:space="0" w:color="auto"/>
                <w:right w:val="none" w:sz="0" w:space="0" w:color="auto"/>
              </w:divBdr>
            </w:div>
          </w:divsChild>
        </w:div>
        <w:div w:id="1328555231">
          <w:marLeft w:val="0"/>
          <w:marRight w:val="0"/>
          <w:marTop w:val="0"/>
          <w:marBottom w:val="0"/>
          <w:divBdr>
            <w:top w:val="none" w:sz="0" w:space="0" w:color="auto"/>
            <w:left w:val="none" w:sz="0" w:space="0" w:color="auto"/>
            <w:bottom w:val="none" w:sz="0" w:space="0" w:color="auto"/>
            <w:right w:val="none" w:sz="0" w:space="0" w:color="auto"/>
          </w:divBdr>
          <w:divsChild>
            <w:div w:id="1149522305">
              <w:marLeft w:val="0"/>
              <w:marRight w:val="0"/>
              <w:marTop w:val="0"/>
              <w:marBottom w:val="0"/>
              <w:divBdr>
                <w:top w:val="none" w:sz="0" w:space="0" w:color="auto"/>
                <w:left w:val="none" w:sz="0" w:space="0" w:color="auto"/>
                <w:bottom w:val="none" w:sz="0" w:space="0" w:color="auto"/>
                <w:right w:val="none" w:sz="0" w:space="0" w:color="auto"/>
              </w:divBdr>
            </w:div>
          </w:divsChild>
        </w:div>
        <w:div w:id="1350251596">
          <w:marLeft w:val="0"/>
          <w:marRight w:val="0"/>
          <w:marTop w:val="0"/>
          <w:marBottom w:val="0"/>
          <w:divBdr>
            <w:top w:val="none" w:sz="0" w:space="0" w:color="auto"/>
            <w:left w:val="none" w:sz="0" w:space="0" w:color="auto"/>
            <w:bottom w:val="none" w:sz="0" w:space="0" w:color="auto"/>
            <w:right w:val="none" w:sz="0" w:space="0" w:color="auto"/>
          </w:divBdr>
          <w:divsChild>
            <w:div w:id="1557282389">
              <w:marLeft w:val="0"/>
              <w:marRight w:val="0"/>
              <w:marTop w:val="0"/>
              <w:marBottom w:val="0"/>
              <w:divBdr>
                <w:top w:val="none" w:sz="0" w:space="0" w:color="auto"/>
                <w:left w:val="none" w:sz="0" w:space="0" w:color="auto"/>
                <w:bottom w:val="none" w:sz="0" w:space="0" w:color="auto"/>
                <w:right w:val="none" w:sz="0" w:space="0" w:color="auto"/>
              </w:divBdr>
            </w:div>
          </w:divsChild>
        </w:div>
        <w:div w:id="1360619643">
          <w:marLeft w:val="0"/>
          <w:marRight w:val="0"/>
          <w:marTop w:val="0"/>
          <w:marBottom w:val="0"/>
          <w:divBdr>
            <w:top w:val="none" w:sz="0" w:space="0" w:color="auto"/>
            <w:left w:val="none" w:sz="0" w:space="0" w:color="auto"/>
            <w:bottom w:val="none" w:sz="0" w:space="0" w:color="auto"/>
            <w:right w:val="none" w:sz="0" w:space="0" w:color="auto"/>
          </w:divBdr>
          <w:divsChild>
            <w:div w:id="1537278791">
              <w:marLeft w:val="0"/>
              <w:marRight w:val="0"/>
              <w:marTop w:val="0"/>
              <w:marBottom w:val="0"/>
              <w:divBdr>
                <w:top w:val="none" w:sz="0" w:space="0" w:color="auto"/>
                <w:left w:val="none" w:sz="0" w:space="0" w:color="auto"/>
                <w:bottom w:val="none" w:sz="0" w:space="0" w:color="auto"/>
                <w:right w:val="none" w:sz="0" w:space="0" w:color="auto"/>
              </w:divBdr>
            </w:div>
          </w:divsChild>
        </w:div>
        <w:div w:id="1364406539">
          <w:marLeft w:val="0"/>
          <w:marRight w:val="0"/>
          <w:marTop w:val="0"/>
          <w:marBottom w:val="0"/>
          <w:divBdr>
            <w:top w:val="none" w:sz="0" w:space="0" w:color="auto"/>
            <w:left w:val="none" w:sz="0" w:space="0" w:color="auto"/>
            <w:bottom w:val="none" w:sz="0" w:space="0" w:color="auto"/>
            <w:right w:val="none" w:sz="0" w:space="0" w:color="auto"/>
          </w:divBdr>
          <w:divsChild>
            <w:div w:id="1896698234">
              <w:marLeft w:val="0"/>
              <w:marRight w:val="0"/>
              <w:marTop w:val="0"/>
              <w:marBottom w:val="0"/>
              <w:divBdr>
                <w:top w:val="none" w:sz="0" w:space="0" w:color="auto"/>
                <w:left w:val="none" w:sz="0" w:space="0" w:color="auto"/>
                <w:bottom w:val="none" w:sz="0" w:space="0" w:color="auto"/>
                <w:right w:val="none" w:sz="0" w:space="0" w:color="auto"/>
              </w:divBdr>
            </w:div>
          </w:divsChild>
        </w:div>
        <w:div w:id="1393700738">
          <w:marLeft w:val="0"/>
          <w:marRight w:val="0"/>
          <w:marTop w:val="0"/>
          <w:marBottom w:val="0"/>
          <w:divBdr>
            <w:top w:val="none" w:sz="0" w:space="0" w:color="auto"/>
            <w:left w:val="none" w:sz="0" w:space="0" w:color="auto"/>
            <w:bottom w:val="none" w:sz="0" w:space="0" w:color="auto"/>
            <w:right w:val="none" w:sz="0" w:space="0" w:color="auto"/>
          </w:divBdr>
          <w:divsChild>
            <w:div w:id="866213053">
              <w:marLeft w:val="0"/>
              <w:marRight w:val="0"/>
              <w:marTop w:val="0"/>
              <w:marBottom w:val="0"/>
              <w:divBdr>
                <w:top w:val="none" w:sz="0" w:space="0" w:color="auto"/>
                <w:left w:val="none" w:sz="0" w:space="0" w:color="auto"/>
                <w:bottom w:val="none" w:sz="0" w:space="0" w:color="auto"/>
                <w:right w:val="none" w:sz="0" w:space="0" w:color="auto"/>
              </w:divBdr>
            </w:div>
          </w:divsChild>
        </w:div>
        <w:div w:id="1398437289">
          <w:marLeft w:val="0"/>
          <w:marRight w:val="0"/>
          <w:marTop w:val="0"/>
          <w:marBottom w:val="0"/>
          <w:divBdr>
            <w:top w:val="none" w:sz="0" w:space="0" w:color="auto"/>
            <w:left w:val="none" w:sz="0" w:space="0" w:color="auto"/>
            <w:bottom w:val="none" w:sz="0" w:space="0" w:color="auto"/>
            <w:right w:val="none" w:sz="0" w:space="0" w:color="auto"/>
          </w:divBdr>
          <w:divsChild>
            <w:div w:id="2062055234">
              <w:marLeft w:val="0"/>
              <w:marRight w:val="0"/>
              <w:marTop w:val="0"/>
              <w:marBottom w:val="0"/>
              <w:divBdr>
                <w:top w:val="none" w:sz="0" w:space="0" w:color="auto"/>
                <w:left w:val="none" w:sz="0" w:space="0" w:color="auto"/>
                <w:bottom w:val="none" w:sz="0" w:space="0" w:color="auto"/>
                <w:right w:val="none" w:sz="0" w:space="0" w:color="auto"/>
              </w:divBdr>
            </w:div>
          </w:divsChild>
        </w:div>
        <w:div w:id="1402943519">
          <w:marLeft w:val="0"/>
          <w:marRight w:val="0"/>
          <w:marTop w:val="0"/>
          <w:marBottom w:val="0"/>
          <w:divBdr>
            <w:top w:val="none" w:sz="0" w:space="0" w:color="auto"/>
            <w:left w:val="none" w:sz="0" w:space="0" w:color="auto"/>
            <w:bottom w:val="none" w:sz="0" w:space="0" w:color="auto"/>
            <w:right w:val="none" w:sz="0" w:space="0" w:color="auto"/>
          </w:divBdr>
          <w:divsChild>
            <w:div w:id="203568958">
              <w:marLeft w:val="0"/>
              <w:marRight w:val="0"/>
              <w:marTop w:val="0"/>
              <w:marBottom w:val="0"/>
              <w:divBdr>
                <w:top w:val="none" w:sz="0" w:space="0" w:color="auto"/>
                <w:left w:val="none" w:sz="0" w:space="0" w:color="auto"/>
                <w:bottom w:val="none" w:sz="0" w:space="0" w:color="auto"/>
                <w:right w:val="none" w:sz="0" w:space="0" w:color="auto"/>
              </w:divBdr>
            </w:div>
          </w:divsChild>
        </w:div>
        <w:div w:id="1473016059">
          <w:marLeft w:val="0"/>
          <w:marRight w:val="0"/>
          <w:marTop w:val="0"/>
          <w:marBottom w:val="0"/>
          <w:divBdr>
            <w:top w:val="none" w:sz="0" w:space="0" w:color="auto"/>
            <w:left w:val="none" w:sz="0" w:space="0" w:color="auto"/>
            <w:bottom w:val="none" w:sz="0" w:space="0" w:color="auto"/>
            <w:right w:val="none" w:sz="0" w:space="0" w:color="auto"/>
          </w:divBdr>
          <w:divsChild>
            <w:div w:id="1879275881">
              <w:marLeft w:val="0"/>
              <w:marRight w:val="0"/>
              <w:marTop w:val="0"/>
              <w:marBottom w:val="0"/>
              <w:divBdr>
                <w:top w:val="none" w:sz="0" w:space="0" w:color="auto"/>
                <w:left w:val="none" w:sz="0" w:space="0" w:color="auto"/>
                <w:bottom w:val="none" w:sz="0" w:space="0" w:color="auto"/>
                <w:right w:val="none" w:sz="0" w:space="0" w:color="auto"/>
              </w:divBdr>
            </w:div>
          </w:divsChild>
        </w:div>
        <w:div w:id="1516991983">
          <w:marLeft w:val="0"/>
          <w:marRight w:val="0"/>
          <w:marTop w:val="0"/>
          <w:marBottom w:val="0"/>
          <w:divBdr>
            <w:top w:val="none" w:sz="0" w:space="0" w:color="auto"/>
            <w:left w:val="none" w:sz="0" w:space="0" w:color="auto"/>
            <w:bottom w:val="none" w:sz="0" w:space="0" w:color="auto"/>
            <w:right w:val="none" w:sz="0" w:space="0" w:color="auto"/>
          </w:divBdr>
          <w:divsChild>
            <w:div w:id="639656212">
              <w:marLeft w:val="0"/>
              <w:marRight w:val="0"/>
              <w:marTop w:val="0"/>
              <w:marBottom w:val="0"/>
              <w:divBdr>
                <w:top w:val="none" w:sz="0" w:space="0" w:color="auto"/>
                <w:left w:val="none" w:sz="0" w:space="0" w:color="auto"/>
                <w:bottom w:val="none" w:sz="0" w:space="0" w:color="auto"/>
                <w:right w:val="none" w:sz="0" w:space="0" w:color="auto"/>
              </w:divBdr>
            </w:div>
          </w:divsChild>
        </w:div>
        <w:div w:id="1523788517">
          <w:marLeft w:val="0"/>
          <w:marRight w:val="0"/>
          <w:marTop w:val="0"/>
          <w:marBottom w:val="0"/>
          <w:divBdr>
            <w:top w:val="none" w:sz="0" w:space="0" w:color="auto"/>
            <w:left w:val="none" w:sz="0" w:space="0" w:color="auto"/>
            <w:bottom w:val="none" w:sz="0" w:space="0" w:color="auto"/>
            <w:right w:val="none" w:sz="0" w:space="0" w:color="auto"/>
          </w:divBdr>
          <w:divsChild>
            <w:div w:id="434518603">
              <w:marLeft w:val="0"/>
              <w:marRight w:val="0"/>
              <w:marTop w:val="0"/>
              <w:marBottom w:val="0"/>
              <w:divBdr>
                <w:top w:val="none" w:sz="0" w:space="0" w:color="auto"/>
                <w:left w:val="none" w:sz="0" w:space="0" w:color="auto"/>
                <w:bottom w:val="none" w:sz="0" w:space="0" w:color="auto"/>
                <w:right w:val="none" w:sz="0" w:space="0" w:color="auto"/>
              </w:divBdr>
            </w:div>
          </w:divsChild>
        </w:div>
        <w:div w:id="1540388798">
          <w:marLeft w:val="0"/>
          <w:marRight w:val="0"/>
          <w:marTop w:val="0"/>
          <w:marBottom w:val="0"/>
          <w:divBdr>
            <w:top w:val="none" w:sz="0" w:space="0" w:color="auto"/>
            <w:left w:val="none" w:sz="0" w:space="0" w:color="auto"/>
            <w:bottom w:val="none" w:sz="0" w:space="0" w:color="auto"/>
            <w:right w:val="none" w:sz="0" w:space="0" w:color="auto"/>
          </w:divBdr>
          <w:divsChild>
            <w:div w:id="601107371">
              <w:marLeft w:val="0"/>
              <w:marRight w:val="0"/>
              <w:marTop w:val="0"/>
              <w:marBottom w:val="0"/>
              <w:divBdr>
                <w:top w:val="none" w:sz="0" w:space="0" w:color="auto"/>
                <w:left w:val="none" w:sz="0" w:space="0" w:color="auto"/>
                <w:bottom w:val="none" w:sz="0" w:space="0" w:color="auto"/>
                <w:right w:val="none" w:sz="0" w:space="0" w:color="auto"/>
              </w:divBdr>
            </w:div>
          </w:divsChild>
        </w:div>
        <w:div w:id="1578858371">
          <w:marLeft w:val="0"/>
          <w:marRight w:val="0"/>
          <w:marTop w:val="0"/>
          <w:marBottom w:val="0"/>
          <w:divBdr>
            <w:top w:val="none" w:sz="0" w:space="0" w:color="auto"/>
            <w:left w:val="none" w:sz="0" w:space="0" w:color="auto"/>
            <w:bottom w:val="none" w:sz="0" w:space="0" w:color="auto"/>
            <w:right w:val="none" w:sz="0" w:space="0" w:color="auto"/>
          </w:divBdr>
          <w:divsChild>
            <w:div w:id="1370180766">
              <w:marLeft w:val="0"/>
              <w:marRight w:val="0"/>
              <w:marTop w:val="0"/>
              <w:marBottom w:val="0"/>
              <w:divBdr>
                <w:top w:val="none" w:sz="0" w:space="0" w:color="auto"/>
                <w:left w:val="none" w:sz="0" w:space="0" w:color="auto"/>
                <w:bottom w:val="none" w:sz="0" w:space="0" w:color="auto"/>
                <w:right w:val="none" w:sz="0" w:space="0" w:color="auto"/>
              </w:divBdr>
            </w:div>
          </w:divsChild>
        </w:div>
        <w:div w:id="1601796159">
          <w:marLeft w:val="0"/>
          <w:marRight w:val="0"/>
          <w:marTop w:val="0"/>
          <w:marBottom w:val="0"/>
          <w:divBdr>
            <w:top w:val="none" w:sz="0" w:space="0" w:color="auto"/>
            <w:left w:val="none" w:sz="0" w:space="0" w:color="auto"/>
            <w:bottom w:val="none" w:sz="0" w:space="0" w:color="auto"/>
            <w:right w:val="none" w:sz="0" w:space="0" w:color="auto"/>
          </w:divBdr>
          <w:divsChild>
            <w:div w:id="1895656068">
              <w:marLeft w:val="0"/>
              <w:marRight w:val="0"/>
              <w:marTop w:val="0"/>
              <w:marBottom w:val="0"/>
              <w:divBdr>
                <w:top w:val="none" w:sz="0" w:space="0" w:color="auto"/>
                <w:left w:val="none" w:sz="0" w:space="0" w:color="auto"/>
                <w:bottom w:val="none" w:sz="0" w:space="0" w:color="auto"/>
                <w:right w:val="none" w:sz="0" w:space="0" w:color="auto"/>
              </w:divBdr>
            </w:div>
          </w:divsChild>
        </w:div>
        <w:div w:id="1604612347">
          <w:marLeft w:val="0"/>
          <w:marRight w:val="0"/>
          <w:marTop w:val="0"/>
          <w:marBottom w:val="0"/>
          <w:divBdr>
            <w:top w:val="none" w:sz="0" w:space="0" w:color="auto"/>
            <w:left w:val="none" w:sz="0" w:space="0" w:color="auto"/>
            <w:bottom w:val="none" w:sz="0" w:space="0" w:color="auto"/>
            <w:right w:val="none" w:sz="0" w:space="0" w:color="auto"/>
          </w:divBdr>
          <w:divsChild>
            <w:div w:id="1587765227">
              <w:marLeft w:val="0"/>
              <w:marRight w:val="0"/>
              <w:marTop w:val="0"/>
              <w:marBottom w:val="0"/>
              <w:divBdr>
                <w:top w:val="none" w:sz="0" w:space="0" w:color="auto"/>
                <w:left w:val="none" w:sz="0" w:space="0" w:color="auto"/>
                <w:bottom w:val="none" w:sz="0" w:space="0" w:color="auto"/>
                <w:right w:val="none" w:sz="0" w:space="0" w:color="auto"/>
              </w:divBdr>
            </w:div>
          </w:divsChild>
        </w:div>
        <w:div w:id="1606839846">
          <w:marLeft w:val="0"/>
          <w:marRight w:val="0"/>
          <w:marTop w:val="0"/>
          <w:marBottom w:val="0"/>
          <w:divBdr>
            <w:top w:val="none" w:sz="0" w:space="0" w:color="auto"/>
            <w:left w:val="none" w:sz="0" w:space="0" w:color="auto"/>
            <w:bottom w:val="none" w:sz="0" w:space="0" w:color="auto"/>
            <w:right w:val="none" w:sz="0" w:space="0" w:color="auto"/>
          </w:divBdr>
          <w:divsChild>
            <w:div w:id="444619054">
              <w:marLeft w:val="0"/>
              <w:marRight w:val="0"/>
              <w:marTop w:val="0"/>
              <w:marBottom w:val="0"/>
              <w:divBdr>
                <w:top w:val="none" w:sz="0" w:space="0" w:color="auto"/>
                <w:left w:val="none" w:sz="0" w:space="0" w:color="auto"/>
                <w:bottom w:val="none" w:sz="0" w:space="0" w:color="auto"/>
                <w:right w:val="none" w:sz="0" w:space="0" w:color="auto"/>
              </w:divBdr>
            </w:div>
          </w:divsChild>
        </w:div>
        <w:div w:id="1611662706">
          <w:marLeft w:val="0"/>
          <w:marRight w:val="0"/>
          <w:marTop w:val="0"/>
          <w:marBottom w:val="0"/>
          <w:divBdr>
            <w:top w:val="none" w:sz="0" w:space="0" w:color="auto"/>
            <w:left w:val="none" w:sz="0" w:space="0" w:color="auto"/>
            <w:bottom w:val="none" w:sz="0" w:space="0" w:color="auto"/>
            <w:right w:val="none" w:sz="0" w:space="0" w:color="auto"/>
          </w:divBdr>
          <w:divsChild>
            <w:div w:id="523324387">
              <w:marLeft w:val="0"/>
              <w:marRight w:val="0"/>
              <w:marTop w:val="0"/>
              <w:marBottom w:val="0"/>
              <w:divBdr>
                <w:top w:val="none" w:sz="0" w:space="0" w:color="auto"/>
                <w:left w:val="none" w:sz="0" w:space="0" w:color="auto"/>
                <w:bottom w:val="none" w:sz="0" w:space="0" w:color="auto"/>
                <w:right w:val="none" w:sz="0" w:space="0" w:color="auto"/>
              </w:divBdr>
            </w:div>
          </w:divsChild>
        </w:div>
        <w:div w:id="1613320752">
          <w:marLeft w:val="0"/>
          <w:marRight w:val="0"/>
          <w:marTop w:val="0"/>
          <w:marBottom w:val="0"/>
          <w:divBdr>
            <w:top w:val="none" w:sz="0" w:space="0" w:color="auto"/>
            <w:left w:val="none" w:sz="0" w:space="0" w:color="auto"/>
            <w:bottom w:val="none" w:sz="0" w:space="0" w:color="auto"/>
            <w:right w:val="none" w:sz="0" w:space="0" w:color="auto"/>
          </w:divBdr>
          <w:divsChild>
            <w:div w:id="906526574">
              <w:marLeft w:val="0"/>
              <w:marRight w:val="0"/>
              <w:marTop w:val="0"/>
              <w:marBottom w:val="0"/>
              <w:divBdr>
                <w:top w:val="none" w:sz="0" w:space="0" w:color="auto"/>
                <w:left w:val="none" w:sz="0" w:space="0" w:color="auto"/>
                <w:bottom w:val="none" w:sz="0" w:space="0" w:color="auto"/>
                <w:right w:val="none" w:sz="0" w:space="0" w:color="auto"/>
              </w:divBdr>
            </w:div>
          </w:divsChild>
        </w:div>
        <w:div w:id="1644042570">
          <w:marLeft w:val="0"/>
          <w:marRight w:val="0"/>
          <w:marTop w:val="0"/>
          <w:marBottom w:val="0"/>
          <w:divBdr>
            <w:top w:val="none" w:sz="0" w:space="0" w:color="auto"/>
            <w:left w:val="none" w:sz="0" w:space="0" w:color="auto"/>
            <w:bottom w:val="none" w:sz="0" w:space="0" w:color="auto"/>
            <w:right w:val="none" w:sz="0" w:space="0" w:color="auto"/>
          </w:divBdr>
          <w:divsChild>
            <w:div w:id="1635408398">
              <w:marLeft w:val="0"/>
              <w:marRight w:val="0"/>
              <w:marTop w:val="0"/>
              <w:marBottom w:val="0"/>
              <w:divBdr>
                <w:top w:val="none" w:sz="0" w:space="0" w:color="auto"/>
                <w:left w:val="none" w:sz="0" w:space="0" w:color="auto"/>
                <w:bottom w:val="none" w:sz="0" w:space="0" w:color="auto"/>
                <w:right w:val="none" w:sz="0" w:space="0" w:color="auto"/>
              </w:divBdr>
            </w:div>
          </w:divsChild>
        </w:div>
        <w:div w:id="1686052467">
          <w:marLeft w:val="0"/>
          <w:marRight w:val="0"/>
          <w:marTop w:val="0"/>
          <w:marBottom w:val="0"/>
          <w:divBdr>
            <w:top w:val="none" w:sz="0" w:space="0" w:color="auto"/>
            <w:left w:val="none" w:sz="0" w:space="0" w:color="auto"/>
            <w:bottom w:val="none" w:sz="0" w:space="0" w:color="auto"/>
            <w:right w:val="none" w:sz="0" w:space="0" w:color="auto"/>
          </w:divBdr>
          <w:divsChild>
            <w:div w:id="733703298">
              <w:marLeft w:val="0"/>
              <w:marRight w:val="0"/>
              <w:marTop w:val="0"/>
              <w:marBottom w:val="0"/>
              <w:divBdr>
                <w:top w:val="none" w:sz="0" w:space="0" w:color="auto"/>
                <w:left w:val="none" w:sz="0" w:space="0" w:color="auto"/>
                <w:bottom w:val="none" w:sz="0" w:space="0" w:color="auto"/>
                <w:right w:val="none" w:sz="0" w:space="0" w:color="auto"/>
              </w:divBdr>
            </w:div>
          </w:divsChild>
        </w:div>
        <w:div w:id="1690255481">
          <w:marLeft w:val="0"/>
          <w:marRight w:val="0"/>
          <w:marTop w:val="0"/>
          <w:marBottom w:val="0"/>
          <w:divBdr>
            <w:top w:val="none" w:sz="0" w:space="0" w:color="auto"/>
            <w:left w:val="none" w:sz="0" w:space="0" w:color="auto"/>
            <w:bottom w:val="none" w:sz="0" w:space="0" w:color="auto"/>
            <w:right w:val="none" w:sz="0" w:space="0" w:color="auto"/>
          </w:divBdr>
          <w:divsChild>
            <w:div w:id="983898226">
              <w:marLeft w:val="0"/>
              <w:marRight w:val="0"/>
              <w:marTop w:val="0"/>
              <w:marBottom w:val="0"/>
              <w:divBdr>
                <w:top w:val="none" w:sz="0" w:space="0" w:color="auto"/>
                <w:left w:val="none" w:sz="0" w:space="0" w:color="auto"/>
                <w:bottom w:val="none" w:sz="0" w:space="0" w:color="auto"/>
                <w:right w:val="none" w:sz="0" w:space="0" w:color="auto"/>
              </w:divBdr>
            </w:div>
          </w:divsChild>
        </w:div>
        <w:div w:id="1690597145">
          <w:marLeft w:val="0"/>
          <w:marRight w:val="0"/>
          <w:marTop w:val="0"/>
          <w:marBottom w:val="0"/>
          <w:divBdr>
            <w:top w:val="none" w:sz="0" w:space="0" w:color="auto"/>
            <w:left w:val="none" w:sz="0" w:space="0" w:color="auto"/>
            <w:bottom w:val="none" w:sz="0" w:space="0" w:color="auto"/>
            <w:right w:val="none" w:sz="0" w:space="0" w:color="auto"/>
          </w:divBdr>
          <w:divsChild>
            <w:div w:id="2115859009">
              <w:marLeft w:val="0"/>
              <w:marRight w:val="0"/>
              <w:marTop w:val="0"/>
              <w:marBottom w:val="0"/>
              <w:divBdr>
                <w:top w:val="none" w:sz="0" w:space="0" w:color="auto"/>
                <w:left w:val="none" w:sz="0" w:space="0" w:color="auto"/>
                <w:bottom w:val="none" w:sz="0" w:space="0" w:color="auto"/>
                <w:right w:val="none" w:sz="0" w:space="0" w:color="auto"/>
              </w:divBdr>
            </w:div>
          </w:divsChild>
        </w:div>
        <w:div w:id="1697804874">
          <w:marLeft w:val="0"/>
          <w:marRight w:val="0"/>
          <w:marTop w:val="0"/>
          <w:marBottom w:val="0"/>
          <w:divBdr>
            <w:top w:val="none" w:sz="0" w:space="0" w:color="auto"/>
            <w:left w:val="none" w:sz="0" w:space="0" w:color="auto"/>
            <w:bottom w:val="none" w:sz="0" w:space="0" w:color="auto"/>
            <w:right w:val="none" w:sz="0" w:space="0" w:color="auto"/>
          </w:divBdr>
          <w:divsChild>
            <w:div w:id="1055590887">
              <w:marLeft w:val="0"/>
              <w:marRight w:val="0"/>
              <w:marTop w:val="0"/>
              <w:marBottom w:val="0"/>
              <w:divBdr>
                <w:top w:val="none" w:sz="0" w:space="0" w:color="auto"/>
                <w:left w:val="none" w:sz="0" w:space="0" w:color="auto"/>
                <w:bottom w:val="none" w:sz="0" w:space="0" w:color="auto"/>
                <w:right w:val="none" w:sz="0" w:space="0" w:color="auto"/>
              </w:divBdr>
            </w:div>
          </w:divsChild>
        </w:div>
        <w:div w:id="1716194365">
          <w:marLeft w:val="0"/>
          <w:marRight w:val="0"/>
          <w:marTop w:val="0"/>
          <w:marBottom w:val="0"/>
          <w:divBdr>
            <w:top w:val="none" w:sz="0" w:space="0" w:color="auto"/>
            <w:left w:val="none" w:sz="0" w:space="0" w:color="auto"/>
            <w:bottom w:val="none" w:sz="0" w:space="0" w:color="auto"/>
            <w:right w:val="none" w:sz="0" w:space="0" w:color="auto"/>
          </w:divBdr>
          <w:divsChild>
            <w:div w:id="1127088568">
              <w:marLeft w:val="0"/>
              <w:marRight w:val="0"/>
              <w:marTop w:val="0"/>
              <w:marBottom w:val="0"/>
              <w:divBdr>
                <w:top w:val="none" w:sz="0" w:space="0" w:color="auto"/>
                <w:left w:val="none" w:sz="0" w:space="0" w:color="auto"/>
                <w:bottom w:val="none" w:sz="0" w:space="0" w:color="auto"/>
                <w:right w:val="none" w:sz="0" w:space="0" w:color="auto"/>
              </w:divBdr>
            </w:div>
          </w:divsChild>
        </w:div>
        <w:div w:id="1719280914">
          <w:marLeft w:val="0"/>
          <w:marRight w:val="0"/>
          <w:marTop w:val="0"/>
          <w:marBottom w:val="0"/>
          <w:divBdr>
            <w:top w:val="none" w:sz="0" w:space="0" w:color="auto"/>
            <w:left w:val="none" w:sz="0" w:space="0" w:color="auto"/>
            <w:bottom w:val="none" w:sz="0" w:space="0" w:color="auto"/>
            <w:right w:val="none" w:sz="0" w:space="0" w:color="auto"/>
          </w:divBdr>
          <w:divsChild>
            <w:div w:id="2079404575">
              <w:marLeft w:val="0"/>
              <w:marRight w:val="0"/>
              <w:marTop w:val="0"/>
              <w:marBottom w:val="0"/>
              <w:divBdr>
                <w:top w:val="none" w:sz="0" w:space="0" w:color="auto"/>
                <w:left w:val="none" w:sz="0" w:space="0" w:color="auto"/>
                <w:bottom w:val="none" w:sz="0" w:space="0" w:color="auto"/>
                <w:right w:val="none" w:sz="0" w:space="0" w:color="auto"/>
              </w:divBdr>
            </w:div>
          </w:divsChild>
        </w:div>
        <w:div w:id="1755275839">
          <w:marLeft w:val="0"/>
          <w:marRight w:val="0"/>
          <w:marTop w:val="0"/>
          <w:marBottom w:val="0"/>
          <w:divBdr>
            <w:top w:val="none" w:sz="0" w:space="0" w:color="auto"/>
            <w:left w:val="none" w:sz="0" w:space="0" w:color="auto"/>
            <w:bottom w:val="none" w:sz="0" w:space="0" w:color="auto"/>
            <w:right w:val="none" w:sz="0" w:space="0" w:color="auto"/>
          </w:divBdr>
          <w:divsChild>
            <w:div w:id="1053769959">
              <w:marLeft w:val="0"/>
              <w:marRight w:val="0"/>
              <w:marTop w:val="0"/>
              <w:marBottom w:val="0"/>
              <w:divBdr>
                <w:top w:val="none" w:sz="0" w:space="0" w:color="auto"/>
                <w:left w:val="none" w:sz="0" w:space="0" w:color="auto"/>
                <w:bottom w:val="none" w:sz="0" w:space="0" w:color="auto"/>
                <w:right w:val="none" w:sz="0" w:space="0" w:color="auto"/>
              </w:divBdr>
            </w:div>
          </w:divsChild>
        </w:div>
        <w:div w:id="1762289618">
          <w:marLeft w:val="0"/>
          <w:marRight w:val="0"/>
          <w:marTop w:val="0"/>
          <w:marBottom w:val="0"/>
          <w:divBdr>
            <w:top w:val="none" w:sz="0" w:space="0" w:color="auto"/>
            <w:left w:val="none" w:sz="0" w:space="0" w:color="auto"/>
            <w:bottom w:val="none" w:sz="0" w:space="0" w:color="auto"/>
            <w:right w:val="none" w:sz="0" w:space="0" w:color="auto"/>
          </w:divBdr>
          <w:divsChild>
            <w:div w:id="1718433555">
              <w:marLeft w:val="0"/>
              <w:marRight w:val="0"/>
              <w:marTop w:val="0"/>
              <w:marBottom w:val="0"/>
              <w:divBdr>
                <w:top w:val="none" w:sz="0" w:space="0" w:color="auto"/>
                <w:left w:val="none" w:sz="0" w:space="0" w:color="auto"/>
                <w:bottom w:val="none" w:sz="0" w:space="0" w:color="auto"/>
                <w:right w:val="none" w:sz="0" w:space="0" w:color="auto"/>
              </w:divBdr>
            </w:div>
          </w:divsChild>
        </w:div>
        <w:div w:id="1765107897">
          <w:marLeft w:val="0"/>
          <w:marRight w:val="0"/>
          <w:marTop w:val="0"/>
          <w:marBottom w:val="0"/>
          <w:divBdr>
            <w:top w:val="none" w:sz="0" w:space="0" w:color="auto"/>
            <w:left w:val="none" w:sz="0" w:space="0" w:color="auto"/>
            <w:bottom w:val="none" w:sz="0" w:space="0" w:color="auto"/>
            <w:right w:val="none" w:sz="0" w:space="0" w:color="auto"/>
          </w:divBdr>
          <w:divsChild>
            <w:div w:id="1244336529">
              <w:marLeft w:val="0"/>
              <w:marRight w:val="0"/>
              <w:marTop w:val="0"/>
              <w:marBottom w:val="0"/>
              <w:divBdr>
                <w:top w:val="none" w:sz="0" w:space="0" w:color="auto"/>
                <w:left w:val="none" w:sz="0" w:space="0" w:color="auto"/>
                <w:bottom w:val="none" w:sz="0" w:space="0" w:color="auto"/>
                <w:right w:val="none" w:sz="0" w:space="0" w:color="auto"/>
              </w:divBdr>
            </w:div>
          </w:divsChild>
        </w:div>
        <w:div w:id="1775978548">
          <w:marLeft w:val="0"/>
          <w:marRight w:val="0"/>
          <w:marTop w:val="0"/>
          <w:marBottom w:val="0"/>
          <w:divBdr>
            <w:top w:val="none" w:sz="0" w:space="0" w:color="auto"/>
            <w:left w:val="none" w:sz="0" w:space="0" w:color="auto"/>
            <w:bottom w:val="none" w:sz="0" w:space="0" w:color="auto"/>
            <w:right w:val="none" w:sz="0" w:space="0" w:color="auto"/>
          </w:divBdr>
          <w:divsChild>
            <w:div w:id="1953825815">
              <w:marLeft w:val="0"/>
              <w:marRight w:val="0"/>
              <w:marTop w:val="0"/>
              <w:marBottom w:val="0"/>
              <w:divBdr>
                <w:top w:val="none" w:sz="0" w:space="0" w:color="auto"/>
                <w:left w:val="none" w:sz="0" w:space="0" w:color="auto"/>
                <w:bottom w:val="none" w:sz="0" w:space="0" w:color="auto"/>
                <w:right w:val="none" w:sz="0" w:space="0" w:color="auto"/>
              </w:divBdr>
            </w:div>
          </w:divsChild>
        </w:div>
        <w:div w:id="1776830692">
          <w:marLeft w:val="0"/>
          <w:marRight w:val="0"/>
          <w:marTop w:val="0"/>
          <w:marBottom w:val="0"/>
          <w:divBdr>
            <w:top w:val="none" w:sz="0" w:space="0" w:color="auto"/>
            <w:left w:val="none" w:sz="0" w:space="0" w:color="auto"/>
            <w:bottom w:val="none" w:sz="0" w:space="0" w:color="auto"/>
            <w:right w:val="none" w:sz="0" w:space="0" w:color="auto"/>
          </w:divBdr>
          <w:divsChild>
            <w:div w:id="1935236005">
              <w:marLeft w:val="0"/>
              <w:marRight w:val="0"/>
              <w:marTop w:val="0"/>
              <w:marBottom w:val="0"/>
              <w:divBdr>
                <w:top w:val="none" w:sz="0" w:space="0" w:color="auto"/>
                <w:left w:val="none" w:sz="0" w:space="0" w:color="auto"/>
                <w:bottom w:val="none" w:sz="0" w:space="0" w:color="auto"/>
                <w:right w:val="none" w:sz="0" w:space="0" w:color="auto"/>
              </w:divBdr>
            </w:div>
          </w:divsChild>
        </w:div>
        <w:div w:id="1810661364">
          <w:marLeft w:val="0"/>
          <w:marRight w:val="0"/>
          <w:marTop w:val="0"/>
          <w:marBottom w:val="0"/>
          <w:divBdr>
            <w:top w:val="none" w:sz="0" w:space="0" w:color="auto"/>
            <w:left w:val="none" w:sz="0" w:space="0" w:color="auto"/>
            <w:bottom w:val="none" w:sz="0" w:space="0" w:color="auto"/>
            <w:right w:val="none" w:sz="0" w:space="0" w:color="auto"/>
          </w:divBdr>
          <w:divsChild>
            <w:div w:id="500780704">
              <w:marLeft w:val="0"/>
              <w:marRight w:val="0"/>
              <w:marTop w:val="0"/>
              <w:marBottom w:val="0"/>
              <w:divBdr>
                <w:top w:val="none" w:sz="0" w:space="0" w:color="auto"/>
                <w:left w:val="none" w:sz="0" w:space="0" w:color="auto"/>
                <w:bottom w:val="none" w:sz="0" w:space="0" w:color="auto"/>
                <w:right w:val="none" w:sz="0" w:space="0" w:color="auto"/>
              </w:divBdr>
            </w:div>
            <w:div w:id="1789424411">
              <w:marLeft w:val="0"/>
              <w:marRight w:val="0"/>
              <w:marTop w:val="0"/>
              <w:marBottom w:val="0"/>
              <w:divBdr>
                <w:top w:val="none" w:sz="0" w:space="0" w:color="auto"/>
                <w:left w:val="none" w:sz="0" w:space="0" w:color="auto"/>
                <w:bottom w:val="none" w:sz="0" w:space="0" w:color="auto"/>
                <w:right w:val="none" w:sz="0" w:space="0" w:color="auto"/>
              </w:divBdr>
            </w:div>
          </w:divsChild>
        </w:div>
        <w:div w:id="1824156621">
          <w:marLeft w:val="0"/>
          <w:marRight w:val="0"/>
          <w:marTop w:val="0"/>
          <w:marBottom w:val="0"/>
          <w:divBdr>
            <w:top w:val="none" w:sz="0" w:space="0" w:color="auto"/>
            <w:left w:val="none" w:sz="0" w:space="0" w:color="auto"/>
            <w:bottom w:val="none" w:sz="0" w:space="0" w:color="auto"/>
            <w:right w:val="none" w:sz="0" w:space="0" w:color="auto"/>
          </w:divBdr>
          <w:divsChild>
            <w:div w:id="1431125339">
              <w:marLeft w:val="0"/>
              <w:marRight w:val="0"/>
              <w:marTop w:val="0"/>
              <w:marBottom w:val="0"/>
              <w:divBdr>
                <w:top w:val="none" w:sz="0" w:space="0" w:color="auto"/>
                <w:left w:val="none" w:sz="0" w:space="0" w:color="auto"/>
                <w:bottom w:val="none" w:sz="0" w:space="0" w:color="auto"/>
                <w:right w:val="none" w:sz="0" w:space="0" w:color="auto"/>
              </w:divBdr>
            </w:div>
          </w:divsChild>
        </w:div>
        <w:div w:id="1832407459">
          <w:marLeft w:val="0"/>
          <w:marRight w:val="0"/>
          <w:marTop w:val="0"/>
          <w:marBottom w:val="0"/>
          <w:divBdr>
            <w:top w:val="none" w:sz="0" w:space="0" w:color="auto"/>
            <w:left w:val="none" w:sz="0" w:space="0" w:color="auto"/>
            <w:bottom w:val="none" w:sz="0" w:space="0" w:color="auto"/>
            <w:right w:val="none" w:sz="0" w:space="0" w:color="auto"/>
          </w:divBdr>
          <w:divsChild>
            <w:div w:id="1942833200">
              <w:marLeft w:val="0"/>
              <w:marRight w:val="0"/>
              <w:marTop w:val="0"/>
              <w:marBottom w:val="0"/>
              <w:divBdr>
                <w:top w:val="none" w:sz="0" w:space="0" w:color="auto"/>
                <w:left w:val="none" w:sz="0" w:space="0" w:color="auto"/>
                <w:bottom w:val="none" w:sz="0" w:space="0" w:color="auto"/>
                <w:right w:val="none" w:sz="0" w:space="0" w:color="auto"/>
              </w:divBdr>
            </w:div>
          </w:divsChild>
        </w:div>
        <w:div w:id="1851329222">
          <w:marLeft w:val="0"/>
          <w:marRight w:val="0"/>
          <w:marTop w:val="0"/>
          <w:marBottom w:val="0"/>
          <w:divBdr>
            <w:top w:val="none" w:sz="0" w:space="0" w:color="auto"/>
            <w:left w:val="none" w:sz="0" w:space="0" w:color="auto"/>
            <w:bottom w:val="none" w:sz="0" w:space="0" w:color="auto"/>
            <w:right w:val="none" w:sz="0" w:space="0" w:color="auto"/>
          </w:divBdr>
          <w:divsChild>
            <w:div w:id="791707029">
              <w:marLeft w:val="0"/>
              <w:marRight w:val="0"/>
              <w:marTop w:val="0"/>
              <w:marBottom w:val="0"/>
              <w:divBdr>
                <w:top w:val="none" w:sz="0" w:space="0" w:color="auto"/>
                <w:left w:val="none" w:sz="0" w:space="0" w:color="auto"/>
                <w:bottom w:val="none" w:sz="0" w:space="0" w:color="auto"/>
                <w:right w:val="none" w:sz="0" w:space="0" w:color="auto"/>
              </w:divBdr>
            </w:div>
          </w:divsChild>
        </w:div>
        <w:div w:id="1882550895">
          <w:marLeft w:val="0"/>
          <w:marRight w:val="0"/>
          <w:marTop w:val="0"/>
          <w:marBottom w:val="0"/>
          <w:divBdr>
            <w:top w:val="none" w:sz="0" w:space="0" w:color="auto"/>
            <w:left w:val="none" w:sz="0" w:space="0" w:color="auto"/>
            <w:bottom w:val="none" w:sz="0" w:space="0" w:color="auto"/>
            <w:right w:val="none" w:sz="0" w:space="0" w:color="auto"/>
          </w:divBdr>
          <w:divsChild>
            <w:div w:id="351809936">
              <w:marLeft w:val="0"/>
              <w:marRight w:val="0"/>
              <w:marTop w:val="0"/>
              <w:marBottom w:val="0"/>
              <w:divBdr>
                <w:top w:val="none" w:sz="0" w:space="0" w:color="auto"/>
                <w:left w:val="none" w:sz="0" w:space="0" w:color="auto"/>
                <w:bottom w:val="none" w:sz="0" w:space="0" w:color="auto"/>
                <w:right w:val="none" w:sz="0" w:space="0" w:color="auto"/>
              </w:divBdr>
            </w:div>
          </w:divsChild>
        </w:div>
        <w:div w:id="1889142168">
          <w:marLeft w:val="0"/>
          <w:marRight w:val="0"/>
          <w:marTop w:val="0"/>
          <w:marBottom w:val="0"/>
          <w:divBdr>
            <w:top w:val="none" w:sz="0" w:space="0" w:color="auto"/>
            <w:left w:val="none" w:sz="0" w:space="0" w:color="auto"/>
            <w:bottom w:val="none" w:sz="0" w:space="0" w:color="auto"/>
            <w:right w:val="none" w:sz="0" w:space="0" w:color="auto"/>
          </w:divBdr>
          <w:divsChild>
            <w:div w:id="899905737">
              <w:marLeft w:val="0"/>
              <w:marRight w:val="0"/>
              <w:marTop w:val="0"/>
              <w:marBottom w:val="0"/>
              <w:divBdr>
                <w:top w:val="none" w:sz="0" w:space="0" w:color="auto"/>
                <w:left w:val="none" w:sz="0" w:space="0" w:color="auto"/>
                <w:bottom w:val="none" w:sz="0" w:space="0" w:color="auto"/>
                <w:right w:val="none" w:sz="0" w:space="0" w:color="auto"/>
              </w:divBdr>
            </w:div>
          </w:divsChild>
        </w:div>
        <w:div w:id="1895462144">
          <w:marLeft w:val="0"/>
          <w:marRight w:val="0"/>
          <w:marTop w:val="0"/>
          <w:marBottom w:val="0"/>
          <w:divBdr>
            <w:top w:val="none" w:sz="0" w:space="0" w:color="auto"/>
            <w:left w:val="none" w:sz="0" w:space="0" w:color="auto"/>
            <w:bottom w:val="none" w:sz="0" w:space="0" w:color="auto"/>
            <w:right w:val="none" w:sz="0" w:space="0" w:color="auto"/>
          </w:divBdr>
          <w:divsChild>
            <w:div w:id="2141681288">
              <w:marLeft w:val="0"/>
              <w:marRight w:val="0"/>
              <w:marTop w:val="0"/>
              <w:marBottom w:val="0"/>
              <w:divBdr>
                <w:top w:val="none" w:sz="0" w:space="0" w:color="auto"/>
                <w:left w:val="none" w:sz="0" w:space="0" w:color="auto"/>
                <w:bottom w:val="none" w:sz="0" w:space="0" w:color="auto"/>
                <w:right w:val="none" w:sz="0" w:space="0" w:color="auto"/>
              </w:divBdr>
            </w:div>
          </w:divsChild>
        </w:div>
        <w:div w:id="1939826047">
          <w:marLeft w:val="0"/>
          <w:marRight w:val="0"/>
          <w:marTop w:val="0"/>
          <w:marBottom w:val="0"/>
          <w:divBdr>
            <w:top w:val="none" w:sz="0" w:space="0" w:color="auto"/>
            <w:left w:val="none" w:sz="0" w:space="0" w:color="auto"/>
            <w:bottom w:val="none" w:sz="0" w:space="0" w:color="auto"/>
            <w:right w:val="none" w:sz="0" w:space="0" w:color="auto"/>
          </w:divBdr>
          <w:divsChild>
            <w:div w:id="1101335873">
              <w:marLeft w:val="0"/>
              <w:marRight w:val="0"/>
              <w:marTop w:val="0"/>
              <w:marBottom w:val="0"/>
              <w:divBdr>
                <w:top w:val="none" w:sz="0" w:space="0" w:color="auto"/>
                <w:left w:val="none" w:sz="0" w:space="0" w:color="auto"/>
                <w:bottom w:val="none" w:sz="0" w:space="0" w:color="auto"/>
                <w:right w:val="none" w:sz="0" w:space="0" w:color="auto"/>
              </w:divBdr>
            </w:div>
          </w:divsChild>
        </w:div>
        <w:div w:id="1948926052">
          <w:marLeft w:val="0"/>
          <w:marRight w:val="0"/>
          <w:marTop w:val="0"/>
          <w:marBottom w:val="0"/>
          <w:divBdr>
            <w:top w:val="none" w:sz="0" w:space="0" w:color="auto"/>
            <w:left w:val="none" w:sz="0" w:space="0" w:color="auto"/>
            <w:bottom w:val="none" w:sz="0" w:space="0" w:color="auto"/>
            <w:right w:val="none" w:sz="0" w:space="0" w:color="auto"/>
          </w:divBdr>
          <w:divsChild>
            <w:div w:id="1476337839">
              <w:marLeft w:val="0"/>
              <w:marRight w:val="0"/>
              <w:marTop w:val="0"/>
              <w:marBottom w:val="0"/>
              <w:divBdr>
                <w:top w:val="none" w:sz="0" w:space="0" w:color="auto"/>
                <w:left w:val="none" w:sz="0" w:space="0" w:color="auto"/>
                <w:bottom w:val="none" w:sz="0" w:space="0" w:color="auto"/>
                <w:right w:val="none" w:sz="0" w:space="0" w:color="auto"/>
              </w:divBdr>
            </w:div>
          </w:divsChild>
        </w:div>
        <w:div w:id="1959025717">
          <w:marLeft w:val="0"/>
          <w:marRight w:val="0"/>
          <w:marTop w:val="0"/>
          <w:marBottom w:val="0"/>
          <w:divBdr>
            <w:top w:val="none" w:sz="0" w:space="0" w:color="auto"/>
            <w:left w:val="none" w:sz="0" w:space="0" w:color="auto"/>
            <w:bottom w:val="none" w:sz="0" w:space="0" w:color="auto"/>
            <w:right w:val="none" w:sz="0" w:space="0" w:color="auto"/>
          </w:divBdr>
          <w:divsChild>
            <w:div w:id="1602374014">
              <w:marLeft w:val="0"/>
              <w:marRight w:val="0"/>
              <w:marTop w:val="0"/>
              <w:marBottom w:val="0"/>
              <w:divBdr>
                <w:top w:val="none" w:sz="0" w:space="0" w:color="auto"/>
                <w:left w:val="none" w:sz="0" w:space="0" w:color="auto"/>
                <w:bottom w:val="none" w:sz="0" w:space="0" w:color="auto"/>
                <w:right w:val="none" w:sz="0" w:space="0" w:color="auto"/>
              </w:divBdr>
            </w:div>
          </w:divsChild>
        </w:div>
        <w:div w:id="1985504718">
          <w:marLeft w:val="0"/>
          <w:marRight w:val="0"/>
          <w:marTop w:val="0"/>
          <w:marBottom w:val="0"/>
          <w:divBdr>
            <w:top w:val="none" w:sz="0" w:space="0" w:color="auto"/>
            <w:left w:val="none" w:sz="0" w:space="0" w:color="auto"/>
            <w:bottom w:val="none" w:sz="0" w:space="0" w:color="auto"/>
            <w:right w:val="none" w:sz="0" w:space="0" w:color="auto"/>
          </w:divBdr>
          <w:divsChild>
            <w:div w:id="140461824">
              <w:marLeft w:val="0"/>
              <w:marRight w:val="0"/>
              <w:marTop w:val="0"/>
              <w:marBottom w:val="0"/>
              <w:divBdr>
                <w:top w:val="none" w:sz="0" w:space="0" w:color="auto"/>
                <w:left w:val="none" w:sz="0" w:space="0" w:color="auto"/>
                <w:bottom w:val="none" w:sz="0" w:space="0" w:color="auto"/>
                <w:right w:val="none" w:sz="0" w:space="0" w:color="auto"/>
              </w:divBdr>
            </w:div>
          </w:divsChild>
        </w:div>
        <w:div w:id="2000694757">
          <w:marLeft w:val="0"/>
          <w:marRight w:val="0"/>
          <w:marTop w:val="0"/>
          <w:marBottom w:val="0"/>
          <w:divBdr>
            <w:top w:val="none" w:sz="0" w:space="0" w:color="auto"/>
            <w:left w:val="none" w:sz="0" w:space="0" w:color="auto"/>
            <w:bottom w:val="none" w:sz="0" w:space="0" w:color="auto"/>
            <w:right w:val="none" w:sz="0" w:space="0" w:color="auto"/>
          </w:divBdr>
          <w:divsChild>
            <w:div w:id="1451164645">
              <w:marLeft w:val="0"/>
              <w:marRight w:val="0"/>
              <w:marTop w:val="0"/>
              <w:marBottom w:val="0"/>
              <w:divBdr>
                <w:top w:val="none" w:sz="0" w:space="0" w:color="auto"/>
                <w:left w:val="none" w:sz="0" w:space="0" w:color="auto"/>
                <w:bottom w:val="none" w:sz="0" w:space="0" w:color="auto"/>
                <w:right w:val="none" w:sz="0" w:space="0" w:color="auto"/>
              </w:divBdr>
            </w:div>
          </w:divsChild>
        </w:div>
        <w:div w:id="2007979089">
          <w:marLeft w:val="0"/>
          <w:marRight w:val="0"/>
          <w:marTop w:val="0"/>
          <w:marBottom w:val="0"/>
          <w:divBdr>
            <w:top w:val="none" w:sz="0" w:space="0" w:color="auto"/>
            <w:left w:val="none" w:sz="0" w:space="0" w:color="auto"/>
            <w:bottom w:val="none" w:sz="0" w:space="0" w:color="auto"/>
            <w:right w:val="none" w:sz="0" w:space="0" w:color="auto"/>
          </w:divBdr>
          <w:divsChild>
            <w:div w:id="1861818526">
              <w:marLeft w:val="0"/>
              <w:marRight w:val="0"/>
              <w:marTop w:val="0"/>
              <w:marBottom w:val="0"/>
              <w:divBdr>
                <w:top w:val="none" w:sz="0" w:space="0" w:color="auto"/>
                <w:left w:val="none" w:sz="0" w:space="0" w:color="auto"/>
                <w:bottom w:val="none" w:sz="0" w:space="0" w:color="auto"/>
                <w:right w:val="none" w:sz="0" w:space="0" w:color="auto"/>
              </w:divBdr>
            </w:div>
          </w:divsChild>
        </w:div>
        <w:div w:id="2009405940">
          <w:marLeft w:val="0"/>
          <w:marRight w:val="0"/>
          <w:marTop w:val="0"/>
          <w:marBottom w:val="0"/>
          <w:divBdr>
            <w:top w:val="none" w:sz="0" w:space="0" w:color="auto"/>
            <w:left w:val="none" w:sz="0" w:space="0" w:color="auto"/>
            <w:bottom w:val="none" w:sz="0" w:space="0" w:color="auto"/>
            <w:right w:val="none" w:sz="0" w:space="0" w:color="auto"/>
          </w:divBdr>
          <w:divsChild>
            <w:div w:id="631906242">
              <w:marLeft w:val="0"/>
              <w:marRight w:val="0"/>
              <w:marTop w:val="0"/>
              <w:marBottom w:val="0"/>
              <w:divBdr>
                <w:top w:val="none" w:sz="0" w:space="0" w:color="auto"/>
                <w:left w:val="none" w:sz="0" w:space="0" w:color="auto"/>
                <w:bottom w:val="none" w:sz="0" w:space="0" w:color="auto"/>
                <w:right w:val="none" w:sz="0" w:space="0" w:color="auto"/>
              </w:divBdr>
            </w:div>
          </w:divsChild>
        </w:div>
        <w:div w:id="2010788826">
          <w:marLeft w:val="0"/>
          <w:marRight w:val="0"/>
          <w:marTop w:val="0"/>
          <w:marBottom w:val="0"/>
          <w:divBdr>
            <w:top w:val="none" w:sz="0" w:space="0" w:color="auto"/>
            <w:left w:val="none" w:sz="0" w:space="0" w:color="auto"/>
            <w:bottom w:val="none" w:sz="0" w:space="0" w:color="auto"/>
            <w:right w:val="none" w:sz="0" w:space="0" w:color="auto"/>
          </w:divBdr>
          <w:divsChild>
            <w:div w:id="1850900425">
              <w:marLeft w:val="0"/>
              <w:marRight w:val="0"/>
              <w:marTop w:val="0"/>
              <w:marBottom w:val="0"/>
              <w:divBdr>
                <w:top w:val="none" w:sz="0" w:space="0" w:color="auto"/>
                <w:left w:val="none" w:sz="0" w:space="0" w:color="auto"/>
                <w:bottom w:val="none" w:sz="0" w:space="0" w:color="auto"/>
                <w:right w:val="none" w:sz="0" w:space="0" w:color="auto"/>
              </w:divBdr>
            </w:div>
          </w:divsChild>
        </w:div>
        <w:div w:id="2030715741">
          <w:marLeft w:val="0"/>
          <w:marRight w:val="0"/>
          <w:marTop w:val="0"/>
          <w:marBottom w:val="0"/>
          <w:divBdr>
            <w:top w:val="none" w:sz="0" w:space="0" w:color="auto"/>
            <w:left w:val="none" w:sz="0" w:space="0" w:color="auto"/>
            <w:bottom w:val="none" w:sz="0" w:space="0" w:color="auto"/>
            <w:right w:val="none" w:sz="0" w:space="0" w:color="auto"/>
          </w:divBdr>
          <w:divsChild>
            <w:div w:id="1476531868">
              <w:marLeft w:val="0"/>
              <w:marRight w:val="0"/>
              <w:marTop w:val="0"/>
              <w:marBottom w:val="0"/>
              <w:divBdr>
                <w:top w:val="none" w:sz="0" w:space="0" w:color="auto"/>
                <w:left w:val="none" w:sz="0" w:space="0" w:color="auto"/>
                <w:bottom w:val="none" w:sz="0" w:space="0" w:color="auto"/>
                <w:right w:val="none" w:sz="0" w:space="0" w:color="auto"/>
              </w:divBdr>
            </w:div>
          </w:divsChild>
        </w:div>
        <w:div w:id="2030981397">
          <w:marLeft w:val="0"/>
          <w:marRight w:val="0"/>
          <w:marTop w:val="0"/>
          <w:marBottom w:val="0"/>
          <w:divBdr>
            <w:top w:val="none" w:sz="0" w:space="0" w:color="auto"/>
            <w:left w:val="none" w:sz="0" w:space="0" w:color="auto"/>
            <w:bottom w:val="none" w:sz="0" w:space="0" w:color="auto"/>
            <w:right w:val="none" w:sz="0" w:space="0" w:color="auto"/>
          </w:divBdr>
          <w:divsChild>
            <w:div w:id="1437866593">
              <w:marLeft w:val="0"/>
              <w:marRight w:val="0"/>
              <w:marTop w:val="0"/>
              <w:marBottom w:val="0"/>
              <w:divBdr>
                <w:top w:val="none" w:sz="0" w:space="0" w:color="auto"/>
                <w:left w:val="none" w:sz="0" w:space="0" w:color="auto"/>
                <w:bottom w:val="none" w:sz="0" w:space="0" w:color="auto"/>
                <w:right w:val="none" w:sz="0" w:space="0" w:color="auto"/>
              </w:divBdr>
            </w:div>
          </w:divsChild>
        </w:div>
        <w:div w:id="2054428140">
          <w:marLeft w:val="0"/>
          <w:marRight w:val="0"/>
          <w:marTop w:val="0"/>
          <w:marBottom w:val="0"/>
          <w:divBdr>
            <w:top w:val="none" w:sz="0" w:space="0" w:color="auto"/>
            <w:left w:val="none" w:sz="0" w:space="0" w:color="auto"/>
            <w:bottom w:val="none" w:sz="0" w:space="0" w:color="auto"/>
            <w:right w:val="none" w:sz="0" w:space="0" w:color="auto"/>
          </w:divBdr>
          <w:divsChild>
            <w:div w:id="331682914">
              <w:marLeft w:val="0"/>
              <w:marRight w:val="0"/>
              <w:marTop w:val="0"/>
              <w:marBottom w:val="0"/>
              <w:divBdr>
                <w:top w:val="none" w:sz="0" w:space="0" w:color="auto"/>
                <w:left w:val="none" w:sz="0" w:space="0" w:color="auto"/>
                <w:bottom w:val="none" w:sz="0" w:space="0" w:color="auto"/>
                <w:right w:val="none" w:sz="0" w:space="0" w:color="auto"/>
              </w:divBdr>
            </w:div>
          </w:divsChild>
        </w:div>
        <w:div w:id="2057005789">
          <w:marLeft w:val="0"/>
          <w:marRight w:val="0"/>
          <w:marTop w:val="0"/>
          <w:marBottom w:val="0"/>
          <w:divBdr>
            <w:top w:val="none" w:sz="0" w:space="0" w:color="auto"/>
            <w:left w:val="none" w:sz="0" w:space="0" w:color="auto"/>
            <w:bottom w:val="none" w:sz="0" w:space="0" w:color="auto"/>
            <w:right w:val="none" w:sz="0" w:space="0" w:color="auto"/>
          </w:divBdr>
          <w:divsChild>
            <w:div w:id="725643545">
              <w:marLeft w:val="0"/>
              <w:marRight w:val="0"/>
              <w:marTop w:val="0"/>
              <w:marBottom w:val="0"/>
              <w:divBdr>
                <w:top w:val="none" w:sz="0" w:space="0" w:color="auto"/>
                <w:left w:val="none" w:sz="0" w:space="0" w:color="auto"/>
                <w:bottom w:val="none" w:sz="0" w:space="0" w:color="auto"/>
                <w:right w:val="none" w:sz="0" w:space="0" w:color="auto"/>
              </w:divBdr>
            </w:div>
          </w:divsChild>
        </w:div>
        <w:div w:id="2075351232">
          <w:marLeft w:val="0"/>
          <w:marRight w:val="0"/>
          <w:marTop w:val="0"/>
          <w:marBottom w:val="0"/>
          <w:divBdr>
            <w:top w:val="none" w:sz="0" w:space="0" w:color="auto"/>
            <w:left w:val="none" w:sz="0" w:space="0" w:color="auto"/>
            <w:bottom w:val="none" w:sz="0" w:space="0" w:color="auto"/>
            <w:right w:val="none" w:sz="0" w:space="0" w:color="auto"/>
          </w:divBdr>
          <w:divsChild>
            <w:div w:id="1653825619">
              <w:marLeft w:val="0"/>
              <w:marRight w:val="0"/>
              <w:marTop w:val="0"/>
              <w:marBottom w:val="0"/>
              <w:divBdr>
                <w:top w:val="none" w:sz="0" w:space="0" w:color="auto"/>
                <w:left w:val="none" w:sz="0" w:space="0" w:color="auto"/>
                <w:bottom w:val="none" w:sz="0" w:space="0" w:color="auto"/>
                <w:right w:val="none" w:sz="0" w:space="0" w:color="auto"/>
              </w:divBdr>
            </w:div>
          </w:divsChild>
        </w:div>
        <w:div w:id="2087339778">
          <w:marLeft w:val="0"/>
          <w:marRight w:val="0"/>
          <w:marTop w:val="0"/>
          <w:marBottom w:val="0"/>
          <w:divBdr>
            <w:top w:val="none" w:sz="0" w:space="0" w:color="auto"/>
            <w:left w:val="none" w:sz="0" w:space="0" w:color="auto"/>
            <w:bottom w:val="none" w:sz="0" w:space="0" w:color="auto"/>
            <w:right w:val="none" w:sz="0" w:space="0" w:color="auto"/>
          </w:divBdr>
          <w:divsChild>
            <w:div w:id="1667827015">
              <w:marLeft w:val="0"/>
              <w:marRight w:val="0"/>
              <w:marTop w:val="0"/>
              <w:marBottom w:val="0"/>
              <w:divBdr>
                <w:top w:val="none" w:sz="0" w:space="0" w:color="auto"/>
                <w:left w:val="none" w:sz="0" w:space="0" w:color="auto"/>
                <w:bottom w:val="none" w:sz="0" w:space="0" w:color="auto"/>
                <w:right w:val="none" w:sz="0" w:space="0" w:color="auto"/>
              </w:divBdr>
            </w:div>
          </w:divsChild>
        </w:div>
        <w:div w:id="2103256313">
          <w:marLeft w:val="0"/>
          <w:marRight w:val="0"/>
          <w:marTop w:val="0"/>
          <w:marBottom w:val="0"/>
          <w:divBdr>
            <w:top w:val="none" w:sz="0" w:space="0" w:color="auto"/>
            <w:left w:val="none" w:sz="0" w:space="0" w:color="auto"/>
            <w:bottom w:val="none" w:sz="0" w:space="0" w:color="auto"/>
            <w:right w:val="none" w:sz="0" w:space="0" w:color="auto"/>
          </w:divBdr>
          <w:divsChild>
            <w:div w:id="1033188539">
              <w:marLeft w:val="0"/>
              <w:marRight w:val="0"/>
              <w:marTop w:val="0"/>
              <w:marBottom w:val="0"/>
              <w:divBdr>
                <w:top w:val="none" w:sz="0" w:space="0" w:color="auto"/>
                <w:left w:val="none" w:sz="0" w:space="0" w:color="auto"/>
                <w:bottom w:val="none" w:sz="0" w:space="0" w:color="auto"/>
                <w:right w:val="none" w:sz="0" w:space="0" w:color="auto"/>
              </w:divBdr>
            </w:div>
          </w:divsChild>
        </w:div>
        <w:div w:id="2106077495">
          <w:marLeft w:val="0"/>
          <w:marRight w:val="0"/>
          <w:marTop w:val="0"/>
          <w:marBottom w:val="0"/>
          <w:divBdr>
            <w:top w:val="none" w:sz="0" w:space="0" w:color="auto"/>
            <w:left w:val="none" w:sz="0" w:space="0" w:color="auto"/>
            <w:bottom w:val="none" w:sz="0" w:space="0" w:color="auto"/>
            <w:right w:val="none" w:sz="0" w:space="0" w:color="auto"/>
          </w:divBdr>
          <w:divsChild>
            <w:div w:id="181172039">
              <w:marLeft w:val="0"/>
              <w:marRight w:val="0"/>
              <w:marTop w:val="0"/>
              <w:marBottom w:val="0"/>
              <w:divBdr>
                <w:top w:val="none" w:sz="0" w:space="0" w:color="auto"/>
                <w:left w:val="none" w:sz="0" w:space="0" w:color="auto"/>
                <w:bottom w:val="none" w:sz="0" w:space="0" w:color="auto"/>
                <w:right w:val="none" w:sz="0" w:space="0" w:color="auto"/>
              </w:divBdr>
            </w:div>
          </w:divsChild>
        </w:div>
        <w:div w:id="2114011376">
          <w:marLeft w:val="0"/>
          <w:marRight w:val="0"/>
          <w:marTop w:val="0"/>
          <w:marBottom w:val="0"/>
          <w:divBdr>
            <w:top w:val="none" w:sz="0" w:space="0" w:color="auto"/>
            <w:left w:val="none" w:sz="0" w:space="0" w:color="auto"/>
            <w:bottom w:val="none" w:sz="0" w:space="0" w:color="auto"/>
            <w:right w:val="none" w:sz="0" w:space="0" w:color="auto"/>
          </w:divBdr>
          <w:divsChild>
            <w:div w:id="12500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8443">
      <w:bodyDiv w:val="1"/>
      <w:marLeft w:val="0"/>
      <w:marRight w:val="0"/>
      <w:marTop w:val="0"/>
      <w:marBottom w:val="0"/>
      <w:divBdr>
        <w:top w:val="none" w:sz="0" w:space="0" w:color="auto"/>
        <w:left w:val="none" w:sz="0" w:space="0" w:color="auto"/>
        <w:bottom w:val="none" w:sz="0" w:space="0" w:color="auto"/>
        <w:right w:val="none" w:sz="0" w:space="0" w:color="auto"/>
      </w:divBdr>
      <w:divsChild>
        <w:div w:id="825588508">
          <w:marLeft w:val="0"/>
          <w:marRight w:val="0"/>
          <w:marTop w:val="0"/>
          <w:marBottom w:val="0"/>
          <w:divBdr>
            <w:top w:val="none" w:sz="0" w:space="0" w:color="auto"/>
            <w:left w:val="none" w:sz="0" w:space="0" w:color="auto"/>
            <w:bottom w:val="none" w:sz="0" w:space="0" w:color="auto"/>
            <w:right w:val="none" w:sz="0" w:space="0" w:color="auto"/>
          </w:divBdr>
          <w:divsChild>
            <w:div w:id="205797007">
              <w:marLeft w:val="0"/>
              <w:marRight w:val="0"/>
              <w:marTop w:val="0"/>
              <w:marBottom w:val="0"/>
              <w:divBdr>
                <w:top w:val="none" w:sz="0" w:space="0" w:color="auto"/>
                <w:left w:val="none" w:sz="0" w:space="0" w:color="auto"/>
                <w:bottom w:val="none" w:sz="0" w:space="0" w:color="auto"/>
                <w:right w:val="none" w:sz="0" w:space="0" w:color="auto"/>
              </w:divBdr>
            </w:div>
          </w:divsChild>
        </w:div>
        <w:div w:id="1641961907">
          <w:marLeft w:val="0"/>
          <w:marRight w:val="0"/>
          <w:marTop w:val="0"/>
          <w:marBottom w:val="0"/>
          <w:divBdr>
            <w:top w:val="none" w:sz="0" w:space="0" w:color="auto"/>
            <w:left w:val="none" w:sz="0" w:space="0" w:color="auto"/>
            <w:bottom w:val="none" w:sz="0" w:space="0" w:color="auto"/>
            <w:right w:val="none" w:sz="0" w:space="0" w:color="auto"/>
          </w:divBdr>
          <w:divsChild>
            <w:div w:id="5422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4531739">
      <w:bodyDiv w:val="1"/>
      <w:marLeft w:val="0"/>
      <w:marRight w:val="0"/>
      <w:marTop w:val="0"/>
      <w:marBottom w:val="0"/>
      <w:divBdr>
        <w:top w:val="none" w:sz="0" w:space="0" w:color="auto"/>
        <w:left w:val="none" w:sz="0" w:space="0" w:color="auto"/>
        <w:bottom w:val="none" w:sz="0" w:space="0" w:color="auto"/>
        <w:right w:val="none" w:sz="0" w:space="0" w:color="auto"/>
      </w:divBdr>
      <w:divsChild>
        <w:div w:id="931908">
          <w:marLeft w:val="0"/>
          <w:marRight w:val="0"/>
          <w:marTop w:val="0"/>
          <w:marBottom w:val="0"/>
          <w:divBdr>
            <w:top w:val="none" w:sz="0" w:space="0" w:color="auto"/>
            <w:left w:val="none" w:sz="0" w:space="0" w:color="auto"/>
            <w:bottom w:val="none" w:sz="0" w:space="0" w:color="auto"/>
            <w:right w:val="none" w:sz="0" w:space="0" w:color="auto"/>
          </w:divBdr>
          <w:divsChild>
            <w:div w:id="961229701">
              <w:marLeft w:val="0"/>
              <w:marRight w:val="0"/>
              <w:marTop w:val="0"/>
              <w:marBottom w:val="0"/>
              <w:divBdr>
                <w:top w:val="none" w:sz="0" w:space="0" w:color="auto"/>
                <w:left w:val="none" w:sz="0" w:space="0" w:color="auto"/>
                <w:bottom w:val="none" w:sz="0" w:space="0" w:color="auto"/>
                <w:right w:val="none" w:sz="0" w:space="0" w:color="auto"/>
              </w:divBdr>
            </w:div>
          </w:divsChild>
        </w:div>
        <w:div w:id="1858884">
          <w:marLeft w:val="0"/>
          <w:marRight w:val="0"/>
          <w:marTop w:val="0"/>
          <w:marBottom w:val="0"/>
          <w:divBdr>
            <w:top w:val="none" w:sz="0" w:space="0" w:color="auto"/>
            <w:left w:val="none" w:sz="0" w:space="0" w:color="auto"/>
            <w:bottom w:val="none" w:sz="0" w:space="0" w:color="auto"/>
            <w:right w:val="none" w:sz="0" w:space="0" w:color="auto"/>
          </w:divBdr>
          <w:divsChild>
            <w:div w:id="741761401">
              <w:marLeft w:val="0"/>
              <w:marRight w:val="0"/>
              <w:marTop w:val="0"/>
              <w:marBottom w:val="0"/>
              <w:divBdr>
                <w:top w:val="none" w:sz="0" w:space="0" w:color="auto"/>
                <w:left w:val="none" w:sz="0" w:space="0" w:color="auto"/>
                <w:bottom w:val="none" w:sz="0" w:space="0" w:color="auto"/>
                <w:right w:val="none" w:sz="0" w:space="0" w:color="auto"/>
              </w:divBdr>
            </w:div>
          </w:divsChild>
        </w:div>
        <w:div w:id="18704607">
          <w:marLeft w:val="0"/>
          <w:marRight w:val="0"/>
          <w:marTop w:val="0"/>
          <w:marBottom w:val="0"/>
          <w:divBdr>
            <w:top w:val="none" w:sz="0" w:space="0" w:color="auto"/>
            <w:left w:val="none" w:sz="0" w:space="0" w:color="auto"/>
            <w:bottom w:val="none" w:sz="0" w:space="0" w:color="auto"/>
            <w:right w:val="none" w:sz="0" w:space="0" w:color="auto"/>
          </w:divBdr>
          <w:divsChild>
            <w:div w:id="1415475868">
              <w:marLeft w:val="0"/>
              <w:marRight w:val="0"/>
              <w:marTop w:val="0"/>
              <w:marBottom w:val="0"/>
              <w:divBdr>
                <w:top w:val="none" w:sz="0" w:space="0" w:color="auto"/>
                <w:left w:val="none" w:sz="0" w:space="0" w:color="auto"/>
                <w:bottom w:val="none" w:sz="0" w:space="0" w:color="auto"/>
                <w:right w:val="none" w:sz="0" w:space="0" w:color="auto"/>
              </w:divBdr>
            </w:div>
          </w:divsChild>
        </w:div>
        <w:div w:id="20128148">
          <w:marLeft w:val="0"/>
          <w:marRight w:val="0"/>
          <w:marTop w:val="0"/>
          <w:marBottom w:val="0"/>
          <w:divBdr>
            <w:top w:val="none" w:sz="0" w:space="0" w:color="auto"/>
            <w:left w:val="none" w:sz="0" w:space="0" w:color="auto"/>
            <w:bottom w:val="none" w:sz="0" w:space="0" w:color="auto"/>
            <w:right w:val="none" w:sz="0" w:space="0" w:color="auto"/>
          </w:divBdr>
          <w:divsChild>
            <w:div w:id="693656109">
              <w:marLeft w:val="0"/>
              <w:marRight w:val="0"/>
              <w:marTop w:val="0"/>
              <w:marBottom w:val="0"/>
              <w:divBdr>
                <w:top w:val="none" w:sz="0" w:space="0" w:color="auto"/>
                <w:left w:val="none" w:sz="0" w:space="0" w:color="auto"/>
                <w:bottom w:val="none" w:sz="0" w:space="0" w:color="auto"/>
                <w:right w:val="none" w:sz="0" w:space="0" w:color="auto"/>
              </w:divBdr>
            </w:div>
          </w:divsChild>
        </w:div>
        <w:div w:id="22293852">
          <w:marLeft w:val="0"/>
          <w:marRight w:val="0"/>
          <w:marTop w:val="0"/>
          <w:marBottom w:val="0"/>
          <w:divBdr>
            <w:top w:val="none" w:sz="0" w:space="0" w:color="auto"/>
            <w:left w:val="none" w:sz="0" w:space="0" w:color="auto"/>
            <w:bottom w:val="none" w:sz="0" w:space="0" w:color="auto"/>
            <w:right w:val="none" w:sz="0" w:space="0" w:color="auto"/>
          </w:divBdr>
          <w:divsChild>
            <w:div w:id="1081487603">
              <w:marLeft w:val="0"/>
              <w:marRight w:val="0"/>
              <w:marTop w:val="0"/>
              <w:marBottom w:val="0"/>
              <w:divBdr>
                <w:top w:val="none" w:sz="0" w:space="0" w:color="auto"/>
                <w:left w:val="none" w:sz="0" w:space="0" w:color="auto"/>
                <w:bottom w:val="none" w:sz="0" w:space="0" w:color="auto"/>
                <w:right w:val="none" w:sz="0" w:space="0" w:color="auto"/>
              </w:divBdr>
            </w:div>
          </w:divsChild>
        </w:div>
        <w:div w:id="26294537">
          <w:marLeft w:val="0"/>
          <w:marRight w:val="0"/>
          <w:marTop w:val="0"/>
          <w:marBottom w:val="0"/>
          <w:divBdr>
            <w:top w:val="none" w:sz="0" w:space="0" w:color="auto"/>
            <w:left w:val="none" w:sz="0" w:space="0" w:color="auto"/>
            <w:bottom w:val="none" w:sz="0" w:space="0" w:color="auto"/>
            <w:right w:val="none" w:sz="0" w:space="0" w:color="auto"/>
          </w:divBdr>
          <w:divsChild>
            <w:div w:id="250552379">
              <w:marLeft w:val="0"/>
              <w:marRight w:val="0"/>
              <w:marTop w:val="0"/>
              <w:marBottom w:val="0"/>
              <w:divBdr>
                <w:top w:val="none" w:sz="0" w:space="0" w:color="auto"/>
                <w:left w:val="none" w:sz="0" w:space="0" w:color="auto"/>
                <w:bottom w:val="none" w:sz="0" w:space="0" w:color="auto"/>
                <w:right w:val="none" w:sz="0" w:space="0" w:color="auto"/>
              </w:divBdr>
            </w:div>
          </w:divsChild>
        </w:div>
        <w:div w:id="32928499">
          <w:marLeft w:val="0"/>
          <w:marRight w:val="0"/>
          <w:marTop w:val="0"/>
          <w:marBottom w:val="0"/>
          <w:divBdr>
            <w:top w:val="none" w:sz="0" w:space="0" w:color="auto"/>
            <w:left w:val="none" w:sz="0" w:space="0" w:color="auto"/>
            <w:bottom w:val="none" w:sz="0" w:space="0" w:color="auto"/>
            <w:right w:val="none" w:sz="0" w:space="0" w:color="auto"/>
          </w:divBdr>
          <w:divsChild>
            <w:div w:id="362092702">
              <w:marLeft w:val="0"/>
              <w:marRight w:val="0"/>
              <w:marTop w:val="0"/>
              <w:marBottom w:val="0"/>
              <w:divBdr>
                <w:top w:val="none" w:sz="0" w:space="0" w:color="auto"/>
                <w:left w:val="none" w:sz="0" w:space="0" w:color="auto"/>
                <w:bottom w:val="none" w:sz="0" w:space="0" w:color="auto"/>
                <w:right w:val="none" w:sz="0" w:space="0" w:color="auto"/>
              </w:divBdr>
            </w:div>
          </w:divsChild>
        </w:div>
        <w:div w:id="38827313">
          <w:marLeft w:val="0"/>
          <w:marRight w:val="0"/>
          <w:marTop w:val="0"/>
          <w:marBottom w:val="0"/>
          <w:divBdr>
            <w:top w:val="none" w:sz="0" w:space="0" w:color="auto"/>
            <w:left w:val="none" w:sz="0" w:space="0" w:color="auto"/>
            <w:bottom w:val="none" w:sz="0" w:space="0" w:color="auto"/>
            <w:right w:val="none" w:sz="0" w:space="0" w:color="auto"/>
          </w:divBdr>
          <w:divsChild>
            <w:div w:id="388192813">
              <w:marLeft w:val="0"/>
              <w:marRight w:val="0"/>
              <w:marTop w:val="0"/>
              <w:marBottom w:val="0"/>
              <w:divBdr>
                <w:top w:val="none" w:sz="0" w:space="0" w:color="auto"/>
                <w:left w:val="none" w:sz="0" w:space="0" w:color="auto"/>
                <w:bottom w:val="none" w:sz="0" w:space="0" w:color="auto"/>
                <w:right w:val="none" w:sz="0" w:space="0" w:color="auto"/>
              </w:divBdr>
            </w:div>
          </w:divsChild>
        </w:div>
        <w:div w:id="56361562">
          <w:marLeft w:val="0"/>
          <w:marRight w:val="0"/>
          <w:marTop w:val="0"/>
          <w:marBottom w:val="0"/>
          <w:divBdr>
            <w:top w:val="none" w:sz="0" w:space="0" w:color="auto"/>
            <w:left w:val="none" w:sz="0" w:space="0" w:color="auto"/>
            <w:bottom w:val="none" w:sz="0" w:space="0" w:color="auto"/>
            <w:right w:val="none" w:sz="0" w:space="0" w:color="auto"/>
          </w:divBdr>
          <w:divsChild>
            <w:div w:id="1462306973">
              <w:marLeft w:val="0"/>
              <w:marRight w:val="0"/>
              <w:marTop w:val="0"/>
              <w:marBottom w:val="0"/>
              <w:divBdr>
                <w:top w:val="none" w:sz="0" w:space="0" w:color="auto"/>
                <w:left w:val="none" w:sz="0" w:space="0" w:color="auto"/>
                <w:bottom w:val="none" w:sz="0" w:space="0" w:color="auto"/>
                <w:right w:val="none" w:sz="0" w:space="0" w:color="auto"/>
              </w:divBdr>
            </w:div>
          </w:divsChild>
        </w:div>
        <w:div w:id="67773699">
          <w:marLeft w:val="0"/>
          <w:marRight w:val="0"/>
          <w:marTop w:val="0"/>
          <w:marBottom w:val="0"/>
          <w:divBdr>
            <w:top w:val="none" w:sz="0" w:space="0" w:color="auto"/>
            <w:left w:val="none" w:sz="0" w:space="0" w:color="auto"/>
            <w:bottom w:val="none" w:sz="0" w:space="0" w:color="auto"/>
            <w:right w:val="none" w:sz="0" w:space="0" w:color="auto"/>
          </w:divBdr>
          <w:divsChild>
            <w:div w:id="1754473605">
              <w:marLeft w:val="0"/>
              <w:marRight w:val="0"/>
              <w:marTop w:val="0"/>
              <w:marBottom w:val="0"/>
              <w:divBdr>
                <w:top w:val="none" w:sz="0" w:space="0" w:color="auto"/>
                <w:left w:val="none" w:sz="0" w:space="0" w:color="auto"/>
                <w:bottom w:val="none" w:sz="0" w:space="0" w:color="auto"/>
                <w:right w:val="none" w:sz="0" w:space="0" w:color="auto"/>
              </w:divBdr>
            </w:div>
          </w:divsChild>
        </w:div>
        <w:div w:id="85422987">
          <w:marLeft w:val="0"/>
          <w:marRight w:val="0"/>
          <w:marTop w:val="0"/>
          <w:marBottom w:val="0"/>
          <w:divBdr>
            <w:top w:val="none" w:sz="0" w:space="0" w:color="auto"/>
            <w:left w:val="none" w:sz="0" w:space="0" w:color="auto"/>
            <w:bottom w:val="none" w:sz="0" w:space="0" w:color="auto"/>
            <w:right w:val="none" w:sz="0" w:space="0" w:color="auto"/>
          </w:divBdr>
          <w:divsChild>
            <w:div w:id="599877206">
              <w:marLeft w:val="0"/>
              <w:marRight w:val="0"/>
              <w:marTop w:val="0"/>
              <w:marBottom w:val="0"/>
              <w:divBdr>
                <w:top w:val="none" w:sz="0" w:space="0" w:color="auto"/>
                <w:left w:val="none" w:sz="0" w:space="0" w:color="auto"/>
                <w:bottom w:val="none" w:sz="0" w:space="0" w:color="auto"/>
                <w:right w:val="none" w:sz="0" w:space="0" w:color="auto"/>
              </w:divBdr>
            </w:div>
          </w:divsChild>
        </w:div>
        <w:div w:id="128866182">
          <w:marLeft w:val="0"/>
          <w:marRight w:val="0"/>
          <w:marTop w:val="0"/>
          <w:marBottom w:val="0"/>
          <w:divBdr>
            <w:top w:val="none" w:sz="0" w:space="0" w:color="auto"/>
            <w:left w:val="none" w:sz="0" w:space="0" w:color="auto"/>
            <w:bottom w:val="none" w:sz="0" w:space="0" w:color="auto"/>
            <w:right w:val="none" w:sz="0" w:space="0" w:color="auto"/>
          </w:divBdr>
          <w:divsChild>
            <w:div w:id="1748183340">
              <w:marLeft w:val="0"/>
              <w:marRight w:val="0"/>
              <w:marTop w:val="0"/>
              <w:marBottom w:val="0"/>
              <w:divBdr>
                <w:top w:val="none" w:sz="0" w:space="0" w:color="auto"/>
                <w:left w:val="none" w:sz="0" w:space="0" w:color="auto"/>
                <w:bottom w:val="none" w:sz="0" w:space="0" w:color="auto"/>
                <w:right w:val="none" w:sz="0" w:space="0" w:color="auto"/>
              </w:divBdr>
            </w:div>
          </w:divsChild>
        </w:div>
        <w:div w:id="147746119">
          <w:marLeft w:val="0"/>
          <w:marRight w:val="0"/>
          <w:marTop w:val="0"/>
          <w:marBottom w:val="0"/>
          <w:divBdr>
            <w:top w:val="none" w:sz="0" w:space="0" w:color="auto"/>
            <w:left w:val="none" w:sz="0" w:space="0" w:color="auto"/>
            <w:bottom w:val="none" w:sz="0" w:space="0" w:color="auto"/>
            <w:right w:val="none" w:sz="0" w:space="0" w:color="auto"/>
          </w:divBdr>
          <w:divsChild>
            <w:div w:id="556284452">
              <w:marLeft w:val="0"/>
              <w:marRight w:val="0"/>
              <w:marTop w:val="0"/>
              <w:marBottom w:val="0"/>
              <w:divBdr>
                <w:top w:val="none" w:sz="0" w:space="0" w:color="auto"/>
                <w:left w:val="none" w:sz="0" w:space="0" w:color="auto"/>
                <w:bottom w:val="none" w:sz="0" w:space="0" w:color="auto"/>
                <w:right w:val="none" w:sz="0" w:space="0" w:color="auto"/>
              </w:divBdr>
            </w:div>
          </w:divsChild>
        </w:div>
        <w:div w:id="177161219">
          <w:marLeft w:val="0"/>
          <w:marRight w:val="0"/>
          <w:marTop w:val="0"/>
          <w:marBottom w:val="0"/>
          <w:divBdr>
            <w:top w:val="none" w:sz="0" w:space="0" w:color="auto"/>
            <w:left w:val="none" w:sz="0" w:space="0" w:color="auto"/>
            <w:bottom w:val="none" w:sz="0" w:space="0" w:color="auto"/>
            <w:right w:val="none" w:sz="0" w:space="0" w:color="auto"/>
          </w:divBdr>
          <w:divsChild>
            <w:div w:id="282543716">
              <w:marLeft w:val="0"/>
              <w:marRight w:val="0"/>
              <w:marTop w:val="0"/>
              <w:marBottom w:val="0"/>
              <w:divBdr>
                <w:top w:val="none" w:sz="0" w:space="0" w:color="auto"/>
                <w:left w:val="none" w:sz="0" w:space="0" w:color="auto"/>
                <w:bottom w:val="none" w:sz="0" w:space="0" w:color="auto"/>
                <w:right w:val="none" w:sz="0" w:space="0" w:color="auto"/>
              </w:divBdr>
            </w:div>
          </w:divsChild>
        </w:div>
        <w:div w:id="203758678">
          <w:marLeft w:val="0"/>
          <w:marRight w:val="0"/>
          <w:marTop w:val="0"/>
          <w:marBottom w:val="0"/>
          <w:divBdr>
            <w:top w:val="none" w:sz="0" w:space="0" w:color="auto"/>
            <w:left w:val="none" w:sz="0" w:space="0" w:color="auto"/>
            <w:bottom w:val="none" w:sz="0" w:space="0" w:color="auto"/>
            <w:right w:val="none" w:sz="0" w:space="0" w:color="auto"/>
          </w:divBdr>
          <w:divsChild>
            <w:div w:id="1051343396">
              <w:marLeft w:val="0"/>
              <w:marRight w:val="0"/>
              <w:marTop w:val="0"/>
              <w:marBottom w:val="0"/>
              <w:divBdr>
                <w:top w:val="none" w:sz="0" w:space="0" w:color="auto"/>
                <w:left w:val="none" w:sz="0" w:space="0" w:color="auto"/>
                <w:bottom w:val="none" w:sz="0" w:space="0" w:color="auto"/>
                <w:right w:val="none" w:sz="0" w:space="0" w:color="auto"/>
              </w:divBdr>
            </w:div>
          </w:divsChild>
        </w:div>
        <w:div w:id="210651591">
          <w:marLeft w:val="0"/>
          <w:marRight w:val="0"/>
          <w:marTop w:val="0"/>
          <w:marBottom w:val="0"/>
          <w:divBdr>
            <w:top w:val="none" w:sz="0" w:space="0" w:color="auto"/>
            <w:left w:val="none" w:sz="0" w:space="0" w:color="auto"/>
            <w:bottom w:val="none" w:sz="0" w:space="0" w:color="auto"/>
            <w:right w:val="none" w:sz="0" w:space="0" w:color="auto"/>
          </w:divBdr>
          <w:divsChild>
            <w:div w:id="557088453">
              <w:marLeft w:val="0"/>
              <w:marRight w:val="0"/>
              <w:marTop w:val="0"/>
              <w:marBottom w:val="0"/>
              <w:divBdr>
                <w:top w:val="none" w:sz="0" w:space="0" w:color="auto"/>
                <w:left w:val="none" w:sz="0" w:space="0" w:color="auto"/>
                <w:bottom w:val="none" w:sz="0" w:space="0" w:color="auto"/>
                <w:right w:val="none" w:sz="0" w:space="0" w:color="auto"/>
              </w:divBdr>
            </w:div>
          </w:divsChild>
        </w:div>
        <w:div w:id="229657737">
          <w:marLeft w:val="0"/>
          <w:marRight w:val="0"/>
          <w:marTop w:val="0"/>
          <w:marBottom w:val="0"/>
          <w:divBdr>
            <w:top w:val="none" w:sz="0" w:space="0" w:color="auto"/>
            <w:left w:val="none" w:sz="0" w:space="0" w:color="auto"/>
            <w:bottom w:val="none" w:sz="0" w:space="0" w:color="auto"/>
            <w:right w:val="none" w:sz="0" w:space="0" w:color="auto"/>
          </w:divBdr>
          <w:divsChild>
            <w:div w:id="1663503001">
              <w:marLeft w:val="0"/>
              <w:marRight w:val="0"/>
              <w:marTop w:val="0"/>
              <w:marBottom w:val="0"/>
              <w:divBdr>
                <w:top w:val="none" w:sz="0" w:space="0" w:color="auto"/>
                <w:left w:val="none" w:sz="0" w:space="0" w:color="auto"/>
                <w:bottom w:val="none" w:sz="0" w:space="0" w:color="auto"/>
                <w:right w:val="none" w:sz="0" w:space="0" w:color="auto"/>
              </w:divBdr>
            </w:div>
          </w:divsChild>
        </w:div>
        <w:div w:id="245310827">
          <w:marLeft w:val="0"/>
          <w:marRight w:val="0"/>
          <w:marTop w:val="0"/>
          <w:marBottom w:val="0"/>
          <w:divBdr>
            <w:top w:val="none" w:sz="0" w:space="0" w:color="auto"/>
            <w:left w:val="none" w:sz="0" w:space="0" w:color="auto"/>
            <w:bottom w:val="none" w:sz="0" w:space="0" w:color="auto"/>
            <w:right w:val="none" w:sz="0" w:space="0" w:color="auto"/>
          </w:divBdr>
          <w:divsChild>
            <w:div w:id="980161491">
              <w:marLeft w:val="0"/>
              <w:marRight w:val="0"/>
              <w:marTop w:val="0"/>
              <w:marBottom w:val="0"/>
              <w:divBdr>
                <w:top w:val="none" w:sz="0" w:space="0" w:color="auto"/>
                <w:left w:val="none" w:sz="0" w:space="0" w:color="auto"/>
                <w:bottom w:val="none" w:sz="0" w:space="0" w:color="auto"/>
                <w:right w:val="none" w:sz="0" w:space="0" w:color="auto"/>
              </w:divBdr>
            </w:div>
          </w:divsChild>
        </w:div>
        <w:div w:id="252278887">
          <w:marLeft w:val="0"/>
          <w:marRight w:val="0"/>
          <w:marTop w:val="0"/>
          <w:marBottom w:val="0"/>
          <w:divBdr>
            <w:top w:val="none" w:sz="0" w:space="0" w:color="auto"/>
            <w:left w:val="none" w:sz="0" w:space="0" w:color="auto"/>
            <w:bottom w:val="none" w:sz="0" w:space="0" w:color="auto"/>
            <w:right w:val="none" w:sz="0" w:space="0" w:color="auto"/>
          </w:divBdr>
          <w:divsChild>
            <w:div w:id="927541531">
              <w:marLeft w:val="0"/>
              <w:marRight w:val="0"/>
              <w:marTop w:val="0"/>
              <w:marBottom w:val="0"/>
              <w:divBdr>
                <w:top w:val="none" w:sz="0" w:space="0" w:color="auto"/>
                <w:left w:val="none" w:sz="0" w:space="0" w:color="auto"/>
                <w:bottom w:val="none" w:sz="0" w:space="0" w:color="auto"/>
                <w:right w:val="none" w:sz="0" w:space="0" w:color="auto"/>
              </w:divBdr>
            </w:div>
          </w:divsChild>
        </w:div>
        <w:div w:id="263854047">
          <w:marLeft w:val="0"/>
          <w:marRight w:val="0"/>
          <w:marTop w:val="0"/>
          <w:marBottom w:val="0"/>
          <w:divBdr>
            <w:top w:val="none" w:sz="0" w:space="0" w:color="auto"/>
            <w:left w:val="none" w:sz="0" w:space="0" w:color="auto"/>
            <w:bottom w:val="none" w:sz="0" w:space="0" w:color="auto"/>
            <w:right w:val="none" w:sz="0" w:space="0" w:color="auto"/>
          </w:divBdr>
          <w:divsChild>
            <w:div w:id="128129877">
              <w:marLeft w:val="0"/>
              <w:marRight w:val="0"/>
              <w:marTop w:val="0"/>
              <w:marBottom w:val="0"/>
              <w:divBdr>
                <w:top w:val="none" w:sz="0" w:space="0" w:color="auto"/>
                <w:left w:val="none" w:sz="0" w:space="0" w:color="auto"/>
                <w:bottom w:val="none" w:sz="0" w:space="0" w:color="auto"/>
                <w:right w:val="none" w:sz="0" w:space="0" w:color="auto"/>
              </w:divBdr>
            </w:div>
          </w:divsChild>
        </w:div>
        <w:div w:id="286862543">
          <w:marLeft w:val="0"/>
          <w:marRight w:val="0"/>
          <w:marTop w:val="0"/>
          <w:marBottom w:val="0"/>
          <w:divBdr>
            <w:top w:val="none" w:sz="0" w:space="0" w:color="auto"/>
            <w:left w:val="none" w:sz="0" w:space="0" w:color="auto"/>
            <w:bottom w:val="none" w:sz="0" w:space="0" w:color="auto"/>
            <w:right w:val="none" w:sz="0" w:space="0" w:color="auto"/>
          </w:divBdr>
          <w:divsChild>
            <w:div w:id="741875921">
              <w:marLeft w:val="0"/>
              <w:marRight w:val="0"/>
              <w:marTop w:val="0"/>
              <w:marBottom w:val="0"/>
              <w:divBdr>
                <w:top w:val="none" w:sz="0" w:space="0" w:color="auto"/>
                <w:left w:val="none" w:sz="0" w:space="0" w:color="auto"/>
                <w:bottom w:val="none" w:sz="0" w:space="0" w:color="auto"/>
                <w:right w:val="none" w:sz="0" w:space="0" w:color="auto"/>
              </w:divBdr>
            </w:div>
          </w:divsChild>
        </w:div>
        <w:div w:id="306519435">
          <w:marLeft w:val="0"/>
          <w:marRight w:val="0"/>
          <w:marTop w:val="0"/>
          <w:marBottom w:val="0"/>
          <w:divBdr>
            <w:top w:val="none" w:sz="0" w:space="0" w:color="auto"/>
            <w:left w:val="none" w:sz="0" w:space="0" w:color="auto"/>
            <w:bottom w:val="none" w:sz="0" w:space="0" w:color="auto"/>
            <w:right w:val="none" w:sz="0" w:space="0" w:color="auto"/>
          </w:divBdr>
          <w:divsChild>
            <w:div w:id="1412047044">
              <w:marLeft w:val="0"/>
              <w:marRight w:val="0"/>
              <w:marTop w:val="0"/>
              <w:marBottom w:val="0"/>
              <w:divBdr>
                <w:top w:val="none" w:sz="0" w:space="0" w:color="auto"/>
                <w:left w:val="none" w:sz="0" w:space="0" w:color="auto"/>
                <w:bottom w:val="none" w:sz="0" w:space="0" w:color="auto"/>
                <w:right w:val="none" w:sz="0" w:space="0" w:color="auto"/>
              </w:divBdr>
            </w:div>
          </w:divsChild>
        </w:div>
        <w:div w:id="308168044">
          <w:marLeft w:val="0"/>
          <w:marRight w:val="0"/>
          <w:marTop w:val="0"/>
          <w:marBottom w:val="0"/>
          <w:divBdr>
            <w:top w:val="none" w:sz="0" w:space="0" w:color="auto"/>
            <w:left w:val="none" w:sz="0" w:space="0" w:color="auto"/>
            <w:bottom w:val="none" w:sz="0" w:space="0" w:color="auto"/>
            <w:right w:val="none" w:sz="0" w:space="0" w:color="auto"/>
          </w:divBdr>
          <w:divsChild>
            <w:div w:id="894240655">
              <w:marLeft w:val="0"/>
              <w:marRight w:val="0"/>
              <w:marTop w:val="0"/>
              <w:marBottom w:val="0"/>
              <w:divBdr>
                <w:top w:val="none" w:sz="0" w:space="0" w:color="auto"/>
                <w:left w:val="none" w:sz="0" w:space="0" w:color="auto"/>
                <w:bottom w:val="none" w:sz="0" w:space="0" w:color="auto"/>
                <w:right w:val="none" w:sz="0" w:space="0" w:color="auto"/>
              </w:divBdr>
            </w:div>
          </w:divsChild>
        </w:div>
        <w:div w:id="313871791">
          <w:marLeft w:val="0"/>
          <w:marRight w:val="0"/>
          <w:marTop w:val="0"/>
          <w:marBottom w:val="0"/>
          <w:divBdr>
            <w:top w:val="none" w:sz="0" w:space="0" w:color="auto"/>
            <w:left w:val="none" w:sz="0" w:space="0" w:color="auto"/>
            <w:bottom w:val="none" w:sz="0" w:space="0" w:color="auto"/>
            <w:right w:val="none" w:sz="0" w:space="0" w:color="auto"/>
          </w:divBdr>
          <w:divsChild>
            <w:div w:id="1156872368">
              <w:marLeft w:val="0"/>
              <w:marRight w:val="0"/>
              <w:marTop w:val="0"/>
              <w:marBottom w:val="0"/>
              <w:divBdr>
                <w:top w:val="none" w:sz="0" w:space="0" w:color="auto"/>
                <w:left w:val="none" w:sz="0" w:space="0" w:color="auto"/>
                <w:bottom w:val="none" w:sz="0" w:space="0" w:color="auto"/>
                <w:right w:val="none" w:sz="0" w:space="0" w:color="auto"/>
              </w:divBdr>
            </w:div>
          </w:divsChild>
        </w:div>
        <w:div w:id="321278712">
          <w:marLeft w:val="0"/>
          <w:marRight w:val="0"/>
          <w:marTop w:val="0"/>
          <w:marBottom w:val="0"/>
          <w:divBdr>
            <w:top w:val="none" w:sz="0" w:space="0" w:color="auto"/>
            <w:left w:val="none" w:sz="0" w:space="0" w:color="auto"/>
            <w:bottom w:val="none" w:sz="0" w:space="0" w:color="auto"/>
            <w:right w:val="none" w:sz="0" w:space="0" w:color="auto"/>
          </w:divBdr>
          <w:divsChild>
            <w:div w:id="2056614704">
              <w:marLeft w:val="0"/>
              <w:marRight w:val="0"/>
              <w:marTop w:val="0"/>
              <w:marBottom w:val="0"/>
              <w:divBdr>
                <w:top w:val="none" w:sz="0" w:space="0" w:color="auto"/>
                <w:left w:val="none" w:sz="0" w:space="0" w:color="auto"/>
                <w:bottom w:val="none" w:sz="0" w:space="0" w:color="auto"/>
                <w:right w:val="none" w:sz="0" w:space="0" w:color="auto"/>
              </w:divBdr>
            </w:div>
          </w:divsChild>
        </w:div>
        <w:div w:id="343214163">
          <w:marLeft w:val="0"/>
          <w:marRight w:val="0"/>
          <w:marTop w:val="0"/>
          <w:marBottom w:val="0"/>
          <w:divBdr>
            <w:top w:val="none" w:sz="0" w:space="0" w:color="auto"/>
            <w:left w:val="none" w:sz="0" w:space="0" w:color="auto"/>
            <w:bottom w:val="none" w:sz="0" w:space="0" w:color="auto"/>
            <w:right w:val="none" w:sz="0" w:space="0" w:color="auto"/>
          </w:divBdr>
          <w:divsChild>
            <w:div w:id="181477652">
              <w:marLeft w:val="0"/>
              <w:marRight w:val="0"/>
              <w:marTop w:val="0"/>
              <w:marBottom w:val="0"/>
              <w:divBdr>
                <w:top w:val="none" w:sz="0" w:space="0" w:color="auto"/>
                <w:left w:val="none" w:sz="0" w:space="0" w:color="auto"/>
                <w:bottom w:val="none" w:sz="0" w:space="0" w:color="auto"/>
                <w:right w:val="none" w:sz="0" w:space="0" w:color="auto"/>
              </w:divBdr>
            </w:div>
          </w:divsChild>
        </w:div>
        <w:div w:id="362484110">
          <w:marLeft w:val="0"/>
          <w:marRight w:val="0"/>
          <w:marTop w:val="0"/>
          <w:marBottom w:val="0"/>
          <w:divBdr>
            <w:top w:val="none" w:sz="0" w:space="0" w:color="auto"/>
            <w:left w:val="none" w:sz="0" w:space="0" w:color="auto"/>
            <w:bottom w:val="none" w:sz="0" w:space="0" w:color="auto"/>
            <w:right w:val="none" w:sz="0" w:space="0" w:color="auto"/>
          </w:divBdr>
          <w:divsChild>
            <w:div w:id="1405568082">
              <w:marLeft w:val="0"/>
              <w:marRight w:val="0"/>
              <w:marTop w:val="0"/>
              <w:marBottom w:val="0"/>
              <w:divBdr>
                <w:top w:val="none" w:sz="0" w:space="0" w:color="auto"/>
                <w:left w:val="none" w:sz="0" w:space="0" w:color="auto"/>
                <w:bottom w:val="none" w:sz="0" w:space="0" w:color="auto"/>
                <w:right w:val="none" w:sz="0" w:space="0" w:color="auto"/>
              </w:divBdr>
            </w:div>
          </w:divsChild>
        </w:div>
        <w:div w:id="373653267">
          <w:marLeft w:val="0"/>
          <w:marRight w:val="0"/>
          <w:marTop w:val="0"/>
          <w:marBottom w:val="0"/>
          <w:divBdr>
            <w:top w:val="none" w:sz="0" w:space="0" w:color="auto"/>
            <w:left w:val="none" w:sz="0" w:space="0" w:color="auto"/>
            <w:bottom w:val="none" w:sz="0" w:space="0" w:color="auto"/>
            <w:right w:val="none" w:sz="0" w:space="0" w:color="auto"/>
          </w:divBdr>
          <w:divsChild>
            <w:div w:id="1534028601">
              <w:marLeft w:val="0"/>
              <w:marRight w:val="0"/>
              <w:marTop w:val="0"/>
              <w:marBottom w:val="0"/>
              <w:divBdr>
                <w:top w:val="none" w:sz="0" w:space="0" w:color="auto"/>
                <w:left w:val="none" w:sz="0" w:space="0" w:color="auto"/>
                <w:bottom w:val="none" w:sz="0" w:space="0" w:color="auto"/>
                <w:right w:val="none" w:sz="0" w:space="0" w:color="auto"/>
              </w:divBdr>
            </w:div>
          </w:divsChild>
        </w:div>
        <w:div w:id="432437793">
          <w:marLeft w:val="0"/>
          <w:marRight w:val="0"/>
          <w:marTop w:val="0"/>
          <w:marBottom w:val="0"/>
          <w:divBdr>
            <w:top w:val="none" w:sz="0" w:space="0" w:color="auto"/>
            <w:left w:val="none" w:sz="0" w:space="0" w:color="auto"/>
            <w:bottom w:val="none" w:sz="0" w:space="0" w:color="auto"/>
            <w:right w:val="none" w:sz="0" w:space="0" w:color="auto"/>
          </w:divBdr>
          <w:divsChild>
            <w:div w:id="447091634">
              <w:marLeft w:val="0"/>
              <w:marRight w:val="0"/>
              <w:marTop w:val="0"/>
              <w:marBottom w:val="0"/>
              <w:divBdr>
                <w:top w:val="none" w:sz="0" w:space="0" w:color="auto"/>
                <w:left w:val="none" w:sz="0" w:space="0" w:color="auto"/>
                <w:bottom w:val="none" w:sz="0" w:space="0" w:color="auto"/>
                <w:right w:val="none" w:sz="0" w:space="0" w:color="auto"/>
              </w:divBdr>
            </w:div>
          </w:divsChild>
        </w:div>
        <w:div w:id="441002592">
          <w:marLeft w:val="0"/>
          <w:marRight w:val="0"/>
          <w:marTop w:val="0"/>
          <w:marBottom w:val="0"/>
          <w:divBdr>
            <w:top w:val="none" w:sz="0" w:space="0" w:color="auto"/>
            <w:left w:val="none" w:sz="0" w:space="0" w:color="auto"/>
            <w:bottom w:val="none" w:sz="0" w:space="0" w:color="auto"/>
            <w:right w:val="none" w:sz="0" w:space="0" w:color="auto"/>
          </w:divBdr>
          <w:divsChild>
            <w:div w:id="1897160798">
              <w:marLeft w:val="0"/>
              <w:marRight w:val="0"/>
              <w:marTop w:val="0"/>
              <w:marBottom w:val="0"/>
              <w:divBdr>
                <w:top w:val="none" w:sz="0" w:space="0" w:color="auto"/>
                <w:left w:val="none" w:sz="0" w:space="0" w:color="auto"/>
                <w:bottom w:val="none" w:sz="0" w:space="0" w:color="auto"/>
                <w:right w:val="none" w:sz="0" w:space="0" w:color="auto"/>
              </w:divBdr>
            </w:div>
          </w:divsChild>
        </w:div>
        <w:div w:id="452290148">
          <w:marLeft w:val="0"/>
          <w:marRight w:val="0"/>
          <w:marTop w:val="0"/>
          <w:marBottom w:val="0"/>
          <w:divBdr>
            <w:top w:val="none" w:sz="0" w:space="0" w:color="auto"/>
            <w:left w:val="none" w:sz="0" w:space="0" w:color="auto"/>
            <w:bottom w:val="none" w:sz="0" w:space="0" w:color="auto"/>
            <w:right w:val="none" w:sz="0" w:space="0" w:color="auto"/>
          </w:divBdr>
          <w:divsChild>
            <w:div w:id="1507473833">
              <w:marLeft w:val="0"/>
              <w:marRight w:val="0"/>
              <w:marTop w:val="0"/>
              <w:marBottom w:val="0"/>
              <w:divBdr>
                <w:top w:val="none" w:sz="0" w:space="0" w:color="auto"/>
                <w:left w:val="none" w:sz="0" w:space="0" w:color="auto"/>
                <w:bottom w:val="none" w:sz="0" w:space="0" w:color="auto"/>
                <w:right w:val="none" w:sz="0" w:space="0" w:color="auto"/>
              </w:divBdr>
            </w:div>
          </w:divsChild>
        </w:div>
        <w:div w:id="507257688">
          <w:marLeft w:val="0"/>
          <w:marRight w:val="0"/>
          <w:marTop w:val="0"/>
          <w:marBottom w:val="0"/>
          <w:divBdr>
            <w:top w:val="none" w:sz="0" w:space="0" w:color="auto"/>
            <w:left w:val="none" w:sz="0" w:space="0" w:color="auto"/>
            <w:bottom w:val="none" w:sz="0" w:space="0" w:color="auto"/>
            <w:right w:val="none" w:sz="0" w:space="0" w:color="auto"/>
          </w:divBdr>
          <w:divsChild>
            <w:div w:id="1011881162">
              <w:marLeft w:val="0"/>
              <w:marRight w:val="0"/>
              <w:marTop w:val="0"/>
              <w:marBottom w:val="0"/>
              <w:divBdr>
                <w:top w:val="none" w:sz="0" w:space="0" w:color="auto"/>
                <w:left w:val="none" w:sz="0" w:space="0" w:color="auto"/>
                <w:bottom w:val="none" w:sz="0" w:space="0" w:color="auto"/>
                <w:right w:val="none" w:sz="0" w:space="0" w:color="auto"/>
              </w:divBdr>
            </w:div>
          </w:divsChild>
        </w:div>
        <w:div w:id="526068572">
          <w:marLeft w:val="0"/>
          <w:marRight w:val="0"/>
          <w:marTop w:val="0"/>
          <w:marBottom w:val="0"/>
          <w:divBdr>
            <w:top w:val="none" w:sz="0" w:space="0" w:color="auto"/>
            <w:left w:val="none" w:sz="0" w:space="0" w:color="auto"/>
            <w:bottom w:val="none" w:sz="0" w:space="0" w:color="auto"/>
            <w:right w:val="none" w:sz="0" w:space="0" w:color="auto"/>
          </w:divBdr>
          <w:divsChild>
            <w:div w:id="646276794">
              <w:marLeft w:val="0"/>
              <w:marRight w:val="0"/>
              <w:marTop w:val="0"/>
              <w:marBottom w:val="0"/>
              <w:divBdr>
                <w:top w:val="none" w:sz="0" w:space="0" w:color="auto"/>
                <w:left w:val="none" w:sz="0" w:space="0" w:color="auto"/>
                <w:bottom w:val="none" w:sz="0" w:space="0" w:color="auto"/>
                <w:right w:val="none" w:sz="0" w:space="0" w:color="auto"/>
              </w:divBdr>
            </w:div>
          </w:divsChild>
        </w:div>
        <w:div w:id="549465675">
          <w:marLeft w:val="0"/>
          <w:marRight w:val="0"/>
          <w:marTop w:val="0"/>
          <w:marBottom w:val="0"/>
          <w:divBdr>
            <w:top w:val="none" w:sz="0" w:space="0" w:color="auto"/>
            <w:left w:val="none" w:sz="0" w:space="0" w:color="auto"/>
            <w:bottom w:val="none" w:sz="0" w:space="0" w:color="auto"/>
            <w:right w:val="none" w:sz="0" w:space="0" w:color="auto"/>
          </w:divBdr>
          <w:divsChild>
            <w:div w:id="1818568721">
              <w:marLeft w:val="0"/>
              <w:marRight w:val="0"/>
              <w:marTop w:val="0"/>
              <w:marBottom w:val="0"/>
              <w:divBdr>
                <w:top w:val="none" w:sz="0" w:space="0" w:color="auto"/>
                <w:left w:val="none" w:sz="0" w:space="0" w:color="auto"/>
                <w:bottom w:val="none" w:sz="0" w:space="0" w:color="auto"/>
                <w:right w:val="none" w:sz="0" w:space="0" w:color="auto"/>
              </w:divBdr>
            </w:div>
          </w:divsChild>
        </w:div>
        <w:div w:id="602154570">
          <w:marLeft w:val="0"/>
          <w:marRight w:val="0"/>
          <w:marTop w:val="0"/>
          <w:marBottom w:val="0"/>
          <w:divBdr>
            <w:top w:val="none" w:sz="0" w:space="0" w:color="auto"/>
            <w:left w:val="none" w:sz="0" w:space="0" w:color="auto"/>
            <w:bottom w:val="none" w:sz="0" w:space="0" w:color="auto"/>
            <w:right w:val="none" w:sz="0" w:space="0" w:color="auto"/>
          </w:divBdr>
          <w:divsChild>
            <w:div w:id="1582521952">
              <w:marLeft w:val="0"/>
              <w:marRight w:val="0"/>
              <w:marTop w:val="0"/>
              <w:marBottom w:val="0"/>
              <w:divBdr>
                <w:top w:val="none" w:sz="0" w:space="0" w:color="auto"/>
                <w:left w:val="none" w:sz="0" w:space="0" w:color="auto"/>
                <w:bottom w:val="none" w:sz="0" w:space="0" w:color="auto"/>
                <w:right w:val="none" w:sz="0" w:space="0" w:color="auto"/>
              </w:divBdr>
            </w:div>
          </w:divsChild>
        </w:div>
        <w:div w:id="609046590">
          <w:marLeft w:val="0"/>
          <w:marRight w:val="0"/>
          <w:marTop w:val="0"/>
          <w:marBottom w:val="0"/>
          <w:divBdr>
            <w:top w:val="none" w:sz="0" w:space="0" w:color="auto"/>
            <w:left w:val="none" w:sz="0" w:space="0" w:color="auto"/>
            <w:bottom w:val="none" w:sz="0" w:space="0" w:color="auto"/>
            <w:right w:val="none" w:sz="0" w:space="0" w:color="auto"/>
          </w:divBdr>
          <w:divsChild>
            <w:div w:id="1001391776">
              <w:marLeft w:val="0"/>
              <w:marRight w:val="0"/>
              <w:marTop w:val="0"/>
              <w:marBottom w:val="0"/>
              <w:divBdr>
                <w:top w:val="none" w:sz="0" w:space="0" w:color="auto"/>
                <w:left w:val="none" w:sz="0" w:space="0" w:color="auto"/>
                <w:bottom w:val="none" w:sz="0" w:space="0" w:color="auto"/>
                <w:right w:val="none" w:sz="0" w:space="0" w:color="auto"/>
              </w:divBdr>
            </w:div>
          </w:divsChild>
        </w:div>
        <w:div w:id="629408863">
          <w:marLeft w:val="0"/>
          <w:marRight w:val="0"/>
          <w:marTop w:val="0"/>
          <w:marBottom w:val="0"/>
          <w:divBdr>
            <w:top w:val="none" w:sz="0" w:space="0" w:color="auto"/>
            <w:left w:val="none" w:sz="0" w:space="0" w:color="auto"/>
            <w:bottom w:val="none" w:sz="0" w:space="0" w:color="auto"/>
            <w:right w:val="none" w:sz="0" w:space="0" w:color="auto"/>
          </w:divBdr>
          <w:divsChild>
            <w:div w:id="673533531">
              <w:marLeft w:val="0"/>
              <w:marRight w:val="0"/>
              <w:marTop w:val="0"/>
              <w:marBottom w:val="0"/>
              <w:divBdr>
                <w:top w:val="none" w:sz="0" w:space="0" w:color="auto"/>
                <w:left w:val="none" w:sz="0" w:space="0" w:color="auto"/>
                <w:bottom w:val="none" w:sz="0" w:space="0" w:color="auto"/>
                <w:right w:val="none" w:sz="0" w:space="0" w:color="auto"/>
              </w:divBdr>
            </w:div>
          </w:divsChild>
        </w:div>
        <w:div w:id="638803996">
          <w:marLeft w:val="0"/>
          <w:marRight w:val="0"/>
          <w:marTop w:val="0"/>
          <w:marBottom w:val="0"/>
          <w:divBdr>
            <w:top w:val="none" w:sz="0" w:space="0" w:color="auto"/>
            <w:left w:val="none" w:sz="0" w:space="0" w:color="auto"/>
            <w:bottom w:val="none" w:sz="0" w:space="0" w:color="auto"/>
            <w:right w:val="none" w:sz="0" w:space="0" w:color="auto"/>
          </w:divBdr>
          <w:divsChild>
            <w:div w:id="307252457">
              <w:marLeft w:val="0"/>
              <w:marRight w:val="0"/>
              <w:marTop w:val="0"/>
              <w:marBottom w:val="0"/>
              <w:divBdr>
                <w:top w:val="none" w:sz="0" w:space="0" w:color="auto"/>
                <w:left w:val="none" w:sz="0" w:space="0" w:color="auto"/>
                <w:bottom w:val="none" w:sz="0" w:space="0" w:color="auto"/>
                <w:right w:val="none" w:sz="0" w:space="0" w:color="auto"/>
              </w:divBdr>
            </w:div>
          </w:divsChild>
        </w:div>
        <w:div w:id="659692617">
          <w:marLeft w:val="0"/>
          <w:marRight w:val="0"/>
          <w:marTop w:val="0"/>
          <w:marBottom w:val="0"/>
          <w:divBdr>
            <w:top w:val="none" w:sz="0" w:space="0" w:color="auto"/>
            <w:left w:val="none" w:sz="0" w:space="0" w:color="auto"/>
            <w:bottom w:val="none" w:sz="0" w:space="0" w:color="auto"/>
            <w:right w:val="none" w:sz="0" w:space="0" w:color="auto"/>
          </w:divBdr>
          <w:divsChild>
            <w:div w:id="1454210328">
              <w:marLeft w:val="0"/>
              <w:marRight w:val="0"/>
              <w:marTop w:val="0"/>
              <w:marBottom w:val="0"/>
              <w:divBdr>
                <w:top w:val="none" w:sz="0" w:space="0" w:color="auto"/>
                <w:left w:val="none" w:sz="0" w:space="0" w:color="auto"/>
                <w:bottom w:val="none" w:sz="0" w:space="0" w:color="auto"/>
                <w:right w:val="none" w:sz="0" w:space="0" w:color="auto"/>
              </w:divBdr>
            </w:div>
          </w:divsChild>
        </w:div>
        <w:div w:id="678240234">
          <w:marLeft w:val="0"/>
          <w:marRight w:val="0"/>
          <w:marTop w:val="0"/>
          <w:marBottom w:val="0"/>
          <w:divBdr>
            <w:top w:val="none" w:sz="0" w:space="0" w:color="auto"/>
            <w:left w:val="none" w:sz="0" w:space="0" w:color="auto"/>
            <w:bottom w:val="none" w:sz="0" w:space="0" w:color="auto"/>
            <w:right w:val="none" w:sz="0" w:space="0" w:color="auto"/>
          </w:divBdr>
          <w:divsChild>
            <w:div w:id="1495292542">
              <w:marLeft w:val="0"/>
              <w:marRight w:val="0"/>
              <w:marTop w:val="0"/>
              <w:marBottom w:val="0"/>
              <w:divBdr>
                <w:top w:val="none" w:sz="0" w:space="0" w:color="auto"/>
                <w:left w:val="none" w:sz="0" w:space="0" w:color="auto"/>
                <w:bottom w:val="none" w:sz="0" w:space="0" w:color="auto"/>
                <w:right w:val="none" w:sz="0" w:space="0" w:color="auto"/>
              </w:divBdr>
            </w:div>
          </w:divsChild>
        </w:div>
        <w:div w:id="688264860">
          <w:marLeft w:val="0"/>
          <w:marRight w:val="0"/>
          <w:marTop w:val="0"/>
          <w:marBottom w:val="0"/>
          <w:divBdr>
            <w:top w:val="none" w:sz="0" w:space="0" w:color="auto"/>
            <w:left w:val="none" w:sz="0" w:space="0" w:color="auto"/>
            <w:bottom w:val="none" w:sz="0" w:space="0" w:color="auto"/>
            <w:right w:val="none" w:sz="0" w:space="0" w:color="auto"/>
          </w:divBdr>
          <w:divsChild>
            <w:div w:id="837572802">
              <w:marLeft w:val="0"/>
              <w:marRight w:val="0"/>
              <w:marTop w:val="0"/>
              <w:marBottom w:val="0"/>
              <w:divBdr>
                <w:top w:val="none" w:sz="0" w:space="0" w:color="auto"/>
                <w:left w:val="none" w:sz="0" w:space="0" w:color="auto"/>
                <w:bottom w:val="none" w:sz="0" w:space="0" w:color="auto"/>
                <w:right w:val="none" w:sz="0" w:space="0" w:color="auto"/>
              </w:divBdr>
            </w:div>
          </w:divsChild>
        </w:div>
        <w:div w:id="707805454">
          <w:marLeft w:val="0"/>
          <w:marRight w:val="0"/>
          <w:marTop w:val="0"/>
          <w:marBottom w:val="0"/>
          <w:divBdr>
            <w:top w:val="none" w:sz="0" w:space="0" w:color="auto"/>
            <w:left w:val="none" w:sz="0" w:space="0" w:color="auto"/>
            <w:bottom w:val="none" w:sz="0" w:space="0" w:color="auto"/>
            <w:right w:val="none" w:sz="0" w:space="0" w:color="auto"/>
          </w:divBdr>
          <w:divsChild>
            <w:div w:id="1220439162">
              <w:marLeft w:val="0"/>
              <w:marRight w:val="0"/>
              <w:marTop w:val="0"/>
              <w:marBottom w:val="0"/>
              <w:divBdr>
                <w:top w:val="none" w:sz="0" w:space="0" w:color="auto"/>
                <w:left w:val="none" w:sz="0" w:space="0" w:color="auto"/>
                <w:bottom w:val="none" w:sz="0" w:space="0" w:color="auto"/>
                <w:right w:val="none" w:sz="0" w:space="0" w:color="auto"/>
              </w:divBdr>
            </w:div>
          </w:divsChild>
        </w:div>
        <w:div w:id="767118273">
          <w:marLeft w:val="0"/>
          <w:marRight w:val="0"/>
          <w:marTop w:val="0"/>
          <w:marBottom w:val="0"/>
          <w:divBdr>
            <w:top w:val="none" w:sz="0" w:space="0" w:color="auto"/>
            <w:left w:val="none" w:sz="0" w:space="0" w:color="auto"/>
            <w:bottom w:val="none" w:sz="0" w:space="0" w:color="auto"/>
            <w:right w:val="none" w:sz="0" w:space="0" w:color="auto"/>
          </w:divBdr>
          <w:divsChild>
            <w:div w:id="825509344">
              <w:marLeft w:val="0"/>
              <w:marRight w:val="0"/>
              <w:marTop w:val="0"/>
              <w:marBottom w:val="0"/>
              <w:divBdr>
                <w:top w:val="none" w:sz="0" w:space="0" w:color="auto"/>
                <w:left w:val="none" w:sz="0" w:space="0" w:color="auto"/>
                <w:bottom w:val="none" w:sz="0" w:space="0" w:color="auto"/>
                <w:right w:val="none" w:sz="0" w:space="0" w:color="auto"/>
              </w:divBdr>
            </w:div>
          </w:divsChild>
        </w:div>
        <w:div w:id="773864125">
          <w:marLeft w:val="0"/>
          <w:marRight w:val="0"/>
          <w:marTop w:val="0"/>
          <w:marBottom w:val="0"/>
          <w:divBdr>
            <w:top w:val="none" w:sz="0" w:space="0" w:color="auto"/>
            <w:left w:val="none" w:sz="0" w:space="0" w:color="auto"/>
            <w:bottom w:val="none" w:sz="0" w:space="0" w:color="auto"/>
            <w:right w:val="none" w:sz="0" w:space="0" w:color="auto"/>
          </w:divBdr>
          <w:divsChild>
            <w:div w:id="145634479">
              <w:marLeft w:val="0"/>
              <w:marRight w:val="0"/>
              <w:marTop w:val="0"/>
              <w:marBottom w:val="0"/>
              <w:divBdr>
                <w:top w:val="none" w:sz="0" w:space="0" w:color="auto"/>
                <w:left w:val="none" w:sz="0" w:space="0" w:color="auto"/>
                <w:bottom w:val="none" w:sz="0" w:space="0" w:color="auto"/>
                <w:right w:val="none" w:sz="0" w:space="0" w:color="auto"/>
              </w:divBdr>
            </w:div>
          </w:divsChild>
        </w:div>
        <w:div w:id="774248858">
          <w:marLeft w:val="0"/>
          <w:marRight w:val="0"/>
          <w:marTop w:val="0"/>
          <w:marBottom w:val="0"/>
          <w:divBdr>
            <w:top w:val="none" w:sz="0" w:space="0" w:color="auto"/>
            <w:left w:val="none" w:sz="0" w:space="0" w:color="auto"/>
            <w:bottom w:val="none" w:sz="0" w:space="0" w:color="auto"/>
            <w:right w:val="none" w:sz="0" w:space="0" w:color="auto"/>
          </w:divBdr>
          <w:divsChild>
            <w:div w:id="1367294228">
              <w:marLeft w:val="0"/>
              <w:marRight w:val="0"/>
              <w:marTop w:val="0"/>
              <w:marBottom w:val="0"/>
              <w:divBdr>
                <w:top w:val="none" w:sz="0" w:space="0" w:color="auto"/>
                <w:left w:val="none" w:sz="0" w:space="0" w:color="auto"/>
                <w:bottom w:val="none" w:sz="0" w:space="0" w:color="auto"/>
                <w:right w:val="none" w:sz="0" w:space="0" w:color="auto"/>
              </w:divBdr>
            </w:div>
          </w:divsChild>
        </w:div>
        <w:div w:id="785586990">
          <w:marLeft w:val="0"/>
          <w:marRight w:val="0"/>
          <w:marTop w:val="0"/>
          <w:marBottom w:val="0"/>
          <w:divBdr>
            <w:top w:val="none" w:sz="0" w:space="0" w:color="auto"/>
            <w:left w:val="none" w:sz="0" w:space="0" w:color="auto"/>
            <w:bottom w:val="none" w:sz="0" w:space="0" w:color="auto"/>
            <w:right w:val="none" w:sz="0" w:space="0" w:color="auto"/>
          </w:divBdr>
          <w:divsChild>
            <w:div w:id="459422372">
              <w:marLeft w:val="0"/>
              <w:marRight w:val="0"/>
              <w:marTop w:val="0"/>
              <w:marBottom w:val="0"/>
              <w:divBdr>
                <w:top w:val="none" w:sz="0" w:space="0" w:color="auto"/>
                <w:left w:val="none" w:sz="0" w:space="0" w:color="auto"/>
                <w:bottom w:val="none" w:sz="0" w:space="0" w:color="auto"/>
                <w:right w:val="none" w:sz="0" w:space="0" w:color="auto"/>
              </w:divBdr>
            </w:div>
          </w:divsChild>
        </w:div>
        <w:div w:id="809173463">
          <w:marLeft w:val="0"/>
          <w:marRight w:val="0"/>
          <w:marTop w:val="0"/>
          <w:marBottom w:val="0"/>
          <w:divBdr>
            <w:top w:val="none" w:sz="0" w:space="0" w:color="auto"/>
            <w:left w:val="none" w:sz="0" w:space="0" w:color="auto"/>
            <w:bottom w:val="none" w:sz="0" w:space="0" w:color="auto"/>
            <w:right w:val="none" w:sz="0" w:space="0" w:color="auto"/>
          </w:divBdr>
          <w:divsChild>
            <w:div w:id="1129590672">
              <w:marLeft w:val="0"/>
              <w:marRight w:val="0"/>
              <w:marTop w:val="0"/>
              <w:marBottom w:val="0"/>
              <w:divBdr>
                <w:top w:val="none" w:sz="0" w:space="0" w:color="auto"/>
                <w:left w:val="none" w:sz="0" w:space="0" w:color="auto"/>
                <w:bottom w:val="none" w:sz="0" w:space="0" w:color="auto"/>
                <w:right w:val="none" w:sz="0" w:space="0" w:color="auto"/>
              </w:divBdr>
            </w:div>
          </w:divsChild>
        </w:div>
        <w:div w:id="829101719">
          <w:marLeft w:val="0"/>
          <w:marRight w:val="0"/>
          <w:marTop w:val="0"/>
          <w:marBottom w:val="0"/>
          <w:divBdr>
            <w:top w:val="none" w:sz="0" w:space="0" w:color="auto"/>
            <w:left w:val="none" w:sz="0" w:space="0" w:color="auto"/>
            <w:bottom w:val="none" w:sz="0" w:space="0" w:color="auto"/>
            <w:right w:val="none" w:sz="0" w:space="0" w:color="auto"/>
          </w:divBdr>
          <w:divsChild>
            <w:div w:id="80878315">
              <w:marLeft w:val="0"/>
              <w:marRight w:val="0"/>
              <w:marTop w:val="0"/>
              <w:marBottom w:val="0"/>
              <w:divBdr>
                <w:top w:val="none" w:sz="0" w:space="0" w:color="auto"/>
                <w:left w:val="none" w:sz="0" w:space="0" w:color="auto"/>
                <w:bottom w:val="none" w:sz="0" w:space="0" w:color="auto"/>
                <w:right w:val="none" w:sz="0" w:space="0" w:color="auto"/>
              </w:divBdr>
            </w:div>
            <w:div w:id="778989584">
              <w:marLeft w:val="0"/>
              <w:marRight w:val="0"/>
              <w:marTop w:val="0"/>
              <w:marBottom w:val="0"/>
              <w:divBdr>
                <w:top w:val="none" w:sz="0" w:space="0" w:color="auto"/>
                <w:left w:val="none" w:sz="0" w:space="0" w:color="auto"/>
                <w:bottom w:val="none" w:sz="0" w:space="0" w:color="auto"/>
                <w:right w:val="none" w:sz="0" w:space="0" w:color="auto"/>
              </w:divBdr>
            </w:div>
          </w:divsChild>
        </w:div>
        <w:div w:id="843400159">
          <w:marLeft w:val="0"/>
          <w:marRight w:val="0"/>
          <w:marTop w:val="0"/>
          <w:marBottom w:val="0"/>
          <w:divBdr>
            <w:top w:val="none" w:sz="0" w:space="0" w:color="auto"/>
            <w:left w:val="none" w:sz="0" w:space="0" w:color="auto"/>
            <w:bottom w:val="none" w:sz="0" w:space="0" w:color="auto"/>
            <w:right w:val="none" w:sz="0" w:space="0" w:color="auto"/>
          </w:divBdr>
          <w:divsChild>
            <w:div w:id="1332835758">
              <w:marLeft w:val="0"/>
              <w:marRight w:val="0"/>
              <w:marTop w:val="0"/>
              <w:marBottom w:val="0"/>
              <w:divBdr>
                <w:top w:val="none" w:sz="0" w:space="0" w:color="auto"/>
                <w:left w:val="none" w:sz="0" w:space="0" w:color="auto"/>
                <w:bottom w:val="none" w:sz="0" w:space="0" w:color="auto"/>
                <w:right w:val="none" w:sz="0" w:space="0" w:color="auto"/>
              </w:divBdr>
            </w:div>
          </w:divsChild>
        </w:div>
        <w:div w:id="884411948">
          <w:marLeft w:val="0"/>
          <w:marRight w:val="0"/>
          <w:marTop w:val="0"/>
          <w:marBottom w:val="0"/>
          <w:divBdr>
            <w:top w:val="none" w:sz="0" w:space="0" w:color="auto"/>
            <w:left w:val="none" w:sz="0" w:space="0" w:color="auto"/>
            <w:bottom w:val="none" w:sz="0" w:space="0" w:color="auto"/>
            <w:right w:val="none" w:sz="0" w:space="0" w:color="auto"/>
          </w:divBdr>
          <w:divsChild>
            <w:div w:id="127824879">
              <w:marLeft w:val="0"/>
              <w:marRight w:val="0"/>
              <w:marTop w:val="0"/>
              <w:marBottom w:val="0"/>
              <w:divBdr>
                <w:top w:val="none" w:sz="0" w:space="0" w:color="auto"/>
                <w:left w:val="none" w:sz="0" w:space="0" w:color="auto"/>
                <w:bottom w:val="none" w:sz="0" w:space="0" w:color="auto"/>
                <w:right w:val="none" w:sz="0" w:space="0" w:color="auto"/>
              </w:divBdr>
            </w:div>
          </w:divsChild>
        </w:div>
        <w:div w:id="887454904">
          <w:marLeft w:val="0"/>
          <w:marRight w:val="0"/>
          <w:marTop w:val="0"/>
          <w:marBottom w:val="0"/>
          <w:divBdr>
            <w:top w:val="none" w:sz="0" w:space="0" w:color="auto"/>
            <w:left w:val="none" w:sz="0" w:space="0" w:color="auto"/>
            <w:bottom w:val="none" w:sz="0" w:space="0" w:color="auto"/>
            <w:right w:val="none" w:sz="0" w:space="0" w:color="auto"/>
          </w:divBdr>
          <w:divsChild>
            <w:div w:id="1497304226">
              <w:marLeft w:val="0"/>
              <w:marRight w:val="0"/>
              <w:marTop w:val="0"/>
              <w:marBottom w:val="0"/>
              <w:divBdr>
                <w:top w:val="none" w:sz="0" w:space="0" w:color="auto"/>
                <w:left w:val="none" w:sz="0" w:space="0" w:color="auto"/>
                <w:bottom w:val="none" w:sz="0" w:space="0" w:color="auto"/>
                <w:right w:val="none" w:sz="0" w:space="0" w:color="auto"/>
              </w:divBdr>
            </w:div>
          </w:divsChild>
        </w:div>
        <w:div w:id="900288500">
          <w:marLeft w:val="0"/>
          <w:marRight w:val="0"/>
          <w:marTop w:val="0"/>
          <w:marBottom w:val="0"/>
          <w:divBdr>
            <w:top w:val="none" w:sz="0" w:space="0" w:color="auto"/>
            <w:left w:val="none" w:sz="0" w:space="0" w:color="auto"/>
            <w:bottom w:val="none" w:sz="0" w:space="0" w:color="auto"/>
            <w:right w:val="none" w:sz="0" w:space="0" w:color="auto"/>
          </w:divBdr>
          <w:divsChild>
            <w:div w:id="46882724">
              <w:marLeft w:val="0"/>
              <w:marRight w:val="0"/>
              <w:marTop w:val="0"/>
              <w:marBottom w:val="0"/>
              <w:divBdr>
                <w:top w:val="none" w:sz="0" w:space="0" w:color="auto"/>
                <w:left w:val="none" w:sz="0" w:space="0" w:color="auto"/>
                <w:bottom w:val="none" w:sz="0" w:space="0" w:color="auto"/>
                <w:right w:val="none" w:sz="0" w:space="0" w:color="auto"/>
              </w:divBdr>
            </w:div>
          </w:divsChild>
        </w:div>
        <w:div w:id="912618876">
          <w:marLeft w:val="0"/>
          <w:marRight w:val="0"/>
          <w:marTop w:val="0"/>
          <w:marBottom w:val="0"/>
          <w:divBdr>
            <w:top w:val="none" w:sz="0" w:space="0" w:color="auto"/>
            <w:left w:val="none" w:sz="0" w:space="0" w:color="auto"/>
            <w:bottom w:val="none" w:sz="0" w:space="0" w:color="auto"/>
            <w:right w:val="none" w:sz="0" w:space="0" w:color="auto"/>
          </w:divBdr>
          <w:divsChild>
            <w:div w:id="648171257">
              <w:marLeft w:val="0"/>
              <w:marRight w:val="0"/>
              <w:marTop w:val="0"/>
              <w:marBottom w:val="0"/>
              <w:divBdr>
                <w:top w:val="none" w:sz="0" w:space="0" w:color="auto"/>
                <w:left w:val="none" w:sz="0" w:space="0" w:color="auto"/>
                <w:bottom w:val="none" w:sz="0" w:space="0" w:color="auto"/>
                <w:right w:val="none" w:sz="0" w:space="0" w:color="auto"/>
              </w:divBdr>
            </w:div>
          </w:divsChild>
        </w:div>
        <w:div w:id="919750868">
          <w:marLeft w:val="0"/>
          <w:marRight w:val="0"/>
          <w:marTop w:val="0"/>
          <w:marBottom w:val="0"/>
          <w:divBdr>
            <w:top w:val="none" w:sz="0" w:space="0" w:color="auto"/>
            <w:left w:val="none" w:sz="0" w:space="0" w:color="auto"/>
            <w:bottom w:val="none" w:sz="0" w:space="0" w:color="auto"/>
            <w:right w:val="none" w:sz="0" w:space="0" w:color="auto"/>
          </w:divBdr>
          <w:divsChild>
            <w:div w:id="596863261">
              <w:marLeft w:val="0"/>
              <w:marRight w:val="0"/>
              <w:marTop w:val="0"/>
              <w:marBottom w:val="0"/>
              <w:divBdr>
                <w:top w:val="none" w:sz="0" w:space="0" w:color="auto"/>
                <w:left w:val="none" w:sz="0" w:space="0" w:color="auto"/>
                <w:bottom w:val="none" w:sz="0" w:space="0" w:color="auto"/>
                <w:right w:val="none" w:sz="0" w:space="0" w:color="auto"/>
              </w:divBdr>
            </w:div>
          </w:divsChild>
        </w:div>
        <w:div w:id="944505910">
          <w:marLeft w:val="0"/>
          <w:marRight w:val="0"/>
          <w:marTop w:val="0"/>
          <w:marBottom w:val="0"/>
          <w:divBdr>
            <w:top w:val="none" w:sz="0" w:space="0" w:color="auto"/>
            <w:left w:val="none" w:sz="0" w:space="0" w:color="auto"/>
            <w:bottom w:val="none" w:sz="0" w:space="0" w:color="auto"/>
            <w:right w:val="none" w:sz="0" w:space="0" w:color="auto"/>
          </w:divBdr>
          <w:divsChild>
            <w:div w:id="1339042133">
              <w:marLeft w:val="0"/>
              <w:marRight w:val="0"/>
              <w:marTop w:val="0"/>
              <w:marBottom w:val="0"/>
              <w:divBdr>
                <w:top w:val="none" w:sz="0" w:space="0" w:color="auto"/>
                <w:left w:val="none" w:sz="0" w:space="0" w:color="auto"/>
                <w:bottom w:val="none" w:sz="0" w:space="0" w:color="auto"/>
                <w:right w:val="none" w:sz="0" w:space="0" w:color="auto"/>
              </w:divBdr>
            </w:div>
          </w:divsChild>
        </w:div>
        <w:div w:id="944575037">
          <w:marLeft w:val="0"/>
          <w:marRight w:val="0"/>
          <w:marTop w:val="0"/>
          <w:marBottom w:val="0"/>
          <w:divBdr>
            <w:top w:val="none" w:sz="0" w:space="0" w:color="auto"/>
            <w:left w:val="none" w:sz="0" w:space="0" w:color="auto"/>
            <w:bottom w:val="none" w:sz="0" w:space="0" w:color="auto"/>
            <w:right w:val="none" w:sz="0" w:space="0" w:color="auto"/>
          </w:divBdr>
          <w:divsChild>
            <w:div w:id="1141966209">
              <w:marLeft w:val="0"/>
              <w:marRight w:val="0"/>
              <w:marTop w:val="0"/>
              <w:marBottom w:val="0"/>
              <w:divBdr>
                <w:top w:val="none" w:sz="0" w:space="0" w:color="auto"/>
                <w:left w:val="none" w:sz="0" w:space="0" w:color="auto"/>
                <w:bottom w:val="none" w:sz="0" w:space="0" w:color="auto"/>
                <w:right w:val="none" w:sz="0" w:space="0" w:color="auto"/>
              </w:divBdr>
            </w:div>
          </w:divsChild>
        </w:div>
        <w:div w:id="962417241">
          <w:marLeft w:val="0"/>
          <w:marRight w:val="0"/>
          <w:marTop w:val="0"/>
          <w:marBottom w:val="0"/>
          <w:divBdr>
            <w:top w:val="none" w:sz="0" w:space="0" w:color="auto"/>
            <w:left w:val="none" w:sz="0" w:space="0" w:color="auto"/>
            <w:bottom w:val="none" w:sz="0" w:space="0" w:color="auto"/>
            <w:right w:val="none" w:sz="0" w:space="0" w:color="auto"/>
          </w:divBdr>
          <w:divsChild>
            <w:div w:id="704718312">
              <w:marLeft w:val="0"/>
              <w:marRight w:val="0"/>
              <w:marTop w:val="0"/>
              <w:marBottom w:val="0"/>
              <w:divBdr>
                <w:top w:val="none" w:sz="0" w:space="0" w:color="auto"/>
                <w:left w:val="none" w:sz="0" w:space="0" w:color="auto"/>
                <w:bottom w:val="none" w:sz="0" w:space="0" w:color="auto"/>
                <w:right w:val="none" w:sz="0" w:space="0" w:color="auto"/>
              </w:divBdr>
            </w:div>
          </w:divsChild>
        </w:div>
        <w:div w:id="972370005">
          <w:marLeft w:val="0"/>
          <w:marRight w:val="0"/>
          <w:marTop w:val="0"/>
          <w:marBottom w:val="0"/>
          <w:divBdr>
            <w:top w:val="none" w:sz="0" w:space="0" w:color="auto"/>
            <w:left w:val="none" w:sz="0" w:space="0" w:color="auto"/>
            <w:bottom w:val="none" w:sz="0" w:space="0" w:color="auto"/>
            <w:right w:val="none" w:sz="0" w:space="0" w:color="auto"/>
          </w:divBdr>
          <w:divsChild>
            <w:div w:id="1935749989">
              <w:marLeft w:val="0"/>
              <w:marRight w:val="0"/>
              <w:marTop w:val="0"/>
              <w:marBottom w:val="0"/>
              <w:divBdr>
                <w:top w:val="none" w:sz="0" w:space="0" w:color="auto"/>
                <w:left w:val="none" w:sz="0" w:space="0" w:color="auto"/>
                <w:bottom w:val="none" w:sz="0" w:space="0" w:color="auto"/>
                <w:right w:val="none" w:sz="0" w:space="0" w:color="auto"/>
              </w:divBdr>
            </w:div>
          </w:divsChild>
        </w:div>
        <w:div w:id="996104607">
          <w:marLeft w:val="0"/>
          <w:marRight w:val="0"/>
          <w:marTop w:val="0"/>
          <w:marBottom w:val="0"/>
          <w:divBdr>
            <w:top w:val="none" w:sz="0" w:space="0" w:color="auto"/>
            <w:left w:val="none" w:sz="0" w:space="0" w:color="auto"/>
            <w:bottom w:val="none" w:sz="0" w:space="0" w:color="auto"/>
            <w:right w:val="none" w:sz="0" w:space="0" w:color="auto"/>
          </w:divBdr>
          <w:divsChild>
            <w:div w:id="2079863690">
              <w:marLeft w:val="0"/>
              <w:marRight w:val="0"/>
              <w:marTop w:val="0"/>
              <w:marBottom w:val="0"/>
              <w:divBdr>
                <w:top w:val="none" w:sz="0" w:space="0" w:color="auto"/>
                <w:left w:val="none" w:sz="0" w:space="0" w:color="auto"/>
                <w:bottom w:val="none" w:sz="0" w:space="0" w:color="auto"/>
                <w:right w:val="none" w:sz="0" w:space="0" w:color="auto"/>
              </w:divBdr>
            </w:div>
          </w:divsChild>
        </w:div>
        <w:div w:id="1002465673">
          <w:marLeft w:val="0"/>
          <w:marRight w:val="0"/>
          <w:marTop w:val="0"/>
          <w:marBottom w:val="0"/>
          <w:divBdr>
            <w:top w:val="none" w:sz="0" w:space="0" w:color="auto"/>
            <w:left w:val="none" w:sz="0" w:space="0" w:color="auto"/>
            <w:bottom w:val="none" w:sz="0" w:space="0" w:color="auto"/>
            <w:right w:val="none" w:sz="0" w:space="0" w:color="auto"/>
          </w:divBdr>
          <w:divsChild>
            <w:div w:id="1046568478">
              <w:marLeft w:val="0"/>
              <w:marRight w:val="0"/>
              <w:marTop w:val="0"/>
              <w:marBottom w:val="0"/>
              <w:divBdr>
                <w:top w:val="none" w:sz="0" w:space="0" w:color="auto"/>
                <w:left w:val="none" w:sz="0" w:space="0" w:color="auto"/>
                <w:bottom w:val="none" w:sz="0" w:space="0" w:color="auto"/>
                <w:right w:val="none" w:sz="0" w:space="0" w:color="auto"/>
              </w:divBdr>
            </w:div>
          </w:divsChild>
        </w:div>
        <w:div w:id="1007756807">
          <w:marLeft w:val="0"/>
          <w:marRight w:val="0"/>
          <w:marTop w:val="0"/>
          <w:marBottom w:val="0"/>
          <w:divBdr>
            <w:top w:val="none" w:sz="0" w:space="0" w:color="auto"/>
            <w:left w:val="none" w:sz="0" w:space="0" w:color="auto"/>
            <w:bottom w:val="none" w:sz="0" w:space="0" w:color="auto"/>
            <w:right w:val="none" w:sz="0" w:space="0" w:color="auto"/>
          </w:divBdr>
          <w:divsChild>
            <w:div w:id="1580560276">
              <w:marLeft w:val="0"/>
              <w:marRight w:val="0"/>
              <w:marTop w:val="0"/>
              <w:marBottom w:val="0"/>
              <w:divBdr>
                <w:top w:val="none" w:sz="0" w:space="0" w:color="auto"/>
                <w:left w:val="none" w:sz="0" w:space="0" w:color="auto"/>
                <w:bottom w:val="none" w:sz="0" w:space="0" w:color="auto"/>
                <w:right w:val="none" w:sz="0" w:space="0" w:color="auto"/>
              </w:divBdr>
            </w:div>
          </w:divsChild>
        </w:div>
        <w:div w:id="1025445006">
          <w:marLeft w:val="0"/>
          <w:marRight w:val="0"/>
          <w:marTop w:val="0"/>
          <w:marBottom w:val="0"/>
          <w:divBdr>
            <w:top w:val="none" w:sz="0" w:space="0" w:color="auto"/>
            <w:left w:val="none" w:sz="0" w:space="0" w:color="auto"/>
            <w:bottom w:val="none" w:sz="0" w:space="0" w:color="auto"/>
            <w:right w:val="none" w:sz="0" w:space="0" w:color="auto"/>
          </w:divBdr>
          <w:divsChild>
            <w:div w:id="1908877346">
              <w:marLeft w:val="0"/>
              <w:marRight w:val="0"/>
              <w:marTop w:val="0"/>
              <w:marBottom w:val="0"/>
              <w:divBdr>
                <w:top w:val="none" w:sz="0" w:space="0" w:color="auto"/>
                <w:left w:val="none" w:sz="0" w:space="0" w:color="auto"/>
                <w:bottom w:val="none" w:sz="0" w:space="0" w:color="auto"/>
                <w:right w:val="none" w:sz="0" w:space="0" w:color="auto"/>
              </w:divBdr>
            </w:div>
          </w:divsChild>
        </w:div>
        <w:div w:id="1058940722">
          <w:marLeft w:val="0"/>
          <w:marRight w:val="0"/>
          <w:marTop w:val="0"/>
          <w:marBottom w:val="0"/>
          <w:divBdr>
            <w:top w:val="none" w:sz="0" w:space="0" w:color="auto"/>
            <w:left w:val="none" w:sz="0" w:space="0" w:color="auto"/>
            <w:bottom w:val="none" w:sz="0" w:space="0" w:color="auto"/>
            <w:right w:val="none" w:sz="0" w:space="0" w:color="auto"/>
          </w:divBdr>
          <w:divsChild>
            <w:div w:id="221213285">
              <w:marLeft w:val="0"/>
              <w:marRight w:val="0"/>
              <w:marTop w:val="0"/>
              <w:marBottom w:val="0"/>
              <w:divBdr>
                <w:top w:val="none" w:sz="0" w:space="0" w:color="auto"/>
                <w:left w:val="none" w:sz="0" w:space="0" w:color="auto"/>
                <w:bottom w:val="none" w:sz="0" w:space="0" w:color="auto"/>
                <w:right w:val="none" w:sz="0" w:space="0" w:color="auto"/>
              </w:divBdr>
            </w:div>
          </w:divsChild>
        </w:div>
        <w:div w:id="1062289753">
          <w:marLeft w:val="0"/>
          <w:marRight w:val="0"/>
          <w:marTop w:val="0"/>
          <w:marBottom w:val="0"/>
          <w:divBdr>
            <w:top w:val="none" w:sz="0" w:space="0" w:color="auto"/>
            <w:left w:val="none" w:sz="0" w:space="0" w:color="auto"/>
            <w:bottom w:val="none" w:sz="0" w:space="0" w:color="auto"/>
            <w:right w:val="none" w:sz="0" w:space="0" w:color="auto"/>
          </w:divBdr>
          <w:divsChild>
            <w:div w:id="1332444224">
              <w:marLeft w:val="0"/>
              <w:marRight w:val="0"/>
              <w:marTop w:val="0"/>
              <w:marBottom w:val="0"/>
              <w:divBdr>
                <w:top w:val="none" w:sz="0" w:space="0" w:color="auto"/>
                <w:left w:val="none" w:sz="0" w:space="0" w:color="auto"/>
                <w:bottom w:val="none" w:sz="0" w:space="0" w:color="auto"/>
                <w:right w:val="none" w:sz="0" w:space="0" w:color="auto"/>
              </w:divBdr>
            </w:div>
          </w:divsChild>
        </w:div>
        <w:div w:id="1066225637">
          <w:marLeft w:val="0"/>
          <w:marRight w:val="0"/>
          <w:marTop w:val="0"/>
          <w:marBottom w:val="0"/>
          <w:divBdr>
            <w:top w:val="none" w:sz="0" w:space="0" w:color="auto"/>
            <w:left w:val="none" w:sz="0" w:space="0" w:color="auto"/>
            <w:bottom w:val="none" w:sz="0" w:space="0" w:color="auto"/>
            <w:right w:val="none" w:sz="0" w:space="0" w:color="auto"/>
          </w:divBdr>
          <w:divsChild>
            <w:div w:id="1397557417">
              <w:marLeft w:val="0"/>
              <w:marRight w:val="0"/>
              <w:marTop w:val="0"/>
              <w:marBottom w:val="0"/>
              <w:divBdr>
                <w:top w:val="none" w:sz="0" w:space="0" w:color="auto"/>
                <w:left w:val="none" w:sz="0" w:space="0" w:color="auto"/>
                <w:bottom w:val="none" w:sz="0" w:space="0" w:color="auto"/>
                <w:right w:val="none" w:sz="0" w:space="0" w:color="auto"/>
              </w:divBdr>
            </w:div>
          </w:divsChild>
        </w:div>
        <w:div w:id="1068386488">
          <w:marLeft w:val="0"/>
          <w:marRight w:val="0"/>
          <w:marTop w:val="0"/>
          <w:marBottom w:val="0"/>
          <w:divBdr>
            <w:top w:val="none" w:sz="0" w:space="0" w:color="auto"/>
            <w:left w:val="none" w:sz="0" w:space="0" w:color="auto"/>
            <w:bottom w:val="none" w:sz="0" w:space="0" w:color="auto"/>
            <w:right w:val="none" w:sz="0" w:space="0" w:color="auto"/>
          </w:divBdr>
          <w:divsChild>
            <w:div w:id="308436119">
              <w:marLeft w:val="0"/>
              <w:marRight w:val="0"/>
              <w:marTop w:val="0"/>
              <w:marBottom w:val="0"/>
              <w:divBdr>
                <w:top w:val="none" w:sz="0" w:space="0" w:color="auto"/>
                <w:left w:val="none" w:sz="0" w:space="0" w:color="auto"/>
                <w:bottom w:val="none" w:sz="0" w:space="0" w:color="auto"/>
                <w:right w:val="none" w:sz="0" w:space="0" w:color="auto"/>
              </w:divBdr>
            </w:div>
          </w:divsChild>
        </w:div>
        <w:div w:id="1144391117">
          <w:marLeft w:val="0"/>
          <w:marRight w:val="0"/>
          <w:marTop w:val="0"/>
          <w:marBottom w:val="0"/>
          <w:divBdr>
            <w:top w:val="none" w:sz="0" w:space="0" w:color="auto"/>
            <w:left w:val="none" w:sz="0" w:space="0" w:color="auto"/>
            <w:bottom w:val="none" w:sz="0" w:space="0" w:color="auto"/>
            <w:right w:val="none" w:sz="0" w:space="0" w:color="auto"/>
          </w:divBdr>
          <w:divsChild>
            <w:div w:id="1861502045">
              <w:marLeft w:val="0"/>
              <w:marRight w:val="0"/>
              <w:marTop w:val="0"/>
              <w:marBottom w:val="0"/>
              <w:divBdr>
                <w:top w:val="none" w:sz="0" w:space="0" w:color="auto"/>
                <w:left w:val="none" w:sz="0" w:space="0" w:color="auto"/>
                <w:bottom w:val="none" w:sz="0" w:space="0" w:color="auto"/>
                <w:right w:val="none" w:sz="0" w:space="0" w:color="auto"/>
              </w:divBdr>
            </w:div>
          </w:divsChild>
        </w:div>
        <w:div w:id="1149789762">
          <w:marLeft w:val="0"/>
          <w:marRight w:val="0"/>
          <w:marTop w:val="0"/>
          <w:marBottom w:val="0"/>
          <w:divBdr>
            <w:top w:val="none" w:sz="0" w:space="0" w:color="auto"/>
            <w:left w:val="none" w:sz="0" w:space="0" w:color="auto"/>
            <w:bottom w:val="none" w:sz="0" w:space="0" w:color="auto"/>
            <w:right w:val="none" w:sz="0" w:space="0" w:color="auto"/>
          </w:divBdr>
          <w:divsChild>
            <w:div w:id="1110125022">
              <w:marLeft w:val="0"/>
              <w:marRight w:val="0"/>
              <w:marTop w:val="0"/>
              <w:marBottom w:val="0"/>
              <w:divBdr>
                <w:top w:val="none" w:sz="0" w:space="0" w:color="auto"/>
                <w:left w:val="none" w:sz="0" w:space="0" w:color="auto"/>
                <w:bottom w:val="none" w:sz="0" w:space="0" w:color="auto"/>
                <w:right w:val="none" w:sz="0" w:space="0" w:color="auto"/>
              </w:divBdr>
            </w:div>
          </w:divsChild>
        </w:div>
        <w:div w:id="1159150100">
          <w:marLeft w:val="0"/>
          <w:marRight w:val="0"/>
          <w:marTop w:val="0"/>
          <w:marBottom w:val="0"/>
          <w:divBdr>
            <w:top w:val="none" w:sz="0" w:space="0" w:color="auto"/>
            <w:left w:val="none" w:sz="0" w:space="0" w:color="auto"/>
            <w:bottom w:val="none" w:sz="0" w:space="0" w:color="auto"/>
            <w:right w:val="none" w:sz="0" w:space="0" w:color="auto"/>
          </w:divBdr>
          <w:divsChild>
            <w:div w:id="893467617">
              <w:marLeft w:val="0"/>
              <w:marRight w:val="0"/>
              <w:marTop w:val="0"/>
              <w:marBottom w:val="0"/>
              <w:divBdr>
                <w:top w:val="none" w:sz="0" w:space="0" w:color="auto"/>
                <w:left w:val="none" w:sz="0" w:space="0" w:color="auto"/>
                <w:bottom w:val="none" w:sz="0" w:space="0" w:color="auto"/>
                <w:right w:val="none" w:sz="0" w:space="0" w:color="auto"/>
              </w:divBdr>
            </w:div>
          </w:divsChild>
        </w:div>
        <w:div w:id="1168710785">
          <w:marLeft w:val="0"/>
          <w:marRight w:val="0"/>
          <w:marTop w:val="0"/>
          <w:marBottom w:val="0"/>
          <w:divBdr>
            <w:top w:val="none" w:sz="0" w:space="0" w:color="auto"/>
            <w:left w:val="none" w:sz="0" w:space="0" w:color="auto"/>
            <w:bottom w:val="none" w:sz="0" w:space="0" w:color="auto"/>
            <w:right w:val="none" w:sz="0" w:space="0" w:color="auto"/>
          </w:divBdr>
          <w:divsChild>
            <w:div w:id="778909138">
              <w:marLeft w:val="0"/>
              <w:marRight w:val="0"/>
              <w:marTop w:val="0"/>
              <w:marBottom w:val="0"/>
              <w:divBdr>
                <w:top w:val="none" w:sz="0" w:space="0" w:color="auto"/>
                <w:left w:val="none" w:sz="0" w:space="0" w:color="auto"/>
                <w:bottom w:val="none" w:sz="0" w:space="0" w:color="auto"/>
                <w:right w:val="none" w:sz="0" w:space="0" w:color="auto"/>
              </w:divBdr>
            </w:div>
          </w:divsChild>
        </w:div>
        <w:div w:id="1193610372">
          <w:marLeft w:val="0"/>
          <w:marRight w:val="0"/>
          <w:marTop w:val="0"/>
          <w:marBottom w:val="0"/>
          <w:divBdr>
            <w:top w:val="none" w:sz="0" w:space="0" w:color="auto"/>
            <w:left w:val="none" w:sz="0" w:space="0" w:color="auto"/>
            <w:bottom w:val="none" w:sz="0" w:space="0" w:color="auto"/>
            <w:right w:val="none" w:sz="0" w:space="0" w:color="auto"/>
          </w:divBdr>
          <w:divsChild>
            <w:div w:id="1690180371">
              <w:marLeft w:val="0"/>
              <w:marRight w:val="0"/>
              <w:marTop w:val="0"/>
              <w:marBottom w:val="0"/>
              <w:divBdr>
                <w:top w:val="none" w:sz="0" w:space="0" w:color="auto"/>
                <w:left w:val="none" w:sz="0" w:space="0" w:color="auto"/>
                <w:bottom w:val="none" w:sz="0" w:space="0" w:color="auto"/>
                <w:right w:val="none" w:sz="0" w:space="0" w:color="auto"/>
              </w:divBdr>
            </w:div>
          </w:divsChild>
        </w:div>
        <w:div w:id="1204754815">
          <w:marLeft w:val="0"/>
          <w:marRight w:val="0"/>
          <w:marTop w:val="0"/>
          <w:marBottom w:val="0"/>
          <w:divBdr>
            <w:top w:val="none" w:sz="0" w:space="0" w:color="auto"/>
            <w:left w:val="none" w:sz="0" w:space="0" w:color="auto"/>
            <w:bottom w:val="none" w:sz="0" w:space="0" w:color="auto"/>
            <w:right w:val="none" w:sz="0" w:space="0" w:color="auto"/>
          </w:divBdr>
          <w:divsChild>
            <w:div w:id="1204437949">
              <w:marLeft w:val="0"/>
              <w:marRight w:val="0"/>
              <w:marTop w:val="0"/>
              <w:marBottom w:val="0"/>
              <w:divBdr>
                <w:top w:val="none" w:sz="0" w:space="0" w:color="auto"/>
                <w:left w:val="none" w:sz="0" w:space="0" w:color="auto"/>
                <w:bottom w:val="none" w:sz="0" w:space="0" w:color="auto"/>
                <w:right w:val="none" w:sz="0" w:space="0" w:color="auto"/>
              </w:divBdr>
            </w:div>
          </w:divsChild>
        </w:div>
        <w:div w:id="1216964663">
          <w:marLeft w:val="0"/>
          <w:marRight w:val="0"/>
          <w:marTop w:val="0"/>
          <w:marBottom w:val="0"/>
          <w:divBdr>
            <w:top w:val="none" w:sz="0" w:space="0" w:color="auto"/>
            <w:left w:val="none" w:sz="0" w:space="0" w:color="auto"/>
            <w:bottom w:val="none" w:sz="0" w:space="0" w:color="auto"/>
            <w:right w:val="none" w:sz="0" w:space="0" w:color="auto"/>
          </w:divBdr>
          <w:divsChild>
            <w:div w:id="1597012472">
              <w:marLeft w:val="0"/>
              <w:marRight w:val="0"/>
              <w:marTop w:val="0"/>
              <w:marBottom w:val="0"/>
              <w:divBdr>
                <w:top w:val="none" w:sz="0" w:space="0" w:color="auto"/>
                <w:left w:val="none" w:sz="0" w:space="0" w:color="auto"/>
                <w:bottom w:val="none" w:sz="0" w:space="0" w:color="auto"/>
                <w:right w:val="none" w:sz="0" w:space="0" w:color="auto"/>
              </w:divBdr>
            </w:div>
          </w:divsChild>
        </w:div>
        <w:div w:id="1238706299">
          <w:marLeft w:val="0"/>
          <w:marRight w:val="0"/>
          <w:marTop w:val="0"/>
          <w:marBottom w:val="0"/>
          <w:divBdr>
            <w:top w:val="none" w:sz="0" w:space="0" w:color="auto"/>
            <w:left w:val="none" w:sz="0" w:space="0" w:color="auto"/>
            <w:bottom w:val="none" w:sz="0" w:space="0" w:color="auto"/>
            <w:right w:val="none" w:sz="0" w:space="0" w:color="auto"/>
          </w:divBdr>
          <w:divsChild>
            <w:div w:id="457841781">
              <w:marLeft w:val="0"/>
              <w:marRight w:val="0"/>
              <w:marTop w:val="0"/>
              <w:marBottom w:val="0"/>
              <w:divBdr>
                <w:top w:val="none" w:sz="0" w:space="0" w:color="auto"/>
                <w:left w:val="none" w:sz="0" w:space="0" w:color="auto"/>
                <w:bottom w:val="none" w:sz="0" w:space="0" w:color="auto"/>
                <w:right w:val="none" w:sz="0" w:space="0" w:color="auto"/>
              </w:divBdr>
            </w:div>
          </w:divsChild>
        </w:div>
        <w:div w:id="1239553567">
          <w:marLeft w:val="0"/>
          <w:marRight w:val="0"/>
          <w:marTop w:val="0"/>
          <w:marBottom w:val="0"/>
          <w:divBdr>
            <w:top w:val="none" w:sz="0" w:space="0" w:color="auto"/>
            <w:left w:val="none" w:sz="0" w:space="0" w:color="auto"/>
            <w:bottom w:val="none" w:sz="0" w:space="0" w:color="auto"/>
            <w:right w:val="none" w:sz="0" w:space="0" w:color="auto"/>
          </w:divBdr>
          <w:divsChild>
            <w:div w:id="1651903140">
              <w:marLeft w:val="0"/>
              <w:marRight w:val="0"/>
              <w:marTop w:val="0"/>
              <w:marBottom w:val="0"/>
              <w:divBdr>
                <w:top w:val="none" w:sz="0" w:space="0" w:color="auto"/>
                <w:left w:val="none" w:sz="0" w:space="0" w:color="auto"/>
                <w:bottom w:val="none" w:sz="0" w:space="0" w:color="auto"/>
                <w:right w:val="none" w:sz="0" w:space="0" w:color="auto"/>
              </w:divBdr>
            </w:div>
          </w:divsChild>
        </w:div>
        <w:div w:id="1253315543">
          <w:marLeft w:val="0"/>
          <w:marRight w:val="0"/>
          <w:marTop w:val="0"/>
          <w:marBottom w:val="0"/>
          <w:divBdr>
            <w:top w:val="none" w:sz="0" w:space="0" w:color="auto"/>
            <w:left w:val="none" w:sz="0" w:space="0" w:color="auto"/>
            <w:bottom w:val="none" w:sz="0" w:space="0" w:color="auto"/>
            <w:right w:val="none" w:sz="0" w:space="0" w:color="auto"/>
          </w:divBdr>
          <w:divsChild>
            <w:div w:id="136843794">
              <w:marLeft w:val="0"/>
              <w:marRight w:val="0"/>
              <w:marTop w:val="0"/>
              <w:marBottom w:val="0"/>
              <w:divBdr>
                <w:top w:val="none" w:sz="0" w:space="0" w:color="auto"/>
                <w:left w:val="none" w:sz="0" w:space="0" w:color="auto"/>
                <w:bottom w:val="none" w:sz="0" w:space="0" w:color="auto"/>
                <w:right w:val="none" w:sz="0" w:space="0" w:color="auto"/>
              </w:divBdr>
            </w:div>
          </w:divsChild>
        </w:div>
        <w:div w:id="1262686741">
          <w:marLeft w:val="0"/>
          <w:marRight w:val="0"/>
          <w:marTop w:val="0"/>
          <w:marBottom w:val="0"/>
          <w:divBdr>
            <w:top w:val="none" w:sz="0" w:space="0" w:color="auto"/>
            <w:left w:val="none" w:sz="0" w:space="0" w:color="auto"/>
            <w:bottom w:val="none" w:sz="0" w:space="0" w:color="auto"/>
            <w:right w:val="none" w:sz="0" w:space="0" w:color="auto"/>
          </w:divBdr>
          <w:divsChild>
            <w:div w:id="1547445519">
              <w:marLeft w:val="0"/>
              <w:marRight w:val="0"/>
              <w:marTop w:val="0"/>
              <w:marBottom w:val="0"/>
              <w:divBdr>
                <w:top w:val="none" w:sz="0" w:space="0" w:color="auto"/>
                <w:left w:val="none" w:sz="0" w:space="0" w:color="auto"/>
                <w:bottom w:val="none" w:sz="0" w:space="0" w:color="auto"/>
                <w:right w:val="none" w:sz="0" w:space="0" w:color="auto"/>
              </w:divBdr>
            </w:div>
          </w:divsChild>
        </w:div>
        <w:div w:id="1267418920">
          <w:marLeft w:val="0"/>
          <w:marRight w:val="0"/>
          <w:marTop w:val="0"/>
          <w:marBottom w:val="0"/>
          <w:divBdr>
            <w:top w:val="none" w:sz="0" w:space="0" w:color="auto"/>
            <w:left w:val="none" w:sz="0" w:space="0" w:color="auto"/>
            <w:bottom w:val="none" w:sz="0" w:space="0" w:color="auto"/>
            <w:right w:val="none" w:sz="0" w:space="0" w:color="auto"/>
          </w:divBdr>
          <w:divsChild>
            <w:div w:id="16588901">
              <w:marLeft w:val="0"/>
              <w:marRight w:val="0"/>
              <w:marTop w:val="0"/>
              <w:marBottom w:val="0"/>
              <w:divBdr>
                <w:top w:val="none" w:sz="0" w:space="0" w:color="auto"/>
                <w:left w:val="none" w:sz="0" w:space="0" w:color="auto"/>
                <w:bottom w:val="none" w:sz="0" w:space="0" w:color="auto"/>
                <w:right w:val="none" w:sz="0" w:space="0" w:color="auto"/>
              </w:divBdr>
            </w:div>
          </w:divsChild>
        </w:div>
        <w:div w:id="1275746162">
          <w:marLeft w:val="0"/>
          <w:marRight w:val="0"/>
          <w:marTop w:val="0"/>
          <w:marBottom w:val="0"/>
          <w:divBdr>
            <w:top w:val="none" w:sz="0" w:space="0" w:color="auto"/>
            <w:left w:val="none" w:sz="0" w:space="0" w:color="auto"/>
            <w:bottom w:val="none" w:sz="0" w:space="0" w:color="auto"/>
            <w:right w:val="none" w:sz="0" w:space="0" w:color="auto"/>
          </w:divBdr>
          <w:divsChild>
            <w:div w:id="1143502348">
              <w:marLeft w:val="0"/>
              <w:marRight w:val="0"/>
              <w:marTop w:val="0"/>
              <w:marBottom w:val="0"/>
              <w:divBdr>
                <w:top w:val="none" w:sz="0" w:space="0" w:color="auto"/>
                <w:left w:val="none" w:sz="0" w:space="0" w:color="auto"/>
                <w:bottom w:val="none" w:sz="0" w:space="0" w:color="auto"/>
                <w:right w:val="none" w:sz="0" w:space="0" w:color="auto"/>
              </w:divBdr>
            </w:div>
          </w:divsChild>
        </w:div>
        <w:div w:id="1282952813">
          <w:marLeft w:val="0"/>
          <w:marRight w:val="0"/>
          <w:marTop w:val="0"/>
          <w:marBottom w:val="0"/>
          <w:divBdr>
            <w:top w:val="none" w:sz="0" w:space="0" w:color="auto"/>
            <w:left w:val="none" w:sz="0" w:space="0" w:color="auto"/>
            <w:bottom w:val="none" w:sz="0" w:space="0" w:color="auto"/>
            <w:right w:val="none" w:sz="0" w:space="0" w:color="auto"/>
          </w:divBdr>
          <w:divsChild>
            <w:div w:id="160197304">
              <w:marLeft w:val="0"/>
              <w:marRight w:val="0"/>
              <w:marTop w:val="0"/>
              <w:marBottom w:val="0"/>
              <w:divBdr>
                <w:top w:val="none" w:sz="0" w:space="0" w:color="auto"/>
                <w:left w:val="none" w:sz="0" w:space="0" w:color="auto"/>
                <w:bottom w:val="none" w:sz="0" w:space="0" w:color="auto"/>
                <w:right w:val="none" w:sz="0" w:space="0" w:color="auto"/>
              </w:divBdr>
            </w:div>
          </w:divsChild>
        </w:div>
        <w:div w:id="1291745518">
          <w:marLeft w:val="0"/>
          <w:marRight w:val="0"/>
          <w:marTop w:val="0"/>
          <w:marBottom w:val="0"/>
          <w:divBdr>
            <w:top w:val="none" w:sz="0" w:space="0" w:color="auto"/>
            <w:left w:val="none" w:sz="0" w:space="0" w:color="auto"/>
            <w:bottom w:val="none" w:sz="0" w:space="0" w:color="auto"/>
            <w:right w:val="none" w:sz="0" w:space="0" w:color="auto"/>
          </w:divBdr>
          <w:divsChild>
            <w:div w:id="1991712982">
              <w:marLeft w:val="0"/>
              <w:marRight w:val="0"/>
              <w:marTop w:val="0"/>
              <w:marBottom w:val="0"/>
              <w:divBdr>
                <w:top w:val="none" w:sz="0" w:space="0" w:color="auto"/>
                <w:left w:val="none" w:sz="0" w:space="0" w:color="auto"/>
                <w:bottom w:val="none" w:sz="0" w:space="0" w:color="auto"/>
                <w:right w:val="none" w:sz="0" w:space="0" w:color="auto"/>
              </w:divBdr>
            </w:div>
          </w:divsChild>
        </w:div>
        <w:div w:id="1294559405">
          <w:marLeft w:val="0"/>
          <w:marRight w:val="0"/>
          <w:marTop w:val="0"/>
          <w:marBottom w:val="0"/>
          <w:divBdr>
            <w:top w:val="none" w:sz="0" w:space="0" w:color="auto"/>
            <w:left w:val="none" w:sz="0" w:space="0" w:color="auto"/>
            <w:bottom w:val="none" w:sz="0" w:space="0" w:color="auto"/>
            <w:right w:val="none" w:sz="0" w:space="0" w:color="auto"/>
          </w:divBdr>
          <w:divsChild>
            <w:div w:id="525754653">
              <w:marLeft w:val="0"/>
              <w:marRight w:val="0"/>
              <w:marTop w:val="0"/>
              <w:marBottom w:val="0"/>
              <w:divBdr>
                <w:top w:val="none" w:sz="0" w:space="0" w:color="auto"/>
                <w:left w:val="none" w:sz="0" w:space="0" w:color="auto"/>
                <w:bottom w:val="none" w:sz="0" w:space="0" w:color="auto"/>
                <w:right w:val="none" w:sz="0" w:space="0" w:color="auto"/>
              </w:divBdr>
            </w:div>
          </w:divsChild>
        </w:div>
        <w:div w:id="1342776923">
          <w:marLeft w:val="0"/>
          <w:marRight w:val="0"/>
          <w:marTop w:val="0"/>
          <w:marBottom w:val="0"/>
          <w:divBdr>
            <w:top w:val="none" w:sz="0" w:space="0" w:color="auto"/>
            <w:left w:val="none" w:sz="0" w:space="0" w:color="auto"/>
            <w:bottom w:val="none" w:sz="0" w:space="0" w:color="auto"/>
            <w:right w:val="none" w:sz="0" w:space="0" w:color="auto"/>
          </w:divBdr>
          <w:divsChild>
            <w:div w:id="1992831659">
              <w:marLeft w:val="0"/>
              <w:marRight w:val="0"/>
              <w:marTop w:val="0"/>
              <w:marBottom w:val="0"/>
              <w:divBdr>
                <w:top w:val="none" w:sz="0" w:space="0" w:color="auto"/>
                <w:left w:val="none" w:sz="0" w:space="0" w:color="auto"/>
                <w:bottom w:val="none" w:sz="0" w:space="0" w:color="auto"/>
                <w:right w:val="none" w:sz="0" w:space="0" w:color="auto"/>
              </w:divBdr>
            </w:div>
          </w:divsChild>
        </w:div>
        <w:div w:id="1346134100">
          <w:marLeft w:val="0"/>
          <w:marRight w:val="0"/>
          <w:marTop w:val="0"/>
          <w:marBottom w:val="0"/>
          <w:divBdr>
            <w:top w:val="none" w:sz="0" w:space="0" w:color="auto"/>
            <w:left w:val="none" w:sz="0" w:space="0" w:color="auto"/>
            <w:bottom w:val="none" w:sz="0" w:space="0" w:color="auto"/>
            <w:right w:val="none" w:sz="0" w:space="0" w:color="auto"/>
          </w:divBdr>
          <w:divsChild>
            <w:div w:id="676470067">
              <w:marLeft w:val="0"/>
              <w:marRight w:val="0"/>
              <w:marTop w:val="0"/>
              <w:marBottom w:val="0"/>
              <w:divBdr>
                <w:top w:val="none" w:sz="0" w:space="0" w:color="auto"/>
                <w:left w:val="none" w:sz="0" w:space="0" w:color="auto"/>
                <w:bottom w:val="none" w:sz="0" w:space="0" w:color="auto"/>
                <w:right w:val="none" w:sz="0" w:space="0" w:color="auto"/>
              </w:divBdr>
            </w:div>
          </w:divsChild>
        </w:div>
        <w:div w:id="1375616458">
          <w:marLeft w:val="0"/>
          <w:marRight w:val="0"/>
          <w:marTop w:val="0"/>
          <w:marBottom w:val="0"/>
          <w:divBdr>
            <w:top w:val="none" w:sz="0" w:space="0" w:color="auto"/>
            <w:left w:val="none" w:sz="0" w:space="0" w:color="auto"/>
            <w:bottom w:val="none" w:sz="0" w:space="0" w:color="auto"/>
            <w:right w:val="none" w:sz="0" w:space="0" w:color="auto"/>
          </w:divBdr>
          <w:divsChild>
            <w:div w:id="1437866855">
              <w:marLeft w:val="0"/>
              <w:marRight w:val="0"/>
              <w:marTop w:val="0"/>
              <w:marBottom w:val="0"/>
              <w:divBdr>
                <w:top w:val="none" w:sz="0" w:space="0" w:color="auto"/>
                <w:left w:val="none" w:sz="0" w:space="0" w:color="auto"/>
                <w:bottom w:val="none" w:sz="0" w:space="0" w:color="auto"/>
                <w:right w:val="none" w:sz="0" w:space="0" w:color="auto"/>
              </w:divBdr>
            </w:div>
          </w:divsChild>
        </w:div>
        <w:div w:id="1377244570">
          <w:marLeft w:val="0"/>
          <w:marRight w:val="0"/>
          <w:marTop w:val="0"/>
          <w:marBottom w:val="0"/>
          <w:divBdr>
            <w:top w:val="none" w:sz="0" w:space="0" w:color="auto"/>
            <w:left w:val="none" w:sz="0" w:space="0" w:color="auto"/>
            <w:bottom w:val="none" w:sz="0" w:space="0" w:color="auto"/>
            <w:right w:val="none" w:sz="0" w:space="0" w:color="auto"/>
          </w:divBdr>
          <w:divsChild>
            <w:div w:id="1588730097">
              <w:marLeft w:val="0"/>
              <w:marRight w:val="0"/>
              <w:marTop w:val="0"/>
              <w:marBottom w:val="0"/>
              <w:divBdr>
                <w:top w:val="none" w:sz="0" w:space="0" w:color="auto"/>
                <w:left w:val="none" w:sz="0" w:space="0" w:color="auto"/>
                <w:bottom w:val="none" w:sz="0" w:space="0" w:color="auto"/>
                <w:right w:val="none" w:sz="0" w:space="0" w:color="auto"/>
              </w:divBdr>
            </w:div>
          </w:divsChild>
        </w:div>
        <w:div w:id="1405906443">
          <w:marLeft w:val="0"/>
          <w:marRight w:val="0"/>
          <w:marTop w:val="0"/>
          <w:marBottom w:val="0"/>
          <w:divBdr>
            <w:top w:val="none" w:sz="0" w:space="0" w:color="auto"/>
            <w:left w:val="none" w:sz="0" w:space="0" w:color="auto"/>
            <w:bottom w:val="none" w:sz="0" w:space="0" w:color="auto"/>
            <w:right w:val="none" w:sz="0" w:space="0" w:color="auto"/>
          </w:divBdr>
          <w:divsChild>
            <w:div w:id="975766413">
              <w:marLeft w:val="0"/>
              <w:marRight w:val="0"/>
              <w:marTop w:val="0"/>
              <w:marBottom w:val="0"/>
              <w:divBdr>
                <w:top w:val="none" w:sz="0" w:space="0" w:color="auto"/>
                <w:left w:val="none" w:sz="0" w:space="0" w:color="auto"/>
                <w:bottom w:val="none" w:sz="0" w:space="0" w:color="auto"/>
                <w:right w:val="none" w:sz="0" w:space="0" w:color="auto"/>
              </w:divBdr>
            </w:div>
          </w:divsChild>
        </w:div>
        <w:div w:id="1424910997">
          <w:marLeft w:val="0"/>
          <w:marRight w:val="0"/>
          <w:marTop w:val="0"/>
          <w:marBottom w:val="0"/>
          <w:divBdr>
            <w:top w:val="none" w:sz="0" w:space="0" w:color="auto"/>
            <w:left w:val="none" w:sz="0" w:space="0" w:color="auto"/>
            <w:bottom w:val="none" w:sz="0" w:space="0" w:color="auto"/>
            <w:right w:val="none" w:sz="0" w:space="0" w:color="auto"/>
          </w:divBdr>
          <w:divsChild>
            <w:div w:id="66388594">
              <w:marLeft w:val="0"/>
              <w:marRight w:val="0"/>
              <w:marTop w:val="0"/>
              <w:marBottom w:val="0"/>
              <w:divBdr>
                <w:top w:val="none" w:sz="0" w:space="0" w:color="auto"/>
                <w:left w:val="none" w:sz="0" w:space="0" w:color="auto"/>
                <w:bottom w:val="none" w:sz="0" w:space="0" w:color="auto"/>
                <w:right w:val="none" w:sz="0" w:space="0" w:color="auto"/>
              </w:divBdr>
            </w:div>
          </w:divsChild>
        </w:div>
        <w:div w:id="1425881011">
          <w:marLeft w:val="0"/>
          <w:marRight w:val="0"/>
          <w:marTop w:val="0"/>
          <w:marBottom w:val="0"/>
          <w:divBdr>
            <w:top w:val="none" w:sz="0" w:space="0" w:color="auto"/>
            <w:left w:val="none" w:sz="0" w:space="0" w:color="auto"/>
            <w:bottom w:val="none" w:sz="0" w:space="0" w:color="auto"/>
            <w:right w:val="none" w:sz="0" w:space="0" w:color="auto"/>
          </w:divBdr>
          <w:divsChild>
            <w:div w:id="704216715">
              <w:marLeft w:val="0"/>
              <w:marRight w:val="0"/>
              <w:marTop w:val="0"/>
              <w:marBottom w:val="0"/>
              <w:divBdr>
                <w:top w:val="none" w:sz="0" w:space="0" w:color="auto"/>
                <w:left w:val="none" w:sz="0" w:space="0" w:color="auto"/>
                <w:bottom w:val="none" w:sz="0" w:space="0" w:color="auto"/>
                <w:right w:val="none" w:sz="0" w:space="0" w:color="auto"/>
              </w:divBdr>
            </w:div>
          </w:divsChild>
        </w:div>
        <w:div w:id="1447233599">
          <w:marLeft w:val="0"/>
          <w:marRight w:val="0"/>
          <w:marTop w:val="0"/>
          <w:marBottom w:val="0"/>
          <w:divBdr>
            <w:top w:val="none" w:sz="0" w:space="0" w:color="auto"/>
            <w:left w:val="none" w:sz="0" w:space="0" w:color="auto"/>
            <w:bottom w:val="none" w:sz="0" w:space="0" w:color="auto"/>
            <w:right w:val="none" w:sz="0" w:space="0" w:color="auto"/>
          </w:divBdr>
          <w:divsChild>
            <w:div w:id="905336880">
              <w:marLeft w:val="0"/>
              <w:marRight w:val="0"/>
              <w:marTop w:val="0"/>
              <w:marBottom w:val="0"/>
              <w:divBdr>
                <w:top w:val="none" w:sz="0" w:space="0" w:color="auto"/>
                <w:left w:val="none" w:sz="0" w:space="0" w:color="auto"/>
                <w:bottom w:val="none" w:sz="0" w:space="0" w:color="auto"/>
                <w:right w:val="none" w:sz="0" w:space="0" w:color="auto"/>
              </w:divBdr>
            </w:div>
          </w:divsChild>
        </w:div>
        <w:div w:id="1462648258">
          <w:marLeft w:val="0"/>
          <w:marRight w:val="0"/>
          <w:marTop w:val="0"/>
          <w:marBottom w:val="0"/>
          <w:divBdr>
            <w:top w:val="none" w:sz="0" w:space="0" w:color="auto"/>
            <w:left w:val="none" w:sz="0" w:space="0" w:color="auto"/>
            <w:bottom w:val="none" w:sz="0" w:space="0" w:color="auto"/>
            <w:right w:val="none" w:sz="0" w:space="0" w:color="auto"/>
          </w:divBdr>
          <w:divsChild>
            <w:div w:id="259066856">
              <w:marLeft w:val="0"/>
              <w:marRight w:val="0"/>
              <w:marTop w:val="0"/>
              <w:marBottom w:val="0"/>
              <w:divBdr>
                <w:top w:val="none" w:sz="0" w:space="0" w:color="auto"/>
                <w:left w:val="none" w:sz="0" w:space="0" w:color="auto"/>
                <w:bottom w:val="none" w:sz="0" w:space="0" w:color="auto"/>
                <w:right w:val="none" w:sz="0" w:space="0" w:color="auto"/>
              </w:divBdr>
            </w:div>
          </w:divsChild>
        </w:div>
        <w:div w:id="1472940331">
          <w:marLeft w:val="0"/>
          <w:marRight w:val="0"/>
          <w:marTop w:val="0"/>
          <w:marBottom w:val="0"/>
          <w:divBdr>
            <w:top w:val="none" w:sz="0" w:space="0" w:color="auto"/>
            <w:left w:val="none" w:sz="0" w:space="0" w:color="auto"/>
            <w:bottom w:val="none" w:sz="0" w:space="0" w:color="auto"/>
            <w:right w:val="none" w:sz="0" w:space="0" w:color="auto"/>
          </w:divBdr>
          <w:divsChild>
            <w:div w:id="1196312260">
              <w:marLeft w:val="0"/>
              <w:marRight w:val="0"/>
              <w:marTop w:val="0"/>
              <w:marBottom w:val="0"/>
              <w:divBdr>
                <w:top w:val="none" w:sz="0" w:space="0" w:color="auto"/>
                <w:left w:val="none" w:sz="0" w:space="0" w:color="auto"/>
                <w:bottom w:val="none" w:sz="0" w:space="0" w:color="auto"/>
                <w:right w:val="none" w:sz="0" w:space="0" w:color="auto"/>
              </w:divBdr>
            </w:div>
          </w:divsChild>
        </w:div>
        <w:div w:id="1475484577">
          <w:marLeft w:val="0"/>
          <w:marRight w:val="0"/>
          <w:marTop w:val="0"/>
          <w:marBottom w:val="0"/>
          <w:divBdr>
            <w:top w:val="none" w:sz="0" w:space="0" w:color="auto"/>
            <w:left w:val="none" w:sz="0" w:space="0" w:color="auto"/>
            <w:bottom w:val="none" w:sz="0" w:space="0" w:color="auto"/>
            <w:right w:val="none" w:sz="0" w:space="0" w:color="auto"/>
          </w:divBdr>
          <w:divsChild>
            <w:div w:id="195044784">
              <w:marLeft w:val="0"/>
              <w:marRight w:val="0"/>
              <w:marTop w:val="0"/>
              <w:marBottom w:val="0"/>
              <w:divBdr>
                <w:top w:val="none" w:sz="0" w:space="0" w:color="auto"/>
                <w:left w:val="none" w:sz="0" w:space="0" w:color="auto"/>
                <w:bottom w:val="none" w:sz="0" w:space="0" w:color="auto"/>
                <w:right w:val="none" w:sz="0" w:space="0" w:color="auto"/>
              </w:divBdr>
            </w:div>
          </w:divsChild>
        </w:div>
        <w:div w:id="1492985007">
          <w:marLeft w:val="0"/>
          <w:marRight w:val="0"/>
          <w:marTop w:val="0"/>
          <w:marBottom w:val="0"/>
          <w:divBdr>
            <w:top w:val="none" w:sz="0" w:space="0" w:color="auto"/>
            <w:left w:val="none" w:sz="0" w:space="0" w:color="auto"/>
            <w:bottom w:val="none" w:sz="0" w:space="0" w:color="auto"/>
            <w:right w:val="none" w:sz="0" w:space="0" w:color="auto"/>
          </w:divBdr>
          <w:divsChild>
            <w:div w:id="576936825">
              <w:marLeft w:val="0"/>
              <w:marRight w:val="0"/>
              <w:marTop w:val="0"/>
              <w:marBottom w:val="0"/>
              <w:divBdr>
                <w:top w:val="none" w:sz="0" w:space="0" w:color="auto"/>
                <w:left w:val="none" w:sz="0" w:space="0" w:color="auto"/>
                <w:bottom w:val="none" w:sz="0" w:space="0" w:color="auto"/>
                <w:right w:val="none" w:sz="0" w:space="0" w:color="auto"/>
              </w:divBdr>
            </w:div>
          </w:divsChild>
        </w:div>
        <w:div w:id="1493644106">
          <w:marLeft w:val="0"/>
          <w:marRight w:val="0"/>
          <w:marTop w:val="0"/>
          <w:marBottom w:val="0"/>
          <w:divBdr>
            <w:top w:val="none" w:sz="0" w:space="0" w:color="auto"/>
            <w:left w:val="none" w:sz="0" w:space="0" w:color="auto"/>
            <w:bottom w:val="none" w:sz="0" w:space="0" w:color="auto"/>
            <w:right w:val="none" w:sz="0" w:space="0" w:color="auto"/>
          </w:divBdr>
          <w:divsChild>
            <w:div w:id="173612537">
              <w:marLeft w:val="0"/>
              <w:marRight w:val="0"/>
              <w:marTop w:val="0"/>
              <w:marBottom w:val="0"/>
              <w:divBdr>
                <w:top w:val="none" w:sz="0" w:space="0" w:color="auto"/>
                <w:left w:val="none" w:sz="0" w:space="0" w:color="auto"/>
                <w:bottom w:val="none" w:sz="0" w:space="0" w:color="auto"/>
                <w:right w:val="none" w:sz="0" w:space="0" w:color="auto"/>
              </w:divBdr>
            </w:div>
          </w:divsChild>
        </w:div>
        <w:div w:id="1515613425">
          <w:marLeft w:val="0"/>
          <w:marRight w:val="0"/>
          <w:marTop w:val="0"/>
          <w:marBottom w:val="0"/>
          <w:divBdr>
            <w:top w:val="none" w:sz="0" w:space="0" w:color="auto"/>
            <w:left w:val="none" w:sz="0" w:space="0" w:color="auto"/>
            <w:bottom w:val="none" w:sz="0" w:space="0" w:color="auto"/>
            <w:right w:val="none" w:sz="0" w:space="0" w:color="auto"/>
          </w:divBdr>
          <w:divsChild>
            <w:div w:id="1027635721">
              <w:marLeft w:val="0"/>
              <w:marRight w:val="0"/>
              <w:marTop w:val="0"/>
              <w:marBottom w:val="0"/>
              <w:divBdr>
                <w:top w:val="none" w:sz="0" w:space="0" w:color="auto"/>
                <w:left w:val="none" w:sz="0" w:space="0" w:color="auto"/>
                <w:bottom w:val="none" w:sz="0" w:space="0" w:color="auto"/>
                <w:right w:val="none" w:sz="0" w:space="0" w:color="auto"/>
              </w:divBdr>
            </w:div>
          </w:divsChild>
        </w:div>
        <w:div w:id="1581597798">
          <w:marLeft w:val="0"/>
          <w:marRight w:val="0"/>
          <w:marTop w:val="0"/>
          <w:marBottom w:val="0"/>
          <w:divBdr>
            <w:top w:val="none" w:sz="0" w:space="0" w:color="auto"/>
            <w:left w:val="none" w:sz="0" w:space="0" w:color="auto"/>
            <w:bottom w:val="none" w:sz="0" w:space="0" w:color="auto"/>
            <w:right w:val="none" w:sz="0" w:space="0" w:color="auto"/>
          </w:divBdr>
          <w:divsChild>
            <w:div w:id="755127578">
              <w:marLeft w:val="0"/>
              <w:marRight w:val="0"/>
              <w:marTop w:val="0"/>
              <w:marBottom w:val="0"/>
              <w:divBdr>
                <w:top w:val="none" w:sz="0" w:space="0" w:color="auto"/>
                <w:left w:val="none" w:sz="0" w:space="0" w:color="auto"/>
                <w:bottom w:val="none" w:sz="0" w:space="0" w:color="auto"/>
                <w:right w:val="none" w:sz="0" w:space="0" w:color="auto"/>
              </w:divBdr>
            </w:div>
          </w:divsChild>
        </w:div>
        <w:div w:id="1585989404">
          <w:marLeft w:val="0"/>
          <w:marRight w:val="0"/>
          <w:marTop w:val="0"/>
          <w:marBottom w:val="0"/>
          <w:divBdr>
            <w:top w:val="none" w:sz="0" w:space="0" w:color="auto"/>
            <w:left w:val="none" w:sz="0" w:space="0" w:color="auto"/>
            <w:bottom w:val="none" w:sz="0" w:space="0" w:color="auto"/>
            <w:right w:val="none" w:sz="0" w:space="0" w:color="auto"/>
          </w:divBdr>
          <w:divsChild>
            <w:div w:id="1958364694">
              <w:marLeft w:val="0"/>
              <w:marRight w:val="0"/>
              <w:marTop w:val="0"/>
              <w:marBottom w:val="0"/>
              <w:divBdr>
                <w:top w:val="none" w:sz="0" w:space="0" w:color="auto"/>
                <w:left w:val="none" w:sz="0" w:space="0" w:color="auto"/>
                <w:bottom w:val="none" w:sz="0" w:space="0" w:color="auto"/>
                <w:right w:val="none" w:sz="0" w:space="0" w:color="auto"/>
              </w:divBdr>
            </w:div>
          </w:divsChild>
        </w:div>
        <w:div w:id="1591498122">
          <w:marLeft w:val="0"/>
          <w:marRight w:val="0"/>
          <w:marTop w:val="0"/>
          <w:marBottom w:val="0"/>
          <w:divBdr>
            <w:top w:val="none" w:sz="0" w:space="0" w:color="auto"/>
            <w:left w:val="none" w:sz="0" w:space="0" w:color="auto"/>
            <w:bottom w:val="none" w:sz="0" w:space="0" w:color="auto"/>
            <w:right w:val="none" w:sz="0" w:space="0" w:color="auto"/>
          </w:divBdr>
          <w:divsChild>
            <w:div w:id="241179239">
              <w:marLeft w:val="0"/>
              <w:marRight w:val="0"/>
              <w:marTop w:val="0"/>
              <w:marBottom w:val="0"/>
              <w:divBdr>
                <w:top w:val="none" w:sz="0" w:space="0" w:color="auto"/>
                <w:left w:val="none" w:sz="0" w:space="0" w:color="auto"/>
                <w:bottom w:val="none" w:sz="0" w:space="0" w:color="auto"/>
                <w:right w:val="none" w:sz="0" w:space="0" w:color="auto"/>
              </w:divBdr>
            </w:div>
          </w:divsChild>
        </w:div>
        <w:div w:id="1598364421">
          <w:marLeft w:val="0"/>
          <w:marRight w:val="0"/>
          <w:marTop w:val="0"/>
          <w:marBottom w:val="0"/>
          <w:divBdr>
            <w:top w:val="none" w:sz="0" w:space="0" w:color="auto"/>
            <w:left w:val="none" w:sz="0" w:space="0" w:color="auto"/>
            <w:bottom w:val="none" w:sz="0" w:space="0" w:color="auto"/>
            <w:right w:val="none" w:sz="0" w:space="0" w:color="auto"/>
          </w:divBdr>
          <w:divsChild>
            <w:div w:id="166017654">
              <w:marLeft w:val="0"/>
              <w:marRight w:val="0"/>
              <w:marTop w:val="0"/>
              <w:marBottom w:val="0"/>
              <w:divBdr>
                <w:top w:val="none" w:sz="0" w:space="0" w:color="auto"/>
                <w:left w:val="none" w:sz="0" w:space="0" w:color="auto"/>
                <w:bottom w:val="none" w:sz="0" w:space="0" w:color="auto"/>
                <w:right w:val="none" w:sz="0" w:space="0" w:color="auto"/>
              </w:divBdr>
            </w:div>
          </w:divsChild>
        </w:div>
        <w:div w:id="1604336425">
          <w:marLeft w:val="0"/>
          <w:marRight w:val="0"/>
          <w:marTop w:val="0"/>
          <w:marBottom w:val="0"/>
          <w:divBdr>
            <w:top w:val="none" w:sz="0" w:space="0" w:color="auto"/>
            <w:left w:val="none" w:sz="0" w:space="0" w:color="auto"/>
            <w:bottom w:val="none" w:sz="0" w:space="0" w:color="auto"/>
            <w:right w:val="none" w:sz="0" w:space="0" w:color="auto"/>
          </w:divBdr>
          <w:divsChild>
            <w:div w:id="1815292126">
              <w:marLeft w:val="0"/>
              <w:marRight w:val="0"/>
              <w:marTop w:val="0"/>
              <w:marBottom w:val="0"/>
              <w:divBdr>
                <w:top w:val="none" w:sz="0" w:space="0" w:color="auto"/>
                <w:left w:val="none" w:sz="0" w:space="0" w:color="auto"/>
                <w:bottom w:val="none" w:sz="0" w:space="0" w:color="auto"/>
                <w:right w:val="none" w:sz="0" w:space="0" w:color="auto"/>
              </w:divBdr>
            </w:div>
          </w:divsChild>
        </w:div>
        <w:div w:id="1653872165">
          <w:marLeft w:val="0"/>
          <w:marRight w:val="0"/>
          <w:marTop w:val="0"/>
          <w:marBottom w:val="0"/>
          <w:divBdr>
            <w:top w:val="none" w:sz="0" w:space="0" w:color="auto"/>
            <w:left w:val="none" w:sz="0" w:space="0" w:color="auto"/>
            <w:bottom w:val="none" w:sz="0" w:space="0" w:color="auto"/>
            <w:right w:val="none" w:sz="0" w:space="0" w:color="auto"/>
          </w:divBdr>
          <w:divsChild>
            <w:div w:id="2131851709">
              <w:marLeft w:val="0"/>
              <w:marRight w:val="0"/>
              <w:marTop w:val="0"/>
              <w:marBottom w:val="0"/>
              <w:divBdr>
                <w:top w:val="none" w:sz="0" w:space="0" w:color="auto"/>
                <w:left w:val="none" w:sz="0" w:space="0" w:color="auto"/>
                <w:bottom w:val="none" w:sz="0" w:space="0" w:color="auto"/>
                <w:right w:val="none" w:sz="0" w:space="0" w:color="auto"/>
              </w:divBdr>
            </w:div>
          </w:divsChild>
        </w:div>
        <w:div w:id="1665821849">
          <w:marLeft w:val="0"/>
          <w:marRight w:val="0"/>
          <w:marTop w:val="0"/>
          <w:marBottom w:val="0"/>
          <w:divBdr>
            <w:top w:val="none" w:sz="0" w:space="0" w:color="auto"/>
            <w:left w:val="none" w:sz="0" w:space="0" w:color="auto"/>
            <w:bottom w:val="none" w:sz="0" w:space="0" w:color="auto"/>
            <w:right w:val="none" w:sz="0" w:space="0" w:color="auto"/>
          </w:divBdr>
          <w:divsChild>
            <w:div w:id="1294367128">
              <w:marLeft w:val="0"/>
              <w:marRight w:val="0"/>
              <w:marTop w:val="0"/>
              <w:marBottom w:val="0"/>
              <w:divBdr>
                <w:top w:val="none" w:sz="0" w:space="0" w:color="auto"/>
                <w:left w:val="none" w:sz="0" w:space="0" w:color="auto"/>
                <w:bottom w:val="none" w:sz="0" w:space="0" w:color="auto"/>
                <w:right w:val="none" w:sz="0" w:space="0" w:color="auto"/>
              </w:divBdr>
            </w:div>
          </w:divsChild>
        </w:div>
        <w:div w:id="1668944464">
          <w:marLeft w:val="0"/>
          <w:marRight w:val="0"/>
          <w:marTop w:val="0"/>
          <w:marBottom w:val="0"/>
          <w:divBdr>
            <w:top w:val="none" w:sz="0" w:space="0" w:color="auto"/>
            <w:left w:val="none" w:sz="0" w:space="0" w:color="auto"/>
            <w:bottom w:val="none" w:sz="0" w:space="0" w:color="auto"/>
            <w:right w:val="none" w:sz="0" w:space="0" w:color="auto"/>
          </w:divBdr>
          <w:divsChild>
            <w:div w:id="1028676397">
              <w:marLeft w:val="0"/>
              <w:marRight w:val="0"/>
              <w:marTop w:val="0"/>
              <w:marBottom w:val="0"/>
              <w:divBdr>
                <w:top w:val="none" w:sz="0" w:space="0" w:color="auto"/>
                <w:left w:val="none" w:sz="0" w:space="0" w:color="auto"/>
                <w:bottom w:val="none" w:sz="0" w:space="0" w:color="auto"/>
                <w:right w:val="none" w:sz="0" w:space="0" w:color="auto"/>
              </w:divBdr>
            </w:div>
          </w:divsChild>
        </w:div>
        <w:div w:id="1688170143">
          <w:marLeft w:val="0"/>
          <w:marRight w:val="0"/>
          <w:marTop w:val="0"/>
          <w:marBottom w:val="0"/>
          <w:divBdr>
            <w:top w:val="none" w:sz="0" w:space="0" w:color="auto"/>
            <w:left w:val="none" w:sz="0" w:space="0" w:color="auto"/>
            <w:bottom w:val="none" w:sz="0" w:space="0" w:color="auto"/>
            <w:right w:val="none" w:sz="0" w:space="0" w:color="auto"/>
          </w:divBdr>
          <w:divsChild>
            <w:div w:id="1312639334">
              <w:marLeft w:val="0"/>
              <w:marRight w:val="0"/>
              <w:marTop w:val="0"/>
              <w:marBottom w:val="0"/>
              <w:divBdr>
                <w:top w:val="none" w:sz="0" w:space="0" w:color="auto"/>
                <w:left w:val="none" w:sz="0" w:space="0" w:color="auto"/>
                <w:bottom w:val="none" w:sz="0" w:space="0" w:color="auto"/>
                <w:right w:val="none" w:sz="0" w:space="0" w:color="auto"/>
              </w:divBdr>
            </w:div>
          </w:divsChild>
        </w:div>
        <w:div w:id="1707485300">
          <w:marLeft w:val="0"/>
          <w:marRight w:val="0"/>
          <w:marTop w:val="0"/>
          <w:marBottom w:val="0"/>
          <w:divBdr>
            <w:top w:val="none" w:sz="0" w:space="0" w:color="auto"/>
            <w:left w:val="none" w:sz="0" w:space="0" w:color="auto"/>
            <w:bottom w:val="none" w:sz="0" w:space="0" w:color="auto"/>
            <w:right w:val="none" w:sz="0" w:space="0" w:color="auto"/>
          </w:divBdr>
          <w:divsChild>
            <w:div w:id="1960725619">
              <w:marLeft w:val="0"/>
              <w:marRight w:val="0"/>
              <w:marTop w:val="0"/>
              <w:marBottom w:val="0"/>
              <w:divBdr>
                <w:top w:val="none" w:sz="0" w:space="0" w:color="auto"/>
                <w:left w:val="none" w:sz="0" w:space="0" w:color="auto"/>
                <w:bottom w:val="none" w:sz="0" w:space="0" w:color="auto"/>
                <w:right w:val="none" w:sz="0" w:space="0" w:color="auto"/>
              </w:divBdr>
            </w:div>
          </w:divsChild>
        </w:div>
        <w:div w:id="1714427346">
          <w:marLeft w:val="0"/>
          <w:marRight w:val="0"/>
          <w:marTop w:val="0"/>
          <w:marBottom w:val="0"/>
          <w:divBdr>
            <w:top w:val="none" w:sz="0" w:space="0" w:color="auto"/>
            <w:left w:val="none" w:sz="0" w:space="0" w:color="auto"/>
            <w:bottom w:val="none" w:sz="0" w:space="0" w:color="auto"/>
            <w:right w:val="none" w:sz="0" w:space="0" w:color="auto"/>
          </w:divBdr>
          <w:divsChild>
            <w:div w:id="1670449005">
              <w:marLeft w:val="0"/>
              <w:marRight w:val="0"/>
              <w:marTop w:val="0"/>
              <w:marBottom w:val="0"/>
              <w:divBdr>
                <w:top w:val="none" w:sz="0" w:space="0" w:color="auto"/>
                <w:left w:val="none" w:sz="0" w:space="0" w:color="auto"/>
                <w:bottom w:val="none" w:sz="0" w:space="0" w:color="auto"/>
                <w:right w:val="none" w:sz="0" w:space="0" w:color="auto"/>
              </w:divBdr>
            </w:div>
          </w:divsChild>
        </w:div>
        <w:div w:id="1799496191">
          <w:marLeft w:val="0"/>
          <w:marRight w:val="0"/>
          <w:marTop w:val="0"/>
          <w:marBottom w:val="0"/>
          <w:divBdr>
            <w:top w:val="none" w:sz="0" w:space="0" w:color="auto"/>
            <w:left w:val="none" w:sz="0" w:space="0" w:color="auto"/>
            <w:bottom w:val="none" w:sz="0" w:space="0" w:color="auto"/>
            <w:right w:val="none" w:sz="0" w:space="0" w:color="auto"/>
          </w:divBdr>
          <w:divsChild>
            <w:div w:id="730345948">
              <w:marLeft w:val="0"/>
              <w:marRight w:val="0"/>
              <w:marTop w:val="0"/>
              <w:marBottom w:val="0"/>
              <w:divBdr>
                <w:top w:val="none" w:sz="0" w:space="0" w:color="auto"/>
                <w:left w:val="none" w:sz="0" w:space="0" w:color="auto"/>
                <w:bottom w:val="none" w:sz="0" w:space="0" w:color="auto"/>
                <w:right w:val="none" w:sz="0" w:space="0" w:color="auto"/>
              </w:divBdr>
            </w:div>
          </w:divsChild>
        </w:div>
        <w:div w:id="1806777249">
          <w:marLeft w:val="0"/>
          <w:marRight w:val="0"/>
          <w:marTop w:val="0"/>
          <w:marBottom w:val="0"/>
          <w:divBdr>
            <w:top w:val="none" w:sz="0" w:space="0" w:color="auto"/>
            <w:left w:val="none" w:sz="0" w:space="0" w:color="auto"/>
            <w:bottom w:val="none" w:sz="0" w:space="0" w:color="auto"/>
            <w:right w:val="none" w:sz="0" w:space="0" w:color="auto"/>
          </w:divBdr>
          <w:divsChild>
            <w:div w:id="1233662138">
              <w:marLeft w:val="0"/>
              <w:marRight w:val="0"/>
              <w:marTop w:val="0"/>
              <w:marBottom w:val="0"/>
              <w:divBdr>
                <w:top w:val="none" w:sz="0" w:space="0" w:color="auto"/>
                <w:left w:val="none" w:sz="0" w:space="0" w:color="auto"/>
                <w:bottom w:val="none" w:sz="0" w:space="0" w:color="auto"/>
                <w:right w:val="none" w:sz="0" w:space="0" w:color="auto"/>
              </w:divBdr>
            </w:div>
          </w:divsChild>
        </w:div>
        <w:div w:id="1808276824">
          <w:marLeft w:val="0"/>
          <w:marRight w:val="0"/>
          <w:marTop w:val="0"/>
          <w:marBottom w:val="0"/>
          <w:divBdr>
            <w:top w:val="none" w:sz="0" w:space="0" w:color="auto"/>
            <w:left w:val="none" w:sz="0" w:space="0" w:color="auto"/>
            <w:bottom w:val="none" w:sz="0" w:space="0" w:color="auto"/>
            <w:right w:val="none" w:sz="0" w:space="0" w:color="auto"/>
          </w:divBdr>
          <w:divsChild>
            <w:div w:id="1706327488">
              <w:marLeft w:val="0"/>
              <w:marRight w:val="0"/>
              <w:marTop w:val="0"/>
              <w:marBottom w:val="0"/>
              <w:divBdr>
                <w:top w:val="none" w:sz="0" w:space="0" w:color="auto"/>
                <w:left w:val="none" w:sz="0" w:space="0" w:color="auto"/>
                <w:bottom w:val="none" w:sz="0" w:space="0" w:color="auto"/>
                <w:right w:val="none" w:sz="0" w:space="0" w:color="auto"/>
              </w:divBdr>
            </w:div>
          </w:divsChild>
        </w:div>
        <w:div w:id="1821456214">
          <w:marLeft w:val="0"/>
          <w:marRight w:val="0"/>
          <w:marTop w:val="0"/>
          <w:marBottom w:val="0"/>
          <w:divBdr>
            <w:top w:val="none" w:sz="0" w:space="0" w:color="auto"/>
            <w:left w:val="none" w:sz="0" w:space="0" w:color="auto"/>
            <w:bottom w:val="none" w:sz="0" w:space="0" w:color="auto"/>
            <w:right w:val="none" w:sz="0" w:space="0" w:color="auto"/>
          </w:divBdr>
          <w:divsChild>
            <w:div w:id="786585128">
              <w:marLeft w:val="0"/>
              <w:marRight w:val="0"/>
              <w:marTop w:val="0"/>
              <w:marBottom w:val="0"/>
              <w:divBdr>
                <w:top w:val="none" w:sz="0" w:space="0" w:color="auto"/>
                <w:left w:val="none" w:sz="0" w:space="0" w:color="auto"/>
                <w:bottom w:val="none" w:sz="0" w:space="0" w:color="auto"/>
                <w:right w:val="none" w:sz="0" w:space="0" w:color="auto"/>
              </w:divBdr>
            </w:div>
          </w:divsChild>
        </w:div>
        <w:div w:id="1826241749">
          <w:marLeft w:val="0"/>
          <w:marRight w:val="0"/>
          <w:marTop w:val="0"/>
          <w:marBottom w:val="0"/>
          <w:divBdr>
            <w:top w:val="none" w:sz="0" w:space="0" w:color="auto"/>
            <w:left w:val="none" w:sz="0" w:space="0" w:color="auto"/>
            <w:bottom w:val="none" w:sz="0" w:space="0" w:color="auto"/>
            <w:right w:val="none" w:sz="0" w:space="0" w:color="auto"/>
          </w:divBdr>
          <w:divsChild>
            <w:div w:id="1809012178">
              <w:marLeft w:val="0"/>
              <w:marRight w:val="0"/>
              <w:marTop w:val="0"/>
              <w:marBottom w:val="0"/>
              <w:divBdr>
                <w:top w:val="none" w:sz="0" w:space="0" w:color="auto"/>
                <w:left w:val="none" w:sz="0" w:space="0" w:color="auto"/>
                <w:bottom w:val="none" w:sz="0" w:space="0" w:color="auto"/>
                <w:right w:val="none" w:sz="0" w:space="0" w:color="auto"/>
              </w:divBdr>
            </w:div>
          </w:divsChild>
        </w:div>
        <w:div w:id="1832872218">
          <w:marLeft w:val="0"/>
          <w:marRight w:val="0"/>
          <w:marTop w:val="0"/>
          <w:marBottom w:val="0"/>
          <w:divBdr>
            <w:top w:val="none" w:sz="0" w:space="0" w:color="auto"/>
            <w:left w:val="none" w:sz="0" w:space="0" w:color="auto"/>
            <w:bottom w:val="none" w:sz="0" w:space="0" w:color="auto"/>
            <w:right w:val="none" w:sz="0" w:space="0" w:color="auto"/>
          </w:divBdr>
          <w:divsChild>
            <w:div w:id="1636642525">
              <w:marLeft w:val="0"/>
              <w:marRight w:val="0"/>
              <w:marTop w:val="0"/>
              <w:marBottom w:val="0"/>
              <w:divBdr>
                <w:top w:val="none" w:sz="0" w:space="0" w:color="auto"/>
                <w:left w:val="none" w:sz="0" w:space="0" w:color="auto"/>
                <w:bottom w:val="none" w:sz="0" w:space="0" w:color="auto"/>
                <w:right w:val="none" w:sz="0" w:space="0" w:color="auto"/>
              </w:divBdr>
            </w:div>
          </w:divsChild>
        </w:div>
        <w:div w:id="1833911406">
          <w:marLeft w:val="0"/>
          <w:marRight w:val="0"/>
          <w:marTop w:val="0"/>
          <w:marBottom w:val="0"/>
          <w:divBdr>
            <w:top w:val="none" w:sz="0" w:space="0" w:color="auto"/>
            <w:left w:val="none" w:sz="0" w:space="0" w:color="auto"/>
            <w:bottom w:val="none" w:sz="0" w:space="0" w:color="auto"/>
            <w:right w:val="none" w:sz="0" w:space="0" w:color="auto"/>
          </w:divBdr>
          <w:divsChild>
            <w:div w:id="1746149531">
              <w:marLeft w:val="0"/>
              <w:marRight w:val="0"/>
              <w:marTop w:val="0"/>
              <w:marBottom w:val="0"/>
              <w:divBdr>
                <w:top w:val="none" w:sz="0" w:space="0" w:color="auto"/>
                <w:left w:val="none" w:sz="0" w:space="0" w:color="auto"/>
                <w:bottom w:val="none" w:sz="0" w:space="0" w:color="auto"/>
                <w:right w:val="none" w:sz="0" w:space="0" w:color="auto"/>
              </w:divBdr>
            </w:div>
          </w:divsChild>
        </w:div>
        <w:div w:id="1890415333">
          <w:marLeft w:val="0"/>
          <w:marRight w:val="0"/>
          <w:marTop w:val="0"/>
          <w:marBottom w:val="0"/>
          <w:divBdr>
            <w:top w:val="none" w:sz="0" w:space="0" w:color="auto"/>
            <w:left w:val="none" w:sz="0" w:space="0" w:color="auto"/>
            <w:bottom w:val="none" w:sz="0" w:space="0" w:color="auto"/>
            <w:right w:val="none" w:sz="0" w:space="0" w:color="auto"/>
          </w:divBdr>
          <w:divsChild>
            <w:div w:id="1028681402">
              <w:marLeft w:val="0"/>
              <w:marRight w:val="0"/>
              <w:marTop w:val="0"/>
              <w:marBottom w:val="0"/>
              <w:divBdr>
                <w:top w:val="none" w:sz="0" w:space="0" w:color="auto"/>
                <w:left w:val="none" w:sz="0" w:space="0" w:color="auto"/>
                <w:bottom w:val="none" w:sz="0" w:space="0" w:color="auto"/>
                <w:right w:val="none" w:sz="0" w:space="0" w:color="auto"/>
              </w:divBdr>
            </w:div>
          </w:divsChild>
        </w:div>
        <w:div w:id="1918052386">
          <w:marLeft w:val="0"/>
          <w:marRight w:val="0"/>
          <w:marTop w:val="0"/>
          <w:marBottom w:val="0"/>
          <w:divBdr>
            <w:top w:val="none" w:sz="0" w:space="0" w:color="auto"/>
            <w:left w:val="none" w:sz="0" w:space="0" w:color="auto"/>
            <w:bottom w:val="none" w:sz="0" w:space="0" w:color="auto"/>
            <w:right w:val="none" w:sz="0" w:space="0" w:color="auto"/>
          </w:divBdr>
          <w:divsChild>
            <w:div w:id="740059176">
              <w:marLeft w:val="0"/>
              <w:marRight w:val="0"/>
              <w:marTop w:val="0"/>
              <w:marBottom w:val="0"/>
              <w:divBdr>
                <w:top w:val="none" w:sz="0" w:space="0" w:color="auto"/>
                <w:left w:val="none" w:sz="0" w:space="0" w:color="auto"/>
                <w:bottom w:val="none" w:sz="0" w:space="0" w:color="auto"/>
                <w:right w:val="none" w:sz="0" w:space="0" w:color="auto"/>
              </w:divBdr>
            </w:div>
          </w:divsChild>
        </w:div>
        <w:div w:id="1928422322">
          <w:marLeft w:val="0"/>
          <w:marRight w:val="0"/>
          <w:marTop w:val="0"/>
          <w:marBottom w:val="0"/>
          <w:divBdr>
            <w:top w:val="none" w:sz="0" w:space="0" w:color="auto"/>
            <w:left w:val="none" w:sz="0" w:space="0" w:color="auto"/>
            <w:bottom w:val="none" w:sz="0" w:space="0" w:color="auto"/>
            <w:right w:val="none" w:sz="0" w:space="0" w:color="auto"/>
          </w:divBdr>
          <w:divsChild>
            <w:div w:id="1353995369">
              <w:marLeft w:val="0"/>
              <w:marRight w:val="0"/>
              <w:marTop w:val="0"/>
              <w:marBottom w:val="0"/>
              <w:divBdr>
                <w:top w:val="none" w:sz="0" w:space="0" w:color="auto"/>
                <w:left w:val="none" w:sz="0" w:space="0" w:color="auto"/>
                <w:bottom w:val="none" w:sz="0" w:space="0" w:color="auto"/>
                <w:right w:val="none" w:sz="0" w:space="0" w:color="auto"/>
              </w:divBdr>
            </w:div>
          </w:divsChild>
        </w:div>
        <w:div w:id="1962413675">
          <w:marLeft w:val="0"/>
          <w:marRight w:val="0"/>
          <w:marTop w:val="0"/>
          <w:marBottom w:val="0"/>
          <w:divBdr>
            <w:top w:val="none" w:sz="0" w:space="0" w:color="auto"/>
            <w:left w:val="none" w:sz="0" w:space="0" w:color="auto"/>
            <w:bottom w:val="none" w:sz="0" w:space="0" w:color="auto"/>
            <w:right w:val="none" w:sz="0" w:space="0" w:color="auto"/>
          </w:divBdr>
          <w:divsChild>
            <w:div w:id="51537747">
              <w:marLeft w:val="0"/>
              <w:marRight w:val="0"/>
              <w:marTop w:val="0"/>
              <w:marBottom w:val="0"/>
              <w:divBdr>
                <w:top w:val="none" w:sz="0" w:space="0" w:color="auto"/>
                <w:left w:val="none" w:sz="0" w:space="0" w:color="auto"/>
                <w:bottom w:val="none" w:sz="0" w:space="0" w:color="auto"/>
                <w:right w:val="none" w:sz="0" w:space="0" w:color="auto"/>
              </w:divBdr>
            </w:div>
          </w:divsChild>
        </w:div>
        <w:div w:id="1967421807">
          <w:marLeft w:val="0"/>
          <w:marRight w:val="0"/>
          <w:marTop w:val="0"/>
          <w:marBottom w:val="0"/>
          <w:divBdr>
            <w:top w:val="none" w:sz="0" w:space="0" w:color="auto"/>
            <w:left w:val="none" w:sz="0" w:space="0" w:color="auto"/>
            <w:bottom w:val="none" w:sz="0" w:space="0" w:color="auto"/>
            <w:right w:val="none" w:sz="0" w:space="0" w:color="auto"/>
          </w:divBdr>
          <w:divsChild>
            <w:div w:id="1849296986">
              <w:marLeft w:val="0"/>
              <w:marRight w:val="0"/>
              <w:marTop w:val="0"/>
              <w:marBottom w:val="0"/>
              <w:divBdr>
                <w:top w:val="none" w:sz="0" w:space="0" w:color="auto"/>
                <w:left w:val="none" w:sz="0" w:space="0" w:color="auto"/>
                <w:bottom w:val="none" w:sz="0" w:space="0" w:color="auto"/>
                <w:right w:val="none" w:sz="0" w:space="0" w:color="auto"/>
              </w:divBdr>
            </w:div>
          </w:divsChild>
        </w:div>
        <w:div w:id="1985349708">
          <w:marLeft w:val="0"/>
          <w:marRight w:val="0"/>
          <w:marTop w:val="0"/>
          <w:marBottom w:val="0"/>
          <w:divBdr>
            <w:top w:val="none" w:sz="0" w:space="0" w:color="auto"/>
            <w:left w:val="none" w:sz="0" w:space="0" w:color="auto"/>
            <w:bottom w:val="none" w:sz="0" w:space="0" w:color="auto"/>
            <w:right w:val="none" w:sz="0" w:space="0" w:color="auto"/>
          </w:divBdr>
          <w:divsChild>
            <w:div w:id="1866478482">
              <w:marLeft w:val="0"/>
              <w:marRight w:val="0"/>
              <w:marTop w:val="0"/>
              <w:marBottom w:val="0"/>
              <w:divBdr>
                <w:top w:val="none" w:sz="0" w:space="0" w:color="auto"/>
                <w:left w:val="none" w:sz="0" w:space="0" w:color="auto"/>
                <w:bottom w:val="none" w:sz="0" w:space="0" w:color="auto"/>
                <w:right w:val="none" w:sz="0" w:space="0" w:color="auto"/>
              </w:divBdr>
            </w:div>
          </w:divsChild>
        </w:div>
        <w:div w:id="1987196241">
          <w:marLeft w:val="0"/>
          <w:marRight w:val="0"/>
          <w:marTop w:val="0"/>
          <w:marBottom w:val="0"/>
          <w:divBdr>
            <w:top w:val="none" w:sz="0" w:space="0" w:color="auto"/>
            <w:left w:val="none" w:sz="0" w:space="0" w:color="auto"/>
            <w:bottom w:val="none" w:sz="0" w:space="0" w:color="auto"/>
            <w:right w:val="none" w:sz="0" w:space="0" w:color="auto"/>
          </w:divBdr>
          <w:divsChild>
            <w:div w:id="190579275">
              <w:marLeft w:val="0"/>
              <w:marRight w:val="0"/>
              <w:marTop w:val="0"/>
              <w:marBottom w:val="0"/>
              <w:divBdr>
                <w:top w:val="none" w:sz="0" w:space="0" w:color="auto"/>
                <w:left w:val="none" w:sz="0" w:space="0" w:color="auto"/>
                <w:bottom w:val="none" w:sz="0" w:space="0" w:color="auto"/>
                <w:right w:val="none" w:sz="0" w:space="0" w:color="auto"/>
              </w:divBdr>
            </w:div>
          </w:divsChild>
        </w:div>
        <w:div w:id="1990360813">
          <w:marLeft w:val="0"/>
          <w:marRight w:val="0"/>
          <w:marTop w:val="0"/>
          <w:marBottom w:val="0"/>
          <w:divBdr>
            <w:top w:val="none" w:sz="0" w:space="0" w:color="auto"/>
            <w:left w:val="none" w:sz="0" w:space="0" w:color="auto"/>
            <w:bottom w:val="none" w:sz="0" w:space="0" w:color="auto"/>
            <w:right w:val="none" w:sz="0" w:space="0" w:color="auto"/>
          </w:divBdr>
          <w:divsChild>
            <w:div w:id="511844944">
              <w:marLeft w:val="0"/>
              <w:marRight w:val="0"/>
              <w:marTop w:val="0"/>
              <w:marBottom w:val="0"/>
              <w:divBdr>
                <w:top w:val="none" w:sz="0" w:space="0" w:color="auto"/>
                <w:left w:val="none" w:sz="0" w:space="0" w:color="auto"/>
                <w:bottom w:val="none" w:sz="0" w:space="0" w:color="auto"/>
                <w:right w:val="none" w:sz="0" w:space="0" w:color="auto"/>
              </w:divBdr>
            </w:div>
          </w:divsChild>
        </w:div>
        <w:div w:id="2005162050">
          <w:marLeft w:val="0"/>
          <w:marRight w:val="0"/>
          <w:marTop w:val="0"/>
          <w:marBottom w:val="0"/>
          <w:divBdr>
            <w:top w:val="none" w:sz="0" w:space="0" w:color="auto"/>
            <w:left w:val="none" w:sz="0" w:space="0" w:color="auto"/>
            <w:bottom w:val="none" w:sz="0" w:space="0" w:color="auto"/>
            <w:right w:val="none" w:sz="0" w:space="0" w:color="auto"/>
          </w:divBdr>
          <w:divsChild>
            <w:div w:id="1798644545">
              <w:marLeft w:val="0"/>
              <w:marRight w:val="0"/>
              <w:marTop w:val="0"/>
              <w:marBottom w:val="0"/>
              <w:divBdr>
                <w:top w:val="none" w:sz="0" w:space="0" w:color="auto"/>
                <w:left w:val="none" w:sz="0" w:space="0" w:color="auto"/>
                <w:bottom w:val="none" w:sz="0" w:space="0" w:color="auto"/>
                <w:right w:val="none" w:sz="0" w:space="0" w:color="auto"/>
              </w:divBdr>
            </w:div>
          </w:divsChild>
        </w:div>
        <w:div w:id="2019261587">
          <w:marLeft w:val="0"/>
          <w:marRight w:val="0"/>
          <w:marTop w:val="0"/>
          <w:marBottom w:val="0"/>
          <w:divBdr>
            <w:top w:val="none" w:sz="0" w:space="0" w:color="auto"/>
            <w:left w:val="none" w:sz="0" w:space="0" w:color="auto"/>
            <w:bottom w:val="none" w:sz="0" w:space="0" w:color="auto"/>
            <w:right w:val="none" w:sz="0" w:space="0" w:color="auto"/>
          </w:divBdr>
          <w:divsChild>
            <w:div w:id="821315112">
              <w:marLeft w:val="0"/>
              <w:marRight w:val="0"/>
              <w:marTop w:val="0"/>
              <w:marBottom w:val="0"/>
              <w:divBdr>
                <w:top w:val="none" w:sz="0" w:space="0" w:color="auto"/>
                <w:left w:val="none" w:sz="0" w:space="0" w:color="auto"/>
                <w:bottom w:val="none" w:sz="0" w:space="0" w:color="auto"/>
                <w:right w:val="none" w:sz="0" w:space="0" w:color="auto"/>
              </w:divBdr>
            </w:div>
          </w:divsChild>
        </w:div>
        <w:div w:id="2025355351">
          <w:marLeft w:val="0"/>
          <w:marRight w:val="0"/>
          <w:marTop w:val="0"/>
          <w:marBottom w:val="0"/>
          <w:divBdr>
            <w:top w:val="none" w:sz="0" w:space="0" w:color="auto"/>
            <w:left w:val="none" w:sz="0" w:space="0" w:color="auto"/>
            <w:bottom w:val="none" w:sz="0" w:space="0" w:color="auto"/>
            <w:right w:val="none" w:sz="0" w:space="0" w:color="auto"/>
          </w:divBdr>
          <w:divsChild>
            <w:div w:id="1060591655">
              <w:marLeft w:val="0"/>
              <w:marRight w:val="0"/>
              <w:marTop w:val="0"/>
              <w:marBottom w:val="0"/>
              <w:divBdr>
                <w:top w:val="none" w:sz="0" w:space="0" w:color="auto"/>
                <w:left w:val="none" w:sz="0" w:space="0" w:color="auto"/>
                <w:bottom w:val="none" w:sz="0" w:space="0" w:color="auto"/>
                <w:right w:val="none" w:sz="0" w:space="0" w:color="auto"/>
              </w:divBdr>
            </w:div>
          </w:divsChild>
        </w:div>
        <w:div w:id="2027099799">
          <w:marLeft w:val="0"/>
          <w:marRight w:val="0"/>
          <w:marTop w:val="0"/>
          <w:marBottom w:val="0"/>
          <w:divBdr>
            <w:top w:val="none" w:sz="0" w:space="0" w:color="auto"/>
            <w:left w:val="none" w:sz="0" w:space="0" w:color="auto"/>
            <w:bottom w:val="none" w:sz="0" w:space="0" w:color="auto"/>
            <w:right w:val="none" w:sz="0" w:space="0" w:color="auto"/>
          </w:divBdr>
          <w:divsChild>
            <w:div w:id="47388406">
              <w:marLeft w:val="0"/>
              <w:marRight w:val="0"/>
              <w:marTop w:val="0"/>
              <w:marBottom w:val="0"/>
              <w:divBdr>
                <w:top w:val="none" w:sz="0" w:space="0" w:color="auto"/>
                <w:left w:val="none" w:sz="0" w:space="0" w:color="auto"/>
                <w:bottom w:val="none" w:sz="0" w:space="0" w:color="auto"/>
                <w:right w:val="none" w:sz="0" w:space="0" w:color="auto"/>
              </w:divBdr>
            </w:div>
          </w:divsChild>
        </w:div>
        <w:div w:id="2030524405">
          <w:marLeft w:val="0"/>
          <w:marRight w:val="0"/>
          <w:marTop w:val="0"/>
          <w:marBottom w:val="0"/>
          <w:divBdr>
            <w:top w:val="none" w:sz="0" w:space="0" w:color="auto"/>
            <w:left w:val="none" w:sz="0" w:space="0" w:color="auto"/>
            <w:bottom w:val="none" w:sz="0" w:space="0" w:color="auto"/>
            <w:right w:val="none" w:sz="0" w:space="0" w:color="auto"/>
          </w:divBdr>
          <w:divsChild>
            <w:div w:id="548303303">
              <w:marLeft w:val="0"/>
              <w:marRight w:val="0"/>
              <w:marTop w:val="0"/>
              <w:marBottom w:val="0"/>
              <w:divBdr>
                <w:top w:val="none" w:sz="0" w:space="0" w:color="auto"/>
                <w:left w:val="none" w:sz="0" w:space="0" w:color="auto"/>
                <w:bottom w:val="none" w:sz="0" w:space="0" w:color="auto"/>
                <w:right w:val="none" w:sz="0" w:space="0" w:color="auto"/>
              </w:divBdr>
            </w:div>
          </w:divsChild>
        </w:div>
        <w:div w:id="2032484660">
          <w:marLeft w:val="0"/>
          <w:marRight w:val="0"/>
          <w:marTop w:val="0"/>
          <w:marBottom w:val="0"/>
          <w:divBdr>
            <w:top w:val="none" w:sz="0" w:space="0" w:color="auto"/>
            <w:left w:val="none" w:sz="0" w:space="0" w:color="auto"/>
            <w:bottom w:val="none" w:sz="0" w:space="0" w:color="auto"/>
            <w:right w:val="none" w:sz="0" w:space="0" w:color="auto"/>
          </w:divBdr>
          <w:divsChild>
            <w:div w:id="691998534">
              <w:marLeft w:val="0"/>
              <w:marRight w:val="0"/>
              <w:marTop w:val="0"/>
              <w:marBottom w:val="0"/>
              <w:divBdr>
                <w:top w:val="none" w:sz="0" w:space="0" w:color="auto"/>
                <w:left w:val="none" w:sz="0" w:space="0" w:color="auto"/>
                <w:bottom w:val="none" w:sz="0" w:space="0" w:color="auto"/>
                <w:right w:val="none" w:sz="0" w:space="0" w:color="auto"/>
              </w:divBdr>
            </w:div>
          </w:divsChild>
        </w:div>
        <w:div w:id="2050840601">
          <w:marLeft w:val="0"/>
          <w:marRight w:val="0"/>
          <w:marTop w:val="0"/>
          <w:marBottom w:val="0"/>
          <w:divBdr>
            <w:top w:val="none" w:sz="0" w:space="0" w:color="auto"/>
            <w:left w:val="none" w:sz="0" w:space="0" w:color="auto"/>
            <w:bottom w:val="none" w:sz="0" w:space="0" w:color="auto"/>
            <w:right w:val="none" w:sz="0" w:space="0" w:color="auto"/>
          </w:divBdr>
          <w:divsChild>
            <w:div w:id="1077285936">
              <w:marLeft w:val="0"/>
              <w:marRight w:val="0"/>
              <w:marTop w:val="0"/>
              <w:marBottom w:val="0"/>
              <w:divBdr>
                <w:top w:val="none" w:sz="0" w:space="0" w:color="auto"/>
                <w:left w:val="none" w:sz="0" w:space="0" w:color="auto"/>
                <w:bottom w:val="none" w:sz="0" w:space="0" w:color="auto"/>
                <w:right w:val="none" w:sz="0" w:space="0" w:color="auto"/>
              </w:divBdr>
            </w:div>
          </w:divsChild>
        </w:div>
        <w:div w:id="2063139648">
          <w:marLeft w:val="0"/>
          <w:marRight w:val="0"/>
          <w:marTop w:val="0"/>
          <w:marBottom w:val="0"/>
          <w:divBdr>
            <w:top w:val="none" w:sz="0" w:space="0" w:color="auto"/>
            <w:left w:val="none" w:sz="0" w:space="0" w:color="auto"/>
            <w:bottom w:val="none" w:sz="0" w:space="0" w:color="auto"/>
            <w:right w:val="none" w:sz="0" w:space="0" w:color="auto"/>
          </w:divBdr>
          <w:divsChild>
            <w:div w:id="363555584">
              <w:marLeft w:val="0"/>
              <w:marRight w:val="0"/>
              <w:marTop w:val="0"/>
              <w:marBottom w:val="0"/>
              <w:divBdr>
                <w:top w:val="none" w:sz="0" w:space="0" w:color="auto"/>
                <w:left w:val="none" w:sz="0" w:space="0" w:color="auto"/>
                <w:bottom w:val="none" w:sz="0" w:space="0" w:color="auto"/>
                <w:right w:val="none" w:sz="0" w:space="0" w:color="auto"/>
              </w:divBdr>
            </w:div>
          </w:divsChild>
        </w:div>
        <w:div w:id="2086292007">
          <w:marLeft w:val="0"/>
          <w:marRight w:val="0"/>
          <w:marTop w:val="0"/>
          <w:marBottom w:val="0"/>
          <w:divBdr>
            <w:top w:val="none" w:sz="0" w:space="0" w:color="auto"/>
            <w:left w:val="none" w:sz="0" w:space="0" w:color="auto"/>
            <w:bottom w:val="none" w:sz="0" w:space="0" w:color="auto"/>
            <w:right w:val="none" w:sz="0" w:space="0" w:color="auto"/>
          </w:divBdr>
          <w:divsChild>
            <w:div w:id="1238249362">
              <w:marLeft w:val="0"/>
              <w:marRight w:val="0"/>
              <w:marTop w:val="0"/>
              <w:marBottom w:val="0"/>
              <w:divBdr>
                <w:top w:val="none" w:sz="0" w:space="0" w:color="auto"/>
                <w:left w:val="none" w:sz="0" w:space="0" w:color="auto"/>
                <w:bottom w:val="none" w:sz="0" w:space="0" w:color="auto"/>
                <w:right w:val="none" w:sz="0" w:space="0" w:color="auto"/>
              </w:divBdr>
            </w:div>
          </w:divsChild>
        </w:div>
        <w:div w:id="2106613191">
          <w:marLeft w:val="0"/>
          <w:marRight w:val="0"/>
          <w:marTop w:val="0"/>
          <w:marBottom w:val="0"/>
          <w:divBdr>
            <w:top w:val="none" w:sz="0" w:space="0" w:color="auto"/>
            <w:left w:val="none" w:sz="0" w:space="0" w:color="auto"/>
            <w:bottom w:val="none" w:sz="0" w:space="0" w:color="auto"/>
            <w:right w:val="none" w:sz="0" w:space="0" w:color="auto"/>
          </w:divBdr>
          <w:divsChild>
            <w:div w:id="1294559996">
              <w:marLeft w:val="0"/>
              <w:marRight w:val="0"/>
              <w:marTop w:val="0"/>
              <w:marBottom w:val="0"/>
              <w:divBdr>
                <w:top w:val="none" w:sz="0" w:space="0" w:color="auto"/>
                <w:left w:val="none" w:sz="0" w:space="0" w:color="auto"/>
                <w:bottom w:val="none" w:sz="0" w:space="0" w:color="auto"/>
                <w:right w:val="none" w:sz="0" w:space="0" w:color="auto"/>
              </w:divBdr>
            </w:div>
          </w:divsChild>
        </w:div>
        <w:div w:id="2118330533">
          <w:marLeft w:val="0"/>
          <w:marRight w:val="0"/>
          <w:marTop w:val="0"/>
          <w:marBottom w:val="0"/>
          <w:divBdr>
            <w:top w:val="none" w:sz="0" w:space="0" w:color="auto"/>
            <w:left w:val="none" w:sz="0" w:space="0" w:color="auto"/>
            <w:bottom w:val="none" w:sz="0" w:space="0" w:color="auto"/>
            <w:right w:val="none" w:sz="0" w:space="0" w:color="auto"/>
          </w:divBdr>
          <w:divsChild>
            <w:div w:id="5760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1937">
      <w:bodyDiv w:val="1"/>
      <w:marLeft w:val="0"/>
      <w:marRight w:val="0"/>
      <w:marTop w:val="0"/>
      <w:marBottom w:val="0"/>
      <w:divBdr>
        <w:top w:val="none" w:sz="0" w:space="0" w:color="auto"/>
        <w:left w:val="none" w:sz="0" w:space="0" w:color="auto"/>
        <w:bottom w:val="none" w:sz="0" w:space="0" w:color="auto"/>
        <w:right w:val="none" w:sz="0" w:space="0" w:color="auto"/>
      </w:divBdr>
    </w:div>
    <w:div w:id="2046759212">
      <w:bodyDiv w:val="1"/>
      <w:marLeft w:val="0"/>
      <w:marRight w:val="0"/>
      <w:marTop w:val="0"/>
      <w:marBottom w:val="0"/>
      <w:divBdr>
        <w:top w:val="none" w:sz="0" w:space="0" w:color="auto"/>
        <w:left w:val="none" w:sz="0" w:space="0" w:color="auto"/>
        <w:bottom w:val="none" w:sz="0" w:space="0" w:color="auto"/>
        <w:right w:val="none" w:sz="0" w:space="0" w:color="auto"/>
      </w:divBdr>
    </w:div>
    <w:div w:id="2050258295">
      <w:bodyDiv w:val="1"/>
      <w:marLeft w:val="0"/>
      <w:marRight w:val="0"/>
      <w:marTop w:val="0"/>
      <w:marBottom w:val="0"/>
      <w:divBdr>
        <w:top w:val="none" w:sz="0" w:space="0" w:color="auto"/>
        <w:left w:val="none" w:sz="0" w:space="0" w:color="auto"/>
        <w:bottom w:val="none" w:sz="0" w:space="0" w:color="auto"/>
        <w:right w:val="none" w:sz="0" w:space="0" w:color="auto"/>
      </w:divBdr>
      <w:divsChild>
        <w:div w:id="7876966">
          <w:marLeft w:val="0"/>
          <w:marRight w:val="0"/>
          <w:marTop w:val="0"/>
          <w:marBottom w:val="0"/>
          <w:divBdr>
            <w:top w:val="none" w:sz="0" w:space="0" w:color="auto"/>
            <w:left w:val="none" w:sz="0" w:space="0" w:color="auto"/>
            <w:bottom w:val="none" w:sz="0" w:space="0" w:color="auto"/>
            <w:right w:val="none" w:sz="0" w:space="0" w:color="auto"/>
          </w:divBdr>
          <w:divsChild>
            <w:div w:id="1885214441">
              <w:marLeft w:val="0"/>
              <w:marRight w:val="0"/>
              <w:marTop w:val="0"/>
              <w:marBottom w:val="0"/>
              <w:divBdr>
                <w:top w:val="none" w:sz="0" w:space="0" w:color="auto"/>
                <w:left w:val="none" w:sz="0" w:space="0" w:color="auto"/>
                <w:bottom w:val="none" w:sz="0" w:space="0" w:color="auto"/>
                <w:right w:val="none" w:sz="0" w:space="0" w:color="auto"/>
              </w:divBdr>
            </w:div>
          </w:divsChild>
        </w:div>
        <w:div w:id="14696302">
          <w:marLeft w:val="0"/>
          <w:marRight w:val="0"/>
          <w:marTop w:val="0"/>
          <w:marBottom w:val="0"/>
          <w:divBdr>
            <w:top w:val="none" w:sz="0" w:space="0" w:color="auto"/>
            <w:left w:val="none" w:sz="0" w:space="0" w:color="auto"/>
            <w:bottom w:val="none" w:sz="0" w:space="0" w:color="auto"/>
            <w:right w:val="none" w:sz="0" w:space="0" w:color="auto"/>
          </w:divBdr>
          <w:divsChild>
            <w:div w:id="1187597254">
              <w:marLeft w:val="0"/>
              <w:marRight w:val="0"/>
              <w:marTop w:val="0"/>
              <w:marBottom w:val="0"/>
              <w:divBdr>
                <w:top w:val="none" w:sz="0" w:space="0" w:color="auto"/>
                <w:left w:val="none" w:sz="0" w:space="0" w:color="auto"/>
                <w:bottom w:val="none" w:sz="0" w:space="0" w:color="auto"/>
                <w:right w:val="none" w:sz="0" w:space="0" w:color="auto"/>
              </w:divBdr>
            </w:div>
          </w:divsChild>
        </w:div>
        <w:div w:id="50810950">
          <w:marLeft w:val="0"/>
          <w:marRight w:val="0"/>
          <w:marTop w:val="0"/>
          <w:marBottom w:val="0"/>
          <w:divBdr>
            <w:top w:val="none" w:sz="0" w:space="0" w:color="auto"/>
            <w:left w:val="none" w:sz="0" w:space="0" w:color="auto"/>
            <w:bottom w:val="none" w:sz="0" w:space="0" w:color="auto"/>
            <w:right w:val="none" w:sz="0" w:space="0" w:color="auto"/>
          </w:divBdr>
          <w:divsChild>
            <w:div w:id="247471786">
              <w:marLeft w:val="0"/>
              <w:marRight w:val="0"/>
              <w:marTop w:val="0"/>
              <w:marBottom w:val="0"/>
              <w:divBdr>
                <w:top w:val="none" w:sz="0" w:space="0" w:color="auto"/>
                <w:left w:val="none" w:sz="0" w:space="0" w:color="auto"/>
                <w:bottom w:val="none" w:sz="0" w:space="0" w:color="auto"/>
                <w:right w:val="none" w:sz="0" w:space="0" w:color="auto"/>
              </w:divBdr>
            </w:div>
          </w:divsChild>
        </w:div>
        <w:div w:id="54208940">
          <w:marLeft w:val="0"/>
          <w:marRight w:val="0"/>
          <w:marTop w:val="0"/>
          <w:marBottom w:val="0"/>
          <w:divBdr>
            <w:top w:val="none" w:sz="0" w:space="0" w:color="auto"/>
            <w:left w:val="none" w:sz="0" w:space="0" w:color="auto"/>
            <w:bottom w:val="none" w:sz="0" w:space="0" w:color="auto"/>
            <w:right w:val="none" w:sz="0" w:space="0" w:color="auto"/>
          </w:divBdr>
          <w:divsChild>
            <w:div w:id="1795246138">
              <w:marLeft w:val="0"/>
              <w:marRight w:val="0"/>
              <w:marTop w:val="0"/>
              <w:marBottom w:val="0"/>
              <w:divBdr>
                <w:top w:val="none" w:sz="0" w:space="0" w:color="auto"/>
                <w:left w:val="none" w:sz="0" w:space="0" w:color="auto"/>
                <w:bottom w:val="none" w:sz="0" w:space="0" w:color="auto"/>
                <w:right w:val="none" w:sz="0" w:space="0" w:color="auto"/>
              </w:divBdr>
            </w:div>
          </w:divsChild>
        </w:div>
        <w:div w:id="100688475">
          <w:marLeft w:val="0"/>
          <w:marRight w:val="0"/>
          <w:marTop w:val="0"/>
          <w:marBottom w:val="0"/>
          <w:divBdr>
            <w:top w:val="none" w:sz="0" w:space="0" w:color="auto"/>
            <w:left w:val="none" w:sz="0" w:space="0" w:color="auto"/>
            <w:bottom w:val="none" w:sz="0" w:space="0" w:color="auto"/>
            <w:right w:val="none" w:sz="0" w:space="0" w:color="auto"/>
          </w:divBdr>
          <w:divsChild>
            <w:div w:id="928153185">
              <w:marLeft w:val="0"/>
              <w:marRight w:val="0"/>
              <w:marTop w:val="0"/>
              <w:marBottom w:val="0"/>
              <w:divBdr>
                <w:top w:val="none" w:sz="0" w:space="0" w:color="auto"/>
                <w:left w:val="none" w:sz="0" w:space="0" w:color="auto"/>
                <w:bottom w:val="none" w:sz="0" w:space="0" w:color="auto"/>
                <w:right w:val="none" w:sz="0" w:space="0" w:color="auto"/>
              </w:divBdr>
            </w:div>
          </w:divsChild>
        </w:div>
        <w:div w:id="155266790">
          <w:marLeft w:val="0"/>
          <w:marRight w:val="0"/>
          <w:marTop w:val="0"/>
          <w:marBottom w:val="0"/>
          <w:divBdr>
            <w:top w:val="none" w:sz="0" w:space="0" w:color="auto"/>
            <w:left w:val="none" w:sz="0" w:space="0" w:color="auto"/>
            <w:bottom w:val="none" w:sz="0" w:space="0" w:color="auto"/>
            <w:right w:val="none" w:sz="0" w:space="0" w:color="auto"/>
          </w:divBdr>
          <w:divsChild>
            <w:div w:id="255871585">
              <w:marLeft w:val="0"/>
              <w:marRight w:val="0"/>
              <w:marTop w:val="0"/>
              <w:marBottom w:val="0"/>
              <w:divBdr>
                <w:top w:val="none" w:sz="0" w:space="0" w:color="auto"/>
                <w:left w:val="none" w:sz="0" w:space="0" w:color="auto"/>
                <w:bottom w:val="none" w:sz="0" w:space="0" w:color="auto"/>
                <w:right w:val="none" w:sz="0" w:space="0" w:color="auto"/>
              </w:divBdr>
            </w:div>
            <w:div w:id="366415036">
              <w:marLeft w:val="0"/>
              <w:marRight w:val="0"/>
              <w:marTop w:val="0"/>
              <w:marBottom w:val="0"/>
              <w:divBdr>
                <w:top w:val="none" w:sz="0" w:space="0" w:color="auto"/>
                <w:left w:val="none" w:sz="0" w:space="0" w:color="auto"/>
                <w:bottom w:val="none" w:sz="0" w:space="0" w:color="auto"/>
                <w:right w:val="none" w:sz="0" w:space="0" w:color="auto"/>
              </w:divBdr>
            </w:div>
          </w:divsChild>
        </w:div>
        <w:div w:id="161237277">
          <w:marLeft w:val="0"/>
          <w:marRight w:val="0"/>
          <w:marTop w:val="0"/>
          <w:marBottom w:val="0"/>
          <w:divBdr>
            <w:top w:val="none" w:sz="0" w:space="0" w:color="auto"/>
            <w:left w:val="none" w:sz="0" w:space="0" w:color="auto"/>
            <w:bottom w:val="none" w:sz="0" w:space="0" w:color="auto"/>
            <w:right w:val="none" w:sz="0" w:space="0" w:color="auto"/>
          </w:divBdr>
          <w:divsChild>
            <w:div w:id="669059960">
              <w:marLeft w:val="0"/>
              <w:marRight w:val="0"/>
              <w:marTop w:val="0"/>
              <w:marBottom w:val="0"/>
              <w:divBdr>
                <w:top w:val="none" w:sz="0" w:space="0" w:color="auto"/>
                <w:left w:val="none" w:sz="0" w:space="0" w:color="auto"/>
                <w:bottom w:val="none" w:sz="0" w:space="0" w:color="auto"/>
                <w:right w:val="none" w:sz="0" w:space="0" w:color="auto"/>
              </w:divBdr>
            </w:div>
          </w:divsChild>
        </w:div>
        <w:div w:id="222955443">
          <w:marLeft w:val="0"/>
          <w:marRight w:val="0"/>
          <w:marTop w:val="0"/>
          <w:marBottom w:val="0"/>
          <w:divBdr>
            <w:top w:val="none" w:sz="0" w:space="0" w:color="auto"/>
            <w:left w:val="none" w:sz="0" w:space="0" w:color="auto"/>
            <w:bottom w:val="none" w:sz="0" w:space="0" w:color="auto"/>
            <w:right w:val="none" w:sz="0" w:space="0" w:color="auto"/>
          </w:divBdr>
          <w:divsChild>
            <w:div w:id="1808860337">
              <w:marLeft w:val="0"/>
              <w:marRight w:val="0"/>
              <w:marTop w:val="0"/>
              <w:marBottom w:val="0"/>
              <w:divBdr>
                <w:top w:val="none" w:sz="0" w:space="0" w:color="auto"/>
                <w:left w:val="none" w:sz="0" w:space="0" w:color="auto"/>
                <w:bottom w:val="none" w:sz="0" w:space="0" w:color="auto"/>
                <w:right w:val="none" w:sz="0" w:space="0" w:color="auto"/>
              </w:divBdr>
            </w:div>
          </w:divsChild>
        </w:div>
        <w:div w:id="229393110">
          <w:marLeft w:val="0"/>
          <w:marRight w:val="0"/>
          <w:marTop w:val="0"/>
          <w:marBottom w:val="0"/>
          <w:divBdr>
            <w:top w:val="none" w:sz="0" w:space="0" w:color="auto"/>
            <w:left w:val="none" w:sz="0" w:space="0" w:color="auto"/>
            <w:bottom w:val="none" w:sz="0" w:space="0" w:color="auto"/>
            <w:right w:val="none" w:sz="0" w:space="0" w:color="auto"/>
          </w:divBdr>
          <w:divsChild>
            <w:div w:id="1370035345">
              <w:marLeft w:val="0"/>
              <w:marRight w:val="0"/>
              <w:marTop w:val="0"/>
              <w:marBottom w:val="0"/>
              <w:divBdr>
                <w:top w:val="none" w:sz="0" w:space="0" w:color="auto"/>
                <w:left w:val="none" w:sz="0" w:space="0" w:color="auto"/>
                <w:bottom w:val="none" w:sz="0" w:space="0" w:color="auto"/>
                <w:right w:val="none" w:sz="0" w:space="0" w:color="auto"/>
              </w:divBdr>
            </w:div>
          </w:divsChild>
        </w:div>
        <w:div w:id="234361395">
          <w:marLeft w:val="0"/>
          <w:marRight w:val="0"/>
          <w:marTop w:val="0"/>
          <w:marBottom w:val="0"/>
          <w:divBdr>
            <w:top w:val="none" w:sz="0" w:space="0" w:color="auto"/>
            <w:left w:val="none" w:sz="0" w:space="0" w:color="auto"/>
            <w:bottom w:val="none" w:sz="0" w:space="0" w:color="auto"/>
            <w:right w:val="none" w:sz="0" w:space="0" w:color="auto"/>
          </w:divBdr>
          <w:divsChild>
            <w:div w:id="1812364741">
              <w:marLeft w:val="0"/>
              <w:marRight w:val="0"/>
              <w:marTop w:val="0"/>
              <w:marBottom w:val="0"/>
              <w:divBdr>
                <w:top w:val="none" w:sz="0" w:space="0" w:color="auto"/>
                <w:left w:val="none" w:sz="0" w:space="0" w:color="auto"/>
                <w:bottom w:val="none" w:sz="0" w:space="0" w:color="auto"/>
                <w:right w:val="none" w:sz="0" w:space="0" w:color="auto"/>
              </w:divBdr>
            </w:div>
          </w:divsChild>
        </w:div>
        <w:div w:id="239144530">
          <w:marLeft w:val="0"/>
          <w:marRight w:val="0"/>
          <w:marTop w:val="0"/>
          <w:marBottom w:val="0"/>
          <w:divBdr>
            <w:top w:val="none" w:sz="0" w:space="0" w:color="auto"/>
            <w:left w:val="none" w:sz="0" w:space="0" w:color="auto"/>
            <w:bottom w:val="none" w:sz="0" w:space="0" w:color="auto"/>
            <w:right w:val="none" w:sz="0" w:space="0" w:color="auto"/>
          </w:divBdr>
          <w:divsChild>
            <w:div w:id="1553232898">
              <w:marLeft w:val="0"/>
              <w:marRight w:val="0"/>
              <w:marTop w:val="0"/>
              <w:marBottom w:val="0"/>
              <w:divBdr>
                <w:top w:val="none" w:sz="0" w:space="0" w:color="auto"/>
                <w:left w:val="none" w:sz="0" w:space="0" w:color="auto"/>
                <w:bottom w:val="none" w:sz="0" w:space="0" w:color="auto"/>
                <w:right w:val="none" w:sz="0" w:space="0" w:color="auto"/>
              </w:divBdr>
            </w:div>
          </w:divsChild>
        </w:div>
        <w:div w:id="256522711">
          <w:marLeft w:val="0"/>
          <w:marRight w:val="0"/>
          <w:marTop w:val="0"/>
          <w:marBottom w:val="0"/>
          <w:divBdr>
            <w:top w:val="none" w:sz="0" w:space="0" w:color="auto"/>
            <w:left w:val="none" w:sz="0" w:space="0" w:color="auto"/>
            <w:bottom w:val="none" w:sz="0" w:space="0" w:color="auto"/>
            <w:right w:val="none" w:sz="0" w:space="0" w:color="auto"/>
          </w:divBdr>
          <w:divsChild>
            <w:div w:id="1455903977">
              <w:marLeft w:val="0"/>
              <w:marRight w:val="0"/>
              <w:marTop w:val="0"/>
              <w:marBottom w:val="0"/>
              <w:divBdr>
                <w:top w:val="none" w:sz="0" w:space="0" w:color="auto"/>
                <w:left w:val="none" w:sz="0" w:space="0" w:color="auto"/>
                <w:bottom w:val="none" w:sz="0" w:space="0" w:color="auto"/>
                <w:right w:val="none" w:sz="0" w:space="0" w:color="auto"/>
              </w:divBdr>
            </w:div>
          </w:divsChild>
        </w:div>
        <w:div w:id="314334905">
          <w:marLeft w:val="0"/>
          <w:marRight w:val="0"/>
          <w:marTop w:val="0"/>
          <w:marBottom w:val="0"/>
          <w:divBdr>
            <w:top w:val="none" w:sz="0" w:space="0" w:color="auto"/>
            <w:left w:val="none" w:sz="0" w:space="0" w:color="auto"/>
            <w:bottom w:val="none" w:sz="0" w:space="0" w:color="auto"/>
            <w:right w:val="none" w:sz="0" w:space="0" w:color="auto"/>
          </w:divBdr>
          <w:divsChild>
            <w:div w:id="1032000354">
              <w:marLeft w:val="0"/>
              <w:marRight w:val="0"/>
              <w:marTop w:val="0"/>
              <w:marBottom w:val="0"/>
              <w:divBdr>
                <w:top w:val="none" w:sz="0" w:space="0" w:color="auto"/>
                <w:left w:val="none" w:sz="0" w:space="0" w:color="auto"/>
                <w:bottom w:val="none" w:sz="0" w:space="0" w:color="auto"/>
                <w:right w:val="none" w:sz="0" w:space="0" w:color="auto"/>
              </w:divBdr>
            </w:div>
          </w:divsChild>
        </w:div>
        <w:div w:id="476580570">
          <w:marLeft w:val="0"/>
          <w:marRight w:val="0"/>
          <w:marTop w:val="0"/>
          <w:marBottom w:val="0"/>
          <w:divBdr>
            <w:top w:val="none" w:sz="0" w:space="0" w:color="auto"/>
            <w:left w:val="none" w:sz="0" w:space="0" w:color="auto"/>
            <w:bottom w:val="none" w:sz="0" w:space="0" w:color="auto"/>
            <w:right w:val="none" w:sz="0" w:space="0" w:color="auto"/>
          </w:divBdr>
          <w:divsChild>
            <w:div w:id="881794768">
              <w:marLeft w:val="0"/>
              <w:marRight w:val="0"/>
              <w:marTop w:val="0"/>
              <w:marBottom w:val="0"/>
              <w:divBdr>
                <w:top w:val="none" w:sz="0" w:space="0" w:color="auto"/>
                <w:left w:val="none" w:sz="0" w:space="0" w:color="auto"/>
                <w:bottom w:val="none" w:sz="0" w:space="0" w:color="auto"/>
                <w:right w:val="none" w:sz="0" w:space="0" w:color="auto"/>
              </w:divBdr>
            </w:div>
          </w:divsChild>
        </w:div>
        <w:div w:id="481124086">
          <w:marLeft w:val="0"/>
          <w:marRight w:val="0"/>
          <w:marTop w:val="0"/>
          <w:marBottom w:val="0"/>
          <w:divBdr>
            <w:top w:val="none" w:sz="0" w:space="0" w:color="auto"/>
            <w:left w:val="none" w:sz="0" w:space="0" w:color="auto"/>
            <w:bottom w:val="none" w:sz="0" w:space="0" w:color="auto"/>
            <w:right w:val="none" w:sz="0" w:space="0" w:color="auto"/>
          </w:divBdr>
          <w:divsChild>
            <w:div w:id="490677577">
              <w:marLeft w:val="0"/>
              <w:marRight w:val="0"/>
              <w:marTop w:val="0"/>
              <w:marBottom w:val="0"/>
              <w:divBdr>
                <w:top w:val="none" w:sz="0" w:space="0" w:color="auto"/>
                <w:left w:val="none" w:sz="0" w:space="0" w:color="auto"/>
                <w:bottom w:val="none" w:sz="0" w:space="0" w:color="auto"/>
                <w:right w:val="none" w:sz="0" w:space="0" w:color="auto"/>
              </w:divBdr>
            </w:div>
            <w:div w:id="1793591140">
              <w:marLeft w:val="0"/>
              <w:marRight w:val="0"/>
              <w:marTop w:val="0"/>
              <w:marBottom w:val="0"/>
              <w:divBdr>
                <w:top w:val="none" w:sz="0" w:space="0" w:color="auto"/>
                <w:left w:val="none" w:sz="0" w:space="0" w:color="auto"/>
                <w:bottom w:val="none" w:sz="0" w:space="0" w:color="auto"/>
                <w:right w:val="none" w:sz="0" w:space="0" w:color="auto"/>
              </w:divBdr>
            </w:div>
          </w:divsChild>
        </w:div>
        <w:div w:id="484245535">
          <w:marLeft w:val="0"/>
          <w:marRight w:val="0"/>
          <w:marTop w:val="0"/>
          <w:marBottom w:val="0"/>
          <w:divBdr>
            <w:top w:val="none" w:sz="0" w:space="0" w:color="auto"/>
            <w:left w:val="none" w:sz="0" w:space="0" w:color="auto"/>
            <w:bottom w:val="none" w:sz="0" w:space="0" w:color="auto"/>
            <w:right w:val="none" w:sz="0" w:space="0" w:color="auto"/>
          </w:divBdr>
          <w:divsChild>
            <w:div w:id="2045054367">
              <w:marLeft w:val="0"/>
              <w:marRight w:val="0"/>
              <w:marTop w:val="0"/>
              <w:marBottom w:val="0"/>
              <w:divBdr>
                <w:top w:val="none" w:sz="0" w:space="0" w:color="auto"/>
                <w:left w:val="none" w:sz="0" w:space="0" w:color="auto"/>
                <w:bottom w:val="none" w:sz="0" w:space="0" w:color="auto"/>
                <w:right w:val="none" w:sz="0" w:space="0" w:color="auto"/>
              </w:divBdr>
            </w:div>
          </w:divsChild>
        </w:div>
        <w:div w:id="500198813">
          <w:marLeft w:val="0"/>
          <w:marRight w:val="0"/>
          <w:marTop w:val="0"/>
          <w:marBottom w:val="0"/>
          <w:divBdr>
            <w:top w:val="none" w:sz="0" w:space="0" w:color="auto"/>
            <w:left w:val="none" w:sz="0" w:space="0" w:color="auto"/>
            <w:bottom w:val="none" w:sz="0" w:space="0" w:color="auto"/>
            <w:right w:val="none" w:sz="0" w:space="0" w:color="auto"/>
          </w:divBdr>
          <w:divsChild>
            <w:div w:id="42100063">
              <w:marLeft w:val="0"/>
              <w:marRight w:val="0"/>
              <w:marTop w:val="0"/>
              <w:marBottom w:val="0"/>
              <w:divBdr>
                <w:top w:val="none" w:sz="0" w:space="0" w:color="auto"/>
                <w:left w:val="none" w:sz="0" w:space="0" w:color="auto"/>
                <w:bottom w:val="none" w:sz="0" w:space="0" w:color="auto"/>
                <w:right w:val="none" w:sz="0" w:space="0" w:color="auto"/>
              </w:divBdr>
            </w:div>
          </w:divsChild>
        </w:div>
        <w:div w:id="643898405">
          <w:marLeft w:val="0"/>
          <w:marRight w:val="0"/>
          <w:marTop w:val="0"/>
          <w:marBottom w:val="0"/>
          <w:divBdr>
            <w:top w:val="none" w:sz="0" w:space="0" w:color="auto"/>
            <w:left w:val="none" w:sz="0" w:space="0" w:color="auto"/>
            <w:bottom w:val="none" w:sz="0" w:space="0" w:color="auto"/>
            <w:right w:val="none" w:sz="0" w:space="0" w:color="auto"/>
          </w:divBdr>
          <w:divsChild>
            <w:div w:id="795104620">
              <w:marLeft w:val="0"/>
              <w:marRight w:val="0"/>
              <w:marTop w:val="0"/>
              <w:marBottom w:val="0"/>
              <w:divBdr>
                <w:top w:val="none" w:sz="0" w:space="0" w:color="auto"/>
                <w:left w:val="none" w:sz="0" w:space="0" w:color="auto"/>
                <w:bottom w:val="none" w:sz="0" w:space="0" w:color="auto"/>
                <w:right w:val="none" w:sz="0" w:space="0" w:color="auto"/>
              </w:divBdr>
            </w:div>
          </w:divsChild>
        </w:div>
        <w:div w:id="715660340">
          <w:marLeft w:val="0"/>
          <w:marRight w:val="0"/>
          <w:marTop w:val="0"/>
          <w:marBottom w:val="0"/>
          <w:divBdr>
            <w:top w:val="none" w:sz="0" w:space="0" w:color="auto"/>
            <w:left w:val="none" w:sz="0" w:space="0" w:color="auto"/>
            <w:bottom w:val="none" w:sz="0" w:space="0" w:color="auto"/>
            <w:right w:val="none" w:sz="0" w:space="0" w:color="auto"/>
          </w:divBdr>
          <w:divsChild>
            <w:div w:id="1300842819">
              <w:marLeft w:val="0"/>
              <w:marRight w:val="0"/>
              <w:marTop w:val="0"/>
              <w:marBottom w:val="0"/>
              <w:divBdr>
                <w:top w:val="none" w:sz="0" w:space="0" w:color="auto"/>
                <w:left w:val="none" w:sz="0" w:space="0" w:color="auto"/>
                <w:bottom w:val="none" w:sz="0" w:space="0" w:color="auto"/>
                <w:right w:val="none" w:sz="0" w:space="0" w:color="auto"/>
              </w:divBdr>
            </w:div>
          </w:divsChild>
        </w:div>
        <w:div w:id="784889358">
          <w:marLeft w:val="0"/>
          <w:marRight w:val="0"/>
          <w:marTop w:val="0"/>
          <w:marBottom w:val="0"/>
          <w:divBdr>
            <w:top w:val="none" w:sz="0" w:space="0" w:color="auto"/>
            <w:left w:val="none" w:sz="0" w:space="0" w:color="auto"/>
            <w:bottom w:val="none" w:sz="0" w:space="0" w:color="auto"/>
            <w:right w:val="none" w:sz="0" w:space="0" w:color="auto"/>
          </w:divBdr>
          <w:divsChild>
            <w:div w:id="554777298">
              <w:marLeft w:val="0"/>
              <w:marRight w:val="0"/>
              <w:marTop w:val="0"/>
              <w:marBottom w:val="0"/>
              <w:divBdr>
                <w:top w:val="none" w:sz="0" w:space="0" w:color="auto"/>
                <w:left w:val="none" w:sz="0" w:space="0" w:color="auto"/>
                <w:bottom w:val="none" w:sz="0" w:space="0" w:color="auto"/>
                <w:right w:val="none" w:sz="0" w:space="0" w:color="auto"/>
              </w:divBdr>
            </w:div>
            <w:div w:id="1077216294">
              <w:marLeft w:val="0"/>
              <w:marRight w:val="0"/>
              <w:marTop w:val="0"/>
              <w:marBottom w:val="0"/>
              <w:divBdr>
                <w:top w:val="none" w:sz="0" w:space="0" w:color="auto"/>
                <w:left w:val="none" w:sz="0" w:space="0" w:color="auto"/>
                <w:bottom w:val="none" w:sz="0" w:space="0" w:color="auto"/>
                <w:right w:val="none" w:sz="0" w:space="0" w:color="auto"/>
              </w:divBdr>
            </w:div>
          </w:divsChild>
        </w:div>
        <w:div w:id="941110756">
          <w:marLeft w:val="0"/>
          <w:marRight w:val="0"/>
          <w:marTop w:val="0"/>
          <w:marBottom w:val="0"/>
          <w:divBdr>
            <w:top w:val="none" w:sz="0" w:space="0" w:color="auto"/>
            <w:left w:val="none" w:sz="0" w:space="0" w:color="auto"/>
            <w:bottom w:val="none" w:sz="0" w:space="0" w:color="auto"/>
            <w:right w:val="none" w:sz="0" w:space="0" w:color="auto"/>
          </w:divBdr>
          <w:divsChild>
            <w:div w:id="1711605789">
              <w:marLeft w:val="0"/>
              <w:marRight w:val="0"/>
              <w:marTop w:val="0"/>
              <w:marBottom w:val="0"/>
              <w:divBdr>
                <w:top w:val="none" w:sz="0" w:space="0" w:color="auto"/>
                <w:left w:val="none" w:sz="0" w:space="0" w:color="auto"/>
                <w:bottom w:val="none" w:sz="0" w:space="0" w:color="auto"/>
                <w:right w:val="none" w:sz="0" w:space="0" w:color="auto"/>
              </w:divBdr>
            </w:div>
          </w:divsChild>
        </w:div>
        <w:div w:id="944927344">
          <w:marLeft w:val="0"/>
          <w:marRight w:val="0"/>
          <w:marTop w:val="0"/>
          <w:marBottom w:val="0"/>
          <w:divBdr>
            <w:top w:val="none" w:sz="0" w:space="0" w:color="auto"/>
            <w:left w:val="none" w:sz="0" w:space="0" w:color="auto"/>
            <w:bottom w:val="none" w:sz="0" w:space="0" w:color="auto"/>
            <w:right w:val="none" w:sz="0" w:space="0" w:color="auto"/>
          </w:divBdr>
          <w:divsChild>
            <w:div w:id="590235744">
              <w:marLeft w:val="0"/>
              <w:marRight w:val="0"/>
              <w:marTop w:val="0"/>
              <w:marBottom w:val="0"/>
              <w:divBdr>
                <w:top w:val="none" w:sz="0" w:space="0" w:color="auto"/>
                <w:left w:val="none" w:sz="0" w:space="0" w:color="auto"/>
                <w:bottom w:val="none" w:sz="0" w:space="0" w:color="auto"/>
                <w:right w:val="none" w:sz="0" w:space="0" w:color="auto"/>
              </w:divBdr>
            </w:div>
          </w:divsChild>
        </w:div>
        <w:div w:id="999314553">
          <w:marLeft w:val="0"/>
          <w:marRight w:val="0"/>
          <w:marTop w:val="0"/>
          <w:marBottom w:val="0"/>
          <w:divBdr>
            <w:top w:val="none" w:sz="0" w:space="0" w:color="auto"/>
            <w:left w:val="none" w:sz="0" w:space="0" w:color="auto"/>
            <w:bottom w:val="none" w:sz="0" w:space="0" w:color="auto"/>
            <w:right w:val="none" w:sz="0" w:space="0" w:color="auto"/>
          </w:divBdr>
          <w:divsChild>
            <w:div w:id="287246935">
              <w:marLeft w:val="0"/>
              <w:marRight w:val="0"/>
              <w:marTop w:val="0"/>
              <w:marBottom w:val="0"/>
              <w:divBdr>
                <w:top w:val="none" w:sz="0" w:space="0" w:color="auto"/>
                <w:left w:val="none" w:sz="0" w:space="0" w:color="auto"/>
                <w:bottom w:val="none" w:sz="0" w:space="0" w:color="auto"/>
                <w:right w:val="none" w:sz="0" w:space="0" w:color="auto"/>
              </w:divBdr>
            </w:div>
          </w:divsChild>
        </w:div>
        <w:div w:id="1011760107">
          <w:marLeft w:val="0"/>
          <w:marRight w:val="0"/>
          <w:marTop w:val="0"/>
          <w:marBottom w:val="0"/>
          <w:divBdr>
            <w:top w:val="none" w:sz="0" w:space="0" w:color="auto"/>
            <w:left w:val="none" w:sz="0" w:space="0" w:color="auto"/>
            <w:bottom w:val="none" w:sz="0" w:space="0" w:color="auto"/>
            <w:right w:val="none" w:sz="0" w:space="0" w:color="auto"/>
          </w:divBdr>
          <w:divsChild>
            <w:div w:id="2006667111">
              <w:marLeft w:val="0"/>
              <w:marRight w:val="0"/>
              <w:marTop w:val="0"/>
              <w:marBottom w:val="0"/>
              <w:divBdr>
                <w:top w:val="none" w:sz="0" w:space="0" w:color="auto"/>
                <w:left w:val="none" w:sz="0" w:space="0" w:color="auto"/>
                <w:bottom w:val="none" w:sz="0" w:space="0" w:color="auto"/>
                <w:right w:val="none" w:sz="0" w:space="0" w:color="auto"/>
              </w:divBdr>
            </w:div>
          </w:divsChild>
        </w:div>
        <w:div w:id="1046295598">
          <w:marLeft w:val="0"/>
          <w:marRight w:val="0"/>
          <w:marTop w:val="0"/>
          <w:marBottom w:val="0"/>
          <w:divBdr>
            <w:top w:val="none" w:sz="0" w:space="0" w:color="auto"/>
            <w:left w:val="none" w:sz="0" w:space="0" w:color="auto"/>
            <w:bottom w:val="none" w:sz="0" w:space="0" w:color="auto"/>
            <w:right w:val="none" w:sz="0" w:space="0" w:color="auto"/>
          </w:divBdr>
          <w:divsChild>
            <w:div w:id="685403899">
              <w:marLeft w:val="0"/>
              <w:marRight w:val="0"/>
              <w:marTop w:val="0"/>
              <w:marBottom w:val="0"/>
              <w:divBdr>
                <w:top w:val="none" w:sz="0" w:space="0" w:color="auto"/>
                <w:left w:val="none" w:sz="0" w:space="0" w:color="auto"/>
                <w:bottom w:val="none" w:sz="0" w:space="0" w:color="auto"/>
                <w:right w:val="none" w:sz="0" w:space="0" w:color="auto"/>
              </w:divBdr>
            </w:div>
          </w:divsChild>
        </w:div>
        <w:div w:id="1112819899">
          <w:marLeft w:val="0"/>
          <w:marRight w:val="0"/>
          <w:marTop w:val="0"/>
          <w:marBottom w:val="0"/>
          <w:divBdr>
            <w:top w:val="none" w:sz="0" w:space="0" w:color="auto"/>
            <w:left w:val="none" w:sz="0" w:space="0" w:color="auto"/>
            <w:bottom w:val="none" w:sz="0" w:space="0" w:color="auto"/>
            <w:right w:val="none" w:sz="0" w:space="0" w:color="auto"/>
          </w:divBdr>
          <w:divsChild>
            <w:div w:id="997031586">
              <w:marLeft w:val="0"/>
              <w:marRight w:val="0"/>
              <w:marTop w:val="0"/>
              <w:marBottom w:val="0"/>
              <w:divBdr>
                <w:top w:val="none" w:sz="0" w:space="0" w:color="auto"/>
                <w:left w:val="none" w:sz="0" w:space="0" w:color="auto"/>
                <w:bottom w:val="none" w:sz="0" w:space="0" w:color="auto"/>
                <w:right w:val="none" w:sz="0" w:space="0" w:color="auto"/>
              </w:divBdr>
            </w:div>
          </w:divsChild>
        </w:div>
        <w:div w:id="1122304270">
          <w:marLeft w:val="0"/>
          <w:marRight w:val="0"/>
          <w:marTop w:val="0"/>
          <w:marBottom w:val="0"/>
          <w:divBdr>
            <w:top w:val="none" w:sz="0" w:space="0" w:color="auto"/>
            <w:left w:val="none" w:sz="0" w:space="0" w:color="auto"/>
            <w:bottom w:val="none" w:sz="0" w:space="0" w:color="auto"/>
            <w:right w:val="none" w:sz="0" w:space="0" w:color="auto"/>
          </w:divBdr>
          <w:divsChild>
            <w:div w:id="1730808474">
              <w:marLeft w:val="0"/>
              <w:marRight w:val="0"/>
              <w:marTop w:val="0"/>
              <w:marBottom w:val="0"/>
              <w:divBdr>
                <w:top w:val="none" w:sz="0" w:space="0" w:color="auto"/>
                <w:left w:val="none" w:sz="0" w:space="0" w:color="auto"/>
                <w:bottom w:val="none" w:sz="0" w:space="0" w:color="auto"/>
                <w:right w:val="none" w:sz="0" w:space="0" w:color="auto"/>
              </w:divBdr>
            </w:div>
          </w:divsChild>
        </w:div>
        <w:div w:id="1226646903">
          <w:marLeft w:val="0"/>
          <w:marRight w:val="0"/>
          <w:marTop w:val="0"/>
          <w:marBottom w:val="0"/>
          <w:divBdr>
            <w:top w:val="none" w:sz="0" w:space="0" w:color="auto"/>
            <w:left w:val="none" w:sz="0" w:space="0" w:color="auto"/>
            <w:bottom w:val="none" w:sz="0" w:space="0" w:color="auto"/>
            <w:right w:val="none" w:sz="0" w:space="0" w:color="auto"/>
          </w:divBdr>
          <w:divsChild>
            <w:div w:id="340545987">
              <w:marLeft w:val="0"/>
              <w:marRight w:val="0"/>
              <w:marTop w:val="0"/>
              <w:marBottom w:val="0"/>
              <w:divBdr>
                <w:top w:val="none" w:sz="0" w:space="0" w:color="auto"/>
                <w:left w:val="none" w:sz="0" w:space="0" w:color="auto"/>
                <w:bottom w:val="none" w:sz="0" w:space="0" w:color="auto"/>
                <w:right w:val="none" w:sz="0" w:space="0" w:color="auto"/>
              </w:divBdr>
            </w:div>
          </w:divsChild>
        </w:div>
        <w:div w:id="1254044787">
          <w:marLeft w:val="0"/>
          <w:marRight w:val="0"/>
          <w:marTop w:val="0"/>
          <w:marBottom w:val="0"/>
          <w:divBdr>
            <w:top w:val="none" w:sz="0" w:space="0" w:color="auto"/>
            <w:left w:val="none" w:sz="0" w:space="0" w:color="auto"/>
            <w:bottom w:val="none" w:sz="0" w:space="0" w:color="auto"/>
            <w:right w:val="none" w:sz="0" w:space="0" w:color="auto"/>
          </w:divBdr>
          <w:divsChild>
            <w:div w:id="1569262348">
              <w:marLeft w:val="0"/>
              <w:marRight w:val="0"/>
              <w:marTop w:val="0"/>
              <w:marBottom w:val="0"/>
              <w:divBdr>
                <w:top w:val="none" w:sz="0" w:space="0" w:color="auto"/>
                <w:left w:val="none" w:sz="0" w:space="0" w:color="auto"/>
                <w:bottom w:val="none" w:sz="0" w:space="0" w:color="auto"/>
                <w:right w:val="none" w:sz="0" w:space="0" w:color="auto"/>
              </w:divBdr>
            </w:div>
          </w:divsChild>
        </w:div>
        <w:div w:id="1306662978">
          <w:marLeft w:val="0"/>
          <w:marRight w:val="0"/>
          <w:marTop w:val="0"/>
          <w:marBottom w:val="0"/>
          <w:divBdr>
            <w:top w:val="none" w:sz="0" w:space="0" w:color="auto"/>
            <w:left w:val="none" w:sz="0" w:space="0" w:color="auto"/>
            <w:bottom w:val="none" w:sz="0" w:space="0" w:color="auto"/>
            <w:right w:val="none" w:sz="0" w:space="0" w:color="auto"/>
          </w:divBdr>
          <w:divsChild>
            <w:div w:id="1780097622">
              <w:marLeft w:val="0"/>
              <w:marRight w:val="0"/>
              <w:marTop w:val="0"/>
              <w:marBottom w:val="0"/>
              <w:divBdr>
                <w:top w:val="none" w:sz="0" w:space="0" w:color="auto"/>
                <w:left w:val="none" w:sz="0" w:space="0" w:color="auto"/>
                <w:bottom w:val="none" w:sz="0" w:space="0" w:color="auto"/>
                <w:right w:val="none" w:sz="0" w:space="0" w:color="auto"/>
              </w:divBdr>
            </w:div>
          </w:divsChild>
        </w:div>
        <w:div w:id="1365980724">
          <w:marLeft w:val="0"/>
          <w:marRight w:val="0"/>
          <w:marTop w:val="0"/>
          <w:marBottom w:val="0"/>
          <w:divBdr>
            <w:top w:val="none" w:sz="0" w:space="0" w:color="auto"/>
            <w:left w:val="none" w:sz="0" w:space="0" w:color="auto"/>
            <w:bottom w:val="none" w:sz="0" w:space="0" w:color="auto"/>
            <w:right w:val="none" w:sz="0" w:space="0" w:color="auto"/>
          </w:divBdr>
          <w:divsChild>
            <w:div w:id="593056833">
              <w:marLeft w:val="0"/>
              <w:marRight w:val="0"/>
              <w:marTop w:val="0"/>
              <w:marBottom w:val="0"/>
              <w:divBdr>
                <w:top w:val="none" w:sz="0" w:space="0" w:color="auto"/>
                <w:left w:val="none" w:sz="0" w:space="0" w:color="auto"/>
                <w:bottom w:val="none" w:sz="0" w:space="0" w:color="auto"/>
                <w:right w:val="none" w:sz="0" w:space="0" w:color="auto"/>
              </w:divBdr>
            </w:div>
            <w:div w:id="1350569613">
              <w:marLeft w:val="0"/>
              <w:marRight w:val="0"/>
              <w:marTop w:val="0"/>
              <w:marBottom w:val="0"/>
              <w:divBdr>
                <w:top w:val="none" w:sz="0" w:space="0" w:color="auto"/>
                <w:left w:val="none" w:sz="0" w:space="0" w:color="auto"/>
                <w:bottom w:val="none" w:sz="0" w:space="0" w:color="auto"/>
                <w:right w:val="none" w:sz="0" w:space="0" w:color="auto"/>
              </w:divBdr>
            </w:div>
          </w:divsChild>
        </w:div>
        <w:div w:id="1385563027">
          <w:marLeft w:val="0"/>
          <w:marRight w:val="0"/>
          <w:marTop w:val="0"/>
          <w:marBottom w:val="0"/>
          <w:divBdr>
            <w:top w:val="none" w:sz="0" w:space="0" w:color="auto"/>
            <w:left w:val="none" w:sz="0" w:space="0" w:color="auto"/>
            <w:bottom w:val="none" w:sz="0" w:space="0" w:color="auto"/>
            <w:right w:val="none" w:sz="0" w:space="0" w:color="auto"/>
          </w:divBdr>
          <w:divsChild>
            <w:div w:id="2143232485">
              <w:marLeft w:val="0"/>
              <w:marRight w:val="0"/>
              <w:marTop w:val="0"/>
              <w:marBottom w:val="0"/>
              <w:divBdr>
                <w:top w:val="none" w:sz="0" w:space="0" w:color="auto"/>
                <w:left w:val="none" w:sz="0" w:space="0" w:color="auto"/>
                <w:bottom w:val="none" w:sz="0" w:space="0" w:color="auto"/>
                <w:right w:val="none" w:sz="0" w:space="0" w:color="auto"/>
              </w:divBdr>
            </w:div>
          </w:divsChild>
        </w:div>
        <w:div w:id="1433352739">
          <w:marLeft w:val="0"/>
          <w:marRight w:val="0"/>
          <w:marTop w:val="0"/>
          <w:marBottom w:val="0"/>
          <w:divBdr>
            <w:top w:val="none" w:sz="0" w:space="0" w:color="auto"/>
            <w:left w:val="none" w:sz="0" w:space="0" w:color="auto"/>
            <w:bottom w:val="none" w:sz="0" w:space="0" w:color="auto"/>
            <w:right w:val="none" w:sz="0" w:space="0" w:color="auto"/>
          </w:divBdr>
          <w:divsChild>
            <w:div w:id="392393575">
              <w:marLeft w:val="0"/>
              <w:marRight w:val="0"/>
              <w:marTop w:val="0"/>
              <w:marBottom w:val="0"/>
              <w:divBdr>
                <w:top w:val="none" w:sz="0" w:space="0" w:color="auto"/>
                <w:left w:val="none" w:sz="0" w:space="0" w:color="auto"/>
                <w:bottom w:val="none" w:sz="0" w:space="0" w:color="auto"/>
                <w:right w:val="none" w:sz="0" w:space="0" w:color="auto"/>
              </w:divBdr>
            </w:div>
          </w:divsChild>
        </w:div>
        <w:div w:id="1455178573">
          <w:marLeft w:val="0"/>
          <w:marRight w:val="0"/>
          <w:marTop w:val="0"/>
          <w:marBottom w:val="0"/>
          <w:divBdr>
            <w:top w:val="none" w:sz="0" w:space="0" w:color="auto"/>
            <w:left w:val="none" w:sz="0" w:space="0" w:color="auto"/>
            <w:bottom w:val="none" w:sz="0" w:space="0" w:color="auto"/>
            <w:right w:val="none" w:sz="0" w:space="0" w:color="auto"/>
          </w:divBdr>
          <w:divsChild>
            <w:div w:id="994797244">
              <w:marLeft w:val="0"/>
              <w:marRight w:val="0"/>
              <w:marTop w:val="0"/>
              <w:marBottom w:val="0"/>
              <w:divBdr>
                <w:top w:val="none" w:sz="0" w:space="0" w:color="auto"/>
                <w:left w:val="none" w:sz="0" w:space="0" w:color="auto"/>
                <w:bottom w:val="none" w:sz="0" w:space="0" w:color="auto"/>
                <w:right w:val="none" w:sz="0" w:space="0" w:color="auto"/>
              </w:divBdr>
            </w:div>
            <w:div w:id="1539705691">
              <w:marLeft w:val="0"/>
              <w:marRight w:val="0"/>
              <w:marTop w:val="0"/>
              <w:marBottom w:val="0"/>
              <w:divBdr>
                <w:top w:val="none" w:sz="0" w:space="0" w:color="auto"/>
                <w:left w:val="none" w:sz="0" w:space="0" w:color="auto"/>
                <w:bottom w:val="none" w:sz="0" w:space="0" w:color="auto"/>
                <w:right w:val="none" w:sz="0" w:space="0" w:color="auto"/>
              </w:divBdr>
            </w:div>
          </w:divsChild>
        </w:div>
        <w:div w:id="1466583939">
          <w:marLeft w:val="0"/>
          <w:marRight w:val="0"/>
          <w:marTop w:val="0"/>
          <w:marBottom w:val="0"/>
          <w:divBdr>
            <w:top w:val="none" w:sz="0" w:space="0" w:color="auto"/>
            <w:left w:val="none" w:sz="0" w:space="0" w:color="auto"/>
            <w:bottom w:val="none" w:sz="0" w:space="0" w:color="auto"/>
            <w:right w:val="none" w:sz="0" w:space="0" w:color="auto"/>
          </w:divBdr>
          <w:divsChild>
            <w:div w:id="1515800723">
              <w:marLeft w:val="0"/>
              <w:marRight w:val="0"/>
              <w:marTop w:val="0"/>
              <w:marBottom w:val="0"/>
              <w:divBdr>
                <w:top w:val="none" w:sz="0" w:space="0" w:color="auto"/>
                <w:left w:val="none" w:sz="0" w:space="0" w:color="auto"/>
                <w:bottom w:val="none" w:sz="0" w:space="0" w:color="auto"/>
                <w:right w:val="none" w:sz="0" w:space="0" w:color="auto"/>
              </w:divBdr>
            </w:div>
          </w:divsChild>
        </w:div>
        <w:div w:id="1499272928">
          <w:marLeft w:val="0"/>
          <w:marRight w:val="0"/>
          <w:marTop w:val="0"/>
          <w:marBottom w:val="0"/>
          <w:divBdr>
            <w:top w:val="none" w:sz="0" w:space="0" w:color="auto"/>
            <w:left w:val="none" w:sz="0" w:space="0" w:color="auto"/>
            <w:bottom w:val="none" w:sz="0" w:space="0" w:color="auto"/>
            <w:right w:val="none" w:sz="0" w:space="0" w:color="auto"/>
          </w:divBdr>
          <w:divsChild>
            <w:div w:id="2120829389">
              <w:marLeft w:val="0"/>
              <w:marRight w:val="0"/>
              <w:marTop w:val="0"/>
              <w:marBottom w:val="0"/>
              <w:divBdr>
                <w:top w:val="none" w:sz="0" w:space="0" w:color="auto"/>
                <w:left w:val="none" w:sz="0" w:space="0" w:color="auto"/>
                <w:bottom w:val="none" w:sz="0" w:space="0" w:color="auto"/>
                <w:right w:val="none" w:sz="0" w:space="0" w:color="auto"/>
              </w:divBdr>
            </w:div>
          </w:divsChild>
        </w:div>
        <w:div w:id="1605070059">
          <w:marLeft w:val="0"/>
          <w:marRight w:val="0"/>
          <w:marTop w:val="0"/>
          <w:marBottom w:val="0"/>
          <w:divBdr>
            <w:top w:val="none" w:sz="0" w:space="0" w:color="auto"/>
            <w:left w:val="none" w:sz="0" w:space="0" w:color="auto"/>
            <w:bottom w:val="none" w:sz="0" w:space="0" w:color="auto"/>
            <w:right w:val="none" w:sz="0" w:space="0" w:color="auto"/>
          </w:divBdr>
          <w:divsChild>
            <w:div w:id="603996337">
              <w:marLeft w:val="0"/>
              <w:marRight w:val="0"/>
              <w:marTop w:val="0"/>
              <w:marBottom w:val="0"/>
              <w:divBdr>
                <w:top w:val="none" w:sz="0" w:space="0" w:color="auto"/>
                <w:left w:val="none" w:sz="0" w:space="0" w:color="auto"/>
                <w:bottom w:val="none" w:sz="0" w:space="0" w:color="auto"/>
                <w:right w:val="none" w:sz="0" w:space="0" w:color="auto"/>
              </w:divBdr>
            </w:div>
            <w:div w:id="1284462562">
              <w:marLeft w:val="0"/>
              <w:marRight w:val="0"/>
              <w:marTop w:val="0"/>
              <w:marBottom w:val="0"/>
              <w:divBdr>
                <w:top w:val="none" w:sz="0" w:space="0" w:color="auto"/>
                <w:left w:val="none" w:sz="0" w:space="0" w:color="auto"/>
                <w:bottom w:val="none" w:sz="0" w:space="0" w:color="auto"/>
                <w:right w:val="none" w:sz="0" w:space="0" w:color="auto"/>
              </w:divBdr>
            </w:div>
            <w:div w:id="1390955137">
              <w:marLeft w:val="0"/>
              <w:marRight w:val="0"/>
              <w:marTop w:val="0"/>
              <w:marBottom w:val="0"/>
              <w:divBdr>
                <w:top w:val="none" w:sz="0" w:space="0" w:color="auto"/>
                <w:left w:val="none" w:sz="0" w:space="0" w:color="auto"/>
                <w:bottom w:val="none" w:sz="0" w:space="0" w:color="auto"/>
                <w:right w:val="none" w:sz="0" w:space="0" w:color="auto"/>
              </w:divBdr>
            </w:div>
          </w:divsChild>
        </w:div>
        <w:div w:id="1640914483">
          <w:marLeft w:val="0"/>
          <w:marRight w:val="0"/>
          <w:marTop w:val="0"/>
          <w:marBottom w:val="0"/>
          <w:divBdr>
            <w:top w:val="none" w:sz="0" w:space="0" w:color="auto"/>
            <w:left w:val="none" w:sz="0" w:space="0" w:color="auto"/>
            <w:bottom w:val="none" w:sz="0" w:space="0" w:color="auto"/>
            <w:right w:val="none" w:sz="0" w:space="0" w:color="auto"/>
          </w:divBdr>
          <w:divsChild>
            <w:div w:id="1778060024">
              <w:marLeft w:val="0"/>
              <w:marRight w:val="0"/>
              <w:marTop w:val="0"/>
              <w:marBottom w:val="0"/>
              <w:divBdr>
                <w:top w:val="none" w:sz="0" w:space="0" w:color="auto"/>
                <w:left w:val="none" w:sz="0" w:space="0" w:color="auto"/>
                <w:bottom w:val="none" w:sz="0" w:space="0" w:color="auto"/>
                <w:right w:val="none" w:sz="0" w:space="0" w:color="auto"/>
              </w:divBdr>
            </w:div>
          </w:divsChild>
        </w:div>
        <w:div w:id="1650210876">
          <w:marLeft w:val="0"/>
          <w:marRight w:val="0"/>
          <w:marTop w:val="0"/>
          <w:marBottom w:val="0"/>
          <w:divBdr>
            <w:top w:val="none" w:sz="0" w:space="0" w:color="auto"/>
            <w:left w:val="none" w:sz="0" w:space="0" w:color="auto"/>
            <w:bottom w:val="none" w:sz="0" w:space="0" w:color="auto"/>
            <w:right w:val="none" w:sz="0" w:space="0" w:color="auto"/>
          </w:divBdr>
          <w:divsChild>
            <w:div w:id="744644783">
              <w:marLeft w:val="0"/>
              <w:marRight w:val="0"/>
              <w:marTop w:val="0"/>
              <w:marBottom w:val="0"/>
              <w:divBdr>
                <w:top w:val="none" w:sz="0" w:space="0" w:color="auto"/>
                <w:left w:val="none" w:sz="0" w:space="0" w:color="auto"/>
                <w:bottom w:val="none" w:sz="0" w:space="0" w:color="auto"/>
                <w:right w:val="none" w:sz="0" w:space="0" w:color="auto"/>
              </w:divBdr>
            </w:div>
            <w:div w:id="1059328611">
              <w:marLeft w:val="0"/>
              <w:marRight w:val="0"/>
              <w:marTop w:val="0"/>
              <w:marBottom w:val="0"/>
              <w:divBdr>
                <w:top w:val="none" w:sz="0" w:space="0" w:color="auto"/>
                <w:left w:val="none" w:sz="0" w:space="0" w:color="auto"/>
                <w:bottom w:val="none" w:sz="0" w:space="0" w:color="auto"/>
                <w:right w:val="none" w:sz="0" w:space="0" w:color="auto"/>
              </w:divBdr>
            </w:div>
          </w:divsChild>
        </w:div>
        <w:div w:id="1658147444">
          <w:marLeft w:val="0"/>
          <w:marRight w:val="0"/>
          <w:marTop w:val="0"/>
          <w:marBottom w:val="0"/>
          <w:divBdr>
            <w:top w:val="none" w:sz="0" w:space="0" w:color="auto"/>
            <w:left w:val="none" w:sz="0" w:space="0" w:color="auto"/>
            <w:bottom w:val="none" w:sz="0" w:space="0" w:color="auto"/>
            <w:right w:val="none" w:sz="0" w:space="0" w:color="auto"/>
          </w:divBdr>
          <w:divsChild>
            <w:div w:id="645859354">
              <w:marLeft w:val="0"/>
              <w:marRight w:val="0"/>
              <w:marTop w:val="0"/>
              <w:marBottom w:val="0"/>
              <w:divBdr>
                <w:top w:val="none" w:sz="0" w:space="0" w:color="auto"/>
                <w:left w:val="none" w:sz="0" w:space="0" w:color="auto"/>
                <w:bottom w:val="none" w:sz="0" w:space="0" w:color="auto"/>
                <w:right w:val="none" w:sz="0" w:space="0" w:color="auto"/>
              </w:divBdr>
            </w:div>
          </w:divsChild>
        </w:div>
        <w:div w:id="1746225566">
          <w:marLeft w:val="0"/>
          <w:marRight w:val="0"/>
          <w:marTop w:val="0"/>
          <w:marBottom w:val="0"/>
          <w:divBdr>
            <w:top w:val="none" w:sz="0" w:space="0" w:color="auto"/>
            <w:left w:val="none" w:sz="0" w:space="0" w:color="auto"/>
            <w:bottom w:val="none" w:sz="0" w:space="0" w:color="auto"/>
            <w:right w:val="none" w:sz="0" w:space="0" w:color="auto"/>
          </w:divBdr>
          <w:divsChild>
            <w:div w:id="954093052">
              <w:marLeft w:val="0"/>
              <w:marRight w:val="0"/>
              <w:marTop w:val="0"/>
              <w:marBottom w:val="0"/>
              <w:divBdr>
                <w:top w:val="none" w:sz="0" w:space="0" w:color="auto"/>
                <w:left w:val="none" w:sz="0" w:space="0" w:color="auto"/>
                <w:bottom w:val="none" w:sz="0" w:space="0" w:color="auto"/>
                <w:right w:val="none" w:sz="0" w:space="0" w:color="auto"/>
              </w:divBdr>
            </w:div>
          </w:divsChild>
        </w:div>
        <w:div w:id="1756246864">
          <w:marLeft w:val="0"/>
          <w:marRight w:val="0"/>
          <w:marTop w:val="0"/>
          <w:marBottom w:val="0"/>
          <w:divBdr>
            <w:top w:val="none" w:sz="0" w:space="0" w:color="auto"/>
            <w:left w:val="none" w:sz="0" w:space="0" w:color="auto"/>
            <w:bottom w:val="none" w:sz="0" w:space="0" w:color="auto"/>
            <w:right w:val="none" w:sz="0" w:space="0" w:color="auto"/>
          </w:divBdr>
          <w:divsChild>
            <w:div w:id="1132678335">
              <w:marLeft w:val="0"/>
              <w:marRight w:val="0"/>
              <w:marTop w:val="0"/>
              <w:marBottom w:val="0"/>
              <w:divBdr>
                <w:top w:val="none" w:sz="0" w:space="0" w:color="auto"/>
                <w:left w:val="none" w:sz="0" w:space="0" w:color="auto"/>
                <w:bottom w:val="none" w:sz="0" w:space="0" w:color="auto"/>
                <w:right w:val="none" w:sz="0" w:space="0" w:color="auto"/>
              </w:divBdr>
            </w:div>
          </w:divsChild>
        </w:div>
        <w:div w:id="1843743647">
          <w:marLeft w:val="0"/>
          <w:marRight w:val="0"/>
          <w:marTop w:val="0"/>
          <w:marBottom w:val="0"/>
          <w:divBdr>
            <w:top w:val="none" w:sz="0" w:space="0" w:color="auto"/>
            <w:left w:val="none" w:sz="0" w:space="0" w:color="auto"/>
            <w:bottom w:val="none" w:sz="0" w:space="0" w:color="auto"/>
            <w:right w:val="none" w:sz="0" w:space="0" w:color="auto"/>
          </w:divBdr>
          <w:divsChild>
            <w:div w:id="420680278">
              <w:marLeft w:val="0"/>
              <w:marRight w:val="0"/>
              <w:marTop w:val="0"/>
              <w:marBottom w:val="0"/>
              <w:divBdr>
                <w:top w:val="none" w:sz="0" w:space="0" w:color="auto"/>
                <w:left w:val="none" w:sz="0" w:space="0" w:color="auto"/>
                <w:bottom w:val="none" w:sz="0" w:space="0" w:color="auto"/>
                <w:right w:val="none" w:sz="0" w:space="0" w:color="auto"/>
              </w:divBdr>
            </w:div>
          </w:divsChild>
        </w:div>
        <w:div w:id="1946112142">
          <w:marLeft w:val="0"/>
          <w:marRight w:val="0"/>
          <w:marTop w:val="0"/>
          <w:marBottom w:val="0"/>
          <w:divBdr>
            <w:top w:val="none" w:sz="0" w:space="0" w:color="auto"/>
            <w:left w:val="none" w:sz="0" w:space="0" w:color="auto"/>
            <w:bottom w:val="none" w:sz="0" w:space="0" w:color="auto"/>
            <w:right w:val="none" w:sz="0" w:space="0" w:color="auto"/>
          </w:divBdr>
          <w:divsChild>
            <w:div w:id="347872481">
              <w:marLeft w:val="0"/>
              <w:marRight w:val="0"/>
              <w:marTop w:val="0"/>
              <w:marBottom w:val="0"/>
              <w:divBdr>
                <w:top w:val="none" w:sz="0" w:space="0" w:color="auto"/>
                <w:left w:val="none" w:sz="0" w:space="0" w:color="auto"/>
                <w:bottom w:val="none" w:sz="0" w:space="0" w:color="auto"/>
                <w:right w:val="none" w:sz="0" w:space="0" w:color="auto"/>
              </w:divBdr>
            </w:div>
          </w:divsChild>
        </w:div>
        <w:div w:id="2024623224">
          <w:marLeft w:val="0"/>
          <w:marRight w:val="0"/>
          <w:marTop w:val="0"/>
          <w:marBottom w:val="0"/>
          <w:divBdr>
            <w:top w:val="none" w:sz="0" w:space="0" w:color="auto"/>
            <w:left w:val="none" w:sz="0" w:space="0" w:color="auto"/>
            <w:bottom w:val="none" w:sz="0" w:space="0" w:color="auto"/>
            <w:right w:val="none" w:sz="0" w:space="0" w:color="auto"/>
          </w:divBdr>
          <w:divsChild>
            <w:div w:id="314913375">
              <w:marLeft w:val="0"/>
              <w:marRight w:val="0"/>
              <w:marTop w:val="0"/>
              <w:marBottom w:val="0"/>
              <w:divBdr>
                <w:top w:val="none" w:sz="0" w:space="0" w:color="auto"/>
                <w:left w:val="none" w:sz="0" w:space="0" w:color="auto"/>
                <w:bottom w:val="none" w:sz="0" w:space="0" w:color="auto"/>
                <w:right w:val="none" w:sz="0" w:space="0" w:color="auto"/>
              </w:divBdr>
            </w:div>
          </w:divsChild>
        </w:div>
        <w:div w:id="2033797583">
          <w:marLeft w:val="0"/>
          <w:marRight w:val="0"/>
          <w:marTop w:val="0"/>
          <w:marBottom w:val="0"/>
          <w:divBdr>
            <w:top w:val="none" w:sz="0" w:space="0" w:color="auto"/>
            <w:left w:val="none" w:sz="0" w:space="0" w:color="auto"/>
            <w:bottom w:val="none" w:sz="0" w:space="0" w:color="auto"/>
            <w:right w:val="none" w:sz="0" w:space="0" w:color="auto"/>
          </w:divBdr>
          <w:divsChild>
            <w:div w:id="1599211977">
              <w:marLeft w:val="0"/>
              <w:marRight w:val="0"/>
              <w:marTop w:val="0"/>
              <w:marBottom w:val="0"/>
              <w:divBdr>
                <w:top w:val="none" w:sz="0" w:space="0" w:color="auto"/>
                <w:left w:val="none" w:sz="0" w:space="0" w:color="auto"/>
                <w:bottom w:val="none" w:sz="0" w:space="0" w:color="auto"/>
                <w:right w:val="none" w:sz="0" w:space="0" w:color="auto"/>
              </w:divBdr>
            </w:div>
          </w:divsChild>
        </w:div>
        <w:div w:id="2047171198">
          <w:marLeft w:val="0"/>
          <w:marRight w:val="0"/>
          <w:marTop w:val="0"/>
          <w:marBottom w:val="0"/>
          <w:divBdr>
            <w:top w:val="none" w:sz="0" w:space="0" w:color="auto"/>
            <w:left w:val="none" w:sz="0" w:space="0" w:color="auto"/>
            <w:bottom w:val="none" w:sz="0" w:space="0" w:color="auto"/>
            <w:right w:val="none" w:sz="0" w:space="0" w:color="auto"/>
          </w:divBdr>
          <w:divsChild>
            <w:div w:id="702440365">
              <w:marLeft w:val="0"/>
              <w:marRight w:val="0"/>
              <w:marTop w:val="0"/>
              <w:marBottom w:val="0"/>
              <w:divBdr>
                <w:top w:val="none" w:sz="0" w:space="0" w:color="auto"/>
                <w:left w:val="none" w:sz="0" w:space="0" w:color="auto"/>
                <w:bottom w:val="none" w:sz="0" w:space="0" w:color="auto"/>
                <w:right w:val="none" w:sz="0" w:space="0" w:color="auto"/>
              </w:divBdr>
            </w:div>
          </w:divsChild>
        </w:div>
        <w:div w:id="2059627966">
          <w:marLeft w:val="0"/>
          <w:marRight w:val="0"/>
          <w:marTop w:val="0"/>
          <w:marBottom w:val="0"/>
          <w:divBdr>
            <w:top w:val="none" w:sz="0" w:space="0" w:color="auto"/>
            <w:left w:val="none" w:sz="0" w:space="0" w:color="auto"/>
            <w:bottom w:val="none" w:sz="0" w:space="0" w:color="auto"/>
            <w:right w:val="none" w:sz="0" w:space="0" w:color="auto"/>
          </w:divBdr>
          <w:divsChild>
            <w:div w:id="1032146569">
              <w:marLeft w:val="0"/>
              <w:marRight w:val="0"/>
              <w:marTop w:val="0"/>
              <w:marBottom w:val="0"/>
              <w:divBdr>
                <w:top w:val="none" w:sz="0" w:space="0" w:color="auto"/>
                <w:left w:val="none" w:sz="0" w:space="0" w:color="auto"/>
                <w:bottom w:val="none" w:sz="0" w:space="0" w:color="auto"/>
                <w:right w:val="none" w:sz="0" w:space="0" w:color="auto"/>
              </w:divBdr>
            </w:div>
          </w:divsChild>
        </w:div>
        <w:div w:id="2070417989">
          <w:marLeft w:val="0"/>
          <w:marRight w:val="0"/>
          <w:marTop w:val="0"/>
          <w:marBottom w:val="0"/>
          <w:divBdr>
            <w:top w:val="none" w:sz="0" w:space="0" w:color="auto"/>
            <w:left w:val="none" w:sz="0" w:space="0" w:color="auto"/>
            <w:bottom w:val="none" w:sz="0" w:space="0" w:color="auto"/>
            <w:right w:val="none" w:sz="0" w:space="0" w:color="auto"/>
          </w:divBdr>
          <w:divsChild>
            <w:div w:id="1923566213">
              <w:marLeft w:val="0"/>
              <w:marRight w:val="0"/>
              <w:marTop w:val="0"/>
              <w:marBottom w:val="0"/>
              <w:divBdr>
                <w:top w:val="none" w:sz="0" w:space="0" w:color="auto"/>
                <w:left w:val="none" w:sz="0" w:space="0" w:color="auto"/>
                <w:bottom w:val="none" w:sz="0" w:space="0" w:color="auto"/>
                <w:right w:val="none" w:sz="0" w:space="0" w:color="auto"/>
              </w:divBdr>
            </w:div>
          </w:divsChild>
        </w:div>
        <w:div w:id="2114812466">
          <w:marLeft w:val="0"/>
          <w:marRight w:val="0"/>
          <w:marTop w:val="0"/>
          <w:marBottom w:val="0"/>
          <w:divBdr>
            <w:top w:val="none" w:sz="0" w:space="0" w:color="auto"/>
            <w:left w:val="none" w:sz="0" w:space="0" w:color="auto"/>
            <w:bottom w:val="none" w:sz="0" w:space="0" w:color="auto"/>
            <w:right w:val="none" w:sz="0" w:space="0" w:color="auto"/>
          </w:divBdr>
          <w:divsChild>
            <w:div w:id="5543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289">
      <w:bodyDiv w:val="1"/>
      <w:marLeft w:val="0"/>
      <w:marRight w:val="0"/>
      <w:marTop w:val="0"/>
      <w:marBottom w:val="0"/>
      <w:divBdr>
        <w:top w:val="none" w:sz="0" w:space="0" w:color="auto"/>
        <w:left w:val="none" w:sz="0" w:space="0" w:color="auto"/>
        <w:bottom w:val="none" w:sz="0" w:space="0" w:color="auto"/>
        <w:right w:val="none" w:sz="0" w:space="0" w:color="auto"/>
      </w:divBdr>
      <w:divsChild>
        <w:div w:id="415708886">
          <w:marLeft w:val="0"/>
          <w:marRight w:val="0"/>
          <w:marTop w:val="0"/>
          <w:marBottom w:val="0"/>
          <w:divBdr>
            <w:top w:val="none" w:sz="0" w:space="0" w:color="auto"/>
            <w:left w:val="none" w:sz="0" w:space="0" w:color="auto"/>
            <w:bottom w:val="none" w:sz="0" w:space="0" w:color="auto"/>
            <w:right w:val="none" w:sz="0" w:space="0" w:color="auto"/>
          </w:divBdr>
        </w:div>
        <w:div w:id="894467442">
          <w:marLeft w:val="0"/>
          <w:marRight w:val="0"/>
          <w:marTop w:val="0"/>
          <w:marBottom w:val="0"/>
          <w:divBdr>
            <w:top w:val="none" w:sz="0" w:space="0" w:color="auto"/>
            <w:left w:val="none" w:sz="0" w:space="0" w:color="auto"/>
            <w:bottom w:val="none" w:sz="0" w:space="0" w:color="auto"/>
            <w:right w:val="none" w:sz="0" w:space="0" w:color="auto"/>
          </w:divBdr>
        </w:div>
        <w:div w:id="894703871">
          <w:marLeft w:val="0"/>
          <w:marRight w:val="0"/>
          <w:marTop w:val="0"/>
          <w:marBottom w:val="0"/>
          <w:divBdr>
            <w:top w:val="none" w:sz="0" w:space="0" w:color="auto"/>
            <w:left w:val="none" w:sz="0" w:space="0" w:color="auto"/>
            <w:bottom w:val="none" w:sz="0" w:space="0" w:color="auto"/>
            <w:right w:val="none" w:sz="0" w:space="0" w:color="auto"/>
          </w:divBdr>
        </w:div>
      </w:divsChild>
    </w:div>
    <w:div w:id="2071807772">
      <w:bodyDiv w:val="1"/>
      <w:marLeft w:val="0"/>
      <w:marRight w:val="0"/>
      <w:marTop w:val="0"/>
      <w:marBottom w:val="0"/>
      <w:divBdr>
        <w:top w:val="none" w:sz="0" w:space="0" w:color="auto"/>
        <w:left w:val="none" w:sz="0" w:space="0" w:color="auto"/>
        <w:bottom w:val="none" w:sz="0" w:space="0" w:color="auto"/>
        <w:right w:val="none" w:sz="0" w:space="0" w:color="auto"/>
      </w:divBdr>
    </w:div>
    <w:div w:id="2082870830">
      <w:bodyDiv w:val="1"/>
      <w:marLeft w:val="0"/>
      <w:marRight w:val="0"/>
      <w:marTop w:val="0"/>
      <w:marBottom w:val="0"/>
      <w:divBdr>
        <w:top w:val="none" w:sz="0" w:space="0" w:color="auto"/>
        <w:left w:val="none" w:sz="0" w:space="0" w:color="auto"/>
        <w:bottom w:val="none" w:sz="0" w:space="0" w:color="auto"/>
        <w:right w:val="none" w:sz="0" w:space="0" w:color="auto"/>
      </w:divBdr>
    </w:div>
    <w:div w:id="2107772332">
      <w:bodyDiv w:val="1"/>
      <w:marLeft w:val="0"/>
      <w:marRight w:val="0"/>
      <w:marTop w:val="0"/>
      <w:marBottom w:val="0"/>
      <w:divBdr>
        <w:top w:val="none" w:sz="0" w:space="0" w:color="auto"/>
        <w:left w:val="none" w:sz="0" w:space="0" w:color="auto"/>
        <w:bottom w:val="none" w:sz="0" w:space="0" w:color="auto"/>
        <w:right w:val="none" w:sz="0" w:space="0" w:color="auto"/>
      </w:divBdr>
      <w:divsChild>
        <w:div w:id="239797660">
          <w:marLeft w:val="0"/>
          <w:marRight w:val="0"/>
          <w:marTop w:val="0"/>
          <w:marBottom w:val="0"/>
          <w:divBdr>
            <w:top w:val="none" w:sz="0" w:space="0" w:color="auto"/>
            <w:left w:val="none" w:sz="0" w:space="0" w:color="auto"/>
            <w:bottom w:val="none" w:sz="0" w:space="0" w:color="auto"/>
            <w:right w:val="none" w:sz="0" w:space="0" w:color="auto"/>
          </w:divBdr>
          <w:divsChild>
            <w:div w:id="926042341">
              <w:marLeft w:val="0"/>
              <w:marRight w:val="0"/>
              <w:marTop w:val="0"/>
              <w:marBottom w:val="0"/>
              <w:divBdr>
                <w:top w:val="none" w:sz="0" w:space="0" w:color="auto"/>
                <w:left w:val="none" w:sz="0" w:space="0" w:color="auto"/>
                <w:bottom w:val="none" w:sz="0" w:space="0" w:color="auto"/>
                <w:right w:val="none" w:sz="0" w:space="0" w:color="auto"/>
              </w:divBdr>
            </w:div>
          </w:divsChild>
        </w:div>
        <w:div w:id="1487821752">
          <w:marLeft w:val="0"/>
          <w:marRight w:val="0"/>
          <w:marTop w:val="0"/>
          <w:marBottom w:val="0"/>
          <w:divBdr>
            <w:top w:val="none" w:sz="0" w:space="0" w:color="auto"/>
            <w:left w:val="none" w:sz="0" w:space="0" w:color="auto"/>
            <w:bottom w:val="none" w:sz="0" w:space="0" w:color="auto"/>
            <w:right w:val="none" w:sz="0" w:space="0" w:color="auto"/>
          </w:divBdr>
          <w:divsChild>
            <w:div w:id="16788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6CEBC078-A50C-4287-B813-A751B876A6ED}"/>
</file>

<file path=customXml/itemProps3.xml><?xml version="1.0" encoding="utf-8"?>
<ds:datastoreItem xmlns:ds="http://schemas.openxmlformats.org/officeDocument/2006/customXml" ds:itemID="{23A6C1CD-CDC5-4825-8823-5DCABA560779}"/>
</file>

<file path=customXml/itemProps4.xml><?xml version="1.0" encoding="utf-8"?>
<ds:datastoreItem xmlns:ds="http://schemas.openxmlformats.org/officeDocument/2006/customXml" ds:itemID="{160A9DE1-D434-49AF-B577-0EFA5EE323B6}"/>
</file>

<file path=docProps/app.xml><?xml version="1.0" encoding="utf-8"?>
<Properties xmlns="http://schemas.openxmlformats.org/officeDocument/2006/extended-properties" xmlns:vt="http://schemas.openxmlformats.org/officeDocument/2006/docPropsVTypes">
  <Template>Normal.dotm</Template>
  <TotalTime>0</TotalTime>
  <Pages>54</Pages>
  <Words>21904</Words>
  <Characters>124853</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146465</CharactersWithSpaces>
  <SharedDoc>false</SharedDoc>
  <HLinks>
    <vt:vector size="12" baseType="variant">
      <vt:variant>
        <vt:i4>1507399</vt:i4>
      </vt:variant>
      <vt:variant>
        <vt:i4>231</vt:i4>
      </vt:variant>
      <vt:variant>
        <vt:i4>0</vt:i4>
      </vt:variant>
      <vt:variant>
        <vt:i4>5</vt:i4>
      </vt:variant>
      <vt:variant>
        <vt:lpwstr>http://www.servicesaustralia.gov.au/hpos</vt:lpwstr>
      </vt:variant>
      <vt:variant>
        <vt:lpwstr/>
      </vt:variant>
      <vt:variant>
        <vt:i4>1507399</vt:i4>
      </vt:variant>
      <vt:variant>
        <vt:i4>198</vt:i4>
      </vt:variant>
      <vt:variant>
        <vt:i4>0</vt:i4>
      </vt:variant>
      <vt:variant>
        <vt:i4>5</vt:i4>
      </vt:variant>
      <vt:variant>
        <vt:lpwstr>http://www.servicesaustralia.gov.au/hpos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2025-06-26T00:49:00Z</dcterms:created>
  <dcterms:modified xsi:type="dcterms:W3CDTF">2025-06-26T00:49:00Z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